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after="120" w:afterLines="50"/>
        <w:ind w:firstLine="0" w:firstLineChars="0"/>
        <w:jc w:val="center"/>
        <w:rPr>
          <w:b/>
          <w:bCs/>
          <w:w w:val="99"/>
          <w:sz w:val="48"/>
          <w:szCs w:val="48"/>
          <w:highlight w:val="none"/>
        </w:rPr>
      </w:pPr>
      <w:bookmarkStart w:id="0" w:name="_Hlk521009067"/>
    </w:p>
    <w:p>
      <w:pPr>
        <w:spacing w:before="50" w:after="50"/>
        <w:ind w:firstLine="0" w:firstLineChars="0"/>
        <w:jc w:val="center"/>
        <w:rPr>
          <w:b/>
          <w:bCs/>
          <w:sz w:val="36"/>
          <w:szCs w:val="36"/>
          <w:highlight w:val="none"/>
        </w:rPr>
      </w:pPr>
      <w:r>
        <w:rPr>
          <w:rFonts w:hint="eastAsia"/>
          <w:b/>
          <w:bCs/>
          <w:sz w:val="36"/>
          <w:szCs w:val="36"/>
          <w:highlight w:val="none"/>
        </w:rPr>
        <w:t>遵化恒新矿业有限公司</w:t>
      </w:r>
    </w:p>
    <w:p>
      <w:pPr>
        <w:spacing w:before="50" w:after="50"/>
        <w:ind w:firstLine="0" w:firstLineChars="0"/>
        <w:jc w:val="center"/>
        <w:rPr>
          <w:rFonts w:eastAsiaTheme="minorEastAsia"/>
          <w:b/>
          <w:bCs/>
          <w:w w:val="99"/>
          <w:sz w:val="36"/>
          <w:szCs w:val="36"/>
          <w:highlight w:val="none"/>
        </w:rPr>
      </w:pPr>
      <w:r>
        <w:rPr>
          <w:rFonts w:hint="eastAsia" w:eastAsiaTheme="minorEastAsia"/>
          <w:b/>
          <w:bCs/>
          <w:sz w:val="36"/>
          <w:szCs w:val="36"/>
          <w:highlight w:val="none"/>
        </w:rPr>
        <w:t>年处理60万吨铁矿石、120万吨粗精矿项目</w:t>
      </w:r>
    </w:p>
    <w:p>
      <w:pPr>
        <w:spacing w:line="240" w:lineRule="auto"/>
        <w:ind w:left="532" w:firstLine="0" w:firstLineChars="0"/>
        <w:jc w:val="center"/>
        <w:textAlignment w:val="auto"/>
        <w:rPr>
          <w:rFonts w:ascii="宋体" w:hAnsi="宋体"/>
          <w:b/>
          <w:kern w:val="2"/>
          <w:sz w:val="52"/>
          <w:szCs w:val="52"/>
          <w:highlight w:val="none"/>
        </w:rPr>
      </w:pPr>
      <w:r>
        <w:rPr>
          <w:rFonts w:hint="eastAsia" w:ascii="宋体" w:hAnsi="宋体"/>
          <w:b/>
          <w:kern w:val="2"/>
          <w:sz w:val="52"/>
          <w:szCs w:val="52"/>
          <w:highlight w:val="none"/>
        </w:rPr>
        <w:t>环境影响报告书</w:t>
      </w:r>
    </w:p>
    <w:p>
      <w:pPr>
        <w:spacing w:before="50" w:after="50"/>
        <w:ind w:firstLine="0" w:firstLineChars="0"/>
        <w:jc w:val="center"/>
        <w:rPr>
          <w:b/>
          <w:bCs/>
          <w:w w:val="99"/>
          <w:sz w:val="48"/>
          <w:szCs w:val="48"/>
          <w:highlight w:val="none"/>
        </w:rPr>
      </w:pPr>
      <w:bookmarkStart w:id="687" w:name="_GoBack"/>
      <w:bookmarkEnd w:id="687"/>
    </w:p>
    <w:p>
      <w:pPr>
        <w:spacing w:before="50" w:after="50"/>
        <w:ind w:firstLine="0" w:firstLineChars="0"/>
        <w:jc w:val="center"/>
        <w:rPr>
          <w:b/>
          <w:bCs/>
          <w:w w:val="99"/>
          <w:sz w:val="48"/>
          <w:szCs w:val="48"/>
          <w:highlight w:val="none"/>
        </w:rPr>
      </w:pPr>
    </w:p>
    <w:p>
      <w:pPr>
        <w:spacing w:before="50" w:after="50"/>
        <w:ind w:firstLine="0" w:firstLineChars="0"/>
        <w:jc w:val="center"/>
        <w:rPr>
          <w:b/>
          <w:bCs/>
          <w:w w:val="99"/>
          <w:sz w:val="48"/>
          <w:szCs w:val="48"/>
          <w:highlight w:val="none"/>
        </w:rPr>
      </w:pPr>
    </w:p>
    <w:p>
      <w:pPr>
        <w:spacing w:before="50" w:after="50"/>
        <w:ind w:firstLine="0" w:firstLineChars="0"/>
        <w:jc w:val="center"/>
        <w:rPr>
          <w:b/>
          <w:bCs/>
          <w:w w:val="99"/>
          <w:sz w:val="48"/>
          <w:szCs w:val="48"/>
          <w:highlight w:val="none"/>
        </w:rPr>
      </w:pPr>
    </w:p>
    <w:p>
      <w:pPr>
        <w:spacing w:before="50" w:after="50"/>
        <w:ind w:firstLine="0" w:firstLineChars="0"/>
        <w:jc w:val="center"/>
        <w:rPr>
          <w:b/>
          <w:bCs/>
          <w:w w:val="99"/>
          <w:sz w:val="48"/>
          <w:szCs w:val="48"/>
          <w:highlight w:val="none"/>
        </w:rPr>
      </w:pPr>
    </w:p>
    <w:p>
      <w:pPr>
        <w:spacing w:before="50" w:after="50"/>
        <w:ind w:firstLine="0" w:firstLineChars="0"/>
        <w:jc w:val="center"/>
        <w:rPr>
          <w:b/>
          <w:bCs/>
          <w:w w:val="99"/>
          <w:sz w:val="48"/>
          <w:szCs w:val="48"/>
          <w:highlight w:val="none"/>
        </w:rPr>
      </w:pPr>
    </w:p>
    <w:p>
      <w:pPr>
        <w:spacing w:before="50" w:after="50"/>
        <w:ind w:firstLine="0" w:firstLineChars="0"/>
        <w:jc w:val="center"/>
        <w:rPr>
          <w:b/>
          <w:bCs/>
          <w:w w:val="99"/>
          <w:sz w:val="48"/>
          <w:szCs w:val="48"/>
          <w:highlight w:val="none"/>
        </w:rPr>
      </w:pPr>
    </w:p>
    <w:p>
      <w:pPr>
        <w:spacing w:before="120" w:beforeLines="50" w:after="120" w:afterLines="50"/>
        <w:ind w:firstLine="2108" w:firstLineChars="700"/>
        <w:rPr>
          <w:b/>
          <w:bCs/>
          <w:sz w:val="30"/>
          <w:szCs w:val="30"/>
          <w:highlight w:val="none"/>
        </w:rPr>
      </w:pPr>
      <w:r>
        <w:rPr>
          <w:b/>
          <w:sz w:val="30"/>
          <w:szCs w:val="30"/>
          <w:highlight w:val="none"/>
        </w:rPr>
        <w:t>建设单位：</w:t>
      </w:r>
      <w:r>
        <w:rPr>
          <w:rFonts w:hint="eastAsia"/>
          <w:b/>
          <w:bCs/>
          <w:sz w:val="30"/>
          <w:szCs w:val="30"/>
          <w:highlight w:val="none"/>
        </w:rPr>
        <w:t>遵化恒新矿业有限公司</w:t>
      </w:r>
    </w:p>
    <w:bookmarkEnd w:id="0"/>
    <w:p>
      <w:pPr>
        <w:spacing w:before="120" w:beforeLines="50" w:after="120" w:afterLines="50"/>
        <w:ind w:firstLine="2108" w:firstLineChars="700"/>
        <w:rPr>
          <w:b/>
          <w:sz w:val="30"/>
          <w:szCs w:val="30"/>
          <w:highlight w:val="none"/>
        </w:rPr>
        <w:sectPr>
          <w:headerReference r:id="rId7" w:type="first"/>
          <w:footerReference r:id="rId9" w:type="first"/>
          <w:headerReference r:id="rId5" w:type="default"/>
          <w:headerReference r:id="rId6" w:type="even"/>
          <w:footerReference r:id="rId8" w:type="even"/>
          <w:pgSz w:w="11906" w:h="16838"/>
          <w:pgMar w:top="1440" w:right="1800" w:bottom="1440" w:left="1800" w:header="851" w:footer="992" w:gutter="0"/>
          <w:pgNumType w:start="1"/>
          <w:cols w:space="720" w:num="1"/>
          <w:docGrid w:linePitch="312" w:charSpace="0"/>
        </w:sectPr>
      </w:pPr>
      <w:r>
        <w:rPr>
          <w:rFonts w:hint="eastAsia"/>
          <w:b/>
          <w:sz w:val="30"/>
          <w:szCs w:val="30"/>
          <w:highlight w:val="none"/>
        </w:rPr>
        <w:t>编制时间：</w:t>
      </w:r>
      <w:r>
        <w:rPr>
          <w:b/>
          <w:sz w:val="30"/>
          <w:szCs w:val="30"/>
          <w:highlight w:val="none"/>
        </w:rPr>
        <w:t>20</w:t>
      </w:r>
      <w:r>
        <w:rPr>
          <w:rFonts w:hint="eastAsia"/>
          <w:b/>
          <w:sz w:val="30"/>
          <w:szCs w:val="30"/>
          <w:highlight w:val="none"/>
        </w:rPr>
        <w:t>23</w:t>
      </w:r>
      <w:r>
        <w:rPr>
          <w:b/>
          <w:sz w:val="30"/>
          <w:szCs w:val="30"/>
          <w:highlight w:val="none"/>
        </w:rPr>
        <w:t>年</w:t>
      </w:r>
      <w:r>
        <w:rPr>
          <w:rFonts w:hint="eastAsia"/>
          <w:b/>
          <w:sz w:val="30"/>
          <w:szCs w:val="30"/>
          <w:highlight w:val="none"/>
          <w:lang w:val="en-US" w:eastAsia="zh-CN"/>
        </w:rPr>
        <w:t>8</w:t>
      </w:r>
      <w:r>
        <w:rPr>
          <w:b/>
          <w:sz w:val="30"/>
          <w:szCs w:val="30"/>
          <w:highlight w:val="none"/>
        </w:rPr>
        <w:t>月</w:t>
      </w:r>
    </w:p>
    <w:p>
      <w:pPr>
        <w:pStyle w:val="38"/>
        <w:ind w:firstLine="643"/>
        <w:jc w:val="center"/>
        <w:rPr>
          <w:rFonts w:ascii="Times New Roman" w:hAnsi="Times New Roman" w:cs="Times New Roman"/>
          <w:sz w:val="32"/>
          <w:szCs w:val="32"/>
          <w:highlight w:val="none"/>
        </w:rPr>
      </w:pPr>
    </w:p>
    <w:p>
      <w:pPr>
        <w:pStyle w:val="38"/>
        <w:ind w:firstLine="643"/>
        <w:jc w:val="center"/>
        <w:rPr>
          <w:rFonts w:ascii="Times New Roman" w:hAnsi="Times New Roman" w:cs="Times New Roman"/>
          <w:sz w:val="32"/>
          <w:szCs w:val="32"/>
          <w:highlight w:val="none"/>
        </w:rPr>
      </w:pPr>
    </w:p>
    <w:p>
      <w:pPr>
        <w:ind w:firstLine="640"/>
        <w:jc w:val="center"/>
        <w:rPr>
          <w:sz w:val="32"/>
          <w:szCs w:val="32"/>
          <w:highlight w:val="none"/>
        </w:rPr>
      </w:pPr>
      <w:r>
        <w:rPr>
          <w:sz w:val="32"/>
          <w:szCs w:val="32"/>
          <w:highlight w:val="none"/>
        </w:rPr>
        <w:br w:type="page"/>
      </w:r>
    </w:p>
    <w:p>
      <w:pPr>
        <w:pStyle w:val="38"/>
        <w:ind w:firstLine="643"/>
        <w:jc w:val="center"/>
        <w:rPr>
          <w:rFonts w:ascii="Times New Roman" w:hAnsi="Times New Roman" w:cs="Times New Roman"/>
          <w:sz w:val="32"/>
          <w:szCs w:val="32"/>
          <w:highlight w:val="none"/>
        </w:rPr>
      </w:pPr>
      <w:r>
        <w:rPr>
          <w:rFonts w:ascii="Times New Roman" w:hAnsi="Times New Roman" w:cs="Times New Roman"/>
          <w:sz w:val="32"/>
          <w:szCs w:val="32"/>
          <w:highlight w:val="none"/>
        </w:rPr>
        <mc:AlternateContent>
          <mc:Choice Requires="wps">
            <w:drawing>
              <wp:anchor distT="0" distB="0" distL="114300" distR="114300" simplePos="0" relativeHeight="251660288" behindDoc="0" locked="0" layoutInCell="1" allowOverlap="1">
                <wp:simplePos x="0" y="0"/>
                <wp:positionH relativeFrom="column">
                  <wp:posOffset>5741670</wp:posOffset>
                </wp:positionH>
                <wp:positionV relativeFrom="paragraph">
                  <wp:posOffset>2247900</wp:posOffset>
                </wp:positionV>
                <wp:extent cx="2249805" cy="398145"/>
                <wp:effectExtent l="0" t="0" r="0" b="0"/>
                <wp:wrapNone/>
                <wp:docPr id="21" name="文本框 3"/>
                <wp:cNvGraphicFramePr/>
                <a:graphic xmlns:a="http://schemas.openxmlformats.org/drawingml/2006/main">
                  <a:graphicData uri="http://schemas.microsoft.com/office/word/2010/wordprocessingShape">
                    <wps:wsp>
                      <wps:cNvSpPr txBox="1"/>
                      <wps:spPr>
                        <a:xfrm>
                          <a:off x="0" y="0"/>
                          <a:ext cx="2249805" cy="398145"/>
                        </a:xfrm>
                        <a:prstGeom prst="rect">
                          <a:avLst/>
                        </a:prstGeom>
                        <a:noFill/>
                        <a:ln w="9525">
                          <a:noFill/>
                        </a:ln>
                      </wps:spPr>
                      <wps:txbx>
                        <w:txbxContent>
                          <w:p>
                            <w:pPr>
                              <w:ind w:firstLine="562"/>
                              <w:rPr>
                                <w:b/>
                                <w:szCs w:val="28"/>
                              </w:rPr>
                            </w:pP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3" o:spid="_x0000_s1026" o:spt="202" type="#_x0000_t202" style="position:absolute;left:0pt;margin-left:452.1pt;margin-top:177pt;height:31.35pt;width:177.15pt;z-index:251660288;mso-width-relative:page;mso-height-relative:margin;mso-height-percent:200;" filled="f" stroked="f" coordsize="21600,21600" o:gfxdata="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CGEjP2gAAAAwBAAAPAAAAAAAAAAEAIAAAACIAAABkcnMvZG93bnJl&#10;di54bWxQSwECFAAUAAAACACHTuJAAhu6ssIBAAByAwAADgAAAAAAAAABACAAAAApAQAAZHJzL2Uy&#10;b0RvYy54bWxQSwUGAAAAAAYABgBZAQAAXQUAAAAA&#10;">
                <v:fill on="f" focussize="0,0"/>
                <v:stroke on="f"/>
                <v:imagedata o:title=""/>
                <o:lock v:ext="edit" aspectratio="f"/>
                <v:textbox style="mso-fit-shape-to-text:t;">
                  <w:txbxContent>
                    <w:p>
                      <w:pPr>
                        <w:ind w:firstLine="562"/>
                        <w:rPr>
                          <w:b/>
                          <w:szCs w:val="28"/>
                        </w:rPr>
                      </w:pPr>
                    </w:p>
                  </w:txbxContent>
                </v:textbox>
              </v:shape>
            </w:pict>
          </mc:Fallback>
        </mc:AlternateContent>
      </w:r>
      <w:r>
        <w:rPr>
          <w:rFonts w:ascii="Times New Roman" w:hAnsi="Times New Roman" w:cs="Times New Roman"/>
          <w:sz w:val="32"/>
          <w:szCs w:val="32"/>
          <w:highlight w:val="none"/>
        </w:rPr>
        <w:t>目录</w:t>
      </w:r>
    </w:p>
    <w:p>
      <w:pPr>
        <w:pStyle w:val="38"/>
        <w:tabs>
          <w:tab w:val="right" w:leader="dot" w:pos="8306"/>
        </w:tabs>
        <w:spacing w:line="300" w:lineRule="exact"/>
        <w:ind w:firstLine="482"/>
        <w:rPr>
          <w:highlight w:val="none"/>
        </w:rPr>
      </w:pPr>
      <w:r>
        <w:rPr>
          <w:rFonts w:ascii="Times New Roman" w:hAnsi="Times New Roman" w:cs="Times New Roman" w:eastAsiaTheme="minorEastAsia"/>
          <w:sz w:val="24"/>
          <w:szCs w:val="24"/>
          <w:highlight w:val="none"/>
        </w:rPr>
        <w:fldChar w:fldCharType="begin"/>
      </w:r>
      <w:r>
        <w:rPr>
          <w:rFonts w:ascii="Times New Roman" w:hAnsi="Times New Roman" w:cs="Times New Roman" w:eastAsiaTheme="minorEastAsia"/>
          <w:sz w:val="24"/>
          <w:szCs w:val="24"/>
          <w:highlight w:val="none"/>
        </w:rPr>
        <w:instrText xml:space="preserve"> TOC \o "1-2" \u </w:instrText>
      </w:r>
      <w:r>
        <w:rPr>
          <w:rFonts w:ascii="Times New Roman" w:hAnsi="Times New Roman" w:cs="Times New Roman" w:eastAsiaTheme="minorEastAsia"/>
          <w:sz w:val="24"/>
          <w:szCs w:val="24"/>
          <w:highlight w:val="none"/>
        </w:rPr>
        <w:fldChar w:fldCharType="separate"/>
      </w:r>
      <w:r>
        <w:rPr>
          <w:rFonts w:hint="eastAsia" w:ascii="Times New Roman"/>
          <w:highlight w:val="none"/>
        </w:rPr>
        <w:t xml:space="preserve">1 </w:t>
      </w:r>
      <w:r>
        <w:rPr>
          <w:rFonts w:ascii="Times New Roman"/>
          <w:highlight w:val="none"/>
        </w:rPr>
        <w:t>概述</w:t>
      </w:r>
      <w:r>
        <w:rPr>
          <w:highlight w:val="none"/>
        </w:rPr>
        <w:tab/>
      </w:r>
      <w:r>
        <w:rPr>
          <w:highlight w:val="none"/>
        </w:rPr>
        <w:fldChar w:fldCharType="begin"/>
      </w:r>
      <w:r>
        <w:rPr>
          <w:highlight w:val="none"/>
        </w:rPr>
        <w:instrText xml:space="preserve"> PAGEREF _Toc20914 \h </w:instrText>
      </w:r>
      <w:r>
        <w:rPr>
          <w:highlight w:val="none"/>
        </w:rPr>
        <w:fldChar w:fldCharType="separate"/>
      </w:r>
      <w:r>
        <w:rPr>
          <w:highlight w:val="none"/>
        </w:rPr>
        <w:t>1</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1.1 建设项目特点</w:t>
      </w:r>
      <w:r>
        <w:rPr>
          <w:highlight w:val="none"/>
        </w:rPr>
        <w:tab/>
      </w:r>
      <w:r>
        <w:rPr>
          <w:highlight w:val="none"/>
        </w:rPr>
        <w:fldChar w:fldCharType="begin"/>
      </w:r>
      <w:r>
        <w:rPr>
          <w:highlight w:val="none"/>
        </w:rPr>
        <w:instrText xml:space="preserve"> PAGEREF _Toc29096 \h </w:instrText>
      </w:r>
      <w:r>
        <w:rPr>
          <w:highlight w:val="none"/>
        </w:rPr>
        <w:fldChar w:fldCharType="separate"/>
      </w:r>
      <w:r>
        <w:rPr>
          <w:highlight w:val="none"/>
        </w:rPr>
        <w:t>1</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1.2 </w:t>
      </w:r>
      <w:r>
        <w:rPr>
          <w:rFonts w:ascii="Times New Roman" w:hAnsi="Times New Roman"/>
          <w:snapToGrid w:val="0"/>
          <w:szCs w:val="28"/>
          <w:highlight w:val="none"/>
        </w:rPr>
        <w:t>环境影响评价工作过程</w:t>
      </w:r>
      <w:r>
        <w:rPr>
          <w:highlight w:val="none"/>
        </w:rPr>
        <w:tab/>
      </w:r>
      <w:r>
        <w:rPr>
          <w:highlight w:val="none"/>
        </w:rPr>
        <w:fldChar w:fldCharType="begin"/>
      </w:r>
      <w:r>
        <w:rPr>
          <w:highlight w:val="none"/>
        </w:rPr>
        <w:instrText xml:space="preserve"> PAGEREF _Toc12149 \h </w:instrText>
      </w:r>
      <w:r>
        <w:rPr>
          <w:highlight w:val="none"/>
        </w:rPr>
        <w:fldChar w:fldCharType="separate"/>
      </w:r>
      <w:r>
        <w:rPr>
          <w:highlight w:val="none"/>
        </w:rPr>
        <w:t>2</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1.3 </w:t>
      </w:r>
      <w:r>
        <w:rPr>
          <w:rFonts w:ascii="Times New Roman" w:hAnsi="Times New Roman"/>
          <w:snapToGrid w:val="0"/>
          <w:szCs w:val="28"/>
          <w:highlight w:val="none"/>
        </w:rPr>
        <w:t>分析判定相关情况</w:t>
      </w:r>
      <w:r>
        <w:rPr>
          <w:highlight w:val="none"/>
        </w:rPr>
        <w:tab/>
      </w:r>
      <w:r>
        <w:rPr>
          <w:highlight w:val="none"/>
        </w:rPr>
        <w:fldChar w:fldCharType="begin"/>
      </w:r>
      <w:r>
        <w:rPr>
          <w:highlight w:val="none"/>
        </w:rPr>
        <w:instrText xml:space="preserve"> PAGEREF _Toc8374 \h </w:instrText>
      </w:r>
      <w:r>
        <w:rPr>
          <w:highlight w:val="none"/>
        </w:rPr>
        <w:fldChar w:fldCharType="separate"/>
      </w:r>
      <w:r>
        <w:rPr>
          <w:highlight w:val="none"/>
        </w:rPr>
        <w:t>3</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1.4 </w:t>
      </w:r>
      <w:r>
        <w:rPr>
          <w:rFonts w:ascii="Times New Roman" w:hAnsi="Times New Roman"/>
          <w:snapToGrid w:val="0"/>
          <w:szCs w:val="28"/>
          <w:highlight w:val="none"/>
        </w:rPr>
        <w:t>关注的主要环境问题及环境影响</w:t>
      </w:r>
      <w:r>
        <w:rPr>
          <w:highlight w:val="none"/>
        </w:rPr>
        <w:tab/>
      </w:r>
      <w:r>
        <w:rPr>
          <w:highlight w:val="none"/>
        </w:rPr>
        <w:fldChar w:fldCharType="begin"/>
      </w:r>
      <w:r>
        <w:rPr>
          <w:highlight w:val="none"/>
        </w:rPr>
        <w:instrText xml:space="preserve"> PAGEREF _Toc490 \h </w:instrText>
      </w:r>
      <w:r>
        <w:rPr>
          <w:highlight w:val="none"/>
        </w:rPr>
        <w:fldChar w:fldCharType="separate"/>
      </w:r>
      <w:r>
        <w:rPr>
          <w:highlight w:val="none"/>
        </w:rPr>
        <w:t>5</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1.5 评价</w:t>
      </w:r>
      <w:r>
        <w:rPr>
          <w:rFonts w:ascii="Times New Roman" w:hAnsi="Times New Roman"/>
          <w:snapToGrid w:val="0"/>
          <w:szCs w:val="28"/>
          <w:highlight w:val="none"/>
        </w:rPr>
        <w:t>结论</w:t>
      </w:r>
      <w:r>
        <w:rPr>
          <w:highlight w:val="none"/>
        </w:rPr>
        <w:tab/>
      </w:r>
      <w:r>
        <w:rPr>
          <w:highlight w:val="none"/>
        </w:rPr>
        <w:fldChar w:fldCharType="begin"/>
      </w:r>
      <w:r>
        <w:rPr>
          <w:highlight w:val="none"/>
        </w:rPr>
        <w:instrText xml:space="preserve"> PAGEREF _Toc24730 \h </w:instrText>
      </w:r>
      <w:r>
        <w:rPr>
          <w:highlight w:val="none"/>
        </w:rPr>
        <w:fldChar w:fldCharType="separate"/>
      </w:r>
      <w:r>
        <w:rPr>
          <w:highlight w:val="none"/>
        </w:rPr>
        <w:t>5</w:t>
      </w:r>
      <w:r>
        <w:rPr>
          <w:highlight w:val="none"/>
        </w:rPr>
        <w:fldChar w:fldCharType="end"/>
      </w:r>
    </w:p>
    <w:p>
      <w:pPr>
        <w:pStyle w:val="38"/>
        <w:tabs>
          <w:tab w:val="right" w:leader="dot" w:pos="8306"/>
        </w:tabs>
        <w:spacing w:line="300" w:lineRule="exact"/>
        <w:ind w:firstLine="402"/>
        <w:rPr>
          <w:highlight w:val="none"/>
        </w:rPr>
      </w:pPr>
      <w:r>
        <w:rPr>
          <w:rFonts w:hint="eastAsia" w:ascii="Times New Roman"/>
          <w:highlight w:val="none"/>
        </w:rPr>
        <w:t xml:space="preserve">2 </w:t>
      </w:r>
      <w:r>
        <w:rPr>
          <w:rFonts w:ascii="Times New Roman"/>
          <w:highlight w:val="none"/>
        </w:rPr>
        <w:t>总则</w:t>
      </w:r>
      <w:r>
        <w:rPr>
          <w:highlight w:val="none"/>
        </w:rPr>
        <w:tab/>
      </w:r>
      <w:r>
        <w:rPr>
          <w:highlight w:val="none"/>
        </w:rPr>
        <w:fldChar w:fldCharType="begin"/>
      </w:r>
      <w:r>
        <w:rPr>
          <w:highlight w:val="none"/>
        </w:rPr>
        <w:instrText xml:space="preserve"> PAGEREF _Toc6676 \h </w:instrText>
      </w:r>
      <w:r>
        <w:rPr>
          <w:highlight w:val="none"/>
        </w:rPr>
        <w:fldChar w:fldCharType="separate"/>
      </w:r>
      <w:r>
        <w:rPr>
          <w:highlight w:val="none"/>
        </w:rPr>
        <w:t>6</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2.1 </w:t>
      </w:r>
      <w:r>
        <w:rPr>
          <w:rFonts w:ascii="Times New Roman" w:hAnsi="Times New Roman"/>
          <w:snapToGrid w:val="0"/>
          <w:szCs w:val="28"/>
          <w:highlight w:val="none"/>
        </w:rPr>
        <w:t>编制依据</w:t>
      </w:r>
      <w:r>
        <w:rPr>
          <w:highlight w:val="none"/>
        </w:rPr>
        <w:tab/>
      </w:r>
      <w:r>
        <w:rPr>
          <w:highlight w:val="none"/>
        </w:rPr>
        <w:fldChar w:fldCharType="begin"/>
      </w:r>
      <w:r>
        <w:rPr>
          <w:highlight w:val="none"/>
        </w:rPr>
        <w:instrText xml:space="preserve"> PAGEREF _Toc6068 \h </w:instrText>
      </w:r>
      <w:r>
        <w:rPr>
          <w:highlight w:val="none"/>
        </w:rPr>
        <w:fldChar w:fldCharType="separate"/>
      </w:r>
      <w:r>
        <w:rPr>
          <w:highlight w:val="none"/>
        </w:rPr>
        <w:t>6</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2.2 </w:t>
      </w:r>
      <w:r>
        <w:rPr>
          <w:rFonts w:ascii="Times New Roman" w:hAnsi="Times New Roman"/>
          <w:snapToGrid w:val="0"/>
          <w:szCs w:val="28"/>
          <w:highlight w:val="none"/>
        </w:rPr>
        <w:t>评价目的与评价原则</w:t>
      </w:r>
      <w:r>
        <w:rPr>
          <w:highlight w:val="none"/>
        </w:rPr>
        <w:tab/>
      </w:r>
      <w:r>
        <w:rPr>
          <w:highlight w:val="none"/>
        </w:rPr>
        <w:fldChar w:fldCharType="begin"/>
      </w:r>
      <w:r>
        <w:rPr>
          <w:highlight w:val="none"/>
        </w:rPr>
        <w:instrText xml:space="preserve"> PAGEREF _Toc24726 \h </w:instrText>
      </w:r>
      <w:r>
        <w:rPr>
          <w:highlight w:val="none"/>
        </w:rPr>
        <w:fldChar w:fldCharType="separate"/>
      </w:r>
      <w:r>
        <w:rPr>
          <w:highlight w:val="none"/>
        </w:rPr>
        <w:t>10</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2.3 环境影响要素和评价因子</w:t>
      </w:r>
      <w:r>
        <w:rPr>
          <w:highlight w:val="none"/>
        </w:rPr>
        <w:tab/>
      </w:r>
      <w:r>
        <w:rPr>
          <w:highlight w:val="none"/>
        </w:rPr>
        <w:fldChar w:fldCharType="begin"/>
      </w:r>
      <w:r>
        <w:rPr>
          <w:highlight w:val="none"/>
        </w:rPr>
        <w:instrText xml:space="preserve"> PAGEREF _Toc16601 \h </w:instrText>
      </w:r>
      <w:r>
        <w:rPr>
          <w:highlight w:val="none"/>
        </w:rPr>
        <w:fldChar w:fldCharType="separate"/>
      </w:r>
      <w:r>
        <w:rPr>
          <w:highlight w:val="none"/>
        </w:rPr>
        <w:t>11</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2.4 </w:t>
      </w:r>
      <w:r>
        <w:rPr>
          <w:rFonts w:ascii="Times New Roman" w:hAnsi="Times New Roman"/>
          <w:snapToGrid w:val="0"/>
          <w:szCs w:val="28"/>
          <w:highlight w:val="none"/>
        </w:rPr>
        <w:t>评价等级和评价范围</w:t>
      </w:r>
      <w:r>
        <w:rPr>
          <w:highlight w:val="none"/>
        </w:rPr>
        <w:tab/>
      </w:r>
      <w:r>
        <w:rPr>
          <w:highlight w:val="none"/>
        </w:rPr>
        <w:fldChar w:fldCharType="begin"/>
      </w:r>
      <w:r>
        <w:rPr>
          <w:highlight w:val="none"/>
        </w:rPr>
        <w:instrText xml:space="preserve"> PAGEREF _Toc11973 \h </w:instrText>
      </w:r>
      <w:r>
        <w:rPr>
          <w:highlight w:val="none"/>
        </w:rPr>
        <w:fldChar w:fldCharType="separate"/>
      </w:r>
      <w:r>
        <w:rPr>
          <w:highlight w:val="none"/>
        </w:rPr>
        <w:t>13</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2.5 </w:t>
      </w:r>
      <w:r>
        <w:rPr>
          <w:rFonts w:ascii="Times New Roman" w:hAnsi="Times New Roman"/>
          <w:snapToGrid w:val="0"/>
          <w:szCs w:val="28"/>
          <w:highlight w:val="none"/>
        </w:rPr>
        <w:t>相关规划及环境功能区划</w:t>
      </w:r>
      <w:r>
        <w:rPr>
          <w:highlight w:val="none"/>
        </w:rPr>
        <w:tab/>
      </w:r>
      <w:r>
        <w:rPr>
          <w:highlight w:val="none"/>
        </w:rPr>
        <w:fldChar w:fldCharType="begin"/>
      </w:r>
      <w:r>
        <w:rPr>
          <w:highlight w:val="none"/>
        </w:rPr>
        <w:instrText xml:space="preserve"> PAGEREF _Toc14996 \h </w:instrText>
      </w:r>
      <w:r>
        <w:rPr>
          <w:highlight w:val="none"/>
        </w:rPr>
        <w:fldChar w:fldCharType="separate"/>
      </w:r>
      <w:r>
        <w:rPr>
          <w:highlight w:val="none"/>
        </w:rPr>
        <w:t>21</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2.6 评价内容和评价重点</w:t>
      </w:r>
      <w:r>
        <w:rPr>
          <w:highlight w:val="none"/>
        </w:rPr>
        <w:tab/>
      </w:r>
      <w:r>
        <w:rPr>
          <w:highlight w:val="none"/>
        </w:rPr>
        <w:fldChar w:fldCharType="begin"/>
      </w:r>
      <w:r>
        <w:rPr>
          <w:highlight w:val="none"/>
        </w:rPr>
        <w:instrText xml:space="preserve"> PAGEREF _Toc20835 \h </w:instrText>
      </w:r>
      <w:r>
        <w:rPr>
          <w:highlight w:val="none"/>
        </w:rPr>
        <w:fldChar w:fldCharType="separate"/>
      </w:r>
      <w:r>
        <w:rPr>
          <w:highlight w:val="none"/>
        </w:rPr>
        <w:t>34</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2.7 评价标准</w:t>
      </w:r>
      <w:r>
        <w:rPr>
          <w:highlight w:val="none"/>
        </w:rPr>
        <w:tab/>
      </w:r>
      <w:r>
        <w:rPr>
          <w:highlight w:val="none"/>
        </w:rPr>
        <w:fldChar w:fldCharType="begin"/>
      </w:r>
      <w:r>
        <w:rPr>
          <w:highlight w:val="none"/>
        </w:rPr>
        <w:instrText xml:space="preserve"> PAGEREF _Toc28023 \h </w:instrText>
      </w:r>
      <w:r>
        <w:rPr>
          <w:highlight w:val="none"/>
        </w:rPr>
        <w:fldChar w:fldCharType="separate"/>
      </w:r>
      <w:r>
        <w:rPr>
          <w:highlight w:val="none"/>
        </w:rPr>
        <w:t>34</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2.8 </w:t>
      </w:r>
      <w:r>
        <w:rPr>
          <w:rFonts w:ascii="Times New Roman" w:hAnsi="Times New Roman"/>
          <w:snapToGrid w:val="0"/>
          <w:szCs w:val="28"/>
          <w:highlight w:val="none"/>
        </w:rPr>
        <w:t>主要环境保护目标</w:t>
      </w:r>
      <w:r>
        <w:rPr>
          <w:highlight w:val="none"/>
        </w:rPr>
        <w:tab/>
      </w:r>
      <w:r>
        <w:rPr>
          <w:highlight w:val="none"/>
        </w:rPr>
        <w:fldChar w:fldCharType="begin"/>
      </w:r>
      <w:r>
        <w:rPr>
          <w:highlight w:val="none"/>
        </w:rPr>
        <w:instrText xml:space="preserve"> PAGEREF _Toc2596 \h </w:instrText>
      </w:r>
      <w:r>
        <w:rPr>
          <w:highlight w:val="none"/>
        </w:rPr>
        <w:fldChar w:fldCharType="separate"/>
      </w:r>
      <w:r>
        <w:rPr>
          <w:highlight w:val="none"/>
        </w:rPr>
        <w:t>38</w:t>
      </w:r>
      <w:r>
        <w:rPr>
          <w:highlight w:val="none"/>
        </w:rPr>
        <w:fldChar w:fldCharType="end"/>
      </w:r>
    </w:p>
    <w:p>
      <w:pPr>
        <w:pStyle w:val="38"/>
        <w:tabs>
          <w:tab w:val="right" w:leader="dot" w:pos="8306"/>
        </w:tabs>
        <w:spacing w:line="300" w:lineRule="exact"/>
        <w:ind w:firstLine="402"/>
        <w:rPr>
          <w:highlight w:val="none"/>
        </w:rPr>
      </w:pPr>
      <w:r>
        <w:rPr>
          <w:rFonts w:hint="eastAsia" w:ascii="Times New Roman"/>
          <w:highlight w:val="none"/>
        </w:rPr>
        <w:t xml:space="preserve">3 </w:t>
      </w:r>
      <w:r>
        <w:rPr>
          <w:rFonts w:ascii="Times New Roman"/>
          <w:highlight w:val="none"/>
        </w:rPr>
        <w:t>建设项目工程分析</w:t>
      </w:r>
      <w:r>
        <w:rPr>
          <w:highlight w:val="none"/>
        </w:rPr>
        <w:tab/>
      </w:r>
      <w:r>
        <w:rPr>
          <w:highlight w:val="none"/>
        </w:rPr>
        <w:fldChar w:fldCharType="begin"/>
      </w:r>
      <w:r>
        <w:rPr>
          <w:highlight w:val="none"/>
        </w:rPr>
        <w:instrText xml:space="preserve"> PAGEREF _Toc27150 \h </w:instrText>
      </w:r>
      <w:r>
        <w:rPr>
          <w:highlight w:val="none"/>
        </w:rPr>
        <w:fldChar w:fldCharType="separate"/>
      </w:r>
      <w:r>
        <w:rPr>
          <w:highlight w:val="none"/>
        </w:rPr>
        <w:t>41</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3.1 现有工程</w:t>
      </w:r>
      <w:r>
        <w:rPr>
          <w:rFonts w:ascii="Times New Roman" w:hAnsi="Times New Roman"/>
          <w:snapToGrid w:val="0"/>
          <w:szCs w:val="28"/>
          <w:highlight w:val="none"/>
        </w:rPr>
        <w:t>概况</w:t>
      </w:r>
      <w:r>
        <w:rPr>
          <w:highlight w:val="none"/>
        </w:rPr>
        <w:tab/>
      </w:r>
      <w:r>
        <w:rPr>
          <w:highlight w:val="none"/>
        </w:rPr>
        <w:fldChar w:fldCharType="begin"/>
      </w:r>
      <w:r>
        <w:rPr>
          <w:highlight w:val="none"/>
        </w:rPr>
        <w:instrText xml:space="preserve"> PAGEREF _Toc20078 \h </w:instrText>
      </w:r>
      <w:r>
        <w:rPr>
          <w:highlight w:val="none"/>
        </w:rPr>
        <w:fldChar w:fldCharType="separate"/>
      </w:r>
      <w:r>
        <w:rPr>
          <w:highlight w:val="none"/>
        </w:rPr>
        <w:t>41</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3.2 改扩建工程</w:t>
      </w:r>
      <w:r>
        <w:rPr>
          <w:rFonts w:ascii="Times New Roman" w:hAnsi="Times New Roman"/>
          <w:snapToGrid w:val="0"/>
          <w:szCs w:val="28"/>
          <w:highlight w:val="none"/>
        </w:rPr>
        <w:t>概况</w:t>
      </w:r>
      <w:r>
        <w:rPr>
          <w:highlight w:val="none"/>
        </w:rPr>
        <w:tab/>
      </w:r>
      <w:r>
        <w:rPr>
          <w:highlight w:val="none"/>
        </w:rPr>
        <w:fldChar w:fldCharType="begin"/>
      </w:r>
      <w:r>
        <w:rPr>
          <w:highlight w:val="none"/>
        </w:rPr>
        <w:instrText xml:space="preserve"> PAGEREF _Toc25381 \h </w:instrText>
      </w:r>
      <w:r>
        <w:rPr>
          <w:highlight w:val="none"/>
        </w:rPr>
        <w:fldChar w:fldCharType="separate"/>
      </w:r>
      <w:r>
        <w:rPr>
          <w:highlight w:val="none"/>
        </w:rPr>
        <w:t>48</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3.3 </w:t>
      </w:r>
      <w:r>
        <w:rPr>
          <w:rFonts w:ascii="Times New Roman" w:hAnsi="Times New Roman"/>
          <w:snapToGrid w:val="0"/>
          <w:szCs w:val="28"/>
          <w:highlight w:val="none"/>
        </w:rPr>
        <w:t>污染影响因素分析</w:t>
      </w:r>
      <w:r>
        <w:rPr>
          <w:highlight w:val="none"/>
        </w:rPr>
        <w:tab/>
      </w:r>
      <w:r>
        <w:rPr>
          <w:highlight w:val="none"/>
        </w:rPr>
        <w:fldChar w:fldCharType="begin"/>
      </w:r>
      <w:r>
        <w:rPr>
          <w:highlight w:val="none"/>
        </w:rPr>
        <w:instrText xml:space="preserve"> PAGEREF _Toc13548 \h </w:instrText>
      </w:r>
      <w:r>
        <w:rPr>
          <w:highlight w:val="none"/>
        </w:rPr>
        <w:fldChar w:fldCharType="separate"/>
      </w:r>
      <w:r>
        <w:rPr>
          <w:highlight w:val="none"/>
        </w:rPr>
        <w:t>55</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3.4 </w:t>
      </w:r>
      <w:r>
        <w:rPr>
          <w:rFonts w:ascii="Times New Roman" w:hAnsi="Times New Roman"/>
          <w:snapToGrid w:val="0"/>
          <w:szCs w:val="28"/>
          <w:highlight w:val="none"/>
        </w:rPr>
        <w:t>污染源源强核算</w:t>
      </w:r>
      <w:r>
        <w:rPr>
          <w:highlight w:val="none"/>
        </w:rPr>
        <w:tab/>
      </w:r>
      <w:r>
        <w:rPr>
          <w:highlight w:val="none"/>
        </w:rPr>
        <w:fldChar w:fldCharType="begin"/>
      </w:r>
      <w:r>
        <w:rPr>
          <w:highlight w:val="none"/>
        </w:rPr>
        <w:instrText xml:space="preserve"> PAGEREF _Toc20353 \h </w:instrText>
      </w:r>
      <w:r>
        <w:rPr>
          <w:highlight w:val="none"/>
        </w:rPr>
        <w:fldChar w:fldCharType="separate"/>
      </w:r>
      <w:r>
        <w:rPr>
          <w:highlight w:val="none"/>
        </w:rPr>
        <w:t>64</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3.5 </w:t>
      </w:r>
      <w:r>
        <w:rPr>
          <w:rFonts w:ascii="Times New Roman" w:hAnsi="Times New Roman"/>
          <w:snapToGrid w:val="0"/>
          <w:szCs w:val="28"/>
          <w:highlight w:val="none"/>
        </w:rPr>
        <w:t>清洁生产分析</w:t>
      </w:r>
      <w:r>
        <w:rPr>
          <w:highlight w:val="none"/>
        </w:rPr>
        <w:tab/>
      </w:r>
      <w:r>
        <w:rPr>
          <w:highlight w:val="none"/>
        </w:rPr>
        <w:fldChar w:fldCharType="begin"/>
      </w:r>
      <w:r>
        <w:rPr>
          <w:highlight w:val="none"/>
        </w:rPr>
        <w:instrText xml:space="preserve"> PAGEREF _Toc5704 \h </w:instrText>
      </w:r>
      <w:r>
        <w:rPr>
          <w:highlight w:val="none"/>
        </w:rPr>
        <w:fldChar w:fldCharType="separate"/>
      </w:r>
      <w:r>
        <w:rPr>
          <w:highlight w:val="none"/>
        </w:rPr>
        <w:t>75</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cs="Times New Roman"/>
          <w:snapToGrid w:val="0"/>
          <w:szCs w:val="28"/>
          <w:highlight w:val="none"/>
        </w:rPr>
        <w:t>3.6 污染物排放量“三本账”</w:t>
      </w:r>
      <w:r>
        <w:rPr>
          <w:highlight w:val="none"/>
        </w:rPr>
        <w:tab/>
      </w:r>
      <w:r>
        <w:rPr>
          <w:highlight w:val="none"/>
        </w:rPr>
        <w:fldChar w:fldCharType="begin"/>
      </w:r>
      <w:r>
        <w:rPr>
          <w:highlight w:val="none"/>
        </w:rPr>
        <w:instrText xml:space="preserve"> PAGEREF _Toc29117 \h </w:instrText>
      </w:r>
      <w:r>
        <w:rPr>
          <w:highlight w:val="none"/>
        </w:rPr>
        <w:fldChar w:fldCharType="separate"/>
      </w:r>
      <w:r>
        <w:rPr>
          <w:highlight w:val="none"/>
        </w:rPr>
        <w:t>77</w:t>
      </w:r>
      <w:r>
        <w:rPr>
          <w:highlight w:val="none"/>
        </w:rPr>
        <w:fldChar w:fldCharType="end"/>
      </w:r>
    </w:p>
    <w:p>
      <w:pPr>
        <w:pStyle w:val="38"/>
        <w:tabs>
          <w:tab w:val="right" w:leader="dot" w:pos="8306"/>
        </w:tabs>
        <w:spacing w:line="300" w:lineRule="exact"/>
        <w:ind w:firstLine="402"/>
        <w:rPr>
          <w:highlight w:val="none"/>
        </w:rPr>
      </w:pPr>
      <w:r>
        <w:rPr>
          <w:rFonts w:hint="eastAsia" w:ascii="Times New Roman"/>
          <w:highlight w:val="none"/>
        </w:rPr>
        <w:t xml:space="preserve">4 </w:t>
      </w:r>
      <w:r>
        <w:rPr>
          <w:rFonts w:ascii="Times New Roman"/>
          <w:highlight w:val="none"/>
        </w:rPr>
        <w:t>环境现状调查与评价</w:t>
      </w:r>
      <w:r>
        <w:rPr>
          <w:highlight w:val="none"/>
        </w:rPr>
        <w:tab/>
      </w:r>
      <w:r>
        <w:rPr>
          <w:highlight w:val="none"/>
        </w:rPr>
        <w:fldChar w:fldCharType="begin"/>
      </w:r>
      <w:r>
        <w:rPr>
          <w:highlight w:val="none"/>
        </w:rPr>
        <w:instrText xml:space="preserve"> PAGEREF _Toc928 \h </w:instrText>
      </w:r>
      <w:r>
        <w:rPr>
          <w:highlight w:val="none"/>
        </w:rPr>
        <w:fldChar w:fldCharType="separate"/>
      </w:r>
      <w:r>
        <w:rPr>
          <w:highlight w:val="none"/>
        </w:rPr>
        <w:t>78</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4.1 </w:t>
      </w:r>
      <w:r>
        <w:rPr>
          <w:rFonts w:ascii="Times New Roman" w:hAnsi="Times New Roman"/>
          <w:snapToGrid w:val="0"/>
          <w:szCs w:val="28"/>
          <w:highlight w:val="none"/>
        </w:rPr>
        <w:t>自然环境概况</w:t>
      </w:r>
      <w:r>
        <w:rPr>
          <w:highlight w:val="none"/>
        </w:rPr>
        <w:tab/>
      </w:r>
      <w:r>
        <w:rPr>
          <w:highlight w:val="none"/>
        </w:rPr>
        <w:fldChar w:fldCharType="begin"/>
      </w:r>
      <w:r>
        <w:rPr>
          <w:highlight w:val="none"/>
        </w:rPr>
        <w:instrText xml:space="preserve"> PAGEREF _Toc11554 \h </w:instrText>
      </w:r>
      <w:r>
        <w:rPr>
          <w:highlight w:val="none"/>
        </w:rPr>
        <w:fldChar w:fldCharType="separate"/>
      </w:r>
      <w:r>
        <w:rPr>
          <w:highlight w:val="none"/>
        </w:rPr>
        <w:t>78</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4.2 </w:t>
      </w:r>
      <w:r>
        <w:rPr>
          <w:rFonts w:ascii="Times New Roman" w:hAnsi="Times New Roman"/>
          <w:snapToGrid w:val="0"/>
          <w:szCs w:val="28"/>
          <w:highlight w:val="none"/>
        </w:rPr>
        <w:t>环境功能规划及环境保护目标调查</w:t>
      </w:r>
      <w:r>
        <w:rPr>
          <w:highlight w:val="none"/>
        </w:rPr>
        <w:tab/>
      </w:r>
      <w:r>
        <w:rPr>
          <w:highlight w:val="none"/>
        </w:rPr>
        <w:fldChar w:fldCharType="begin"/>
      </w:r>
      <w:r>
        <w:rPr>
          <w:highlight w:val="none"/>
        </w:rPr>
        <w:instrText xml:space="preserve"> PAGEREF _Toc28495 \h </w:instrText>
      </w:r>
      <w:r>
        <w:rPr>
          <w:highlight w:val="none"/>
        </w:rPr>
        <w:fldChar w:fldCharType="separate"/>
      </w:r>
      <w:r>
        <w:rPr>
          <w:highlight w:val="none"/>
        </w:rPr>
        <w:t>97</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4.3 </w:t>
      </w:r>
      <w:r>
        <w:rPr>
          <w:rFonts w:ascii="Times New Roman" w:hAnsi="Times New Roman"/>
          <w:snapToGrid w:val="0"/>
          <w:szCs w:val="28"/>
          <w:highlight w:val="none"/>
        </w:rPr>
        <w:t>环境质量现状调查与评价</w:t>
      </w:r>
      <w:r>
        <w:rPr>
          <w:highlight w:val="none"/>
        </w:rPr>
        <w:tab/>
      </w:r>
      <w:r>
        <w:rPr>
          <w:highlight w:val="none"/>
        </w:rPr>
        <w:fldChar w:fldCharType="begin"/>
      </w:r>
      <w:r>
        <w:rPr>
          <w:highlight w:val="none"/>
        </w:rPr>
        <w:instrText xml:space="preserve"> PAGEREF _Toc6173 \h </w:instrText>
      </w:r>
      <w:r>
        <w:rPr>
          <w:highlight w:val="none"/>
        </w:rPr>
        <w:fldChar w:fldCharType="separate"/>
      </w:r>
      <w:r>
        <w:rPr>
          <w:highlight w:val="none"/>
        </w:rPr>
        <w:t>97</w:t>
      </w:r>
      <w:r>
        <w:rPr>
          <w:highlight w:val="none"/>
        </w:rPr>
        <w:fldChar w:fldCharType="end"/>
      </w:r>
    </w:p>
    <w:p>
      <w:pPr>
        <w:pStyle w:val="45"/>
        <w:tabs>
          <w:tab w:val="right" w:leader="dot" w:pos="8306"/>
        </w:tabs>
        <w:spacing w:line="300" w:lineRule="exact"/>
        <w:ind w:firstLine="400"/>
        <w:rPr>
          <w:highlight w:val="none"/>
        </w:rPr>
      </w:pPr>
      <w:r>
        <w:rPr>
          <w:rFonts w:ascii="Times New Roman" w:hAnsi="Times New Roman" w:cs="Times New Roman"/>
          <w:highlight w:val="none"/>
        </w:rPr>
        <w:t>4.3.1.2大气环境质量现状补充监测</w:t>
      </w:r>
      <w:r>
        <w:rPr>
          <w:highlight w:val="none"/>
        </w:rPr>
        <w:tab/>
      </w:r>
      <w:r>
        <w:rPr>
          <w:highlight w:val="none"/>
        </w:rPr>
        <w:fldChar w:fldCharType="begin"/>
      </w:r>
      <w:r>
        <w:rPr>
          <w:highlight w:val="none"/>
        </w:rPr>
        <w:instrText xml:space="preserve"> PAGEREF _Toc3431 \h </w:instrText>
      </w:r>
      <w:r>
        <w:rPr>
          <w:highlight w:val="none"/>
        </w:rPr>
        <w:fldChar w:fldCharType="separate"/>
      </w:r>
      <w:r>
        <w:rPr>
          <w:highlight w:val="none"/>
        </w:rPr>
        <w:t>97</w:t>
      </w:r>
      <w:r>
        <w:rPr>
          <w:highlight w:val="none"/>
        </w:rPr>
        <w:fldChar w:fldCharType="end"/>
      </w:r>
    </w:p>
    <w:p>
      <w:pPr>
        <w:pStyle w:val="38"/>
        <w:tabs>
          <w:tab w:val="right" w:leader="dot" w:pos="8306"/>
        </w:tabs>
        <w:spacing w:line="300" w:lineRule="exact"/>
        <w:ind w:firstLine="402"/>
        <w:rPr>
          <w:highlight w:val="none"/>
        </w:rPr>
      </w:pPr>
      <w:r>
        <w:rPr>
          <w:rFonts w:hint="eastAsia" w:ascii="Times New Roman"/>
          <w:highlight w:val="none"/>
        </w:rPr>
        <w:t xml:space="preserve">5 </w:t>
      </w:r>
      <w:r>
        <w:rPr>
          <w:rFonts w:ascii="Times New Roman"/>
          <w:highlight w:val="none"/>
        </w:rPr>
        <w:t>环境影响预测与评价</w:t>
      </w:r>
      <w:r>
        <w:rPr>
          <w:highlight w:val="none"/>
        </w:rPr>
        <w:tab/>
      </w:r>
      <w:r>
        <w:rPr>
          <w:highlight w:val="none"/>
        </w:rPr>
        <w:fldChar w:fldCharType="begin"/>
      </w:r>
      <w:r>
        <w:rPr>
          <w:highlight w:val="none"/>
        </w:rPr>
        <w:instrText xml:space="preserve"> PAGEREF _Toc25944 \h </w:instrText>
      </w:r>
      <w:r>
        <w:rPr>
          <w:highlight w:val="none"/>
        </w:rPr>
        <w:fldChar w:fldCharType="separate"/>
      </w:r>
      <w:r>
        <w:rPr>
          <w:highlight w:val="none"/>
        </w:rPr>
        <w:t>107</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5.1 </w:t>
      </w:r>
      <w:r>
        <w:rPr>
          <w:rFonts w:ascii="Times New Roman" w:hAnsi="Times New Roman"/>
          <w:snapToGrid w:val="0"/>
          <w:szCs w:val="28"/>
          <w:highlight w:val="none"/>
        </w:rPr>
        <w:t>施工期环境影响分析</w:t>
      </w:r>
      <w:r>
        <w:rPr>
          <w:highlight w:val="none"/>
        </w:rPr>
        <w:tab/>
      </w:r>
      <w:r>
        <w:rPr>
          <w:highlight w:val="none"/>
        </w:rPr>
        <w:fldChar w:fldCharType="begin"/>
      </w:r>
      <w:r>
        <w:rPr>
          <w:highlight w:val="none"/>
        </w:rPr>
        <w:instrText xml:space="preserve"> PAGEREF _Toc24899 \h </w:instrText>
      </w:r>
      <w:r>
        <w:rPr>
          <w:highlight w:val="none"/>
        </w:rPr>
        <w:fldChar w:fldCharType="separate"/>
      </w:r>
      <w:r>
        <w:rPr>
          <w:highlight w:val="none"/>
        </w:rPr>
        <w:t>107</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5.2 </w:t>
      </w:r>
      <w:r>
        <w:rPr>
          <w:rFonts w:ascii="Times New Roman" w:hAnsi="Times New Roman"/>
          <w:snapToGrid w:val="0"/>
          <w:szCs w:val="28"/>
          <w:highlight w:val="none"/>
        </w:rPr>
        <w:t>营运期环境影响预测与评价</w:t>
      </w:r>
      <w:r>
        <w:rPr>
          <w:highlight w:val="none"/>
        </w:rPr>
        <w:tab/>
      </w:r>
      <w:r>
        <w:rPr>
          <w:highlight w:val="none"/>
        </w:rPr>
        <w:fldChar w:fldCharType="begin"/>
      </w:r>
      <w:r>
        <w:rPr>
          <w:highlight w:val="none"/>
        </w:rPr>
        <w:instrText xml:space="preserve"> PAGEREF _Toc8380 \h </w:instrText>
      </w:r>
      <w:r>
        <w:rPr>
          <w:highlight w:val="none"/>
        </w:rPr>
        <w:fldChar w:fldCharType="separate"/>
      </w:r>
      <w:r>
        <w:rPr>
          <w:highlight w:val="none"/>
        </w:rPr>
        <w:t>107</w:t>
      </w:r>
      <w:r>
        <w:rPr>
          <w:highlight w:val="none"/>
        </w:rPr>
        <w:fldChar w:fldCharType="end"/>
      </w:r>
    </w:p>
    <w:p>
      <w:pPr>
        <w:pStyle w:val="38"/>
        <w:tabs>
          <w:tab w:val="right" w:leader="dot" w:pos="8306"/>
        </w:tabs>
        <w:spacing w:line="300" w:lineRule="exact"/>
        <w:ind w:firstLine="402"/>
        <w:rPr>
          <w:highlight w:val="none"/>
        </w:rPr>
      </w:pPr>
      <w:r>
        <w:rPr>
          <w:rFonts w:hint="eastAsia" w:ascii="Times New Roman"/>
          <w:highlight w:val="none"/>
        </w:rPr>
        <w:t xml:space="preserve">6 </w:t>
      </w:r>
      <w:r>
        <w:rPr>
          <w:rFonts w:ascii="Times New Roman"/>
          <w:highlight w:val="none"/>
        </w:rPr>
        <w:t>环境保护措施及其可行性论证</w:t>
      </w:r>
      <w:r>
        <w:rPr>
          <w:highlight w:val="none"/>
        </w:rPr>
        <w:tab/>
      </w:r>
      <w:r>
        <w:rPr>
          <w:highlight w:val="none"/>
        </w:rPr>
        <w:fldChar w:fldCharType="begin"/>
      </w:r>
      <w:r>
        <w:rPr>
          <w:highlight w:val="none"/>
        </w:rPr>
        <w:instrText xml:space="preserve"> PAGEREF _Toc19797 \h </w:instrText>
      </w:r>
      <w:r>
        <w:rPr>
          <w:highlight w:val="none"/>
        </w:rPr>
        <w:fldChar w:fldCharType="separate"/>
      </w:r>
      <w:r>
        <w:rPr>
          <w:highlight w:val="none"/>
        </w:rPr>
        <w:t>150</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6.1 </w:t>
      </w:r>
      <w:r>
        <w:rPr>
          <w:rFonts w:ascii="Times New Roman" w:hAnsi="Times New Roman"/>
          <w:snapToGrid w:val="0"/>
          <w:szCs w:val="28"/>
          <w:highlight w:val="none"/>
        </w:rPr>
        <w:t>施工期环境保护措施</w:t>
      </w:r>
      <w:r>
        <w:rPr>
          <w:rFonts w:hint="eastAsia" w:ascii="Times New Roman" w:hAnsi="Times New Roman"/>
          <w:snapToGrid w:val="0"/>
          <w:szCs w:val="28"/>
          <w:highlight w:val="none"/>
        </w:rPr>
        <w:t>可行性论证</w:t>
      </w:r>
      <w:r>
        <w:rPr>
          <w:highlight w:val="none"/>
        </w:rPr>
        <w:tab/>
      </w:r>
      <w:r>
        <w:rPr>
          <w:highlight w:val="none"/>
        </w:rPr>
        <w:fldChar w:fldCharType="begin"/>
      </w:r>
      <w:r>
        <w:rPr>
          <w:highlight w:val="none"/>
        </w:rPr>
        <w:instrText xml:space="preserve"> PAGEREF _Toc14448 \h </w:instrText>
      </w:r>
      <w:r>
        <w:rPr>
          <w:highlight w:val="none"/>
        </w:rPr>
        <w:fldChar w:fldCharType="separate"/>
      </w:r>
      <w:r>
        <w:rPr>
          <w:highlight w:val="none"/>
        </w:rPr>
        <w:t>150</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6.2 </w:t>
      </w:r>
      <w:r>
        <w:rPr>
          <w:rFonts w:ascii="Times New Roman" w:hAnsi="Times New Roman"/>
          <w:snapToGrid w:val="0"/>
          <w:szCs w:val="28"/>
          <w:highlight w:val="none"/>
        </w:rPr>
        <w:t>营运期环境保护措施</w:t>
      </w:r>
      <w:r>
        <w:rPr>
          <w:rFonts w:hint="eastAsia" w:ascii="Times New Roman" w:hAnsi="Times New Roman"/>
          <w:snapToGrid w:val="0"/>
          <w:szCs w:val="28"/>
          <w:highlight w:val="none"/>
        </w:rPr>
        <w:t>可行性论证</w:t>
      </w:r>
      <w:r>
        <w:rPr>
          <w:highlight w:val="none"/>
        </w:rPr>
        <w:tab/>
      </w:r>
      <w:r>
        <w:rPr>
          <w:highlight w:val="none"/>
        </w:rPr>
        <w:fldChar w:fldCharType="begin"/>
      </w:r>
      <w:r>
        <w:rPr>
          <w:highlight w:val="none"/>
        </w:rPr>
        <w:instrText xml:space="preserve"> PAGEREF _Toc20127 \h </w:instrText>
      </w:r>
      <w:r>
        <w:rPr>
          <w:highlight w:val="none"/>
        </w:rPr>
        <w:fldChar w:fldCharType="separate"/>
      </w:r>
      <w:r>
        <w:rPr>
          <w:highlight w:val="none"/>
        </w:rPr>
        <w:t>150</w:t>
      </w:r>
      <w:r>
        <w:rPr>
          <w:highlight w:val="none"/>
        </w:rPr>
        <w:fldChar w:fldCharType="end"/>
      </w:r>
    </w:p>
    <w:p>
      <w:pPr>
        <w:pStyle w:val="38"/>
        <w:tabs>
          <w:tab w:val="right" w:leader="dot" w:pos="8306"/>
        </w:tabs>
        <w:spacing w:line="300" w:lineRule="exact"/>
        <w:ind w:firstLine="402"/>
        <w:rPr>
          <w:highlight w:val="none"/>
        </w:rPr>
      </w:pPr>
      <w:r>
        <w:rPr>
          <w:rFonts w:hint="eastAsia" w:ascii="Times New Roman"/>
          <w:highlight w:val="none"/>
        </w:rPr>
        <w:t xml:space="preserve">7 </w:t>
      </w:r>
      <w:r>
        <w:rPr>
          <w:rFonts w:ascii="Times New Roman"/>
          <w:highlight w:val="none"/>
        </w:rPr>
        <w:t>环境影响经济损益分析</w:t>
      </w:r>
      <w:r>
        <w:rPr>
          <w:highlight w:val="none"/>
        </w:rPr>
        <w:tab/>
      </w:r>
      <w:r>
        <w:rPr>
          <w:highlight w:val="none"/>
        </w:rPr>
        <w:fldChar w:fldCharType="begin"/>
      </w:r>
      <w:r>
        <w:rPr>
          <w:highlight w:val="none"/>
        </w:rPr>
        <w:instrText xml:space="preserve"> PAGEREF _Toc18172 \h </w:instrText>
      </w:r>
      <w:r>
        <w:rPr>
          <w:highlight w:val="none"/>
        </w:rPr>
        <w:fldChar w:fldCharType="separate"/>
      </w:r>
      <w:r>
        <w:rPr>
          <w:highlight w:val="none"/>
        </w:rPr>
        <w:t>168</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7.1 </w:t>
      </w:r>
      <w:r>
        <w:rPr>
          <w:rFonts w:ascii="Times New Roman" w:hAnsi="Times New Roman"/>
          <w:snapToGrid w:val="0"/>
          <w:szCs w:val="28"/>
          <w:highlight w:val="none"/>
        </w:rPr>
        <w:t>环境影响经济损失分析</w:t>
      </w:r>
      <w:r>
        <w:rPr>
          <w:highlight w:val="none"/>
        </w:rPr>
        <w:tab/>
      </w:r>
      <w:r>
        <w:rPr>
          <w:highlight w:val="none"/>
        </w:rPr>
        <w:fldChar w:fldCharType="begin"/>
      </w:r>
      <w:r>
        <w:rPr>
          <w:highlight w:val="none"/>
        </w:rPr>
        <w:instrText xml:space="preserve"> PAGEREF _Toc10453 \h </w:instrText>
      </w:r>
      <w:r>
        <w:rPr>
          <w:highlight w:val="none"/>
        </w:rPr>
        <w:fldChar w:fldCharType="separate"/>
      </w:r>
      <w:r>
        <w:rPr>
          <w:highlight w:val="none"/>
        </w:rPr>
        <w:t>168</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7.2 </w:t>
      </w:r>
      <w:r>
        <w:rPr>
          <w:rFonts w:ascii="Times New Roman" w:hAnsi="Times New Roman"/>
          <w:snapToGrid w:val="0"/>
          <w:szCs w:val="28"/>
          <w:highlight w:val="none"/>
        </w:rPr>
        <w:t>经济效益分析</w:t>
      </w:r>
      <w:r>
        <w:rPr>
          <w:highlight w:val="none"/>
        </w:rPr>
        <w:tab/>
      </w:r>
      <w:r>
        <w:rPr>
          <w:highlight w:val="none"/>
        </w:rPr>
        <w:fldChar w:fldCharType="begin"/>
      </w:r>
      <w:r>
        <w:rPr>
          <w:highlight w:val="none"/>
        </w:rPr>
        <w:instrText xml:space="preserve"> PAGEREF _Toc28527 \h </w:instrText>
      </w:r>
      <w:r>
        <w:rPr>
          <w:highlight w:val="none"/>
        </w:rPr>
        <w:fldChar w:fldCharType="separate"/>
      </w:r>
      <w:r>
        <w:rPr>
          <w:highlight w:val="none"/>
        </w:rPr>
        <w:t>169</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7.3 </w:t>
      </w:r>
      <w:r>
        <w:rPr>
          <w:rFonts w:ascii="Times New Roman" w:hAnsi="Times New Roman"/>
          <w:snapToGrid w:val="0"/>
          <w:szCs w:val="28"/>
          <w:highlight w:val="none"/>
        </w:rPr>
        <w:t>环境效益分析</w:t>
      </w:r>
      <w:r>
        <w:rPr>
          <w:highlight w:val="none"/>
        </w:rPr>
        <w:tab/>
      </w:r>
      <w:r>
        <w:rPr>
          <w:highlight w:val="none"/>
        </w:rPr>
        <w:fldChar w:fldCharType="begin"/>
      </w:r>
      <w:r>
        <w:rPr>
          <w:highlight w:val="none"/>
        </w:rPr>
        <w:instrText xml:space="preserve"> PAGEREF _Toc12387 \h </w:instrText>
      </w:r>
      <w:r>
        <w:rPr>
          <w:highlight w:val="none"/>
        </w:rPr>
        <w:fldChar w:fldCharType="separate"/>
      </w:r>
      <w:r>
        <w:rPr>
          <w:highlight w:val="none"/>
        </w:rPr>
        <w:t>169</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7.4 </w:t>
      </w:r>
      <w:r>
        <w:rPr>
          <w:rFonts w:ascii="Times New Roman" w:hAnsi="Times New Roman"/>
          <w:snapToGrid w:val="0"/>
          <w:szCs w:val="28"/>
          <w:highlight w:val="none"/>
        </w:rPr>
        <w:t>社会效益分析</w:t>
      </w:r>
      <w:r>
        <w:rPr>
          <w:highlight w:val="none"/>
        </w:rPr>
        <w:tab/>
      </w:r>
      <w:r>
        <w:rPr>
          <w:highlight w:val="none"/>
        </w:rPr>
        <w:fldChar w:fldCharType="begin"/>
      </w:r>
      <w:r>
        <w:rPr>
          <w:highlight w:val="none"/>
        </w:rPr>
        <w:instrText xml:space="preserve"> PAGEREF _Toc25520 \h </w:instrText>
      </w:r>
      <w:r>
        <w:rPr>
          <w:highlight w:val="none"/>
        </w:rPr>
        <w:fldChar w:fldCharType="separate"/>
      </w:r>
      <w:r>
        <w:rPr>
          <w:highlight w:val="none"/>
        </w:rPr>
        <w:t>169</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7.5 </w:t>
      </w:r>
      <w:r>
        <w:rPr>
          <w:rFonts w:ascii="Times New Roman" w:hAnsi="Times New Roman"/>
          <w:snapToGrid w:val="0"/>
          <w:szCs w:val="28"/>
          <w:highlight w:val="none"/>
        </w:rPr>
        <w:t>分析结论</w:t>
      </w:r>
      <w:r>
        <w:rPr>
          <w:highlight w:val="none"/>
        </w:rPr>
        <w:tab/>
      </w:r>
      <w:r>
        <w:rPr>
          <w:highlight w:val="none"/>
        </w:rPr>
        <w:fldChar w:fldCharType="begin"/>
      </w:r>
      <w:r>
        <w:rPr>
          <w:highlight w:val="none"/>
        </w:rPr>
        <w:instrText xml:space="preserve"> PAGEREF _Toc2557 \h </w:instrText>
      </w:r>
      <w:r>
        <w:rPr>
          <w:highlight w:val="none"/>
        </w:rPr>
        <w:fldChar w:fldCharType="separate"/>
      </w:r>
      <w:r>
        <w:rPr>
          <w:highlight w:val="none"/>
        </w:rPr>
        <w:t>169</w:t>
      </w:r>
      <w:r>
        <w:rPr>
          <w:highlight w:val="none"/>
        </w:rPr>
        <w:fldChar w:fldCharType="end"/>
      </w:r>
    </w:p>
    <w:p>
      <w:pPr>
        <w:pStyle w:val="38"/>
        <w:tabs>
          <w:tab w:val="right" w:leader="dot" w:pos="8306"/>
        </w:tabs>
        <w:spacing w:line="300" w:lineRule="exact"/>
        <w:ind w:firstLine="402"/>
        <w:rPr>
          <w:highlight w:val="none"/>
        </w:rPr>
      </w:pPr>
      <w:r>
        <w:rPr>
          <w:rFonts w:hint="eastAsia" w:ascii="Times New Roman"/>
          <w:highlight w:val="none"/>
        </w:rPr>
        <w:t xml:space="preserve">8 </w:t>
      </w:r>
      <w:r>
        <w:rPr>
          <w:rFonts w:ascii="Times New Roman"/>
          <w:highlight w:val="none"/>
        </w:rPr>
        <w:t>环境管理和环境监测</w:t>
      </w:r>
      <w:r>
        <w:rPr>
          <w:highlight w:val="none"/>
        </w:rPr>
        <w:tab/>
      </w:r>
      <w:r>
        <w:rPr>
          <w:highlight w:val="none"/>
        </w:rPr>
        <w:fldChar w:fldCharType="begin"/>
      </w:r>
      <w:r>
        <w:rPr>
          <w:highlight w:val="none"/>
        </w:rPr>
        <w:instrText xml:space="preserve"> PAGEREF _Toc11880 \h </w:instrText>
      </w:r>
      <w:r>
        <w:rPr>
          <w:highlight w:val="none"/>
        </w:rPr>
        <w:fldChar w:fldCharType="separate"/>
      </w:r>
      <w:r>
        <w:rPr>
          <w:highlight w:val="none"/>
        </w:rPr>
        <w:t>170</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8.1 </w:t>
      </w:r>
      <w:r>
        <w:rPr>
          <w:rFonts w:ascii="Times New Roman" w:hAnsi="Times New Roman"/>
          <w:snapToGrid w:val="0"/>
          <w:szCs w:val="28"/>
          <w:highlight w:val="none"/>
        </w:rPr>
        <w:t>施工期环境管理</w:t>
      </w:r>
      <w:r>
        <w:rPr>
          <w:highlight w:val="none"/>
        </w:rPr>
        <w:tab/>
      </w:r>
      <w:r>
        <w:rPr>
          <w:highlight w:val="none"/>
        </w:rPr>
        <w:fldChar w:fldCharType="begin"/>
      </w:r>
      <w:r>
        <w:rPr>
          <w:highlight w:val="none"/>
        </w:rPr>
        <w:instrText xml:space="preserve"> PAGEREF _Toc13156 \h </w:instrText>
      </w:r>
      <w:r>
        <w:rPr>
          <w:highlight w:val="none"/>
        </w:rPr>
        <w:fldChar w:fldCharType="separate"/>
      </w:r>
      <w:r>
        <w:rPr>
          <w:highlight w:val="none"/>
        </w:rPr>
        <w:t>170</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8.2 </w:t>
      </w:r>
      <w:r>
        <w:rPr>
          <w:rFonts w:ascii="Times New Roman" w:hAnsi="Times New Roman"/>
          <w:snapToGrid w:val="0"/>
          <w:szCs w:val="28"/>
          <w:highlight w:val="none"/>
        </w:rPr>
        <w:t>运营期环境管理</w:t>
      </w:r>
      <w:r>
        <w:rPr>
          <w:highlight w:val="none"/>
        </w:rPr>
        <w:tab/>
      </w:r>
      <w:r>
        <w:rPr>
          <w:highlight w:val="none"/>
        </w:rPr>
        <w:fldChar w:fldCharType="begin"/>
      </w:r>
      <w:r>
        <w:rPr>
          <w:highlight w:val="none"/>
        </w:rPr>
        <w:instrText xml:space="preserve"> PAGEREF _Toc25892 \h </w:instrText>
      </w:r>
      <w:r>
        <w:rPr>
          <w:highlight w:val="none"/>
        </w:rPr>
        <w:fldChar w:fldCharType="separate"/>
      </w:r>
      <w:r>
        <w:rPr>
          <w:highlight w:val="none"/>
        </w:rPr>
        <w:t>171</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8.3 </w:t>
      </w:r>
      <w:r>
        <w:rPr>
          <w:rFonts w:ascii="Times New Roman" w:hAnsi="Times New Roman"/>
          <w:snapToGrid w:val="0"/>
          <w:szCs w:val="28"/>
          <w:highlight w:val="none"/>
        </w:rPr>
        <w:t>污染物排放清单</w:t>
      </w:r>
      <w:r>
        <w:rPr>
          <w:highlight w:val="none"/>
        </w:rPr>
        <w:tab/>
      </w:r>
      <w:r>
        <w:rPr>
          <w:highlight w:val="none"/>
        </w:rPr>
        <w:fldChar w:fldCharType="begin"/>
      </w:r>
      <w:r>
        <w:rPr>
          <w:highlight w:val="none"/>
        </w:rPr>
        <w:instrText xml:space="preserve"> PAGEREF _Toc1914 \h </w:instrText>
      </w:r>
      <w:r>
        <w:rPr>
          <w:highlight w:val="none"/>
        </w:rPr>
        <w:fldChar w:fldCharType="separate"/>
      </w:r>
      <w:r>
        <w:rPr>
          <w:highlight w:val="none"/>
        </w:rPr>
        <w:t>174</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8.4 </w:t>
      </w:r>
      <w:r>
        <w:rPr>
          <w:rFonts w:ascii="Times New Roman" w:hAnsi="Times New Roman"/>
          <w:snapToGrid w:val="0"/>
          <w:szCs w:val="28"/>
          <w:highlight w:val="none"/>
        </w:rPr>
        <w:t>环境监测</w:t>
      </w:r>
      <w:r>
        <w:rPr>
          <w:highlight w:val="none"/>
        </w:rPr>
        <w:tab/>
      </w:r>
      <w:r>
        <w:rPr>
          <w:highlight w:val="none"/>
        </w:rPr>
        <w:fldChar w:fldCharType="begin"/>
      </w:r>
      <w:r>
        <w:rPr>
          <w:highlight w:val="none"/>
        </w:rPr>
        <w:instrText xml:space="preserve"> PAGEREF _Toc19617 \h </w:instrText>
      </w:r>
      <w:r>
        <w:rPr>
          <w:highlight w:val="none"/>
        </w:rPr>
        <w:fldChar w:fldCharType="separate"/>
      </w:r>
      <w:r>
        <w:rPr>
          <w:highlight w:val="none"/>
        </w:rPr>
        <w:t>177</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8.5 </w:t>
      </w:r>
      <w:r>
        <w:rPr>
          <w:rFonts w:ascii="Times New Roman" w:hAnsi="Times New Roman"/>
          <w:snapToGrid w:val="0"/>
          <w:szCs w:val="28"/>
          <w:highlight w:val="none"/>
        </w:rPr>
        <w:t>环境保护三同时验收</w:t>
      </w:r>
      <w:r>
        <w:rPr>
          <w:highlight w:val="none"/>
        </w:rPr>
        <w:tab/>
      </w:r>
      <w:r>
        <w:rPr>
          <w:highlight w:val="none"/>
        </w:rPr>
        <w:fldChar w:fldCharType="begin"/>
      </w:r>
      <w:r>
        <w:rPr>
          <w:highlight w:val="none"/>
        </w:rPr>
        <w:instrText xml:space="preserve"> PAGEREF _Toc16358 \h </w:instrText>
      </w:r>
      <w:r>
        <w:rPr>
          <w:highlight w:val="none"/>
        </w:rPr>
        <w:fldChar w:fldCharType="separate"/>
      </w:r>
      <w:r>
        <w:rPr>
          <w:highlight w:val="none"/>
        </w:rPr>
        <w:t>177</w:t>
      </w:r>
      <w:r>
        <w:rPr>
          <w:highlight w:val="none"/>
        </w:rPr>
        <w:fldChar w:fldCharType="end"/>
      </w:r>
    </w:p>
    <w:p>
      <w:pPr>
        <w:pStyle w:val="38"/>
        <w:tabs>
          <w:tab w:val="right" w:leader="dot" w:pos="8306"/>
        </w:tabs>
        <w:spacing w:line="300" w:lineRule="exact"/>
        <w:ind w:firstLine="402"/>
        <w:rPr>
          <w:highlight w:val="none"/>
        </w:rPr>
      </w:pPr>
      <w:r>
        <w:rPr>
          <w:rFonts w:hint="eastAsia" w:ascii="Times New Roman"/>
          <w:highlight w:val="none"/>
        </w:rPr>
        <w:t xml:space="preserve">9 </w:t>
      </w:r>
      <w:r>
        <w:rPr>
          <w:rFonts w:ascii="Times New Roman"/>
          <w:highlight w:val="none"/>
        </w:rPr>
        <w:t>结论</w:t>
      </w:r>
      <w:r>
        <w:rPr>
          <w:highlight w:val="none"/>
        </w:rPr>
        <w:tab/>
      </w:r>
      <w:r>
        <w:rPr>
          <w:highlight w:val="none"/>
        </w:rPr>
        <w:fldChar w:fldCharType="begin"/>
      </w:r>
      <w:r>
        <w:rPr>
          <w:highlight w:val="none"/>
        </w:rPr>
        <w:instrText xml:space="preserve"> PAGEREF _Toc2143 \h </w:instrText>
      </w:r>
      <w:r>
        <w:rPr>
          <w:highlight w:val="none"/>
        </w:rPr>
        <w:fldChar w:fldCharType="separate"/>
      </w:r>
      <w:r>
        <w:rPr>
          <w:highlight w:val="none"/>
        </w:rPr>
        <w:t>180</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9.1 </w:t>
      </w:r>
      <w:r>
        <w:rPr>
          <w:rFonts w:ascii="Times New Roman" w:hAnsi="Times New Roman"/>
          <w:snapToGrid w:val="0"/>
          <w:szCs w:val="28"/>
          <w:highlight w:val="none"/>
        </w:rPr>
        <w:t>项目概况</w:t>
      </w:r>
      <w:r>
        <w:rPr>
          <w:highlight w:val="none"/>
        </w:rPr>
        <w:tab/>
      </w:r>
      <w:r>
        <w:rPr>
          <w:highlight w:val="none"/>
        </w:rPr>
        <w:fldChar w:fldCharType="begin"/>
      </w:r>
      <w:r>
        <w:rPr>
          <w:highlight w:val="none"/>
        </w:rPr>
        <w:instrText xml:space="preserve"> PAGEREF _Toc18635 \h </w:instrText>
      </w:r>
      <w:r>
        <w:rPr>
          <w:highlight w:val="none"/>
        </w:rPr>
        <w:fldChar w:fldCharType="separate"/>
      </w:r>
      <w:r>
        <w:rPr>
          <w:highlight w:val="none"/>
        </w:rPr>
        <w:t>180</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9.2 </w:t>
      </w:r>
      <w:r>
        <w:rPr>
          <w:rFonts w:ascii="Times New Roman" w:hAnsi="Times New Roman"/>
          <w:snapToGrid w:val="0"/>
          <w:szCs w:val="28"/>
          <w:highlight w:val="none"/>
        </w:rPr>
        <w:t>评价结论</w:t>
      </w:r>
      <w:r>
        <w:rPr>
          <w:highlight w:val="none"/>
        </w:rPr>
        <w:tab/>
      </w:r>
      <w:r>
        <w:rPr>
          <w:highlight w:val="none"/>
        </w:rPr>
        <w:fldChar w:fldCharType="begin"/>
      </w:r>
      <w:r>
        <w:rPr>
          <w:highlight w:val="none"/>
        </w:rPr>
        <w:instrText xml:space="preserve"> PAGEREF _Toc30705 \h </w:instrText>
      </w:r>
      <w:r>
        <w:rPr>
          <w:highlight w:val="none"/>
        </w:rPr>
        <w:fldChar w:fldCharType="separate"/>
      </w:r>
      <w:r>
        <w:rPr>
          <w:highlight w:val="none"/>
        </w:rPr>
        <w:t>180</w:t>
      </w:r>
      <w:r>
        <w:rPr>
          <w:highlight w:val="none"/>
        </w:rPr>
        <w:fldChar w:fldCharType="end"/>
      </w:r>
    </w:p>
    <w:p>
      <w:pPr>
        <w:pStyle w:val="45"/>
        <w:tabs>
          <w:tab w:val="right" w:leader="dot" w:pos="8306"/>
        </w:tabs>
        <w:spacing w:line="300" w:lineRule="exact"/>
        <w:ind w:firstLine="400"/>
        <w:rPr>
          <w:highlight w:val="none"/>
        </w:rPr>
      </w:pPr>
      <w:r>
        <w:rPr>
          <w:rFonts w:hint="eastAsia" w:ascii="Times New Roman" w:hAnsi="Times New Roman"/>
          <w:snapToGrid w:val="0"/>
          <w:szCs w:val="28"/>
          <w:highlight w:val="none"/>
        </w:rPr>
        <w:t xml:space="preserve">9.3 </w:t>
      </w:r>
      <w:r>
        <w:rPr>
          <w:rFonts w:ascii="Times New Roman" w:hAnsi="Times New Roman"/>
          <w:snapToGrid w:val="0"/>
          <w:szCs w:val="28"/>
          <w:highlight w:val="none"/>
        </w:rPr>
        <w:t>建设项目的环境影响可行性结论</w:t>
      </w:r>
      <w:r>
        <w:rPr>
          <w:highlight w:val="none"/>
        </w:rPr>
        <w:tab/>
      </w:r>
      <w:r>
        <w:rPr>
          <w:highlight w:val="none"/>
        </w:rPr>
        <w:fldChar w:fldCharType="begin"/>
      </w:r>
      <w:r>
        <w:rPr>
          <w:highlight w:val="none"/>
        </w:rPr>
        <w:instrText xml:space="preserve"> PAGEREF _Toc8044 \h </w:instrText>
      </w:r>
      <w:r>
        <w:rPr>
          <w:highlight w:val="none"/>
        </w:rPr>
        <w:fldChar w:fldCharType="separate"/>
      </w:r>
      <w:r>
        <w:rPr>
          <w:highlight w:val="none"/>
        </w:rPr>
        <w:t>185</w:t>
      </w:r>
      <w:r>
        <w:rPr>
          <w:highlight w:val="none"/>
        </w:rPr>
        <w:fldChar w:fldCharType="end"/>
      </w:r>
    </w:p>
    <w:p>
      <w:pPr>
        <w:spacing w:line="300" w:lineRule="exact"/>
        <w:ind w:firstLine="560"/>
        <w:rPr>
          <w:highlight w:val="none"/>
        </w:rPr>
      </w:pPr>
      <w:r>
        <w:rPr>
          <w:rFonts w:eastAsiaTheme="minorEastAsia"/>
          <w:szCs w:val="24"/>
          <w:highlight w:val="none"/>
        </w:rPr>
        <w:fldChar w:fldCharType="end"/>
      </w:r>
    </w:p>
    <w:p>
      <w:pPr>
        <w:pStyle w:val="45"/>
        <w:ind w:firstLine="400"/>
        <w:rPr>
          <w:rFonts w:ascii="Times New Roman" w:hAnsi="Times New Roman" w:cs="Times New Roman"/>
          <w:highlight w:val="none"/>
        </w:rPr>
      </w:pPr>
    </w:p>
    <w:p>
      <w:pPr>
        <w:pStyle w:val="45"/>
        <w:ind w:firstLine="400"/>
        <w:rPr>
          <w:rFonts w:ascii="Times New Roman" w:hAnsi="Times New Roman" w:cs="Times New Roman"/>
          <w:highlight w:val="none"/>
        </w:rPr>
        <w:sectPr>
          <w:headerReference r:id="rId10" w:type="default"/>
          <w:footerReference r:id="rId11" w:type="default"/>
          <w:pgSz w:w="11906" w:h="16838"/>
          <w:pgMar w:top="1440" w:right="1800" w:bottom="1135" w:left="1800" w:header="851" w:footer="992" w:gutter="0"/>
          <w:pgNumType w:start="1"/>
          <w:cols w:space="720" w:num="1"/>
          <w:docGrid w:linePitch="312" w:charSpace="0"/>
        </w:sectPr>
      </w:pPr>
    </w:p>
    <w:p>
      <w:pPr>
        <w:pStyle w:val="4"/>
        <w:numPr>
          <w:ilvl w:val="0"/>
          <w:numId w:val="1"/>
        </w:numPr>
        <w:rPr>
          <w:rFonts w:ascii="Times New Roman"/>
          <w:sz w:val="36"/>
          <w:highlight w:val="none"/>
        </w:rPr>
      </w:pPr>
      <w:bookmarkStart w:id="1" w:name="_Toc20914"/>
      <w:bookmarkStart w:id="2" w:name="_Toc521591662"/>
      <w:bookmarkStart w:id="3" w:name="_Toc11001"/>
      <w:bookmarkStart w:id="4" w:name="_Toc524284651"/>
      <w:bookmarkStart w:id="5" w:name="_Toc26822"/>
      <w:bookmarkStart w:id="6" w:name="_Toc6589"/>
      <w:r>
        <w:rPr>
          <w:rFonts w:ascii="Times New Roman"/>
          <w:sz w:val="36"/>
          <w:highlight w:val="none"/>
        </w:rPr>
        <w:t>概述</w:t>
      </w:r>
      <w:bookmarkEnd w:id="1"/>
      <w:bookmarkEnd w:id="2"/>
      <w:bookmarkEnd w:id="3"/>
      <w:bookmarkEnd w:id="4"/>
      <w:bookmarkEnd w:id="5"/>
      <w:bookmarkEnd w:id="6"/>
    </w:p>
    <w:p>
      <w:pPr>
        <w:pStyle w:val="5"/>
        <w:keepLines w:val="0"/>
        <w:widowControl/>
        <w:numPr>
          <w:ilvl w:val="1"/>
          <w:numId w:val="2"/>
        </w:numPr>
        <w:tabs>
          <w:tab w:val="left" w:pos="482"/>
        </w:tabs>
        <w:spacing w:before="0" w:after="0" w:line="360" w:lineRule="auto"/>
        <w:ind w:left="567"/>
        <w:rPr>
          <w:rFonts w:ascii="Times New Roman" w:hAnsi="Times New Roman" w:eastAsia="宋体"/>
          <w:bCs w:val="0"/>
          <w:snapToGrid w:val="0"/>
          <w:kern w:val="0"/>
          <w:sz w:val="28"/>
          <w:szCs w:val="28"/>
          <w:highlight w:val="none"/>
        </w:rPr>
      </w:pPr>
      <w:bookmarkStart w:id="7" w:name="_Toc29096"/>
      <w:bookmarkStart w:id="8" w:name="_Toc17144"/>
      <w:bookmarkStart w:id="9" w:name="_Toc524284652"/>
      <w:bookmarkStart w:id="10" w:name="_Toc29951"/>
      <w:bookmarkStart w:id="11" w:name="_Toc521591663"/>
      <w:bookmarkStart w:id="12" w:name="_Toc28416"/>
      <w:r>
        <w:rPr>
          <w:rFonts w:hint="eastAsia" w:ascii="Times New Roman" w:hAnsi="Times New Roman" w:eastAsia="宋体"/>
          <w:bCs w:val="0"/>
          <w:snapToGrid w:val="0"/>
          <w:kern w:val="0"/>
          <w:sz w:val="28"/>
          <w:szCs w:val="28"/>
          <w:highlight w:val="none"/>
        </w:rPr>
        <w:t>建设项目特点</w:t>
      </w:r>
      <w:bookmarkEnd w:id="7"/>
    </w:p>
    <w:p>
      <w:pPr>
        <w:pStyle w:val="6"/>
        <w:keepLines w:val="0"/>
        <w:widowControl/>
        <w:numPr>
          <w:ilvl w:val="255"/>
          <w:numId w:val="0"/>
        </w:numPr>
        <w:rPr>
          <w:rFonts w:ascii="Arial" w:hAnsi="Arial" w:eastAsia="黑体"/>
          <w:highlight w:val="none"/>
        </w:rPr>
      </w:pPr>
      <w:r>
        <w:rPr>
          <w:rFonts w:hint="eastAsia"/>
          <w:szCs w:val="28"/>
          <w:highlight w:val="none"/>
        </w:rPr>
        <w:t>1.1.1</w:t>
      </w:r>
      <w:r>
        <w:rPr>
          <w:rFonts w:hint="eastAsia" w:ascii="宋体" w:hAnsi="宋体" w:cs="宋体"/>
          <w:highlight w:val="none"/>
        </w:rPr>
        <w:t>项目由来</w:t>
      </w:r>
      <w:bookmarkEnd w:id="8"/>
      <w:bookmarkEnd w:id="9"/>
      <w:bookmarkEnd w:id="10"/>
      <w:bookmarkEnd w:id="11"/>
      <w:bookmarkEnd w:id="12"/>
    </w:p>
    <w:p>
      <w:pPr>
        <w:ind w:firstLine="480"/>
        <w:jc w:val="both"/>
        <w:rPr>
          <w:sz w:val="24"/>
          <w:szCs w:val="24"/>
          <w:highlight w:val="none"/>
        </w:rPr>
      </w:pPr>
      <w:bookmarkStart w:id="13" w:name="_Toc12890"/>
      <w:r>
        <w:rPr>
          <w:sz w:val="24"/>
          <w:szCs w:val="24"/>
          <w:highlight w:val="none"/>
        </w:rPr>
        <w:t>遵化市地处河北省东北部，</w:t>
      </w:r>
      <w:r>
        <w:rPr>
          <w:highlight w:val="none"/>
        </w:rPr>
        <w:fldChar w:fldCharType="begin"/>
      </w:r>
      <w:r>
        <w:rPr>
          <w:highlight w:val="none"/>
        </w:rPr>
        <w:instrText xml:space="preserve"> HYPERLINK "http://baike.baidu.com/view/8140.htm" \t "_blank" </w:instrText>
      </w:r>
      <w:r>
        <w:rPr>
          <w:highlight w:val="none"/>
        </w:rPr>
        <w:fldChar w:fldCharType="separate"/>
      </w:r>
      <w:r>
        <w:rPr>
          <w:sz w:val="24"/>
          <w:szCs w:val="24"/>
          <w:highlight w:val="none"/>
        </w:rPr>
        <w:t>燕山</w:t>
      </w:r>
      <w:r>
        <w:rPr>
          <w:sz w:val="24"/>
          <w:szCs w:val="24"/>
          <w:highlight w:val="none"/>
        </w:rPr>
        <w:fldChar w:fldCharType="end"/>
      </w:r>
      <w:r>
        <w:rPr>
          <w:sz w:val="24"/>
          <w:szCs w:val="24"/>
          <w:highlight w:val="none"/>
        </w:rPr>
        <w:t>南麓，境内铁矿石资源储量丰富，近年来随着我国钢铁工业的发展、铁精粉的需求量不断增加，使得当地铁精粉选矿企业飞速发展。</w:t>
      </w:r>
    </w:p>
    <w:p>
      <w:pPr>
        <w:ind w:firstLine="480"/>
        <w:jc w:val="both"/>
        <w:rPr>
          <w:sz w:val="24"/>
          <w:szCs w:val="24"/>
          <w:highlight w:val="none"/>
        </w:rPr>
      </w:pPr>
      <w:r>
        <w:rPr>
          <w:rFonts w:hint="eastAsia"/>
          <w:bCs/>
          <w:sz w:val="24"/>
          <w:szCs w:val="24"/>
          <w:highlight w:val="none"/>
        </w:rPr>
        <w:t>遵化恒新矿业有限公司</w:t>
      </w:r>
      <w:r>
        <w:rPr>
          <w:rFonts w:hint="eastAsia"/>
          <w:sz w:val="24"/>
          <w:szCs w:val="24"/>
          <w:highlight w:val="none"/>
        </w:rPr>
        <w:t>位于遵化市新店子镇马店子村，其前身为遵化市群利铁精粉加工厂，于2018</w:t>
      </w:r>
      <w:r>
        <w:rPr>
          <w:bCs/>
          <w:sz w:val="24"/>
          <w:szCs w:val="24"/>
          <w:highlight w:val="none"/>
        </w:rPr>
        <w:t>年</w:t>
      </w:r>
      <w:r>
        <w:rPr>
          <w:rFonts w:hint="eastAsia"/>
          <w:bCs/>
          <w:sz w:val="24"/>
          <w:szCs w:val="24"/>
          <w:highlight w:val="none"/>
        </w:rPr>
        <w:t>实施了“遵化市群利铁精粉加工厂年处理30万吨铁矿石项目”，编制了《遵化市群利铁精粉加工厂年处理30万吨铁矿石项目环境影响报告书》，并于2018年11月取得了唐山市环境保护局遵化市分局的环评批复文件（遵环发[2018]352号），于2020年建设完成后进行了排污登记并通过了竣工环境保护验收。</w:t>
      </w:r>
    </w:p>
    <w:p>
      <w:pPr>
        <w:snapToGrid w:val="0"/>
        <w:ind w:firstLine="480"/>
        <w:jc w:val="both"/>
        <w:rPr>
          <w:sz w:val="24"/>
          <w:szCs w:val="24"/>
          <w:highlight w:val="none"/>
        </w:rPr>
      </w:pPr>
      <w:r>
        <w:rPr>
          <w:rFonts w:hint="eastAsia"/>
          <w:bCs/>
          <w:sz w:val="24"/>
          <w:szCs w:val="24"/>
          <w:highlight w:val="none"/>
        </w:rPr>
        <w:t>目前，遵化恒新矿业有限公司</w:t>
      </w:r>
      <w:r>
        <w:rPr>
          <w:sz w:val="24"/>
          <w:szCs w:val="24"/>
          <w:highlight w:val="none"/>
        </w:rPr>
        <w:t>主要建</w:t>
      </w:r>
      <w:r>
        <w:rPr>
          <w:rFonts w:hint="eastAsia"/>
          <w:sz w:val="24"/>
          <w:szCs w:val="24"/>
          <w:highlight w:val="none"/>
        </w:rPr>
        <w:t>有</w:t>
      </w:r>
      <w:r>
        <w:rPr>
          <w:sz w:val="24"/>
          <w:szCs w:val="24"/>
          <w:highlight w:val="none"/>
        </w:rPr>
        <w:t>破碎车间、</w:t>
      </w:r>
      <w:r>
        <w:rPr>
          <w:rFonts w:hint="eastAsia"/>
          <w:sz w:val="24"/>
          <w:szCs w:val="24"/>
          <w:highlight w:val="none"/>
        </w:rPr>
        <w:t>选矿车间</w:t>
      </w:r>
      <w:r>
        <w:rPr>
          <w:sz w:val="24"/>
          <w:szCs w:val="24"/>
          <w:highlight w:val="none"/>
        </w:rPr>
        <w:t>、</w:t>
      </w:r>
      <w:r>
        <w:rPr>
          <w:rFonts w:hint="eastAsia"/>
          <w:sz w:val="24"/>
          <w:szCs w:val="24"/>
          <w:highlight w:val="none"/>
        </w:rPr>
        <w:t>浓密</w:t>
      </w:r>
      <w:r>
        <w:rPr>
          <w:sz w:val="24"/>
          <w:szCs w:val="24"/>
          <w:highlight w:val="none"/>
        </w:rPr>
        <w:t>池、清水池及相关配套公辅设施建设</w:t>
      </w:r>
      <w:r>
        <w:rPr>
          <w:rFonts w:hint="eastAsia"/>
          <w:sz w:val="24"/>
          <w:szCs w:val="24"/>
          <w:highlight w:val="none"/>
        </w:rPr>
        <w:t>，主要设有破碎粗选设备1套、精选设备1套、干排设备1套，</w:t>
      </w:r>
      <w:r>
        <w:rPr>
          <w:sz w:val="24"/>
          <w:szCs w:val="24"/>
          <w:highlight w:val="none"/>
        </w:rPr>
        <w:t>采用破碎—筛分—球磨—磁选—过滤工艺，年处理铁矿石</w:t>
      </w:r>
      <w:r>
        <w:rPr>
          <w:rFonts w:hint="eastAsia"/>
          <w:sz w:val="24"/>
          <w:szCs w:val="24"/>
          <w:highlight w:val="none"/>
        </w:rPr>
        <w:t>30</w:t>
      </w:r>
      <w:r>
        <w:rPr>
          <w:sz w:val="24"/>
          <w:szCs w:val="24"/>
          <w:highlight w:val="none"/>
        </w:rPr>
        <w:t>万吨，年产品位</w:t>
      </w:r>
      <w:r>
        <w:rPr>
          <w:rFonts w:hint="eastAsia"/>
          <w:sz w:val="24"/>
          <w:szCs w:val="24"/>
          <w:highlight w:val="none"/>
        </w:rPr>
        <w:t>66</w:t>
      </w:r>
      <w:r>
        <w:rPr>
          <w:sz w:val="24"/>
          <w:szCs w:val="24"/>
          <w:highlight w:val="none"/>
        </w:rPr>
        <w:t>%铁精粉</w:t>
      </w:r>
      <w:r>
        <w:rPr>
          <w:rFonts w:hint="eastAsia"/>
          <w:sz w:val="24"/>
          <w:szCs w:val="24"/>
          <w:highlight w:val="none"/>
        </w:rPr>
        <w:t>13</w:t>
      </w:r>
      <w:r>
        <w:rPr>
          <w:sz w:val="24"/>
          <w:szCs w:val="24"/>
          <w:highlight w:val="none"/>
        </w:rPr>
        <w:t>万吨。</w:t>
      </w:r>
    </w:p>
    <w:p>
      <w:pPr>
        <w:snapToGrid w:val="0"/>
        <w:ind w:firstLine="480"/>
        <w:jc w:val="both"/>
        <w:rPr>
          <w:sz w:val="24"/>
          <w:szCs w:val="24"/>
          <w:highlight w:val="none"/>
        </w:rPr>
      </w:pPr>
      <w:r>
        <w:rPr>
          <w:sz w:val="24"/>
          <w:szCs w:val="24"/>
          <w:highlight w:val="none"/>
        </w:rPr>
        <w:t>为充分发挥本地区矿产资源优势</w:t>
      </w:r>
      <w:r>
        <w:rPr>
          <w:rFonts w:hint="eastAsia"/>
          <w:sz w:val="24"/>
          <w:szCs w:val="24"/>
          <w:highlight w:val="none"/>
        </w:rPr>
        <w:t>，提升自身综合竞争力，遵化恒新矿业有限公司</w:t>
      </w:r>
      <w:r>
        <w:rPr>
          <w:sz w:val="24"/>
          <w:szCs w:val="24"/>
          <w:highlight w:val="none"/>
        </w:rPr>
        <w:t>决定投资</w:t>
      </w:r>
      <w:r>
        <w:rPr>
          <w:rFonts w:hint="eastAsia"/>
          <w:sz w:val="24"/>
          <w:szCs w:val="24"/>
          <w:highlight w:val="none"/>
        </w:rPr>
        <w:t>28</w:t>
      </w:r>
      <w:r>
        <w:rPr>
          <w:sz w:val="24"/>
          <w:szCs w:val="24"/>
          <w:highlight w:val="none"/>
        </w:rPr>
        <w:t>00万元建设</w:t>
      </w:r>
      <w:r>
        <w:rPr>
          <w:rFonts w:hint="eastAsia"/>
          <w:sz w:val="24"/>
          <w:szCs w:val="24"/>
          <w:highlight w:val="none"/>
        </w:rPr>
        <w:t>“遵化恒新矿业有限公司年处理60万吨铁矿石、120万吨粗精矿项目”</w:t>
      </w:r>
      <w:r>
        <w:rPr>
          <w:sz w:val="24"/>
          <w:szCs w:val="24"/>
          <w:highlight w:val="none"/>
        </w:rPr>
        <w:t>，河北省发展和改革委员会以</w:t>
      </w:r>
      <w:bookmarkStart w:id="14" w:name="OLE_LINK7"/>
      <w:bookmarkStart w:id="15" w:name="OLE_LINK6"/>
      <w:r>
        <w:rPr>
          <w:sz w:val="24"/>
          <w:szCs w:val="24"/>
          <w:highlight w:val="none"/>
        </w:rPr>
        <w:t>冀发改</w:t>
      </w:r>
      <w:r>
        <w:rPr>
          <w:rFonts w:hint="eastAsia"/>
          <w:sz w:val="24"/>
          <w:szCs w:val="24"/>
          <w:highlight w:val="none"/>
        </w:rPr>
        <w:t>政务</w:t>
      </w:r>
      <w:r>
        <w:rPr>
          <w:sz w:val="24"/>
          <w:szCs w:val="24"/>
          <w:highlight w:val="none"/>
        </w:rPr>
        <w:t>备字[20</w:t>
      </w:r>
      <w:r>
        <w:rPr>
          <w:rFonts w:hint="eastAsia"/>
          <w:sz w:val="24"/>
          <w:szCs w:val="24"/>
          <w:highlight w:val="none"/>
        </w:rPr>
        <w:t>23</w:t>
      </w:r>
      <w:r>
        <w:rPr>
          <w:sz w:val="24"/>
          <w:szCs w:val="24"/>
          <w:highlight w:val="none"/>
        </w:rPr>
        <w:t>]</w:t>
      </w:r>
      <w:r>
        <w:rPr>
          <w:rFonts w:hint="eastAsia"/>
          <w:sz w:val="24"/>
          <w:szCs w:val="24"/>
          <w:highlight w:val="none"/>
        </w:rPr>
        <w:t>76</w:t>
      </w:r>
      <w:r>
        <w:rPr>
          <w:sz w:val="24"/>
          <w:szCs w:val="24"/>
          <w:highlight w:val="none"/>
        </w:rPr>
        <w:t>号</w:t>
      </w:r>
      <w:bookmarkEnd w:id="14"/>
      <w:bookmarkEnd w:id="15"/>
      <w:r>
        <w:rPr>
          <w:sz w:val="24"/>
          <w:szCs w:val="24"/>
          <w:highlight w:val="none"/>
        </w:rPr>
        <w:t>文予以备案。</w:t>
      </w:r>
    </w:p>
    <w:p>
      <w:pPr>
        <w:snapToGrid w:val="0"/>
        <w:ind w:firstLine="480"/>
        <w:jc w:val="both"/>
        <w:rPr>
          <w:sz w:val="24"/>
          <w:szCs w:val="24"/>
          <w:highlight w:val="none"/>
        </w:rPr>
      </w:pPr>
      <w:r>
        <w:rPr>
          <w:sz w:val="24"/>
          <w:szCs w:val="24"/>
          <w:highlight w:val="none"/>
        </w:rPr>
        <w:t>本项目</w:t>
      </w:r>
      <w:r>
        <w:rPr>
          <w:rFonts w:hint="eastAsia"/>
          <w:sz w:val="24"/>
          <w:szCs w:val="24"/>
          <w:highlight w:val="none"/>
        </w:rPr>
        <w:t>在</w:t>
      </w:r>
      <w:r>
        <w:rPr>
          <w:rFonts w:hint="eastAsia"/>
          <w:bCs/>
          <w:sz w:val="24"/>
          <w:szCs w:val="24"/>
          <w:highlight w:val="none"/>
        </w:rPr>
        <w:t>遵化恒新矿业有限公司现有厂区内利用现有厂房进行建设，不新增占地，主要对现有破碎筛分设备进行升级改造，同时新增2套精选设备，现有粗选设备保持不变，</w:t>
      </w:r>
      <w:r>
        <w:rPr>
          <w:rFonts w:hint="eastAsia"/>
          <w:sz w:val="24"/>
          <w:szCs w:val="24"/>
          <w:highlight w:val="none"/>
        </w:rPr>
        <w:t>项目建成后全厂年处理60万吨铁矿石、120万吨粗精矿，年产66%铁精粉100万吨。</w:t>
      </w:r>
    </w:p>
    <w:p>
      <w:pPr>
        <w:ind w:firstLine="480"/>
        <w:jc w:val="both"/>
        <w:rPr>
          <w:sz w:val="24"/>
          <w:szCs w:val="24"/>
          <w:highlight w:val="none"/>
        </w:rPr>
      </w:pPr>
      <w:bookmarkStart w:id="16" w:name="_Toc3234"/>
      <w:bookmarkStart w:id="17" w:name="_Toc521591664"/>
      <w:r>
        <w:rPr>
          <w:sz w:val="24"/>
          <w:szCs w:val="24"/>
          <w:highlight w:val="none"/>
        </w:rPr>
        <w:t>根据《中华人民共和国环境保护法》、《中华人民共和国环境影响评价法》和《建设项目环境保护管理条例》（国务院第682号令）等法律法规规定，该项目需进行环境影响评价，属于《建设项目环境影响评价分类管理名录20</w:t>
      </w:r>
      <w:r>
        <w:rPr>
          <w:rFonts w:hint="eastAsia"/>
          <w:sz w:val="24"/>
          <w:szCs w:val="24"/>
          <w:highlight w:val="none"/>
        </w:rPr>
        <w:t>21</w:t>
      </w:r>
      <w:r>
        <w:rPr>
          <w:sz w:val="24"/>
          <w:szCs w:val="24"/>
          <w:highlight w:val="none"/>
        </w:rPr>
        <w:t>年</w:t>
      </w:r>
      <w:r>
        <w:rPr>
          <w:rFonts w:hint="eastAsia"/>
          <w:sz w:val="24"/>
          <w:szCs w:val="24"/>
          <w:highlight w:val="none"/>
        </w:rPr>
        <w:t>版</w:t>
      </w:r>
      <w:r>
        <w:rPr>
          <w:sz w:val="24"/>
          <w:szCs w:val="24"/>
          <w:highlight w:val="none"/>
        </w:rPr>
        <w:t>》（部令第1</w:t>
      </w:r>
      <w:r>
        <w:rPr>
          <w:rFonts w:hint="eastAsia"/>
          <w:sz w:val="24"/>
          <w:szCs w:val="24"/>
          <w:highlight w:val="none"/>
        </w:rPr>
        <w:t>6</w:t>
      </w:r>
      <w:r>
        <w:rPr>
          <w:sz w:val="24"/>
          <w:szCs w:val="24"/>
          <w:highlight w:val="none"/>
        </w:rPr>
        <w:t>号）中</w:t>
      </w:r>
      <w:r>
        <w:rPr>
          <w:rFonts w:hint="eastAsia"/>
          <w:sz w:val="24"/>
          <w:szCs w:val="24"/>
          <w:highlight w:val="none"/>
        </w:rPr>
        <w:t>“六</w:t>
      </w:r>
      <w:r>
        <w:rPr>
          <w:sz w:val="24"/>
          <w:szCs w:val="24"/>
          <w:highlight w:val="none"/>
        </w:rPr>
        <w:t>、黑色金属矿采选</w:t>
      </w:r>
      <w:r>
        <w:rPr>
          <w:rFonts w:hint="eastAsia"/>
          <w:sz w:val="24"/>
          <w:szCs w:val="24"/>
          <w:highlight w:val="none"/>
        </w:rPr>
        <w:t>”</w:t>
      </w:r>
      <w:r>
        <w:rPr>
          <w:sz w:val="24"/>
          <w:szCs w:val="24"/>
          <w:highlight w:val="none"/>
        </w:rPr>
        <w:t>，需编制《</w:t>
      </w:r>
      <w:r>
        <w:rPr>
          <w:rFonts w:hint="eastAsia"/>
          <w:sz w:val="24"/>
          <w:szCs w:val="24"/>
          <w:highlight w:val="none"/>
        </w:rPr>
        <w:t>遵化恒新矿业有限公司年处理60万吨铁矿石、120万吨粗精矿项目</w:t>
      </w:r>
      <w:r>
        <w:rPr>
          <w:sz w:val="24"/>
          <w:szCs w:val="24"/>
          <w:highlight w:val="none"/>
        </w:rPr>
        <w:t>环境影响报告书》。</w:t>
      </w:r>
    </w:p>
    <w:p>
      <w:pPr>
        <w:pStyle w:val="6"/>
        <w:keepLines w:val="0"/>
        <w:widowControl/>
        <w:numPr>
          <w:ilvl w:val="255"/>
          <w:numId w:val="0"/>
        </w:numPr>
        <w:rPr>
          <w:szCs w:val="28"/>
          <w:highlight w:val="none"/>
        </w:rPr>
      </w:pPr>
      <w:bookmarkStart w:id="18" w:name="_Toc524284653"/>
      <w:bookmarkStart w:id="19" w:name="_Toc20213"/>
      <w:r>
        <w:rPr>
          <w:rFonts w:hint="eastAsia"/>
          <w:szCs w:val="28"/>
          <w:highlight w:val="none"/>
        </w:rPr>
        <w:t>1.1.2建设项目特点</w:t>
      </w:r>
      <w:bookmarkEnd w:id="13"/>
      <w:bookmarkEnd w:id="16"/>
      <w:bookmarkEnd w:id="17"/>
      <w:bookmarkEnd w:id="18"/>
      <w:bookmarkEnd w:id="19"/>
    </w:p>
    <w:p>
      <w:pPr>
        <w:ind w:firstLine="480"/>
        <w:jc w:val="both"/>
        <w:rPr>
          <w:sz w:val="24"/>
          <w:szCs w:val="24"/>
          <w:highlight w:val="none"/>
        </w:rPr>
      </w:pPr>
      <w:r>
        <w:rPr>
          <w:rFonts w:hint="eastAsia"/>
          <w:sz w:val="24"/>
          <w:szCs w:val="24"/>
          <w:highlight w:val="none"/>
        </w:rPr>
        <w:t>（1）项目选址位于遵化市新店子镇马店子村</w:t>
      </w:r>
      <w:r>
        <w:rPr>
          <w:rFonts w:hint="eastAsia"/>
          <w:bCs/>
          <w:sz w:val="24"/>
          <w:szCs w:val="24"/>
          <w:highlight w:val="none"/>
        </w:rPr>
        <w:t>遵化恒新矿业有限公司现有厂区内</w:t>
      </w:r>
      <w:r>
        <w:rPr>
          <w:sz w:val="24"/>
          <w:szCs w:val="24"/>
          <w:highlight w:val="none"/>
        </w:rPr>
        <w:t>，</w:t>
      </w:r>
      <w:r>
        <w:rPr>
          <w:rFonts w:hint="eastAsia"/>
          <w:sz w:val="24"/>
          <w:szCs w:val="24"/>
          <w:highlight w:val="none"/>
        </w:rPr>
        <w:t>利用现有厂房进行建设，项目占地为建设用地，符合《遵化市城乡总体规划（2013-2030）》用地要求。</w:t>
      </w:r>
    </w:p>
    <w:p>
      <w:pPr>
        <w:ind w:firstLine="480"/>
        <w:jc w:val="both"/>
        <w:rPr>
          <w:sz w:val="24"/>
          <w:szCs w:val="24"/>
          <w:highlight w:val="none"/>
        </w:rPr>
      </w:pPr>
      <w:r>
        <w:rPr>
          <w:rFonts w:hint="eastAsia"/>
          <w:sz w:val="24"/>
          <w:szCs w:val="24"/>
          <w:highlight w:val="none"/>
        </w:rPr>
        <w:t>（2）本项目以铁矿石、粗精矿为原料，原矿</w:t>
      </w:r>
      <w:r>
        <w:rPr>
          <w:sz w:val="24"/>
          <w:szCs w:val="24"/>
          <w:highlight w:val="none"/>
        </w:rPr>
        <w:t>经过破碎一筛分一球磨一磁选工艺生产品位60%的</w:t>
      </w:r>
      <w:r>
        <w:rPr>
          <w:rFonts w:hint="eastAsia"/>
          <w:sz w:val="24"/>
          <w:szCs w:val="24"/>
          <w:highlight w:val="none"/>
        </w:rPr>
        <w:t>粗精矿</w:t>
      </w:r>
      <w:r>
        <w:rPr>
          <w:sz w:val="24"/>
          <w:szCs w:val="24"/>
          <w:highlight w:val="none"/>
        </w:rPr>
        <w:t>，</w:t>
      </w:r>
      <w:r>
        <w:rPr>
          <w:rFonts w:hint="eastAsia"/>
          <w:sz w:val="24"/>
          <w:szCs w:val="24"/>
          <w:highlight w:val="none"/>
        </w:rPr>
        <w:t>粗精矿通过精选生产线实现年</w:t>
      </w:r>
      <w:r>
        <w:rPr>
          <w:sz w:val="24"/>
          <w:szCs w:val="24"/>
          <w:highlight w:val="none"/>
        </w:rPr>
        <w:t>产品位6</w:t>
      </w:r>
      <w:r>
        <w:rPr>
          <w:rFonts w:hint="eastAsia"/>
          <w:sz w:val="24"/>
          <w:szCs w:val="24"/>
          <w:highlight w:val="none"/>
        </w:rPr>
        <w:t>6</w:t>
      </w:r>
      <w:r>
        <w:rPr>
          <w:sz w:val="24"/>
          <w:szCs w:val="24"/>
          <w:highlight w:val="none"/>
        </w:rPr>
        <w:t>%的铁精粉</w:t>
      </w:r>
      <w:r>
        <w:rPr>
          <w:rFonts w:hint="eastAsia"/>
          <w:sz w:val="24"/>
          <w:szCs w:val="24"/>
          <w:highlight w:val="none"/>
        </w:rPr>
        <w:t>100</w:t>
      </w:r>
      <w:r>
        <w:rPr>
          <w:sz w:val="24"/>
          <w:szCs w:val="24"/>
          <w:highlight w:val="none"/>
        </w:rPr>
        <w:t>万吨</w:t>
      </w:r>
      <w:r>
        <w:rPr>
          <w:rFonts w:hint="eastAsia"/>
          <w:sz w:val="24"/>
          <w:szCs w:val="24"/>
          <w:highlight w:val="none"/>
        </w:rPr>
        <w:t>，</w:t>
      </w:r>
      <w:r>
        <w:rPr>
          <w:sz w:val="24"/>
          <w:szCs w:val="24"/>
          <w:highlight w:val="none"/>
        </w:rPr>
        <w:t>尾矿采取干排处理工艺，不设尾矿库。项目磁选出铁精粉为成品外售，除尘灰、</w:t>
      </w:r>
      <w:r>
        <w:rPr>
          <w:rFonts w:hint="eastAsia"/>
          <w:sz w:val="24"/>
          <w:szCs w:val="24"/>
          <w:highlight w:val="none"/>
        </w:rPr>
        <w:t>尾矿砂、砂石料、泥饼、废钢球</w:t>
      </w:r>
      <w:r>
        <w:rPr>
          <w:sz w:val="24"/>
          <w:szCs w:val="24"/>
          <w:highlight w:val="none"/>
        </w:rPr>
        <w:t>为一般固废，除尘灰经布袋除尘器收集后返回球磨机重新利用，</w:t>
      </w:r>
      <w:r>
        <w:rPr>
          <w:rFonts w:hint="eastAsia"/>
          <w:sz w:val="24"/>
          <w:szCs w:val="24"/>
          <w:highlight w:val="none"/>
        </w:rPr>
        <w:t>尾矿砂、砂石料、泥饼</w:t>
      </w:r>
      <w:r>
        <w:rPr>
          <w:sz w:val="24"/>
          <w:szCs w:val="24"/>
          <w:highlight w:val="none"/>
        </w:rPr>
        <w:t>外售建材企业综合利用</w:t>
      </w:r>
      <w:r>
        <w:rPr>
          <w:rFonts w:hint="eastAsia"/>
          <w:sz w:val="24"/>
          <w:szCs w:val="24"/>
          <w:highlight w:val="none"/>
        </w:rPr>
        <w:t>，废钢球由厂家回收利用</w:t>
      </w:r>
      <w:r>
        <w:rPr>
          <w:sz w:val="24"/>
          <w:szCs w:val="24"/>
          <w:highlight w:val="none"/>
        </w:rPr>
        <w:t>。</w:t>
      </w:r>
    </w:p>
    <w:p>
      <w:pPr>
        <w:ind w:firstLine="480"/>
        <w:jc w:val="both"/>
        <w:rPr>
          <w:sz w:val="24"/>
          <w:szCs w:val="24"/>
          <w:highlight w:val="none"/>
        </w:rPr>
      </w:pPr>
      <w:r>
        <w:rPr>
          <w:rFonts w:hint="eastAsia"/>
          <w:sz w:val="24"/>
          <w:szCs w:val="24"/>
          <w:highlight w:val="none"/>
        </w:rPr>
        <w:t>（3）项目生产工艺中产生的废气、废水、噪声及固体废物等污染，将严格按照国家法律法规和标准进行有效控制和治理，确保实现经济效益、社会效益、环境效益的协调发展。</w:t>
      </w:r>
    </w:p>
    <w:p>
      <w:pPr>
        <w:pStyle w:val="5"/>
        <w:keepLines w:val="0"/>
        <w:widowControl/>
        <w:numPr>
          <w:ilvl w:val="1"/>
          <w:numId w:val="2"/>
        </w:numPr>
        <w:tabs>
          <w:tab w:val="left" w:pos="482"/>
        </w:tabs>
        <w:spacing w:before="0" w:after="0" w:line="360" w:lineRule="auto"/>
        <w:ind w:left="567"/>
        <w:rPr>
          <w:rFonts w:ascii="Times New Roman" w:hAnsi="Times New Roman" w:eastAsia="宋体"/>
          <w:bCs w:val="0"/>
          <w:snapToGrid w:val="0"/>
          <w:kern w:val="0"/>
          <w:sz w:val="28"/>
          <w:szCs w:val="28"/>
          <w:highlight w:val="none"/>
        </w:rPr>
      </w:pPr>
      <w:bookmarkStart w:id="20" w:name="_Toc2222"/>
      <w:bookmarkStart w:id="21" w:name="_Toc521591665"/>
      <w:bookmarkStart w:id="22" w:name="_Toc495"/>
      <w:bookmarkStart w:id="23" w:name="_Toc524284654"/>
      <w:bookmarkStart w:id="24" w:name="_Toc17076"/>
      <w:bookmarkStart w:id="25" w:name="_Toc12149"/>
      <w:r>
        <w:rPr>
          <w:rFonts w:ascii="Times New Roman" w:hAnsi="Times New Roman" w:eastAsia="宋体"/>
          <w:bCs w:val="0"/>
          <w:snapToGrid w:val="0"/>
          <w:kern w:val="0"/>
          <w:sz w:val="28"/>
          <w:szCs w:val="28"/>
          <w:highlight w:val="none"/>
        </w:rPr>
        <w:t>环境影响评价工作</w:t>
      </w:r>
      <w:bookmarkEnd w:id="20"/>
      <w:bookmarkEnd w:id="21"/>
      <w:bookmarkEnd w:id="22"/>
      <w:bookmarkEnd w:id="23"/>
      <w:bookmarkEnd w:id="24"/>
      <w:r>
        <w:rPr>
          <w:rFonts w:ascii="Times New Roman" w:hAnsi="Times New Roman" w:eastAsia="宋体"/>
          <w:bCs w:val="0"/>
          <w:snapToGrid w:val="0"/>
          <w:kern w:val="0"/>
          <w:sz w:val="28"/>
          <w:szCs w:val="28"/>
          <w:highlight w:val="none"/>
        </w:rPr>
        <w:t>过程</w:t>
      </w:r>
      <w:bookmarkEnd w:id="25"/>
    </w:p>
    <w:p>
      <w:pPr>
        <w:ind w:firstLine="480"/>
        <w:jc w:val="both"/>
        <w:rPr>
          <w:sz w:val="24"/>
          <w:szCs w:val="24"/>
          <w:highlight w:val="none"/>
        </w:rPr>
      </w:pPr>
      <w:r>
        <w:rPr>
          <w:sz w:val="24"/>
          <w:szCs w:val="24"/>
          <w:highlight w:val="none"/>
        </w:rPr>
        <w:t>根据《中华人民共和国环境保护法》、《中华人民共和国环境影响评价法》和《建设项目环境保护管理条例》（国务院第 682 号令）等法律法规规定，本项目属于《建设项目环境影响评价分类管理名录20</w:t>
      </w:r>
      <w:r>
        <w:rPr>
          <w:rFonts w:hint="eastAsia"/>
          <w:sz w:val="24"/>
          <w:szCs w:val="24"/>
          <w:highlight w:val="none"/>
        </w:rPr>
        <w:t>21</w:t>
      </w:r>
      <w:r>
        <w:rPr>
          <w:sz w:val="24"/>
          <w:szCs w:val="24"/>
          <w:highlight w:val="none"/>
        </w:rPr>
        <w:t>年</w:t>
      </w:r>
      <w:r>
        <w:rPr>
          <w:rFonts w:hint="eastAsia"/>
          <w:sz w:val="24"/>
          <w:szCs w:val="24"/>
          <w:highlight w:val="none"/>
        </w:rPr>
        <w:t>版</w:t>
      </w:r>
      <w:r>
        <w:rPr>
          <w:sz w:val="24"/>
          <w:szCs w:val="24"/>
          <w:highlight w:val="none"/>
        </w:rPr>
        <w:t>》（部令第1</w:t>
      </w:r>
      <w:r>
        <w:rPr>
          <w:rFonts w:hint="eastAsia"/>
          <w:sz w:val="24"/>
          <w:szCs w:val="24"/>
          <w:highlight w:val="none"/>
        </w:rPr>
        <w:t>6</w:t>
      </w:r>
      <w:r>
        <w:rPr>
          <w:sz w:val="24"/>
          <w:szCs w:val="24"/>
          <w:highlight w:val="none"/>
        </w:rPr>
        <w:t>号）中</w:t>
      </w:r>
      <w:r>
        <w:rPr>
          <w:rFonts w:hint="eastAsia"/>
          <w:sz w:val="24"/>
          <w:szCs w:val="24"/>
          <w:highlight w:val="none"/>
        </w:rPr>
        <w:t>“六</w:t>
      </w:r>
      <w:r>
        <w:rPr>
          <w:sz w:val="24"/>
          <w:szCs w:val="24"/>
          <w:highlight w:val="none"/>
        </w:rPr>
        <w:t>、黑色金属矿采选业</w:t>
      </w:r>
      <w:r>
        <w:rPr>
          <w:rFonts w:hint="eastAsia"/>
          <w:sz w:val="24"/>
          <w:szCs w:val="24"/>
          <w:highlight w:val="none"/>
        </w:rPr>
        <w:t>”</w:t>
      </w:r>
      <w:r>
        <w:rPr>
          <w:sz w:val="24"/>
          <w:szCs w:val="24"/>
          <w:highlight w:val="none"/>
        </w:rPr>
        <w:t>，需编制环境影响报告书。</w:t>
      </w:r>
    </w:p>
    <w:p>
      <w:pPr>
        <w:ind w:firstLine="480"/>
        <w:rPr>
          <w:sz w:val="24"/>
          <w:szCs w:val="24"/>
          <w:highlight w:val="none"/>
        </w:rPr>
      </w:pPr>
      <w:r>
        <w:rPr>
          <w:rFonts w:hint="eastAsia"/>
          <w:sz w:val="24"/>
          <w:szCs w:val="24"/>
          <w:highlight w:val="none"/>
        </w:rPr>
        <w:t>遵化恒新矿业有限公司于2023年5月委托我公司承担该项目的环境影响评价工作。接</w:t>
      </w:r>
      <w:r>
        <w:rPr>
          <w:sz w:val="24"/>
          <w:szCs w:val="24"/>
          <w:highlight w:val="none"/>
        </w:rPr>
        <w:t>受委托后，评价单位组织技术人员认真研究本项目的有关材料，并进行实地踏勘和调研，收集和核实有关资料</w:t>
      </w:r>
      <w:r>
        <w:rPr>
          <w:rFonts w:hint="eastAsia"/>
          <w:sz w:val="24"/>
          <w:szCs w:val="24"/>
          <w:highlight w:val="none"/>
        </w:rPr>
        <w:t>，并按照导则要求委托有资质单位进行环境质量现状监测，并按照《环境影响评价公众参与办法》（生态环境部令第4号）的相关规定进行了公众参与工作，</w:t>
      </w:r>
      <w:r>
        <w:rPr>
          <w:rFonts w:hint="eastAsia"/>
          <w:bCs/>
          <w:sz w:val="24"/>
          <w:szCs w:val="24"/>
          <w:highlight w:val="none"/>
        </w:rPr>
        <w:t>遵化恒新矿业有限公司</w:t>
      </w:r>
      <w:r>
        <w:rPr>
          <w:sz w:val="24"/>
          <w:szCs w:val="24"/>
          <w:highlight w:val="none"/>
        </w:rPr>
        <w:t>于20</w:t>
      </w:r>
      <w:r>
        <w:rPr>
          <w:rFonts w:hint="eastAsia"/>
          <w:sz w:val="24"/>
          <w:szCs w:val="24"/>
          <w:highlight w:val="none"/>
        </w:rPr>
        <w:t>23</w:t>
      </w:r>
      <w:r>
        <w:rPr>
          <w:sz w:val="24"/>
          <w:szCs w:val="24"/>
          <w:highlight w:val="none"/>
        </w:rPr>
        <w:t>年</w:t>
      </w:r>
      <w:r>
        <w:rPr>
          <w:rFonts w:hint="eastAsia"/>
          <w:sz w:val="24"/>
          <w:szCs w:val="24"/>
          <w:highlight w:val="none"/>
        </w:rPr>
        <w:t>4</w:t>
      </w:r>
      <w:r>
        <w:rPr>
          <w:sz w:val="24"/>
          <w:szCs w:val="24"/>
          <w:highlight w:val="none"/>
        </w:rPr>
        <w:t>月</w:t>
      </w:r>
      <w:r>
        <w:rPr>
          <w:rFonts w:hint="eastAsia"/>
          <w:sz w:val="24"/>
          <w:szCs w:val="24"/>
          <w:highlight w:val="none"/>
        </w:rPr>
        <w:t>18</w:t>
      </w:r>
      <w:r>
        <w:rPr>
          <w:sz w:val="24"/>
          <w:szCs w:val="24"/>
          <w:highlight w:val="none"/>
        </w:rPr>
        <w:t>日～20</w:t>
      </w:r>
      <w:r>
        <w:rPr>
          <w:rFonts w:hint="eastAsia"/>
          <w:sz w:val="24"/>
          <w:szCs w:val="24"/>
          <w:highlight w:val="none"/>
        </w:rPr>
        <w:t>23</w:t>
      </w:r>
      <w:r>
        <w:rPr>
          <w:sz w:val="24"/>
          <w:szCs w:val="24"/>
          <w:highlight w:val="none"/>
        </w:rPr>
        <w:t>年</w:t>
      </w:r>
      <w:r>
        <w:rPr>
          <w:rFonts w:hint="eastAsia"/>
          <w:sz w:val="24"/>
          <w:szCs w:val="24"/>
          <w:highlight w:val="none"/>
        </w:rPr>
        <w:t>5</w:t>
      </w:r>
      <w:r>
        <w:rPr>
          <w:sz w:val="24"/>
          <w:szCs w:val="24"/>
          <w:highlight w:val="none"/>
        </w:rPr>
        <w:t>月</w:t>
      </w:r>
      <w:r>
        <w:rPr>
          <w:rFonts w:hint="eastAsia"/>
          <w:sz w:val="24"/>
          <w:szCs w:val="24"/>
          <w:highlight w:val="none"/>
        </w:rPr>
        <w:t>2</w:t>
      </w:r>
      <w:r>
        <w:rPr>
          <w:sz w:val="24"/>
          <w:szCs w:val="24"/>
          <w:highlight w:val="none"/>
        </w:rPr>
        <w:t>日第一次向公众进行信息公开，共10个工作日；环评报告</w:t>
      </w:r>
      <w:r>
        <w:rPr>
          <w:rFonts w:hint="eastAsia"/>
          <w:sz w:val="24"/>
          <w:szCs w:val="24"/>
          <w:highlight w:val="none"/>
        </w:rPr>
        <w:t>征求意见稿形成</w:t>
      </w:r>
      <w:r>
        <w:rPr>
          <w:sz w:val="24"/>
          <w:szCs w:val="24"/>
          <w:highlight w:val="none"/>
        </w:rPr>
        <w:t>后于20</w:t>
      </w:r>
      <w:r>
        <w:rPr>
          <w:rFonts w:hint="eastAsia"/>
          <w:sz w:val="24"/>
          <w:szCs w:val="24"/>
          <w:highlight w:val="none"/>
        </w:rPr>
        <w:t>23</w:t>
      </w:r>
      <w:r>
        <w:rPr>
          <w:sz w:val="24"/>
          <w:szCs w:val="24"/>
          <w:highlight w:val="none"/>
        </w:rPr>
        <w:t>年</w:t>
      </w:r>
      <w:r>
        <w:rPr>
          <w:rFonts w:hint="eastAsia"/>
          <w:sz w:val="24"/>
          <w:szCs w:val="24"/>
          <w:highlight w:val="none"/>
        </w:rPr>
        <w:t>6</w:t>
      </w:r>
      <w:r>
        <w:rPr>
          <w:sz w:val="24"/>
          <w:szCs w:val="24"/>
          <w:highlight w:val="none"/>
        </w:rPr>
        <w:t>月</w:t>
      </w:r>
      <w:r>
        <w:rPr>
          <w:rFonts w:hint="eastAsia"/>
          <w:sz w:val="24"/>
          <w:szCs w:val="24"/>
          <w:highlight w:val="none"/>
        </w:rPr>
        <w:t>25</w:t>
      </w:r>
      <w:r>
        <w:rPr>
          <w:sz w:val="24"/>
          <w:szCs w:val="24"/>
          <w:highlight w:val="none"/>
        </w:rPr>
        <w:t>日至</w:t>
      </w:r>
      <w:r>
        <w:rPr>
          <w:rFonts w:hint="eastAsia"/>
          <w:sz w:val="24"/>
          <w:szCs w:val="24"/>
          <w:highlight w:val="none"/>
        </w:rPr>
        <w:t>7</w:t>
      </w:r>
      <w:r>
        <w:rPr>
          <w:sz w:val="24"/>
          <w:szCs w:val="24"/>
          <w:highlight w:val="none"/>
        </w:rPr>
        <w:t>月</w:t>
      </w:r>
      <w:r>
        <w:rPr>
          <w:rFonts w:hint="eastAsia"/>
          <w:sz w:val="24"/>
          <w:szCs w:val="24"/>
          <w:highlight w:val="none"/>
        </w:rPr>
        <w:t>7</w:t>
      </w:r>
      <w:r>
        <w:rPr>
          <w:sz w:val="24"/>
          <w:szCs w:val="24"/>
          <w:highlight w:val="none"/>
        </w:rPr>
        <w:t>日，共10个工作日，</w:t>
      </w:r>
      <w:r>
        <w:rPr>
          <w:rFonts w:hint="eastAsia"/>
          <w:sz w:val="24"/>
          <w:szCs w:val="24"/>
          <w:highlight w:val="none"/>
        </w:rPr>
        <w:t>通过网络、报纸、现场三种方式</w:t>
      </w:r>
      <w:r>
        <w:rPr>
          <w:sz w:val="24"/>
          <w:szCs w:val="24"/>
          <w:highlight w:val="none"/>
        </w:rPr>
        <w:t>第二次向公众进行信息公开</w:t>
      </w:r>
      <w:r>
        <w:rPr>
          <w:rFonts w:hint="eastAsia"/>
          <w:sz w:val="24"/>
          <w:szCs w:val="24"/>
          <w:highlight w:val="none"/>
        </w:rPr>
        <w:t>，公示期间未收到被调查公众反馈的意见。</w:t>
      </w:r>
    </w:p>
    <w:p>
      <w:pPr>
        <w:widowControl/>
        <w:ind w:firstLine="480"/>
        <w:rPr>
          <w:sz w:val="24"/>
          <w:szCs w:val="24"/>
          <w:highlight w:val="none"/>
        </w:rPr>
      </w:pPr>
      <w:r>
        <w:rPr>
          <w:rFonts w:hint="eastAsia"/>
          <w:sz w:val="24"/>
          <w:szCs w:val="24"/>
          <w:highlight w:val="none"/>
        </w:rPr>
        <w:t>根据有关工程资料及现状监测报告，在进行现场调查、预测计算分析等工作的基础上，我公司按照《环境影响评价技术导则》的有关规定，于2023年7月完成本项目的环境影响报告书的编制，呈报遵化市行政审批局审批。</w:t>
      </w:r>
    </w:p>
    <w:p>
      <w:pPr>
        <w:pStyle w:val="5"/>
        <w:keepLines w:val="0"/>
        <w:widowControl/>
        <w:numPr>
          <w:ilvl w:val="1"/>
          <w:numId w:val="2"/>
        </w:numPr>
        <w:tabs>
          <w:tab w:val="left" w:pos="482"/>
        </w:tabs>
        <w:spacing w:before="0" w:after="0" w:line="360" w:lineRule="auto"/>
        <w:ind w:left="567"/>
        <w:rPr>
          <w:rFonts w:ascii="Times New Roman" w:hAnsi="Times New Roman" w:eastAsia="宋体"/>
          <w:bCs w:val="0"/>
          <w:snapToGrid w:val="0"/>
          <w:kern w:val="0"/>
          <w:sz w:val="28"/>
          <w:szCs w:val="28"/>
          <w:highlight w:val="none"/>
        </w:rPr>
      </w:pPr>
      <w:bookmarkStart w:id="26" w:name="_Toc8374"/>
      <w:bookmarkStart w:id="27" w:name="_Toc10755"/>
      <w:bookmarkStart w:id="28" w:name="_Toc11884"/>
      <w:bookmarkStart w:id="29" w:name="_Toc521591666"/>
      <w:bookmarkStart w:id="30" w:name="_Toc20001"/>
      <w:bookmarkStart w:id="31" w:name="_Toc524284655"/>
      <w:r>
        <w:rPr>
          <w:rFonts w:ascii="Times New Roman" w:hAnsi="Times New Roman" w:eastAsia="宋体"/>
          <w:bCs w:val="0"/>
          <w:snapToGrid w:val="0"/>
          <w:kern w:val="0"/>
          <w:sz w:val="28"/>
          <w:szCs w:val="28"/>
          <w:highlight w:val="none"/>
        </w:rPr>
        <w:t>分析判定相关情况</w:t>
      </w:r>
      <w:bookmarkEnd w:id="26"/>
    </w:p>
    <w:p>
      <w:pPr>
        <w:pStyle w:val="6"/>
        <w:numPr>
          <w:ilvl w:val="255"/>
          <w:numId w:val="0"/>
        </w:numPr>
        <w:rPr>
          <w:szCs w:val="28"/>
          <w:highlight w:val="none"/>
        </w:rPr>
      </w:pPr>
      <w:r>
        <w:rPr>
          <w:rFonts w:hint="eastAsia"/>
          <w:szCs w:val="28"/>
          <w:highlight w:val="none"/>
        </w:rPr>
        <w:t>1.3.1产业政策符合性</w:t>
      </w:r>
    </w:p>
    <w:p>
      <w:pPr>
        <w:ind w:firstLine="480"/>
        <w:jc w:val="both"/>
        <w:rPr>
          <w:sz w:val="24"/>
          <w:szCs w:val="24"/>
          <w:highlight w:val="none"/>
        </w:rPr>
      </w:pPr>
      <w:r>
        <w:rPr>
          <w:rFonts w:hint="eastAsia"/>
          <w:sz w:val="24"/>
          <w:szCs w:val="24"/>
          <w:highlight w:val="none"/>
        </w:rPr>
        <w:t>根据《产业结构调整指导目录(2019年本)》(国家发展改革委令第29号)，本项目不属于淘汰、限制类项目。同时，本项目亦不属于《河北省新增限制和淘汰类产业目录》(2015年版)（冀政办发［2015］57号）中新增限制和淘汰类产业项目。河北省发展和改革委员会出具了项目备案信息（</w:t>
      </w:r>
      <w:r>
        <w:rPr>
          <w:sz w:val="24"/>
          <w:szCs w:val="24"/>
          <w:highlight w:val="none"/>
        </w:rPr>
        <w:t>冀发改</w:t>
      </w:r>
      <w:r>
        <w:rPr>
          <w:rFonts w:hint="eastAsia"/>
          <w:sz w:val="24"/>
          <w:szCs w:val="24"/>
          <w:highlight w:val="none"/>
        </w:rPr>
        <w:t>政务</w:t>
      </w:r>
      <w:r>
        <w:rPr>
          <w:sz w:val="24"/>
          <w:szCs w:val="24"/>
          <w:highlight w:val="none"/>
        </w:rPr>
        <w:t>备字[20</w:t>
      </w:r>
      <w:r>
        <w:rPr>
          <w:rFonts w:hint="eastAsia"/>
          <w:sz w:val="24"/>
          <w:szCs w:val="24"/>
          <w:highlight w:val="none"/>
        </w:rPr>
        <w:t>23</w:t>
      </w:r>
      <w:r>
        <w:rPr>
          <w:sz w:val="24"/>
          <w:szCs w:val="24"/>
          <w:highlight w:val="none"/>
        </w:rPr>
        <w:t>]</w:t>
      </w:r>
      <w:r>
        <w:rPr>
          <w:rFonts w:hint="eastAsia"/>
          <w:sz w:val="24"/>
          <w:szCs w:val="24"/>
          <w:highlight w:val="none"/>
        </w:rPr>
        <w:t>76</w:t>
      </w:r>
      <w:r>
        <w:rPr>
          <w:sz w:val="24"/>
          <w:szCs w:val="24"/>
          <w:highlight w:val="none"/>
        </w:rPr>
        <w:t>号</w:t>
      </w:r>
      <w:r>
        <w:rPr>
          <w:rFonts w:hint="eastAsia"/>
          <w:sz w:val="24"/>
          <w:szCs w:val="24"/>
          <w:highlight w:val="none"/>
        </w:rPr>
        <w:t>），因此，本项目符合国家产业政策要求。</w:t>
      </w:r>
    </w:p>
    <w:p>
      <w:pPr>
        <w:pStyle w:val="6"/>
        <w:rPr>
          <w:sz w:val="24"/>
          <w:szCs w:val="24"/>
          <w:highlight w:val="none"/>
        </w:rPr>
      </w:pPr>
      <w:bookmarkStart w:id="32" w:name="_Hlk18933277"/>
      <w:r>
        <w:rPr>
          <w:rFonts w:hint="eastAsia"/>
          <w:szCs w:val="28"/>
          <w:highlight w:val="none"/>
        </w:rPr>
        <w:t>1.3.2选址合理性</w:t>
      </w:r>
      <w:bookmarkEnd w:id="32"/>
    </w:p>
    <w:p>
      <w:pPr>
        <w:snapToGrid w:val="0"/>
        <w:ind w:firstLine="480"/>
        <w:jc w:val="both"/>
        <w:rPr>
          <w:sz w:val="24"/>
          <w:szCs w:val="24"/>
          <w:highlight w:val="none"/>
        </w:rPr>
      </w:pPr>
      <w:r>
        <w:rPr>
          <w:rFonts w:hint="eastAsia"/>
          <w:sz w:val="24"/>
          <w:szCs w:val="24"/>
          <w:highlight w:val="none"/>
        </w:rPr>
        <w:t>本项目位于</w:t>
      </w:r>
      <w:r>
        <w:rPr>
          <w:sz w:val="24"/>
          <w:szCs w:val="24"/>
          <w:highlight w:val="none"/>
        </w:rPr>
        <w:t>遵化市</w:t>
      </w:r>
      <w:r>
        <w:rPr>
          <w:rFonts w:hint="eastAsia"/>
          <w:sz w:val="24"/>
          <w:szCs w:val="24"/>
          <w:highlight w:val="none"/>
        </w:rPr>
        <w:t>新店子镇马店子村</w:t>
      </w:r>
      <w:r>
        <w:rPr>
          <w:rFonts w:hint="eastAsia"/>
          <w:bCs/>
          <w:sz w:val="24"/>
          <w:szCs w:val="24"/>
          <w:highlight w:val="none"/>
        </w:rPr>
        <w:t>遵化恒新矿业有限公司现有厂区内，</w:t>
      </w:r>
      <w:r>
        <w:rPr>
          <w:rFonts w:hint="eastAsia"/>
          <w:sz w:val="24"/>
          <w:szCs w:val="24"/>
          <w:highlight w:val="none"/>
        </w:rPr>
        <w:t>评价范围内未涉及珍稀动植物、自然保护区等环境敏感区。根据遵化市住房和城乡规划建设局用地性质说明，本项目用地性质为建设用地，符合城乡规划要求。本项目选址符合规划要求。</w:t>
      </w:r>
    </w:p>
    <w:p>
      <w:pPr>
        <w:snapToGrid w:val="0"/>
        <w:ind w:firstLine="480"/>
        <w:jc w:val="both"/>
        <w:rPr>
          <w:sz w:val="24"/>
          <w:szCs w:val="24"/>
          <w:highlight w:val="none"/>
        </w:rPr>
      </w:pPr>
      <w:r>
        <w:rPr>
          <w:rFonts w:hint="eastAsia"/>
          <w:sz w:val="24"/>
          <w:szCs w:val="24"/>
          <w:highlight w:val="none"/>
        </w:rPr>
        <w:t>本项目厂址所在区域为《环境空气质量标准》（GB3095-2012）二类区，《声环境质量标准》（GB3096-2008）2类功能区，符合环境质量功能区划的要求。</w:t>
      </w:r>
    </w:p>
    <w:p>
      <w:pPr>
        <w:snapToGrid w:val="0"/>
        <w:ind w:firstLine="480"/>
        <w:jc w:val="both"/>
        <w:rPr>
          <w:sz w:val="24"/>
          <w:szCs w:val="24"/>
          <w:highlight w:val="none"/>
        </w:rPr>
      </w:pPr>
      <w:r>
        <w:rPr>
          <w:rFonts w:hint="eastAsia"/>
          <w:sz w:val="24"/>
          <w:szCs w:val="24"/>
          <w:highlight w:val="none"/>
        </w:rPr>
        <w:t>从厂址周围环境来看，四周距离较近的居民点为：距本项目主厂房最近的居民敏感点为</w:t>
      </w:r>
      <w:r>
        <w:rPr>
          <w:rFonts w:hint="eastAsia"/>
          <w:bCs/>
          <w:sz w:val="24"/>
          <w:highlight w:val="none"/>
        </w:rPr>
        <w:t>南</w:t>
      </w:r>
      <w:r>
        <w:rPr>
          <w:bCs/>
          <w:sz w:val="24"/>
          <w:highlight w:val="none"/>
        </w:rPr>
        <w:t>侧</w:t>
      </w:r>
      <w:r>
        <w:rPr>
          <w:rFonts w:hint="eastAsia"/>
          <w:bCs/>
          <w:sz w:val="24"/>
          <w:highlight w:val="none"/>
        </w:rPr>
        <w:t>27</w:t>
      </w:r>
      <w:r>
        <w:rPr>
          <w:bCs/>
          <w:sz w:val="24"/>
          <w:highlight w:val="none"/>
        </w:rPr>
        <w:t>0m处的</w:t>
      </w:r>
      <w:r>
        <w:rPr>
          <w:rFonts w:hint="eastAsia"/>
          <w:sz w:val="24"/>
          <w:szCs w:val="24"/>
          <w:highlight w:val="none"/>
        </w:rPr>
        <w:t>马店子村。经调查评价范围内无文物、景观和自然保护区等环境保护目标。根据项目情况及计算，本项目无需计算大气环境防护距离。</w:t>
      </w:r>
    </w:p>
    <w:p>
      <w:pPr>
        <w:snapToGrid w:val="0"/>
        <w:ind w:firstLine="480"/>
        <w:jc w:val="both"/>
        <w:rPr>
          <w:sz w:val="24"/>
          <w:szCs w:val="24"/>
          <w:highlight w:val="none"/>
        </w:rPr>
      </w:pPr>
      <w:r>
        <w:rPr>
          <w:rFonts w:hint="eastAsia"/>
          <w:sz w:val="24"/>
          <w:szCs w:val="24"/>
          <w:highlight w:val="none"/>
        </w:rPr>
        <w:t>因此，从环境敏感性分析，项目选址合理。</w:t>
      </w:r>
    </w:p>
    <w:p>
      <w:pPr>
        <w:pStyle w:val="6"/>
        <w:numPr>
          <w:ilvl w:val="255"/>
          <w:numId w:val="0"/>
        </w:numPr>
        <w:rPr>
          <w:szCs w:val="28"/>
          <w:highlight w:val="none"/>
        </w:rPr>
      </w:pPr>
      <w:r>
        <w:rPr>
          <w:rFonts w:hint="eastAsia"/>
          <w:szCs w:val="28"/>
          <w:highlight w:val="none"/>
        </w:rPr>
        <w:t>1.3.3</w:t>
      </w:r>
      <w:r>
        <w:rPr>
          <w:szCs w:val="28"/>
          <w:highlight w:val="none"/>
        </w:rPr>
        <w:t>与“三线一单”符合性</w:t>
      </w:r>
    </w:p>
    <w:p>
      <w:pPr>
        <w:snapToGrid w:val="0"/>
        <w:ind w:firstLine="480"/>
        <w:jc w:val="both"/>
        <w:rPr>
          <w:sz w:val="24"/>
          <w:szCs w:val="24"/>
          <w:highlight w:val="none"/>
        </w:rPr>
      </w:pPr>
      <w:r>
        <w:rPr>
          <w:rFonts w:hint="eastAsia"/>
          <w:sz w:val="24"/>
          <w:szCs w:val="24"/>
          <w:highlight w:val="none"/>
        </w:rPr>
        <w:t>根据《关于以改善环境质量为核心加强环境影响评价管理的通知》（环环评[2016]150号），要求以生态保护红线、环境质量底线、资源利用上线和环境准入负面清单（以下简称“三线一单”）为手段，强化空间、总量和准入环境管理。本项目建设与上述要求的符合性分析如下：</w:t>
      </w:r>
    </w:p>
    <w:p>
      <w:pPr>
        <w:snapToGrid w:val="0"/>
        <w:ind w:firstLine="480"/>
        <w:jc w:val="both"/>
        <w:rPr>
          <w:sz w:val="24"/>
          <w:szCs w:val="24"/>
          <w:highlight w:val="none"/>
        </w:rPr>
      </w:pPr>
      <w:r>
        <w:rPr>
          <w:rFonts w:hint="eastAsia"/>
          <w:sz w:val="24"/>
          <w:szCs w:val="24"/>
          <w:highlight w:val="none"/>
        </w:rPr>
        <w:t>（1）生态保护红线</w:t>
      </w:r>
    </w:p>
    <w:p>
      <w:pPr>
        <w:ind w:firstLine="480"/>
        <w:jc w:val="both"/>
        <w:rPr>
          <w:sz w:val="24"/>
          <w:szCs w:val="24"/>
          <w:highlight w:val="none"/>
        </w:rPr>
      </w:pPr>
      <w:r>
        <w:rPr>
          <w:rFonts w:hint="eastAsia"/>
          <w:sz w:val="24"/>
          <w:szCs w:val="24"/>
          <w:highlight w:val="none"/>
        </w:rPr>
        <w:t>根据《河北省生态保护红线》，全省生态保护红线类型分为重点生态功能区红线、生态环境敏感脆弱区红线、禁止开发区（各类保护地）红线三大类。</w:t>
      </w:r>
      <w:r>
        <w:rPr>
          <w:rFonts w:hint="eastAsia"/>
          <w:sz w:val="24"/>
          <w:highlight w:val="none"/>
        </w:rPr>
        <w:t>本项目不涉及生态保护红线区。</w:t>
      </w:r>
    </w:p>
    <w:p>
      <w:pPr>
        <w:snapToGrid w:val="0"/>
        <w:ind w:firstLine="480"/>
        <w:jc w:val="both"/>
        <w:rPr>
          <w:sz w:val="24"/>
          <w:szCs w:val="24"/>
          <w:highlight w:val="none"/>
        </w:rPr>
      </w:pPr>
      <w:r>
        <w:rPr>
          <w:rFonts w:hint="eastAsia"/>
          <w:sz w:val="24"/>
          <w:szCs w:val="24"/>
          <w:highlight w:val="none"/>
        </w:rPr>
        <w:t>（2）环境质量底线</w:t>
      </w:r>
    </w:p>
    <w:p>
      <w:pPr>
        <w:snapToGrid w:val="0"/>
        <w:ind w:firstLine="480"/>
        <w:jc w:val="both"/>
        <w:rPr>
          <w:sz w:val="24"/>
          <w:szCs w:val="24"/>
          <w:highlight w:val="none"/>
        </w:rPr>
      </w:pPr>
      <w:bookmarkStart w:id="33" w:name="_Hlk8964049"/>
      <w:r>
        <w:rPr>
          <w:rFonts w:hint="eastAsia"/>
          <w:sz w:val="24"/>
          <w:szCs w:val="24"/>
          <w:highlight w:val="none"/>
        </w:rPr>
        <w:t>①</w:t>
      </w:r>
      <w:bookmarkStart w:id="34" w:name="_Hlk9227020"/>
      <w:r>
        <w:rPr>
          <w:rFonts w:hint="eastAsia"/>
          <w:sz w:val="24"/>
          <w:szCs w:val="24"/>
          <w:highlight w:val="none"/>
        </w:rPr>
        <w:t>环境空气：</w:t>
      </w:r>
      <w:bookmarkEnd w:id="33"/>
      <w:bookmarkEnd w:id="34"/>
      <w:bookmarkStart w:id="35" w:name="_Hlk15897463"/>
      <w:r>
        <w:rPr>
          <w:sz w:val="24"/>
          <w:szCs w:val="24"/>
          <w:highlight w:val="none"/>
        </w:rPr>
        <w:t>项目区域大气环境为二类区，根据环境质量现状监测报告及遵化市环境空气质量数据，SO</w:t>
      </w:r>
      <w:r>
        <w:rPr>
          <w:sz w:val="24"/>
          <w:szCs w:val="24"/>
          <w:highlight w:val="none"/>
          <w:vertAlign w:val="subscript"/>
        </w:rPr>
        <w:t>2</w:t>
      </w:r>
      <w:r>
        <w:rPr>
          <w:sz w:val="24"/>
          <w:szCs w:val="24"/>
          <w:highlight w:val="none"/>
        </w:rPr>
        <w:t>、NO</w:t>
      </w:r>
      <w:r>
        <w:rPr>
          <w:sz w:val="24"/>
          <w:szCs w:val="24"/>
          <w:highlight w:val="none"/>
          <w:vertAlign w:val="subscript"/>
        </w:rPr>
        <w:t>2</w:t>
      </w:r>
      <w:r>
        <w:rPr>
          <w:sz w:val="24"/>
          <w:szCs w:val="24"/>
          <w:highlight w:val="none"/>
        </w:rPr>
        <w:t>、CO1h浓度及日均浓度满足《环境空气质量标准》（GB3095-2012）二级标准要求。O</w:t>
      </w:r>
      <w:r>
        <w:rPr>
          <w:sz w:val="24"/>
          <w:szCs w:val="24"/>
          <w:highlight w:val="none"/>
          <w:vertAlign w:val="subscript"/>
        </w:rPr>
        <w:t>3</w:t>
      </w:r>
      <w:r>
        <w:rPr>
          <w:sz w:val="24"/>
          <w:szCs w:val="24"/>
          <w:highlight w:val="none"/>
        </w:rPr>
        <w:t>1h浓度及8h浓度满足《环境空气质量标准》（GB3095-2012）二级标准要求。PM</w:t>
      </w:r>
      <w:r>
        <w:rPr>
          <w:sz w:val="24"/>
          <w:szCs w:val="24"/>
          <w:highlight w:val="none"/>
          <w:vertAlign w:val="subscript"/>
        </w:rPr>
        <w:t>2.5</w:t>
      </w:r>
      <w:r>
        <w:rPr>
          <w:sz w:val="24"/>
          <w:szCs w:val="24"/>
          <w:highlight w:val="none"/>
        </w:rPr>
        <w:t>日均浓度满足《环境空气质量标准》（GB3095-2012）二级标准要求。PM</w:t>
      </w:r>
      <w:r>
        <w:rPr>
          <w:sz w:val="24"/>
          <w:szCs w:val="24"/>
          <w:highlight w:val="none"/>
          <w:vertAlign w:val="subscript"/>
        </w:rPr>
        <w:t>10</w:t>
      </w:r>
      <w:r>
        <w:rPr>
          <w:sz w:val="24"/>
          <w:szCs w:val="24"/>
          <w:highlight w:val="none"/>
        </w:rPr>
        <w:t>日均浓度超标。本项目经通过采取相应的治理措施后，废气排放浓度满足《铁矿采选工业污染物排放标准》（GB28661-2012）表6大气污染物特别排放限值要求；厂界无组织颗粒物满足表7大气污染物无组织排放浓度限值。该项目主要污染物—颗粒物污染排放总量需进行区域削减，其削减方案由当地环保管理部门在区域削减的基础上给出，并通过交易获得。该项目为允许类项目，根据</w:t>
      </w:r>
      <w:r>
        <w:rPr>
          <w:rFonts w:hint="eastAsia"/>
          <w:sz w:val="24"/>
          <w:szCs w:val="24"/>
          <w:highlight w:val="none"/>
        </w:rPr>
        <w:t>“</w:t>
      </w:r>
      <w:r>
        <w:rPr>
          <w:sz w:val="24"/>
          <w:szCs w:val="24"/>
          <w:highlight w:val="none"/>
        </w:rPr>
        <w:t>增一减二</w:t>
      </w:r>
      <w:r>
        <w:rPr>
          <w:rFonts w:hint="eastAsia"/>
          <w:sz w:val="24"/>
          <w:szCs w:val="24"/>
          <w:highlight w:val="none"/>
        </w:rPr>
        <w:t>”</w:t>
      </w:r>
      <w:r>
        <w:rPr>
          <w:sz w:val="24"/>
          <w:szCs w:val="24"/>
          <w:highlight w:val="none"/>
        </w:rPr>
        <w:t>原则</w:t>
      </w:r>
      <w:r>
        <w:rPr>
          <w:rFonts w:hint="eastAsia"/>
          <w:sz w:val="24"/>
          <w:szCs w:val="24"/>
          <w:highlight w:val="none"/>
        </w:rPr>
        <w:t>进行调剂削减</w:t>
      </w:r>
      <w:r>
        <w:rPr>
          <w:sz w:val="24"/>
          <w:szCs w:val="24"/>
          <w:highlight w:val="none"/>
        </w:rPr>
        <w:t>。因此，当项目投产后，不会对周边区域大气环境造成明显不利影响。</w:t>
      </w:r>
      <w:bookmarkEnd w:id="35"/>
    </w:p>
    <w:p>
      <w:pPr>
        <w:snapToGrid w:val="0"/>
        <w:ind w:firstLine="480"/>
        <w:jc w:val="both"/>
        <w:rPr>
          <w:sz w:val="24"/>
          <w:szCs w:val="24"/>
          <w:highlight w:val="none"/>
        </w:rPr>
      </w:pPr>
      <w:r>
        <w:rPr>
          <w:rFonts w:hint="eastAsia"/>
          <w:sz w:val="24"/>
          <w:szCs w:val="24"/>
          <w:highlight w:val="none"/>
        </w:rPr>
        <w:t>②水环境：本项目生产废水经处理后循环使用，不新增生活废水产生量尘，洗车废水经沉淀后循环使用。项目生产生活废水不外排，不会对区域地表水环境产生影响。</w:t>
      </w:r>
    </w:p>
    <w:p>
      <w:pPr>
        <w:snapToGrid w:val="0"/>
        <w:ind w:firstLine="480"/>
        <w:jc w:val="both"/>
        <w:rPr>
          <w:sz w:val="24"/>
          <w:szCs w:val="24"/>
          <w:highlight w:val="none"/>
        </w:rPr>
      </w:pPr>
      <w:r>
        <w:rPr>
          <w:rFonts w:hint="eastAsia"/>
          <w:sz w:val="24"/>
          <w:szCs w:val="24"/>
          <w:highlight w:val="none"/>
        </w:rPr>
        <w:t>③声环境：项目所在区域声环境执行《声环境质量标准》（GB3096-2008）2类标准，根据环境质量现状监测报告，项目所在区域满足环境质量标准要求。项目主要噪声源优先选用低噪声设备，并置于车间内，设备采用基础减振措施、加装減振器等措施，根据预测结果，厂界噪声贡献值满足《工业企业厂界环境噪声排放标准》(GB13248-2008)2类标准要求，不会改变厂界现有功能要求。</w:t>
      </w:r>
    </w:p>
    <w:p>
      <w:pPr>
        <w:snapToGrid w:val="0"/>
        <w:ind w:firstLine="480"/>
        <w:jc w:val="both"/>
        <w:rPr>
          <w:sz w:val="24"/>
          <w:szCs w:val="24"/>
          <w:highlight w:val="none"/>
        </w:rPr>
      </w:pPr>
      <w:r>
        <w:rPr>
          <w:rFonts w:hint="eastAsia"/>
          <w:sz w:val="24"/>
          <w:szCs w:val="24"/>
          <w:highlight w:val="none"/>
        </w:rPr>
        <w:t>（3）资源利用上线</w:t>
      </w:r>
    </w:p>
    <w:p>
      <w:pPr>
        <w:ind w:firstLine="480"/>
        <w:rPr>
          <w:sz w:val="24"/>
          <w:szCs w:val="24"/>
          <w:highlight w:val="none"/>
        </w:rPr>
      </w:pPr>
      <w:r>
        <w:rPr>
          <w:rFonts w:hint="eastAsia"/>
          <w:sz w:val="24"/>
          <w:szCs w:val="24"/>
          <w:highlight w:val="none"/>
        </w:rPr>
        <w:t>本项目建设生产过程中，主要利用的资源是铁矿石，水，电能。项目原料铁矿石主要来源于</w:t>
      </w:r>
      <w:r>
        <w:rPr>
          <w:sz w:val="24"/>
          <w:szCs w:val="24"/>
          <w:highlight w:val="none"/>
        </w:rPr>
        <w:t>遵化市</w:t>
      </w:r>
      <w:r>
        <w:rPr>
          <w:rFonts w:hint="eastAsia"/>
          <w:sz w:val="24"/>
          <w:szCs w:val="24"/>
          <w:highlight w:val="none"/>
        </w:rPr>
        <w:t>本地矿场，原料供应有保障。项目用水为地下水，根据《河北省人民政府关于公布地下水超采区、禁止开采区和限制开采区范围的通知》（冀政字〔2022〕59号），项目所在地不属于超采、禁采和限采范围内，项目所在区地下水资源丰富，水资源供应有保障。项目供电由当地变电站供电，电供应有保障。</w:t>
      </w:r>
    </w:p>
    <w:p>
      <w:pPr>
        <w:snapToGrid w:val="0"/>
        <w:ind w:firstLine="480"/>
        <w:jc w:val="both"/>
        <w:rPr>
          <w:sz w:val="24"/>
          <w:szCs w:val="24"/>
          <w:highlight w:val="none"/>
        </w:rPr>
      </w:pPr>
      <w:r>
        <w:rPr>
          <w:rFonts w:hint="eastAsia"/>
          <w:sz w:val="24"/>
          <w:szCs w:val="24"/>
          <w:highlight w:val="none"/>
        </w:rPr>
        <w:t>（4）环境准入负面清单</w:t>
      </w:r>
    </w:p>
    <w:p>
      <w:pPr>
        <w:ind w:firstLine="480"/>
        <w:jc w:val="both"/>
        <w:rPr>
          <w:highlight w:val="none"/>
        </w:rPr>
      </w:pPr>
      <w:r>
        <w:rPr>
          <w:rFonts w:hint="eastAsia"/>
          <w:sz w:val="24"/>
          <w:szCs w:val="24"/>
          <w:highlight w:val="none"/>
          <w:lang w:val="zh-CN"/>
        </w:rPr>
        <w:t>本项目生产规模为年处理</w:t>
      </w:r>
      <w:r>
        <w:rPr>
          <w:rFonts w:hint="eastAsia"/>
          <w:sz w:val="24"/>
          <w:szCs w:val="24"/>
          <w:highlight w:val="none"/>
        </w:rPr>
        <w:t>60</w:t>
      </w:r>
      <w:r>
        <w:rPr>
          <w:rFonts w:hint="eastAsia"/>
          <w:sz w:val="24"/>
          <w:szCs w:val="24"/>
          <w:highlight w:val="none"/>
          <w:lang w:val="zh-CN"/>
        </w:rPr>
        <w:t>万吨铁矿石、</w:t>
      </w:r>
      <w:r>
        <w:rPr>
          <w:rFonts w:hint="eastAsia"/>
          <w:sz w:val="24"/>
          <w:szCs w:val="24"/>
          <w:highlight w:val="none"/>
        </w:rPr>
        <w:t>120万吨粗精矿</w:t>
      </w:r>
      <w:r>
        <w:rPr>
          <w:rFonts w:hint="eastAsia"/>
          <w:sz w:val="24"/>
          <w:szCs w:val="24"/>
          <w:highlight w:val="none"/>
          <w:lang w:val="zh-CN"/>
        </w:rPr>
        <w:t>，不属于《产业结构调整指导目录（201</w:t>
      </w:r>
      <w:r>
        <w:rPr>
          <w:rFonts w:hint="eastAsia"/>
          <w:sz w:val="24"/>
          <w:szCs w:val="24"/>
          <w:highlight w:val="none"/>
        </w:rPr>
        <w:t>9</w:t>
      </w:r>
      <w:r>
        <w:rPr>
          <w:rFonts w:hint="eastAsia"/>
          <w:sz w:val="24"/>
          <w:szCs w:val="24"/>
          <w:highlight w:val="none"/>
          <w:lang w:val="zh-CN"/>
        </w:rPr>
        <w:t>年本）（国家发改委</w:t>
      </w:r>
      <w:r>
        <w:rPr>
          <w:rFonts w:hint="eastAsia"/>
          <w:sz w:val="24"/>
          <w:szCs w:val="24"/>
          <w:highlight w:val="none"/>
        </w:rPr>
        <w:t>第29</w:t>
      </w:r>
      <w:r>
        <w:rPr>
          <w:rFonts w:hint="eastAsia"/>
          <w:sz w:val="24"/>
          <w:szCs w:val="24"/>
          <w:highlight w:val="none"/>
          <w:lang w:val="zh-CN"/>
        </w:rPr>
        <w:t>号令）禁止或限制类项目，属于允许建设类项目；亦不属于《河北省人民政府办公厅关于印发河北省新增限制和淘汰类产业目录的通知》（冀政办发[2015]7号）中所规定的禁止和限制建设的工程。本项目建设方案符合《遵化市铁选矿综合治理工作实施方案》的要求（粗选年处理原矿能力不得低于15万吨，精选年处理铁粉能力不得低于20万吨），符合环境准入负面清单有关的要求。</w:t>
      </w:r>
    </w:p>
    <w:p>
      <w:pPr>
        <w:pStyle w:val="5"/>
        <w:keepLines w:val="0"/>
        <w:widowControl/>
        <w:numPr>
          <w:ilvl w:val="1"/>
          <w:numId w:val="2"/>
        </w:numPr>
        <w:tabs>
          <w:tab w:val="left" w:pos="482"/>
        </w:tabs>
        <w:spacing w:before="0" w:after="0" w:line="360" w:lineRule="auto"/>
        <w:ind w:left="567"/>
        <w:rPr>
          <w:rFonts w:ascii="Times New Roman" w:hAnsi="Times New Roman" w:eastAsia="宋体"/>
          <w:bCs w:val="0"/>
          <w:snapToGrid w:val="0"/>
          <w:kern w:val="0"/>
          <w:sz w:val="28"/>
          <w:szCs w:val="28"/>
          <w:highlight w:val="none"/>
        </w:rPr>
      </w:pPr>
      <w:bookmarkStart w:id="36" w:name="_Toc490"/>
      <w:r>
        <w:rPr>
          <w:rFonts w:ascii="Times New Roman" w:hAnsi="Times New Roman" w:eastAsia="宋体"/>
          <w:bCs w:val="0"/>
          <w:snapToGrid w:val="0"/>
          <w:kern w:val="0"/>
          <w:sz w:val="28"/>
          <w:szCs w:val="28"/>
          <w:highlight w:val="none"/>
        </w:rPr>
        <w:t>关注的主要环境问题及环境影响</w:t>
      </w:r>
      <w:bookmarkEnd w:id="27"/>
      <w:bookmarkEnd w:id="28"/>
      <w:bookmarkEnd w:id="29"/>
      <w:bookmarkEnd w:id="30"/>
      <w:bookmarkEnd w:id="31"/>
      <w:bookmarkEnd w:id="36"/>
    </w:p>
    <w:p>
      <w:pPr>
        <w:snapToGrid w:val="0"/>
        <w:ind w:firstLine="496"/>
        <w:jc w:val="both"/>
        <w:rPr>
          <w:bCs/>
          <w:spacing w:val="4"/>
          <w:sz w:val="24"/>
          <w:highlight w:val="none"/>
        </w:rPr>
      </w:pPr>
      <w:r>
        <w:rPr>
          <w:rFonts w:hint="eastAsia"/>
          <w:bCs/>
          <w:spacing w:val="4"/>
          <w:sz w:val="24"/>
          <w:highlight w:val="none"/>
        </w:rPr>
        <w:t>项目环境影响评价内容主要包括：概述、总则、建设项目工程分析、环境现状调查与评价、环境影响预测与评价、环境保护措施及其可行性论证、环境影响经济损益分析、环境管理与监测计划、环境影响评价结论等。</w:t>
      </w:r>
    </w:p>
    <w:p>
      <w:pPr>
        <w:snapToGrid w:val="0"/>
        <w:ind w:firstLine="496"/>
        <w:jc w:val="both"/>
        <w:rPr>
          <w:bCs/>
          <w:sz w:val="24"/>
          <w:highlight w:val="none"/>
        </w:rPr>
      </w:pPr>
      <w:r>
        <w:rPr>
          <w:rFonts w:hint="eastAsia"/>
          <w:bCs/>
          <w:spacing w:val="4"/>
          <w:sz w:val="24"/>
          <w:highlight w:val="none"/>
        </w:rPr>
        <w:t>本项目需关注主要的环境问题为生产过程中产生的废水、废气、噪声、固废等污染物产生及排放控制措施；重点分析废气排放对周围环境空气的影响、固废处理处置的影响。</w:t>
      </w:r>
    </w:p>
    <w:p>
      <w:pPr>
        <w:pStyle w:val="5"/>
        <w:keepLines w:val="0"/>
        <w:widowControl/>
        <w:numPr>
          <w:ilvl w:val="1"/>
          <w:numId w:val="2"/>
        </w:numPr>
        <w:tabs>
          <w:tab w:val="left" w:pos="482"/>
        </w:tabs>
        <w:spacing w:before="0" w:after="0" w:line="360" w:lineRule="auto"/>
        <w:ind w:left="567"/>
        <w:rPr>
          <w:rFonts w:ascii="Times New Roman" w:hAnsi="Times New Roman" w:eastAsia="宋体"/>
          <w:bCs w:val="0"/>
          <w:snapToGrid w:val="0"/>
          <w:kern w:val="0"/>
          <w:sz w:val="28"/>
          <w:szCs w:val="28"/>
          <w:highlight w:val="none"/>
        </w:rPr>
      </w:pPr>
      <w:bookmarkStart w:id="37" w:name="_Toc179"/>
      <w:bookmarkStart w:id="38" w:name="_Toc26550"/>
      <w:bookmarkStart w:id="39" w:name="_Toc524284656"/>
      <w:bookmarkStart w:id="40" w:name="_Toc499651394"/>
      <w:bookmarkStart w:id="41" w:name="_Toc521591667"/>
      <w:bookmarkStart w:id="42" w:name="_Toc503218093"/>
      <w:bookmarkStart w:id="43" w:name="_Toc476574684"/>
      <w:bookmarkStart w:id="44" w:name="_Toc24730"/>
      <w:bookmarkStart w:id="45" w:name="_Toc20321"/>
      <w:r>
        <w:rPr>
          <w:rFonts w:hint="eastAsia" w:ascii="Times New Roman" w:hAnsi="Times New Roman" w:eastAsia="宋体"/>
          <w:bCs w:val="0"/>
          <w:snapToGrid w:val="0"/>
          <w:kern w:val="0"/>
          <w:sz w:val="28"/>
          <w:szCs w:val="28"/>
          <w:highlight w:val="none"/>
        </w:rPr>
        <w:t>评价</w:t>
      </w:r>
      <w:r>
        <w:rPr>
          <w:rFonts w:ascii="Times New Roman" w:hAnsi="Times New Roman" w:eastAsia="宋体"/>
          <w:bCs w:val="0"/>
          <w:snapToGrid w:val="0"/>
          <w:kern w:val="0"/>
          <w:sz w:val="28"/>
          <w:szCs w:val="28"/>
          <w:highlight w:val="none"/>
        </w:rPr>
        <w:t>结论</w:t>
      </w:r>
      <w:bookmarkEnd w:id="37"/>
      <w:bookmarkEnd w:id="38"/>
      <w:bookmarkEnd w:id="39"/>
      <w:bookmarkEnd w:id="40"/>
      <w:bookmarkEnd w:id="41"/>
      <w:bookmarkEnd w:id="42"/>
      <w:bookmarkEnd w:id="43"/>
      <w:bookmarkEnd w:id="44"/>
      <w:bookmarkEnd w:id="45"/>
    </w:p>
    <w:p>
      <w:pPr>
        <w:snapToGrid w:val="0"/>
        <w:ind w:firstLine="480"/>
        <w:jc w:val="both"/>
        <w:rPr>
          <w:sz w:val="24"/>
          <w:szCs w:val="24"/>
          <w:highlight w:val="none"/>
        </w:rPr>
      </w:pPr>
      <w:r>
        <w:rPr>
          <w:rFonts w:hint="eastAsia"/>
          <w:sz w:val="24"/>
          <w:szCs w:val="24"/>
          <w:highlight w:val="none"/>
        </w:rPr>
        <w:t>经本次评价分析，生产工艺中主要污染源采用的防治措施可行，污染物达标排放，对周围环境影响较小。只要切实落实工程环保实施方案，并做到“三同时”，同时加强环境管理，从环境保护角度考虑，本项目建设可行。</w:t>
      </w:r>
    </w:p>
    <w:p>
      <w:pPr>
        <w:ind w:firstLine="480"/>
        <w:jc w:val="both"/>
        <w:rPr>
          <w:sz w:val="24"/>
          <w:szCs w:val="24"/>
          <w:highlight w:val="none"/>
        </w:rPr>
      </w:pPr>
      <w:r>
        <w:rPr>
          <w:rFonts w:hint="eastAsia"/>
          <w:sz w:val="24"/>
          <w:szCs w:val="24"/>
          <w:highlight w:val="none"/>
        </w:rPr>
        <w:t>在报告书编制过程中，得到了遵化市行政审批局、遵化恒新矿业有限公司等诸多单位的大力支持和帮助，在此一并致谢！</w:t>
      </w:r>
    </w:p>
    <w:p>
      <w:pPr>
        <w:ind w:firstLine="496"/>
        <w:jc w:val="both"/>
        <w:rPr>
          <w:bCs/>
          <w:spacing w:val="4"/>
          <w:sz w:val="24"/>
          <w:highlight w:val="none"/>
        </w:rPr>
      </w:pPr>
    </w:p>
    <w:p>
      <w:pPr>
        <w:spacing w:line="460" w:lineRule="exact"/>
        <w:ind w:firstLine="0" w:firstLineChars="0"/>
        <w:rPr>
          <w:highlight w:val="none"/>
        </w:rPr>
        <w:sectPr>
          <w:footerReference r:id="rId12" w:type="default"/>
          <w:pgSz w:w="11906" w:h="16838"/>
          <w:pgMar w:top="1440" w:right="1800" w:bottom="1135" w:left="1800" w:header="851" w:footer="992" w:gutter="0"/>
          <w:pgNumType w:start="1"/>
          <w:cols w:space="720" w:num="1"/>
          <w:docGrid w:linePitch="312" w:charSpace="0"/>
        </w:sectPr>
      </w:pPr>
    </w:p>
    <w:p>
      <w:pPr>
        <w:pStyle w:val="4"/>
        <w:numPr>
          <w:ilvl w:val="0"/>
          <w:numId w:val="1"/>
        </w:numPr>
        <w:rPr>
          <w:rFonts w:ascii="Times New Roman"/>
          <w:sz w:val="36"/>
          <w:highlight w:val="none"/>
        </w:rPr>
      </w:pPr>
      <w:bookmarkStart w:id="46" w:name="_Toc9364"/>
      <w:bookmarkStart w:id="47" w:name="_Toc524284657"/>
      <w:bookmarkStart w:id="48" w:name="_Toc18006"/>
      <w:bookmarkStart w:id="49" w:name="_Toc521591668"/>
      <w:bookmarkStart w:id="50" w:name="_Toc22810"/>
      <w:bookmarkStart w:id="51" w:name="_Toc6676"/>
      <w:r>
        <w:rPr>
          <w:rFonts w:ascii="Times New Roman"/>
          <w:sz w:val="36"/>
          <w:highlight w:val="none"/>
        </w:rPr>
        <w:t>总则</w:t>
      </w:r>
      <w:bookmarkEnd w:id="46"/>
      <w:bookmarkEnd w:id="47"/>
      <w:bookmarkEnd w:id="48"/>
      <w:bookmarkEnd w:id="49"/>
      <w:bookmarkEnd w:id="50"/>
      <w:bookmarkEnd w:id="51"/>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52" w:name="_Toc3976"/>
      <w:bookmarkStart w:id="53" w:name="_Toc5807"/>
      <w:bookmarkStart w:id="54" w:name="_Toc476574686"/>
      <w:bookmarkStart w:id="55" w:name="_Toc503218095"/>
      <w:bookmarkStart w:id="56" w:name="_Toc499651396"/>
      <w:bookmarkStart w:id="57" w:name="_Toc13558"/>
      <w:bookmarkStart w:id="58" w:name="_Toc6068"/>
      <w:bookmarkStart w:id="59" w:name="_Toc521591669"/>
      <w:bookmarkStart w:id="60" w:name="_Toc524284658"/>
      <w:bookmarkStart w:id="61" w:name="_Toc50980392"/>
      <w:r>
        <w:rPr>
          <w:rFonts w:ascii="Times New Roman" w:hAnsi="Times New Roman" w:eastAsia="宋体"/>
          <w:bCs w:val="0"/>
          <w:snapToGrid w:val="0"/>
          <w:kern w:val="0"/>
          <w:sz w:val="28"/>
          <w:szCs w:val="28"/>
          <w:highlight w:val="none"/>
        </w:rPr>
        <w:t>编制依据</w:t>
      </w:r>
      <w:bookmarkEnd w:id="52"/>
      <w:bookmarkEnd w:id="53"/>
      <w:bookmarkEnd w:id="54"/>
      <w:bookmarkEnd w:id="55"/>
      <w:bookmarkEnd w:id="56"/>
      <w:bookmarkEnd w:id="57"/>
      <w:bookmarkEnd w:id="58"/>
      <w:bookmarkEnd w:id="59"/>
      <w:bookmarkEnd w:id="60"/>
    </w:p>
    <w:bookmarkEnd w:id="61"/>
    <w:p>
      <w:pPr>
        <w:pStyle w:val="6"/>
        <w:numPr>
          <w:ilvl w:val="2"/>
          <w:numId w:val="1"/>
        </w:numPr>
        <w:rPr>
          <w:szCs w:val="28"/>
          <w:highlight w:val="none"/>
        </w:rPr>
      </w:pPr>
      <w:bookmarkStart w:id="62" w:name="_Toc8116"/>
      <w:bookmarkStart w:id="63" w:name="_Toc521591670"/>
      <w:r>
        <w:rPr>
          <w:szCs w:val="28"/>
          <w:highlight w:val="none"/>
        </w:rPr>
        <w:t>法律</w:t>
      </w:r>
      <w:bookmarkEnd w:id="62"/>
      <w:bookmarkEnd w:id="63"/>
    </w:p>
    <w:p>
      <w:pPr>
        <w:ind w:firstLine="480"/>
        <w:jc w:val="both"/>
        <w:rPr>
          <w:sz w:val="24"/>
          <w:szCs w:val="24"/>
          <w:highlight w:val="none"/>
        </w:rPr>
      </w:pPr>
      <w:bookmarkStart w:id="64" w:name="_Toc2560"/>
      <w:r>
        <w:rPr>
          <w:sz w:val="24"/>
          <w:szCs w:val="24"/>
          <w:highlight w:val="none"/>
        </w:rPr>
        <w:t>（1）《中华人民共和国环境保护法》，2015年1月1日施行；</w:t>
      </w:r>
    </w:p>
    <w:p>
      <w:pPr>
        <w:ind w:firstLine="480"/>
        <w:jc w:val="both"/>
        <w:rPr>
          <w:sz w:val="24"/>
          <w:szCs w:val="24"/>
          <w:highlight w:val="none"/>
        </w:rPr>
      </w:pPr>
      <w:r>
        <w:rPr>
          <w:sz w:val="24"/>
          <w:szCs w:val="24"/>
          <w:highlight w:val="none"/>
        </w:rPr>
        <w:t>（2）《中华人民共和国环境影响评价法》，2018年12月29日施行；</w:t>
      </w:r>
    </w:p>
    <w:p>
      <w:pPr>
        <w:ind w:firstLine="480"/>
        <w:jc w:val="both"/>
        <w:rPr>
          <w:sz w:val="24"/>
          <w:szCs w:val="24"/>
          <w:highlight w:val="none"/>
        </w:rPr>
      </w:pPr>
      <w:r>
        <w:rPr>
          <w:sz w:val="24"/>
          <w:szCs w:val="24"/>
          <w:highlight w:val="none"/>
        </w:rPr>
        <w:t>（3）《中华人民共和国大气污染防治法》，2018年10月修订；</w:t>
      </w:r>
    </w:p>
    <w:p>
      <w:pPr>
        <w:ind w:firstLine="480"/>
        <w:jc w:val="both"/>
        <w:rPr>
          <w:sz w:val="24"/>
          <w:szCs w:val="24"/>
          <w:highlight w:val="none"/>
        </w:rPr>
      </w:pPr>
      <w:r>
        <w:rPr>
          <w:sz w:val="24"/>
          <w:szCs w:val="24"/>
          <w:highlight w:val="none"/>
        </w:rPr>
        <w:t>（4）《中华人民共和国水污染防治法》，2018年1月1日施行；</w:t>
      </w:r>
    </w:p>
    <w:p>
      <w:pPr>
        <w:ind w:firstLine="480"/>
        <w:jc w:val="both"/>
        <w:rPr>
          <w:sz w:val="24"/>
          <w:szCs w:val="24"/>
          <w:highlight w:val="none"/>
        </w:rPr>
      </w:pPr>
      <w:r>
        <w:rPr>
          <w:sz w:val="24"/>
          <w:szCs w:val="24"/>
          <w:highlight w:val="none"/>
        </w:rPr>
        <w:t>（5）《中华人民共和国海洋环境保护法》，2016年11月7日修订；</w:t>
      </w:r>
    </w:p>
    <w:p>
      <w:pPr>
        <w:ind w:firstLine="480"/>
        <w:jc w:val="both"/>
        <w:rPr>
          <w:sz w:val="24"/>
          <w:szCs w:val="24"/>
          <w:highlight w:val="none"/>
        </w:rPr>
      </w:pPr>
      <w:r>
        <w:rPr>
          <w:sz w:val="24"/>
          <w:szCs w:val="24"/>
          <w:highlight w:val="none"/>
        </w:rPr>
        <w:t>（6）《中华人民共和国环境噪声污染防治法》， 20</w:t>
      </w:r>
      <w:r>
        <w:rPr>
          <w:rFonts w:hint="eastAsia"/>
          <w:sz w:val="24"/>
          <w:szCs w:val="24"/>
          <w:highlight w:val="none"/>
        </w:rPr>
        <w:t>22</w:t>
      </w:r>
      <w:r>
        <w:rPr>
          <w:sz w:val="24"/>
          <w:szCs w:val="24"/>
          <w:highlight w:val="none"/>
        </w:rPr>
        <w:t>年</w:t>
      </w:r>
      <w:r>
        <w:rPr>
          <w:rFonts w:hint="eastAsia"/>
          <w:sz w:val="24"/>
          <w:szCs w:val="24"/>
          <w:highlight w:val="none"/>
        </w:rPr>
        <w:t>6</w:t>
      </w:r>
      <w:r>
        <w:rPr>
          <w:sz w:val="24"/>
          <w:szCs w:val="24"/>
          <w:highlight w:val="none"/>
        </w:rPr>
        <w:t>月</w:t>
      </w:r>
      <w:r>
        <w:rPr>
          <w:rFonts w:hint="eastAsia"/>
          <w:sz w:val="24"/>
          <w:szCs w:val="24"/>
          <w:highlight w:val="none"/>
        </w:rPr>
        <w:t>5</w:t>
      </w:r>
      <w:r>
        <w:rPr>
          <w:sz w:val="24"/>
          <w:szCs w:val="24"/>
          <w:highlight w:val="none"/>
        </w:rPr>
        <w:t>日施行；</w:t>
      </w:r>
    </w:p>
    <w:p>
      <w:pPr>
        <w:ind w:firstLine="480"/>
        <w:jc w:val="both"/>
        <w:rPr>
          <w:sz w:val="24"/>
          <w:szCs w:val="24"/>
          <w:highlight w:val="none"/>
        </w:rPr>
      </w:pPr>
      <w:r>
        <w:rPr>
          <w:sz w:val="24"/>
          <w:szCs w:val="24"/>
          <w:highlight w:val="none"/>
        </w:rPr>
        <w:t>（7）《中华人民共和国固体废物污染环境防治法》，2020年9月1日施行；</w:t>
      </w:r>
    </w:p>
    <w:p>
      <w:pPr>
        <w:ind w:firstLine="480"/>
        <w:jc w:val="both"/>
        <w:rPr>
          <w:sz w:val="24"/>
          <w:szCs w:val="24"/>
          <w:highlight w:val="none"/>
        </w:rPr>
      </w:pPr>
      <w:r>
        <w:rPr>
          <w:sz w:val="24"/>
          <w:szCs w:val="24"/>
          <w:highlight w:val="none"/>
        </w:rPr>
        <w:t>（8）《中华人民共和国环境土壤污染防治法》，2019年1月1日施行；</w:t>
      </w:r>
    </w:p>
    <w:p>
      <w:pPr>
        <w:ind w:firstLine="480"/>
        <w:jc w:val="both"/>
        <w:rPr>
          <w:sz w:val="24"/>
          <w:szCs w:val="24"/>
          <w:highlight w:val="none"/>
        </w:rPr>
      </w:pPr>
      <w:r>
        <w:rPr>
          <w:sz w:val="24"/>
          <w:szCs w:val="24"/>
          <w:highlight w:val="none"/>
        </w:rPr>
        <w:t>（9）《中华人民共和国环境保护税法》，2018年1月1日施行；</w:t>
      </w:r>
    </w:p>
    <w:p>
      <w:pPr>
        <w:ind w:firstLine="480"/>
        <w:jc w:val="both"/>
        <w:rPr>
          <w:sz w:val="24"/>
          <w:szCs w:val="24"/>
          <w:highlight w:val="none"/>
        </w:rPr>
      </w:pPr>
      <w:r>
        <w:rPr>
          <w:sz w:val="24"/>
          <w:szCs w:val="24"/>
          <w:highlight w:val="none"/>
        </w:rPr>
        <w:t>（10）《中华人民共和国清洁生产促进法》，2018年10月26日修订；</w:t>
      </w:r>
    </w:p>
    <w:p>
      <w:pPr>
        <w:ind w:firstLine="480"/>
        <w:jc w:val="both"/>
        <w:rPr>
          <w:sz w:val="24"/>
          <w:szCs w:val="24"/>
          <w:highlight w:val="none"/>
        </w:rPr>
      </w:pPr>
      <w:r>
        <w:rPr>
          <w:sz w:val="24"/>
          <w:szCs w:val="24"/>
          <w:highlight w:val="none"/>
        </w:rPr>
        <w:t>（11）《中华人民共和国循环经济促进法》，2009年1月1日施行；</w:t>
      </w:r>
    </w:p>
    <w:p>
      <w:pPr>
        <w:ind w:firstLine="480"/>
        <w:jc w:val="both"/>
        <w:rPr>
          <w:sz w:val="24"/>
          <w:szCs w:val="24"/>
          <w:highlight w:val="none"/>
        </w:rPr>
      </w:pPr>
      <w:r>
        <w:rPr>
          <w:sz w:val="24"/>
          <w:szCs w:val="24"/>
          <w:highlight w:val="none"/>
        </w:rPr>
        <w:t>（12）《中华人民共和国节约能源法》，2018年10月26日修订；</w:t>
      </w:r>
    </w:p>
    <w:p>
      <w:pPr>
        <w:ind w:firstLine="480"/>
        <w:jc w:val="both"/>
        <w:rPr>
          <w:sz w:val="24"/>
          <w:szCs w:val="24"/>
          <w:highlight w:val="none"/>
        </w:rPr>
      </w:pPr>
      <w:r>
        <w:rPr>
          <w:sz w:val="24"/>
          <w:szCs w:val="24"/>
          <w:highlight w:val="none"/>
        </w:rPr>
        <w:t>（13）《中华人民共和国土地管理法》，2020年01月01日；</w:t>
      </w:r>
    </w:p>
    <w:p>
      <w:pPr>
        <w:ind w:firstLine="480"/>
        <w:jc w:val="both"/>
        <w:rPr>
          <w:sz w:val="24"/>
          <w:szCs w:val="24"/>
          <w:highlight w:val="none"/>
        </w:rPr>
      </w:pPr>
      <w:r>
        <w:rPr>
          <w:sz w:val="24"/>
          <w:szCs w:val="24"/>
          <w:highlight w:val="none"/>
        </w:rPr>
        <w:t>（14）《中华人民共和国水法》，2016年7月2日修订。</w:t>
      </w:r>
    </w:p>
    <w:p>
      <w:pPr>
        <w:pStyle w:val="6"/>
        <w:numPr>
          <w:ilvl w:val="2"/>
          <w:numId w:val="1"/>
        </w:numPr>
        <w:rPr>
          <w:szCs w:val="28"/>
          <w:highlight w:val="none"/>
        </w:rPr>
      </w:pPr>
      <w:r>
        <w:rPr>
          <w:szCs w:val="28"/>
          <w:highlight w:val="none"/>
        </w:rPr>
        <w:t>法规及部门规章</w:t>
      </w:r>
      <w:bookmarkEnd w:id="64"/>
    </w:p>
    <w:p>
      <w:pPr>
        <w:ind w:firstLine="480"/>
        <w:jc w:val="both"/>
        <w:rPr>
          <w:sz w:val="24"/>
          <w:szCs w:val="24"/>
          <w:highlight w:val="none"/>
        </w:rPr>
      </w:pPr>
      <w:r>
        <w:rPr>
          <w:sz w:val="24"/>
          <w:szCs w:val="24"/>
          <w:highlight w:val="none"/>
        </w:rPr>
        <w:t>（1）《建设项目环境保护管理条例》（国务院令第682号，2017年7月16日修订，2017年10月1日起实施）；</w:t>
      </w:r>
    </w:p>
    <w:p>
      <w:pPr>
        <w:ind w:firstLine="480"/>
        <w:jc w:val="both"/>
        <w:rPr>
          <w:sz w:val="24"/>
          <w:szCs w:val="24"/>
          <w:highlight w:val="none"/>
        </w:rPr>
      </w:pPr>
      <w:r>
        <w:rPr>
          <w:sz w:val="24"/>
          <w:szCs w:val="24"/>
          <w:highlight w:val="none"/>
        </w:rPr>
        <w:t>（2）《国务院关于落实科学发展观加强环境保护的决定》(国发[2005]39号)；</w:t>
      </w:r>
    </w:p>
    <w:p>
      <w:pPr>
        <w:ind w:firstLine="480"/>
        <w:jc w:val="both"/>
        <w:rPr>
          <w:sz w:val="24"/>
          <w:szCs w:val="24"/>
          <w:highlight w:val="none"/>
        </w:rPr>
      </w:pPr>
      <w:r>
        <w:rPr>
          <w:sz w:val="24"/>
          <w:szCs w:val="24"/>
          <w:highlight w:val="none"/>
        </w:rPr>
        <w:t>（3）《国务院关于加强环境保护重点工作的意见》(国发[2011]35号)；</w:t>
      </w:r>
    </w:p>
    <w:p>
      <w:pPr>
        <w:ind w:firstLine="480"/>
        <w:jc w:val="both"/>
        <w:rPr>
          <w:sz w:val="24"/>
          <w:szCs w:val="24"/>
          <w:highlight w:val="none"/>
        </w:rPr>
      </w:pPr>
      <w:r>
        <w:rPr>
          <w:sz w:val="24"/>
          <w:szCs w:val="24"/>
          <w:highlight w:val="none"/>
        </w:rPr>
        <w:t>（4）《“十</w:t>
      </w:r>
      <w:r>
        <w:rPr>
          <w:rFonts w:hint="eastAsia"/>
          <w:sz w:val="24"/>
          <w:szCs w:val="24"/>
          <w:highlight w:val="none"/>
        </w:rPr>
        <w:t>四</w:t>
      </w:r>
      <w:r>
        <w:rPr>
          <w:sz w:val="24"/>
          <w:szCs w:val="24"/>
          <w:highlight w:val="none"/>
        </w:rPr>
        <w:t>五”生态保护</w:t>
      </w:r>
      <w:r>
        <w:rPr>
          <w:rFonts w:hint="eastAsia"/>
          <w:sz w:val="24"/>
          <w:szCs w:val="24"/>
          <w:highlight w:val="none"/>
        </w:rPr>
        <w:t>监管</w:t>
      </w:r>
      <w:r>
        <w:rPr>
          <w:sz w:val="24"/>
          <w:szCs w:val="24"/>
          <w:highlight w:val="none"/>
        </w:rPr>
        <w:t>规划》</w:t>
      </w:r>
      <w:r>
        <w:rPr>
          <w:rFonts w:hint="eastAsia"/>
          <w:sz w:val="24"/>
          <w:szCs w:val="24"/>
          <w:highlight w:val="none"/>
        </w:rPr>
        <w:t>（环生态</w:t>
      </w:r>
      <w:r>
        <w:rPr>
          <w:sz w:val="24"/>
          <w:szCs w:val="24"/>
          <w:highlight w:val="none"/>
        </w:rPr>
        <w:t>[20</w:t>
      </w:r>
      <w:r>
        <w:rPr>
          <w:rFonts w:hint="eastAsia"/>
          <w:sz w:val="24"/>
          <w:szCs w:val="24"/>
          <w:highlight w:val="none"/>
        </w:rPr>
        <w:t>22</w:t>
      </w:r>
      <w:r>
        <w:rPr>
          <w:sz w:val="24"/>
          <w:szCs w:val="24"/>
          <w:highlight w:val="none"/>
        </w:rPr>
        <w:t>]</w:t>
      </w:r>
      <w:r>
        <w:rPr>
          <w:rFonts w:hint="eastAsia"/>
          <w:sz w:val="24"/>
          <w:szCs w:val="24"/>
          <w:highlight w:val="none"/>
        </w:rPr>
        <w:t>1</w:t>
      </w:r>
      <w:r>
        <w:rPr>
          <w:sz w:val="24"/>
          <w:szCs w:val="24"/>
          <w:highlight w:val="none"/>
        </w:rPr>
        <w:t>5号</w:t>
      </w:r>
      <w:r>
        <w:rPr>
          <w:rFonts w:hint="eastAsia"/>
          <w:sz w:val="24"/>
          <w:szCs w:val="24"/>
          <w:highlight w:val="none"/>
        </w:rPr>
        <w:t>）</w:t>
      </w:r>
      <w:r>
        <w:rPr>
          <w:sz w:val="24"/>
          <w:szCs w:val="24"/>
          <w:highlight w:val="none"/>
        </w:rPr>
        <w:t>；</w:t>
      </w:r>
    </w:p>
    <w:p>
      <w:pPr>
        <w:ind w:firstLine="480"/>
        <w:jc w:val="both"/>
        <w:rPr>
          <w:sz w:val="24"/>
          <w:szCs w:val="24"/>
          <w:highlight w:val="none"/>
        </w:rPr>
      </w:pPr>
      <w:r>
        <w:rPr>
          <w:sz w:val="24"/>
          <w:szCs w:val="24"/>
          <w:highlight w:val="none"/>
        </w:rPr>
        <w:t>（5）《国务院大气污染防治十条措施》（</w:t>
      </w:r>
      <w:r>
        <w:rPr>
          <w:rFonts w:hint="eastAsia"/>
          <w:sz w:val="24"/>
          <w:szCs w:val="24"/>
          <w:highlight w:val="none"/>
        </w:rPr>
        <w:t>国发[2013]37号</w:t>
      </w:r>
      <w:r>
        <w:rPr>
          <w:sz w:val="24"/>
          <w:szCs w:val="24"/>
          <w:highlight w:val="none"/>
        </w:rPr>
        <w:t>）；</w:t>
      </w:r>
    </w:p>
    <w:p>
      <w:pPr>
        <w:ind w:firstLine="480"/>
        <w:jc w:val="both"/>
        <w:rPr>
          <w:sz w:val="24"/>
          <w:szCs w:val="24"/>
          <w:highlight w:val="none"/>
        </w:rPr>
      </w:pPr>
      <w:r>
        <w:rPr>
          <w:sz w:val="24"/>
          <w:szCs w:val="24"/>
          <w:highlight w:val="none"/>
        </w:rPr>
        <w:t>（6）《产业结构调整指导目录(2019年本)》(国家发展和改革委员会2019年第29号令)；</w:t>
      </w:r>
    </w:p>
    <w:p>
      <w:pPr>
        <w:ind w:firstLine="480"/>
        <w:jc w:val="both"/>
        <w:rPr>
          <w:sz w:val="24"/>
          <w:szCs w:val="24"/>
          <w:highlight w:val="none"/>
        </w:rPr>
      </w:pPr>
      <w:r>
        <w:rPr>
          <w:sz w:val="24"/>
          <w:szCs w:val="24"/>
          <w:highlight w:val="none"/>
        </w:rPr>
        <w:t>（7）《关于进一步加强环境保护信息公开工作的通知》(环境保护部办公厅文件环办[2012]134号)；</w:t>
      </w:r>
    </w:p>
    <w:p>
      <w:pPr>
        <w:ind w:firstLine="480"/>
        <w:jc w:val="both"/>
        <w:rPr>
          <w:sz w:val="24"/>
          <w:szCs w:val="24"/>
          <w:highlight w:val="none"/>
        </w:rPr>
      </w:pPr>
      <w:r>
        <w:rPr>
          <w:sz w:val="24"/>
          <w:szCs w:val="24"/>
          <w:highlight w:val="none"/>
        </w:rPr>
        <w:t>（8）《国务院关于印发大气污染防治行动计划的通知》(国发〔2013〕37号)；</w:t>
      </w:r>
    </w:p>
    <w:p>
      <w:pPr>
        <w:ind w:firstLine="480"/>
        <w:jc w:val="both"/>
        <w:rPr>
          <w:sz w:val="24"/>
          <w:szCs w:val="24"/>
          <w:highlight w:val="none"/>
        </w:rPr>
      </w:pPr>
      <w:r>
        <w:rPr>
          <w:sz w:val="24"/>
          <w:szCs w:val="24"/>
          <w:highlight w:val="none"/>
        </w:rPr>
        <w:t>（9）环境保护部、发展改革委等6部门联合印发《京津冀及周边地区落实大气污染防治行动计划实施细则》(2013年9月17日)；</w:t>
      </w:r>
    </w:p>
    <w:p>
      <w:pPr>
        <w:ind w:firstLine="480"/>
        <w:jc w:val="both"/>
        <w:rPr>
          <w:sz w:val="24"/>
          <w:szCs w:val="24"/>
          <w:highlight w:val="none"/>
        </w:rPr>
      </w:pPr>
      <w:r>
        <w:rPr>
          <w:sz w:val="24"/>
          <w:szCs w:val="24"/>
          <w:highlight w:val="none"/>
        </w:rPr>
        <w:t>（10）《关于印发&lt;建设项目环境影响评价政府信息公开指南（试行）&gt;的通知》环办[2013]103 号；</w:t>
      </w:r>
    </w:p>
    <w:p>
      <w:pPr>
        <w:ind w:firstLine="480"/>
        <w:jc w:val="both"/>
        <w:rPr>
          <w:sz w:val="24"/>
          <w:szCs w:val="24"/>
          <w:highlight w:val="none"/>
        </w:rPr>
      </w:pPr>
      <w:r>
        <w:rPr>
          <w:sz w:val="24"/>
          <w:szCs w:val="24"/>
          <w:highlight w:val="none"/>
        </w:rPr>
        <w:t>（11）《关于落实大气污染防治行动计划严格环境影响评价准入的通知》（环办 [2014]30 号）(2014 年3月25日)；</w:t>
      </w:r>
    </w:p>
    <w:p>
      <w:pPr>
        <w:ind w:firstLine="480"/>
        <w:jc w:val="both"/>
        <w:rPr>
          <w:sz w:val="24"/>
          <w:szCs w:val="24"/>
          <w:highlight w:val="none"/>
        </w:rPr>
      </w:pPr>
      <w:r>
        <w:rPr>
          <w:sz w:val="24"/>
          <w:szCs w:val="24"/>
          <w:highlight w:val="none"/>
        </w:rPr>
        <w:t>（12）《建设项目主要污染物排放总量指标审核及管理暂行办法》(环境保护部 2014 年12月30日)；</w:t>
      </w:r>
    </w:p>
    <w:p>
      <w:pPr>
        <w:ind w:firstLine="480"/>
        <w:jc w:val="both"/>
        <w:rPr>
          <w:sz w:val="24"/>
          <w:szCs w:val="24"/>
          <w:highlight w:val="none"/>
        </w:rPr>
      </w:pPr>
      <w:r>
        <w:rPr>
          <w:sz w:val="24"/>
          <w:szCs w:val="24"/>
          <w:highlight w:val="none"/>
        </w:rPr>
        <w:t>（13）《国务院关于印发水污染防治行动计划的通知》(国发〔2015〕17号2015年4月2日)；</w:t>
      </w:r>
    </w:p>
    <w:p>
      <w:pPr>
        <w:ind w:firstLine="480"/>
        <w:jc w:val="both"/>
        <w:rPr>
          <w:sz w:val="24"/>
          <w:szCs w:val="24"/>
          <w:highlight w:val="none"/>
        </w:rPr>
      </w:pPr>
      <w:r>
        <w:rPr>
          <w:sz w:val="24"/>
          <w:szCs w:val="24"/>
          <w:highlight w:val="none"/>
        </w:rPr>
        <w:t>（14）《地下水管理条例》（国务院令第748号，2021年11月9日）；</w:t>
      </w:r>
    </w:p>
    <w:p>
      <w:pPr>
        <w:ind w:firstLine="480"/>
        <w:jc w:val="both"/>
        <w:rPr>
          <w:sz w:val="24"/>
          <w:szCs w:val="24"/>
          <w:highlight w:val="none"/>
        </w:rPr>
      </w:pPr>
      <w:r>
        <w:rPr>
          <w:sz w:val="24"/>
          <w:szCs w:val="24"/>
          <w:highlight w:val="none"/>
        </w:rPr>
        <w:t>（15）《环境影响评价公众参与办法》（生态环境部部令第4号，2019年1月1日实施）；</w:t>
      </w:r>
    </w:p>
    <w:p>
      <w:pPr>
        <w:ind w:firstLine="480"/>
        <w:jc w:val="both"/>
        <w:rPr>
          <w:sz w:val="24"/>
          <w:szCs w:val="24"/>
          <w:highlight w:val="none"/>
        </w:rPr>
      </w:pPr>
      <w:r>
        <w:rPr>
          <w:sz w:val="24"/>
          <w:szCs w:val="24"/>
          <w:highlight w:val="none"/>
        </w:rPr>
        <w:t>（16）国务院关于印发土壤污染防治行动计划的通知《土壤污染防治行动计划》 (国发〔2016〕31号，2016年5月28日)；</w:t>
      </w:r>
    </w:p>
    <w:p>
      <w:pPr>
        <w:ind w:firstLine="480"/>
        <w:jc w:val="both"/>
        <w:rPr>
          <w:sz w:val="24"/>
          <w:szCs w:val="24"/>
          <w:highlight w:val="none"/>
        </w:rPr>
      </w:pPr>
      <w:r>
        <w:rPr>
          <w:sz w:val="24"/>
          <w:szCs w:val="24"/>
          <w:highlight w:val="none"/>
        </w:rPr>
        <w:t>（17）《</w:t>
      </w:r>
      <w:r>
        <w:rPr>
          <w:rFonts w:hint="eastAsia"/>
          <w:sz w:val="24"/>
          <w:szCs w:val="24"/>
          <w:highlight w:val="none"/>
        </w:rPr>
        <w:t>十四</w:t>
      </w:r>
      <w:r>
        <w:rPr>
          <w:sz w:val="24"/>
          <w:szCs w:val="24"/>
          <w:highlight w:val="none"/>
        </w:rPr>
        <w:t>五</w:t>
      </w:r>
      <w:r>
        <w:rPr>
          <w:rFonts w:hint="eastAsia"/>
          <w:sz w:val="24"/>
          <w:szCs w:val="24"/>
          <w:highlight w:val="none"/>
        </w:rPr>
        <w:t>生态环境保护</w:t>
      </w:r>
      <w:r>
        <w:rPr>
          <w:sz w:val="24"/>
          <w:szCs w:val="24"/>
          <w:highlight w:val="none"/>
        </w:rPr>
        <w:t>规划纲要》；</w:t>
      </w:r>
    </w:p>
    <w:p>
      <w:pPr>
        <w:ind w:firstLine="480"/>
        <w:jc w:val="both"/>
        <w:rPr>
          <w:sz w:val="24"/>
          <w:szCs w:val="24"/>
          <w:highlight w:val="none"/>
        </w:rPr>
      </w:pPr>
      <w:r>
        <w:rPr>
          <w:sz w:val="24"/>
          <w:szCs w:val="24"/>
          <w:highlight w:val="none"/>
        </w:rPr>
        <w:t>（18）关于印发《“十三五”环境影响评价改革实施方案》的通知(环环评〔2016〕95号，2016年7月15日)；</w:t>
      </w:r>
    </w:p>
    <w:p>
      <w:pPr>
        <w:ind w:firstLine="480"/>
        <w:jc w:val="both"/>
        <w:rPr>
          <w:sz w:val="24"/>
          <w:szCs w:val="24"/>
          <w:highlight w:val="none"/>
        </w:rPr>
      </w:pPr>
      <w:r>
        <w:rPr>
          <w:sz w:val="24"/>
          <w:szCs w:val="24"/>
          <w:highlight w:val="none"/>
        </w:rPr>
        <w:t>（19）《关于京津冀大气污染传输通道城市执行大气污染物特别排放限值的公告》（环境保护部公告，2018年第9号）；</w:t>
      </w:r>
    </w:p>
    <w:p>
      <w:pPr>
        <w:ind w:firstLine="480"/>
        <w:jc w:val="both"/>
        <w:rPr>
          <w:sz w:val="24"/>
          <w:szCs w:val="24"/>
          <w:highlight w:val="none"/>
        </w:rPr>
      </w:pPr>
      <w:r>
        <w:rPr>
          <w:sz w:val="24"/>
          <w:szCs w:val="24"/>
          <w:highlight w:val="none"/>
        </w:rPr>
        <w:t>（20）《环境保护部办公厅关于加强和规范声环境功能区划分管理工作的通知》（环办大气函[2017]1709 号）；</w:t>
      </w:r>
    </w:p>
    <w:p>
      <w:pPr>
        <w:ind w:firstLine="480"/>
        <w:jc w:val="both"/>
        <w:rPr>
          <w:sz w:val="24"/>
          <w:szCs w:val="24"/>
          <w:highlight w:val="none"/>
        </w:rPr>
      </w:pPr>
      <w:r>
        <w:rPr>
          <w:sz w:val="24"/>
          <w:szCs w:val="24"/>
          <w:highlight w:val="none"/>
        </w:rPr>
        <w:t>（21）《关于以改善环境质量为核心加强环境影响评价管理的通知》（环环评[2016]150号）</w:t>
      </w:r>
    </w:p>
    <w:p>
      <w:pPr>
        <w:ind w:firstLine="480"/>
        <w:jc w:val="both"/>
        <w:rPr>
          <w:sz w:val="24"/>
          <w:szCs w:val="24"/>
          <w:highlight w:val="none"/>
        </w:rPr>
      </w:pPr>
      <w:r>
        <w:rPr>
          <w:sz w:val="24"/>
          <w:szCs w:val="24"/>
          <w:highlight w:val="none"/>
        </w:rPr>
        <w:t>（22）《河北省生态环境保护条例》（河北省人大常委会，2020年7月1日实施）；</w:t>
      </w:r>
    </w:p>
    <w:p>
      <w:pPr>
        <w:ind w:firstLine="480"/>
        <w:jc w:val="both"/>
        <w:rPr>
          <w:sz w:val="24"/>
          <w:szCs w:val="24"/>
          <w:highlight w:val="none"/>
        </w:rPr>
      </w:pPr>
      <w:r>
        <w:rPr>
          <w:sz w:val="24"/>
          <w:szCs w:val="24"/>
          <w:highlight w:val="none"/>
        </w:rPr>
        <w:t>（23）《河北省大气污染防治条例》(20</w:t>
      </w:r>
      <w:r>
        <w:rPr>
          <w:rFonts w:hint="eastAsia"/>
          <w:sz w:val="24"/>
          <w:szCs w:val="24"/>
          <w:highlight w:val="none"/>
        </w:rPr>
        <w:t>21</w:t>
      </w:r>
      <w:r>
        <w:rPr>
          <w:sz w:val="24"/>
          <w:szCs w:val="24"/>
          <w:highlight w:val="none"/>
        </w:rPr>
        <w:t>年</w:t>
      </w:r>
      <w:r>
        <w:rPr>
          <w:rFonts w:hint="eastAsia"/>
          <w:sz w:val="24"/>
          <w:szCs w:val="24"/>
          <w:highlight w:val="none"/>
        </w:rPr>
        <w:t>9</w:t>
      </w:r>
      <w:r>
        <w:rPr>
          <w:sz w:val="24"/>
          <w:szCs w:val="24"/>
          <w:highlight w:val="none"/>
        </w:rPr>
        <w:t>月</w:t>
      </w:r>
      <w:r>
        <w:rPr>
          <w:rFonts w:hint="eastAsia"/>
          <w:sz w:val="24"/>
          <w:szCs w:val="24"/>
          <w:highlight w:val="none"/>
        </w:rPr>
        <w:t>29</w:t>
      </w:r>
      <w:r>
        <w:rPr>
          <w:sz w:val="24"/>
          <w:szCs w:val="24"/>
          <w:highlight w:val="none"/>
        </w:rPr>
        <w:t>日起施行)；</w:t>
      </w:r>
    </w:p>
    <w:p>
      <w:pPr>
        <w:ind w:firstLine="480"/>
        <w:jc w:val="both"/>
        <w:rPr>
          <w:sz w:val="24"/>
          <w:szCs w:val="24"/>
          <w:highlight w:val="none"/>
        </w:rPr>
      </w:pPr>
      <w:r>
        <w:rPr>
          <w:sz w:val="24"/>
          <w:szCs w:val="24"/>
          <w:highlight w:val="none"/>
        </w:rPr>
        <w:t>（24）《河北省水污染防治条例》（2018年5月31日修订，2018年9月1日起施行）；</w:t>
      </w:r>
    </w:p>
    <w:p>
      <w:pPr>
        <w:ind w:firstLine="480"/>
        <w:jc w:val="both"/>
        <w:rPr>
          <w:sz w:val="24"/>
          <w:szCs w:val="24"/>
          <w:highlight w:val="none"/>
        </w:rPr>
      </w:pPr>
      <w:r>
        <w:rPr>
          <w:sz w:val="24"/>
          <w:szCs w:val="24"/>
          <w:highlight w:val="none"/>
        </w:rPr>
        <w:t>（25）《河北省环境敏感区支持、限制及禁止建设项目名录（2005年修订版）》（河北省环境保护局）；</w:t>
      </w:r>
    </w:p>
    <w:p>
      <w:pPr>
        <w:ind w:firstLine="480"/>
        <w:jc w:val="both"/>
        <w:rPr>
          <w:sz w:val="24"/>
          <w:szCs w:val="24"/>
          <w:highlight w:val="none"/>
        </w:rPr>
      </w:pPr>
      <w:r>
        <w:rPr>
          <w:rFonts w:hint="eastAsia"/>
          <w:sz w:val="24"/>
          <w:szCs w:val="24"/>
          <w:highlight w:val="none"/>
        </w:rPr>
        <w:t>（26）《矿产资源开发利用辐射环境监督管理名录》（2021年1月1日实施）；</w:t>
      </w:r>
    </w:p>
    <w:p>
      <w:pPr>
        <w:ind w:firstLine="480"/>
        <w:jc w:val="both"/>
        <w:rPr>
          <w:sz w:val="24"/>
          <w:szCs w:val="24"/>
          <w:highlight w:val="none"/>
        </w:rPr>
      </w:pPr>
      <w:r>
        <w:rPr>
          <w:sz w:val="24"/>
          <w:szCs w:val="24"/>
          <w:highlight w:val="none"/>
        </w:rPr>
        <w:t>（27）《关于进一步加强环境影响评价技术审核工作的通知》(冀环办[2011]186号)；</w:t>
      </w:r>
    </w:p>
    <w:p>
      <w:pPr>
        <w:ind w:firstLine="480"/>
        <w:jc w:val="both"/>
        <w:rPr>
          <w:sz w:val="24"/>
          <w:szCs w:val="24"/>
          <w:highlight w:val="none"/>
        </w:rPr>
      </w:pPr>
      <w:r>
        <w:rPr>
          <w:sz w:val="24"/>
          <w:szCs w:val="24"/>
          <w:highlight w:val="none"/>
        </w:rPr>
        <w:t>（28）《关于我省建设项目环境现状监测执行&lt;GB3095-2012 环境空气质量标准&gt;的通知》(冀环办发〔2012〕225号)；</w:t>
      </w:r>
    </w:p>
    <w:p>
      <w:pPr>
        <w:ind w:firstLine="480"/>
        <w:jc w:val="both"/>
        <w:rPr>
          <w:sz w:val="24"/>
          <w:szCs w:val="24"/>
          <w:highlight w:val="none"/>
        </w:rPr>
      </w:pPr>
      <w:r>
        <w:rPr>
          <w:sz w:val="24"/>
          <w:szCs w:val="24"/>
          <w:highlight w:val="none"/>
        </w:rPr>
        <w:t>（29）中共河北省委河北省人民政府关于印发《河北省大气污染防治行动计划实施方案》的通知（2013年9月6日）；</w:t>
      </w:r>
    </w:p>
    <w:p>
      <w:pPr>
        <w:ind w:firstLine="480"/>
        <w:jc w:val="both"/>
        <w:rPr>
          <w:sz w:val="24"/>
          <w:szCs w:val="24"/>
          <w:highlight w:val="none"/>
        </w:rPr>
      </w:pPr>
      <w:r>
        <w:rPr>
          <w:sz w:val="24"/>
          <w:szCs w:val="24"/>
          <w:highlight w:val="none"/>
        </w:rPr>
        <w:t>（30）《河北省2018年建筑施工与城市道路扬尘整治工作方案》（冀建安（2018）8号）；</w:t>
      </w:r>
    </w:p>
    <w:p>
      <w:pPr>
        <w:ind w:firstLine="480"/>
        <w:jc w:val="both"/>
        <w:rPr>
          <w:sz w:val="24"/>
          <w:szCs w:val="24"/>
          <w:highlight w:val="none"/>
        </w:rPr>
      </w:pPr>
      <w:r>
        <w:rPr>
          <w:sz w:val="24"/>
          <w:szCs w:val="24"/>
          <w:highlight w:val="none"/>
        </w:rPr>
        <w:t>（31）《关于河北省环境保护厅建设项目环评审批实施分类管理的通知》(冀环办[2014]63号)；</w:t>
      </w:r>
    </w:p>
    <w:p>
      <w:pPr>
        <w:ind w:firstLine="480"/>
        <w:jc w:val="both"/>
        <w:rPr>
          <w:sz w:val="24"/>
          <w:szCs w:val="24"/>
          <w:highlight w:val="none"/>
        </w:rPr>
      </w:pPr>
      <w:r>
        <w:rPr>
          <w:sz w:val="24"/>
          <w:szCs w:val="24"/>
          <w:highlight w:val="none"/>
        </w:rPr>
        <w:t>（32）《关于河北省环境保护厅建设项目环评审批实施分类管理的通知》(冀环办[2014]63号)；</w:t>
      </w:r>
    </w:p>
    <w:p>
      <w:pPr>
        <w:ind w:firstLine="480"/>
        <w:jc w:val="both"/>
        <w:rPr>
          <w:sz w:val="24"/>
          <w:szCs w:val="24"/>
          <w:highlight w:val="none"/>
        </w:rPr>
      </w:pPr>
      <w:r>
        <w:rPr>
          <w:sz w:val="24"/>
          <w:szCs w:val="24"/>
          <w:highlight w:val="none"/>
        </w:rPr>
        <w:t>（33）《河北省水污染防治工作方案》</w:t>
      </w:r>
      <w:r>
        <w:rPr>
          <w:rFonts w:ascii="宋体" w:hAnsi="宋体" w:cs="宋体"/>
          <w:sz w:val="24"/>
          <w:szCs w:val="24"/>
          <w:highlight w:val="none"/>
        </w:rPr>
        <w:t>(冀发[2015]28 号)</w:t>
      </w:r>
      <w:r>
        <w:rPr>
          <w:sz w:val="24"/>
          <w:szCs w:val="24"/>
          <w:highlight w:val="none"/>
        </w:rPr>
        <w:t>；</w:t>
      </w:r>
    </w:p>
    <w:p>
      <w:pPr>
        <w:ind w:firstLine="480"/>
        <w:jc w:val="both"/>
        <w:rPr>
          <w:sz w:val="24"/>
          <w:szCs w:val="24"/>
          <w:highlight w:val="none"/>
        </w:rPr>
      </w:pPr>
      <w:r>
        <w:rPr>
          <w:sz w:val="24"/>
          <w:szCs w:val="24"/>
          <w:highlight w:val="none"/>
        </w:rPr>
        <w:t>（34）《河北省固体废物污染环境防治条例》河北省第十</w:t>
      </w:r>
      <w:r>
        <w:rPr>
          <w:rFonts w:hint="eastAsia"/>
          <w:sz w:val="24"/>
          <w:szCs w:val="24"/>
          <w:highlight w:val="none"/>
        </w:rPr>
        <w:t>三</w:t>
      </w:r>
      <w:r>
        <w:rPr>
          <w:sz w:val="24"/>
          <w:szCs w:val="24"/>
          <w:highlight w:val="none"/>
        </w:rPr>
        <w:t>届人民代表大会常务委员会公告(第</w:t>
      </w:r>
      <w:r>
        <w:rPr>
          <w:rFonts w:hint="eastAsia"/>
          <w:sz w:val="24"/>
          <w:szCs w:val="24"/>
          <w:highlight w:val="none"/>
        </w:rPr>
        <w:t>129</w:t>
      </w:r>
      <w:r>
        <w:rPr>
          <w:sz w:val="24"/>
          <w:szCs w:val="24"/>
          <w:highlight w:val="none"/>
        </w:rPr>
        <w:t>号) (20</w:t>
      </w:r>
      <w:r>
        <w:rPr>
          <w:rFonts w:hint="eastAsia"/>
          <w:sz w:val="24"/>
          <w:szCs w:val="24"/>
          <w:highlight w:val="none"/>
        </w:rPr>
        <w:t>22</w:t>
      </w:r>
      <w:r>
        <w:rPr>
          <w:sz w:val="24"/>
          <w:szCs w:val="24"/>
          <w:highlight w:val="none"/>
        </w:rPr>
        <w:t>年</w:t>
      </w:r>
      <w:r>
        <w:rPr>
          <w:rFonts w:hint="eastAsia"/>
          <w:sz w:val="24"/>
          <w:szCs w:val="24"/>
          <w:highlight w:val="none"/>
        </w:rPr>
        <w:t>9</w:t>
      </w:r>
      <w:r>
        <w:rPr>
          <w:sz w:val="24"/>
          <w:szCs w:val="24"/>
          <w:highlight w:val="none"/>
        </w:rPr>
        <w:t>月</w:t>
      </w:r>
      <w:r>
        <w:rPr>
          <w:rFonts w:hint="eastAsia"/>
          <w:sz w:val="24"/>
          <w:szCs w:val="24"/>
          <w:highlight w:val="none"/>
        </w:rPr>
        <w:t>2</w:t>
      </w:r>
      <w:r>
        <w:rPr>
          <w:sz w:val="24"/>
          <w:szCs w:val="24"/>
          <w:highlight w:val="none"/>
        </w:rPr>
        <w:t>8号) ；</w:t>
      </w:r>
    </w:p>
    <w:p>
      <w:pPr>
        <w:ind w:firstLine="480"/>
        <w:jc w:val="both"/>
        <w:rPr>
          <w:sz w:val="24"/>
          <w:szCs w:val="24"/>
          <w:highlight w:val="none"/>
        </w:rPr>
      </w:pPr>
      <w:r>
        <w:rPr>
          <w:sz w:val="24"/>
          <w:szCs w:val="24"/>
          <w:highlight w:val="none"/>
        </w:rPr>
        <w:t>（35）《河北省人民政府办公厅关于印发河北省新增限制和淘汰类产业目录（2015年版）的通知》(冀政办</w:t>
      </w:r>
      <w:r>
        <w:rPr>
          <w:rFonts w:hint="eastAsia"/>
          <w:sz w:val="24"/>
          <w:szCs w:val="24"/>
          <w:highlight w:val="none"/>
        </w:rPr>
        <w:t>发[2015]7</w:t>
      </w:r>
      <w:r>
        <w:rPr>
          <w:sz w:val="24"/>
          <w:szCs w:val="24"/>
          <w:highlight w:val="none"/>
        </w:rPr>
        <w:t>号)；</w:t>
      </w:r>
    </w:p>
    <w:p>
      <w:pPr>
        <w:ind w:firstLine="480"/>
        <w:jc w:val="both"/>
        <w:rPr>
          <w:sz w:val="24"/>
          <w:szCs w:val="24"/>
          <w:highlight w:val="none"/>
        </w:rPr>
      </w:pPr>
      <w:r>
        <w:rPr>
          <w:sz w:val="24"/>
          <w:szCs w:val="24"/>
          <w:highlight w:val="none"/>
        </w:rPr>
        <w:t>（36）关于贯彻落实《环境影响评价公众参与办法》规范环评文件审批的通知（冀环办发[2018]23号）。</w:t>
      </w:r>
    </w:p>
    <w:p>
      <w:pPr>
        <w:ind w:firstLine="480"/>
        <w:jc w:val="both"/>
        <w:rPr>
          <w:sz w:val="24"/>
          <w:szCs w:val="24"/>
          <w:highlight w:val="none"/>
        </w:rPr>
      </w:pPr>
      <w:r>
        <w:rPr>
          <w:sz w:val="24"/>
          <w:szCs w:val="24"/>
          <w:highlight w:val="none"/>
        </w:rPr>
        <w:t>（37）河北省人民政府冀政发〔2017〕3号《关于印发河北省“净土行动”土壤污染防治工作方案的通知》；</w:t>
      </w:r>
    </w:p>
    <w:p>
      <w:pPr>
        <w:ind w:firstLine="480"/>
        <w:jc w:val="both"/>
        <w:rPr>
          <w:sz w:val="24"/>
          <w:szCs w:val="24"/>
          <w:highlight w:val="none"/>
        </w:rPr>
      </w:pPr>
      <w:r>
        <w:rPr>
          <w:sz w:val="24"/>
          <w:szCs w:val="24"/>
          <w:highlight w:val="none"/>
        </w:rPr>
        <w:t>（38）《中共河北省委办公厅河北省人民政府办公厅关于严格控制矿产资源开发加强生态环境保护的通知》（冀办传［2018］25号）；</w:t>
      </w:r>
    </w:p>
    <w:p>
      <w:pPr>
        <w:ind w:firstLine="480"/>
        <w:jc w:val="both"/>
        <w:rPr>
          <w:sz w:val="24"/>
          <w:szCs w:val="24"/>
          <w:highlight w:val="none"/>
        </w:rPr>
      </w:pPr>
      <w:r>
        <w:rPr>
          <w:sz w:val="24"/>
          <w:szCs w:val="24"/>
          <w:highlight w:val="none"/>
        </w:rPr>
        <w:t>（</w:t>
      </w:r>
      <w:r>
        <w:rPr>
          <w:rFonts w:hint="eastAsia"/>
          <w:sz w:val="24"/>
          <w:szCs w:val="24"/>
          <w:highlight w:val="none"/>
        </w:rPr>
        <w:t>39</w:t>
      </w:r>
      <w:r>
        <w:rPr>
          <w:sz w:val="24"/>
          <w:szCs w:val="24"/>
          <w:highlight w:val="none"/>
        </w:rPr>
        <w:t>）《</w:t>
      </w:r>
      <w:r>
        <w:rPr>
          <w:rFonts w:hint="eastAsia"/>
          <w:sz w:val="24"/>
          <w:szCs w:val="24"/>
          <w:highlight w:val="none"/>
        </w:rPr>
        <w:t>河北省2023年建筑施工扬尘污染防治工作方案</w:t>
      </w:r>
      <w:r>
        <w:rPr>
          <w:sz w:val="24"/>
          <w:szCs w:val="24"/>
          <w:highlight w:val="none"/>
        </w:rPr>
        <w:t>》(</w:t>
      </w:r>
      <w:r>
        <w:rPr>
          <w:rFonts w:hint="eastAsia"/>
          <w:sz w:val="24"/>
          <w:szCs w:val="24"/>
          <w:highlight w:val="none"/>
        </w:rPr>
        <w:t>冀建质安</w:t>
      </w:r>
      <w:r>
        <w:rPr>
          <w:sz w:val="24"/>
          <w:szCs w:val="24"/>
          <w:highlight w:val="none"/>
        </w:rPr>
        <w:t>函[20</w:t>
      </w:r>
      <w:r>
        <w:rPr>
          <w:rFonts w:hint="eastAsia"/>
          <w:sz w:val="24"/>
          <w:szCs w:val="24"/>
          <w:highlight w:val="none"/>
        </w:rPr>
        <w:t>23</w:t>
      </w:r>
      <w:r>
        <w:rPr>
          <w:sz w:val="24"/>
          <w:szCs w:val="24"/>
          <w:highlight w:val="none"/>
        </w:rPr>
        <w:t>]</w:t>
      </w:r>
      <w:r>
        <w:rPr>
          <w:rFonts w:hint="eastAsia"/>
          <w:sz w:val="24"/>
          <w:szCs w:val="24"/>
          <w:highlight w:val="none"/>
        </w:rPr>
        <w:t>105</w:t>
      </w:r>
      <w:r>
        <w:rPr>
          <w:sz w:val="24"/>
          <w:szCs w:val="24"/>
          <w:highlight w:val="none"/>
        </w:rPr>
        <w:t xml:space="preserve">号)； </w:t>
      </w:r>
    </w:p>
    <w:p>
      <w:pPr>
        <w:ind w:firstLine="480"/>
        <w:jc w:val="both"/>
        <w:rPr>
          <w:sz w:val="24"/>
          <w:szCs w:val="24"/>
          <w:highlight w:val="none"/>
        </w:rPr>
      </w:pPr>
      <w:r>
        <w:rPr>
          <w:sz w:val="24"/>
          <w:szCs w:val="24"/>
          <w:highlight w:val="none"/>
        </w:rPr>
        <w:t xml:space="preserve">（40）《唐山市人民政府关于开展工业企业料场其他散料堆场混凝土搅拌站扬尘污染专项整治行动的通知》(唐政函[2014]98号)； </w:t>
      </w:r>
    </w:p>
    <w:p>
      <w:pPr>
        <w:ind w:firstLine="480"/>
        <w:jc w:val="both"/>
        <w:rPr>
          <w:sz w:val="24"/>
          <w:szCs w:val="24"/>
          <w:highlight w:val="none"/>
        </w:rPr>
      </w:pPr>
      <w:r>
        <w:rPr>
          <w:sz w:val="24"/>
          <w:szCs w:val="24"/>
          <w:highlight w:val="none"/>
        </w:rPr>
        <w:t>（41）关于进一步加强建设项目“三同时”管理工作的通知（唐环发[2013]39号），2013年5月2日；</w:t>
      </w:r>
    </w:p>
    <w:p>
      <w:pPr>
        <w:ind w:firstLine="480"/>
        <w:jc w:val="both"/>
        <w:rPr>
          <w:sz w:val="24"/>
          <w:szCs w:val="24"/>
          <w:highlight w:val="none"/>
        </w:rPr>
      </w:pPr>
      <w:r>
        <w:rPr>
          <w:sz w:val="24"/>
          <w:szCs w:val="24"/>
          <w:highlight w:val="none"/>
        </w:rPr>
        <w:t>（42）《唐山市人民政府办公厅关于开展露天铁矿环境保护专项整治工作的通知》（唐政办字〔2016〕198号）；</w:t>
      </w:r>
    </w:p>
    <w:p>
      <w:pPr>
        <w:ind w:firstLine="480"/>
        <w:jc w:val="both"/>
        <w:rPr>
          <w:sz w:val="24"/>
          <w:szCs w:val="24"/>
          <w:highlight w:val="none"/>
        </w:rPr>
      </w:pPr>
      <w:r>
        <w:rPr>
          <w:sz w:val="24"/>
          <w:szCs w:val="24"/>
          <w:highlight w:val="none"/>
        </w:rPr>
        <w:t>（43）《中共唐山市委唐山市人民政府关于强力推进大气污染综合治理的意见》(唐发[2017]7号)；</w:t>
      </w:r>
    </w:p>
    <w:p>
      <w:pPr>
        <w:ind w:firstLine="480"/>
        <w:jc w:val="both"/>
        <w:rPr>
          <w:sz w:val="24"/>
          <w:szCs w:val="24"/>
          <w:highlight w:val="none"/>
        </w:rPr>
      </w:pPr>
      <w:r>
        <w:rPr>
          <w:sz w:val="24"/>
          <w:szCs w:val="24"/>
          <w:highlight w:val="none"/>
        </w:rPr>
        <w:t>（44）《唐山市生态环境局关于印发唐山市2018年重点行业大气污染深度治理专项行动方案的通知》(唐环气[2018]6号）；</w:t>
      </w:r>
    </w:p>
    <w:p>
      <w:pPr>
        <w:ind w:firstLine="480"/>
        <w:jc w:val="both"/>
        <w:rPr>
          <w:sz w:val="24"/>
          <w:szCs w:val="24"/>
          <w:highlight w:val="none"/>
        </w:rPr>
      </w:pPr>
      <w:r>
        <w:rPr>
          <w:sz w:val="24"/>
          <w:szCs w:val="24"/>
          <w:highlight w:val="none"/>
        </w:rPr>
        <w:t>（45）《唐山市人民政府关于实施“三线一单”生态环境分区管控的意见》（唐政字[2021]48号）</w:t>
      </w:r>
      <w:r>
        <w:rPr>
          <w:rFonts w:hint="eastAsia"/>
          <w:sz w:val="24"/>
          <w:szCs w:val="24"/>
          <w:highlight w:val="none"/>
        </w:rPr>
        <w:t>；</w:t>
      </w:r>
    </w:p>
    <w:p>
      <w:pPr>
        <w:ind w:firstLine="480"/>
        <w:jc w:val="both"/>
        <w:rPr>
          <w:sz w:val="24"/>
          <w:szCs w:val="24"/>
          <w:highlight w:val="none"/>
        </w:rPr>
      </w:pPr>
      <w:r>
        <w:rPr>
          <w:sz w:val="24"/>
          <w:szCs w:val="24"/>
          <w:highlight w:val="none"/>
        </w:rPr>
        <w:t>（46）唐山市大气污染防治工作领导小组关于印发《唐山市2022年大气污染综合治理工作要点》的通知（</w:t>
      </w:r>
      <w:r>
        <w:rPr>
          <w:rFonts w:hint="eastAsia"/>
          <w:sz w:val="24"/>
          <w:szCs w:val="24"/>
          <w:highlight w:val="none"/>
        </w:rPr>
        <w:t>唐气领组</w:t>
      </w:r>
      <w:r>
        <w:rPr>
          <w:sz w:val="24"/>
          <w:szCs w:val="24"/>
          <w:highlight w:val="none"/>
        </w:rPr>
        <w:t>[20</w:t>
      </w:r>
      <w:r>
        <w:rPr>
          <w:rFonts w:hint="eastAsia"/>
          <w:sz w:val="24"/>
          <w:szCs w:val="24"/>
          <w:highlight w:val="none"/>
        </w:rPr>
        <w:t>22</w:t>
      </w:r>
      <w:r>
        <w:rPr>
          <w:sz w:val="24"/>
          <w:szCs w:val="24"/>
          <w:highlight w:val="none"/>
        </w:rPr>
        <w:t>]1号）；</w:t>
      </w:r>
    </w:p>
    <w:p>
      <w:pPr>
        <w:ind w:firstLine="480"/>
        <w:jc w:val="both"/>
        <w:rPr>
          <w:sz w:val="24"/>
          <w:szCs w:val="24"/>
          <w:highlight w:val="none"/>
        </w:rPr>
      </w:pPr>
      <w:r>
        <w:rPr>
          <w:sz w:val="24"/>
          <w:szCs w:val="24"/>
          <w:highlight w:val="none"/>
        </w:rPr>
        <w:t>（4</w:t>
      </w:r>
      <w:r>
        <w:rPr>
          <w:rFonts w:hint="eastAsia"/>
          <w:sz w:val="24"/>
          <w:szCs w:val="24"/>
          <w:highlight w:val="none"/>
        </w:rPr>
        <w:t>7</w:t>
      </w:r>
      <w:r>
        <w:rPr>
          <w:sz w:val="24"/>
          <w:szCs w:val="24"/>
          <w:highlight w:val="none"/>
        </w:rPr>
        <w:t>）《唐山市</w:t>
      </w:r>
      <w:r>
        <w:rPr>
          <w:rFonts w:hint="eastAsia"/>
          <w:sz w:val="24"/>
          <w:szCs w:val="24"/>
          <w:highlight w:val="none"/>
        </w:rPr>
        <w:t>生态环境保护条例</w:t>
      </w:r>
      <w:r>
        <w:rPr>
          <w:sz w:val="24"/>
          <w:szCs w:val="24"/>
          <w:highlight w:val="none"/>
        </w:rPr>
        <w:t>》的通知（</w:t>
      </w:r>
      <w:r>
        <w:rPr>
          <w:rFonts w:hint="eastAsia"/>
          <w:sz w:val="24"/>
          <w:szCs w:val="24"/>
          <w:highlight w:val="none"/>
        </w:rPr>
        <w:t>唐山市第十六届人民代表大会常务委员会公告</w:t>
      </w:r>
      <w:r>
        <w:rPr>
          <w:sz w:val="24"/>
          <w:szCs w:val="24"/>
          <w:highlight w:val="none"/>
        </w:rPr>
        <w:t>[</w:t>
      </w:r>
      <w:r>
        <w:rPr>
          <w:rFonts w:hint="eastAsia"/>
          <w:sz w:val="24"/>
          <w:szCs w:val="24"/>
          <w:highlight w:val="none"/>
        </w:rPr>
        <w:t>第15号</w:t>
      </w:r>
      <w:r>
        <w:rPr>
          <w:sz w:val="24"/>
          <w:szCs w:val="24"/>
          <w:highlight w:val="none"/>
        </w:rPr>
        <w:t>]）；</w:t>
      </w:r>
    </w:p>
    <w:p>
      <w:pPr>
        <w:ind w:firstLine="480"/>
        <w:jc w:val="both"/>
        <w:rPr>
          <w:sz w:val="24"/>
          <w:szCs w:val="24"/>
          <w:highlight w:val="none"/>
        </w:rPr>
      </w:pPr>
      <w:r>
        <w:rPr>
          <w:sz w:val="24"/>
          <w:szCs w:val="24"/>
          <w:highlight w:val="none"/>
        </w:rPr>
        <w:t>（45）《遵化市铁选矿综合治理工作实施方案》（遵办字[2017]23号）</w:t>
      </w:r>
      <w:r>
        <w:rPr>
          <w:rFonts w:hint="eastAsia"/>
          <w:sz w:val="24"/>
          <w:szCs w:val="24"/>
          <w:highlight w:val="none"/>
        </w:rPr>
        <w:t>。</w:t>
      </w:r>
    </w:p>
    <w:p>
      <w:pPr>
        <w:pStyle w:val="6"/>
        <w:numPr>
          <w:ilvl w:val="2"/>
          <w:numId w:val="1"/>
        </w:numPr>
        <w:rPr>
          <w:szCs w:val="28"/>
          <w:highlight w:val="none"/>
        </w:rPr>
      </w:pPr>
      <w:bookmarkStart w:id="65" w:name="_Toc4317"/>
      <w:r>
        <w:rPr>
          <w:szCs w:val="28"/>
          <w:highlight w:val="none"/>
        </w:rPr>
        <w:t>环境保护技术规范</w:t>
      </w:r>
      <w:bookmarkEnd w:id="65"/>
    </w:p>
    <w:p>
      <w:pPr>
        <w:ind w:firstLine="480"/>
        <w:jc w:val="both"/>
        <w:rPr>
          <w:sz w:val="24"/>
          <w:szCs w:val="24"/>
          <w:highlight w:val="none"/>
        </w:rPr>
      </w:pPr>
      <w:r>
        <w:rPr>
          <w:sz w:val="24"/>
          <w:szCs w:val="24"/>
          <w:highlight w:val="none"/>
        </w:rPr>
        <w:t>（1）《建设项目环境影响评价技术导则_总纲》(HJ2.1-2016)；</w:t>
      </w:r>
    </w:p>
    <w:p>
      <w:pPr>
        <w:ind w:firstLine="480"/>
        <w:jc w:val="both"/>
        <w:rPr>
          <w:sz w:val="24"/>
          <w:szCs w:val="24"/>
          <w:highlight w:val="none"/>
        </w:rPr>
      </w:pPr>
      <w:r>
        <w:rPr>
          <w:sz w:val="24"/>
          <w:szCs w:val="24"/>
          <w:highlight w:val="none"/>
        </w:rPr>
        <w:t>（2）《环境影响评价技术导则_大气环境》(HJ2.2-2018)；</w:t>
      </w:r>
    </w:p>
    <w:p>
      <w:pPr>
        <w:ind w:firstLine="480"/>
        <w:jc w:val="both"/>
        <w:rPr>
          <w:sz w:val="24"/>
          <w:szCs w:val="24"/>
          <w:highlight w:val="none"/>
        </w:rPr>
      </w:pPr>
      <w:r>
        <w:rPr>
          <w:sz w:val="24"/>
          <w:szCs w:val="24"/>
          <w:highlight w:val="none"/>
        </w:rPr>
        <w:t>（3）《环境影响评价技术导则_地</w:t>
      </w:r>
      <w:r>
        <w:rPr>
          <w:rFonts w:hint="eastAsia"/>
          <w:sz w:val="24"/>
          <w:szCs w:val="24"/>
          <w:highlight w:val="none"/>
        </w:rPr>
        <w:t>表</w:t>
      </w:r>
      <w:r>
        <w:rPr>
          <w:sz w:val="24"/>
          <w:szCs w:val="24"/>
          <w:highlight w:val="none"/>
        </w:rPr>
        <w:t>水环境》</w:t>
      </w:r>
      <w:r>
        <w:rPr>
          <w:rFonts w:hint="eastAsia"/>
          <w:sz w:val="24"/>
          <w:szCs w:val="24"/>
          <w:highlight w:val="none"/>
        </w:rPr>
        <w:t>（</w:t>
      </w:r>
      <w:r>
        <w:rPr>
          <w:sz w:val="24"/>
          <w:szCs w:val="24"/>
          <w:highlight w:val="none"/>
        </w:rPr>
        <w:t>HJ2.3-</w:t>
      </w:r>
      <w:r>
        <w:rPr>
          <w:rFonts w:hint="eastAsia"/>
          <w:sz w:val="24"/>
          <w:szCs w:val="24"/>
          <w:highlight w:val="none"/>
        </w:rPr>
        <w:t>2018）</w:t>
      </w:r>
      <w:r>
        <w:rPr>
          <w:sz w:val="24"/>
          <w:szCs w:val="24"/>
          <w:highlight w:val="none"/>
        </w:rPr>
        <w:t>；</w:t>
      </w:r>
    </w:p>
    <w:p>
      <w:pPr>
        <w:ind w:firstLine="480"/>
        <w:jc w:val="both"/>
        <w:rPr>
          <w:sz w:val="24"/>
          <w:szCs w:val="24"/>
          <w:highlight w:val="none"/>
        </w:rPr>
      </w:pPr>
      <w:r>
        <w:rPr>
          <w:sz w:val="24"/>
          <w:szCs w:val="24"/>
          <w:highlight w:val="none"/>
        </w:rPr>
        <w:t>（4）《环境影响评价技术导则_地下水环境》(HJ610-2016)；</w:t>
      </w:r>
    </w:p>
    <w:p>
      <w:pPr>
        <w:ind w:firstLine="480"/>
        <w:jc w:val="both"/>
        <w:rPr>
          <w:sz w:val="24"/>
          <w:szCs w:val="24"/>
          <w:highlight w:val="none"/>
        </w:rPr>
      </w:pPr>
      <w:r>
        <w:rPr>
          <w:sz w:val="24"/>
          <w:szCs w:val="24"/>
          <w:highlight w:val="none"/>
        </w:rPr>
        <w:t>（5）《环境影响评价技术导则_声环境》(HJ2.4-20</w:t>
      </w:r>
      <w:r>
        <w:rPr>
          <w:rFonts w:hint="eastAsia"/>
          <w:sz w:val="24"/>
          <w:szCs w:val="24"/>
          <w:highlight w:val="none"/>
        </w:rPr>
        <w:t>21</w:t>
      </w:r>
      <w:r>
        <w:rPr>
          <w:sz w:val="24"/>
          <w:szCs w:val="24"/>
          <w:highlight w:val="none"/>
        </w:rPr>
        <w:t>)；</w:t>
      </w:r>
    </w:p>
    <w:p>
      <w:pPr>
        <w:ind w:firstLine="480"/>
        <w:jc w:val="both"/>
        <w:rPr>
          <w:sz w:val="24"/>
          <w:szCs w:val="24"/>
          <w:highlight w:val="none"/>
        </w:rPr>
      </w:pPr>
      <w:r>
        <w:rPr>
          <w:sz w:val="24"/>
          <w:szCs w:val="24"/>
          <w:highlight w:val="none"/>
        </w:rPr>
        <w:t>（6）《环境影响评价技术导则_生态影响》(HJ19-20</w:t>
      </w:r>
      <w:r>
        <w:rPr>
          <w:rFonts w:hint="eastAsia"/>
          <w:sz w:val="24"/>
          <w:szCs w:val="24"/>
          <w:highlight w:val="none"/>
        </w:rPr>
        <w:t>22</w:t>
      </w:r>
      <w:r>
        <w:rPr>
          <w:sz w:val="24"/>
          <w:szCs w:val="24"/>
          <w:highlight w:val="none"/>
        </w:rPr>
        <w:t>)；</w:t>
      </w:r>
    </w:p>
    <w:p>
      <w:pPr>
        <w:ind w:firstLine="480"/>
        <w:jc w:val="both"/>
        <w:rPr>
          <w:sz w:val="24"/>
          <w:szCs w:val="24"/>
          <w:highlight w:val="none"/>
        </w:rPr>
      </w:pPr>
      <w:r>
        <w:rPr>
          <w:rFonts w:hint="eastAsia"/>
          <w:sz w:val="24"/>
          <w:szCs w:val="24"/>
          <w:highlight w:val="none"/>
        </w:rPr>
        <w:t>（7）《环境影响评价技术导则 土壤环境（试行）》（HJ964-2018）；</w:t>
      </w:r>
    </w:p>
    <w:p>
      <w:pPr>
        <w:widowControl/>
        <w:ind w:firstLine="480"/>
        <w:rPr>
          <w:sz w:val="24"/>
          <w:szCs w:val="24"/>
          <w:highlight w:val="none"/>
        </w:rPr>
      </w:pPr>
      <w:r>
        <w:rPr>
          <w:rFonts w:hint="eastAsia"/>
          <w:sz w:val="24"/>
          <w:szCs w:val="24"/>
          <w:highlight w:val="none"/>
        </w:rPr>
        <w:t>（8）《建设项目环境风险评价技术导则》（HJ169—2018）；</w:t>
      </w:r>
    </w:p>
    <w:p>
      <w:pPr>
        <w:snapToGrid w:val="0"/>
        <w:ind w:firstLine="480"/>
        <w:jc w:val="both"/>
        <w:rPr>
          <w:sz w:val="24"/>
          <w:szCs w:val="24"/>
          <w:highlight w:val="none"/>
        </w:rPr>
      </w:pPr>
      <w:r>
        <w:rPr>
          <w:rFonts w:hint="eastAsia"/>
          <w:sz w:val="24"/>
          <w:szCs w:val="24"/>
          <w:highlight w:val="none"/>
        </w:rPr>
        <w:t>（9）《清洁生产标准 铁矿采选业》（HJ/T294-2006）；</w:t>
      </w:r>
    </w:p>
    <w:p>
      <w:pPr>
        <w:snapToGrid w:val="0"/>
        <w:ind w:firstLine="480"/>
        <w:jc w:val="both"/>
        <w:rPr>
          <w:sz w:val="24"/>
          <w:szCs w:val="24"/>
          <w:highlight w:val="none"/>
        </w:rPr>
      </w:pPr>
      <w:r>
        <w:rPr>
          <w:rFonts w:hint="eastAsia"/>
          <w:sz w:val="24"/>
          <w:szCs w:val="24"/>
          <w:highlight w:val="none"/>
        </w:rPr>
        <w:t>（10）《固体废物鉴别导则（试行）》（国家环保总局公告2006年11号）；</w:t>
      </w:r>
    </w:p>
    <w:p>
      <w:pPr>
        <w:snapToGrid w:val="0"/>
        <w:ind w:firstLine="480"/>
        <w:jc w:val="both"/>
        <w:rPr>
          <w:sz w:val="24"/>
          <w:szCs w:val="24"/>
          <w:highlight w:val="none"/>
        </w:rPr>
      </w:pPr>
      <w:r>
        <w:rPr>
          <w:rFonts w:hint="eastAsia"/>
          <w:sz w:val="24"/>
          <w:szCs w:val="24"/>
          <w:highlight w:val="none"/>
        </w:rPr>
        <w:t>（11）《固体废物鉴别标准  通则》(GB34330-2017)；</w:t>
      </w:r>
    </w:p>
    <w:p>
      <w:pPr>
        <w:snapToGrid w:val="0"/>
        <w:ind w:firstLine="480"/>
        <w:jc w:val="both"/>
        <w:rPr>
          <w:sz w:val="24"/>
          <w:szCs w:val="24"/>
          <w:highlight w:val="none"/>
        </w:rPr>
      </w:pPr>
      <w:r>
        <w:rPr>
          <w:rFonts w:hint="eastAsia"/>
          <w:sz w:val="24"/>
          <w:szCs w:val="24"/>
          <w:highlight w:val="none"/>
        </w:rPr>
        <w:t>（12）《煤场、料场、渣场扬尘污染控制技术规范》（DB13/T2352-2016）。</w:t>
      </w:r>
    </w:p>
    <w:p>
      <w:pPr>
        <w:snapToGrid w:val="0"/>
        <w:ind w:firstLine="480"/>
        <w:jc w:val="both"/>
        <w:rPr>
          <w:sz w:val="24"/>
          <w:szCs w:val="24"/>
          <w:highlight w:val="none"/>
        </w:rPr>
      </w:pPr>
      <w:r>
        <w:rPr>
          <w:rFonts w:hint="eastAsia"/>
          <w:sz w:val="24"/>
          <w:szCs w:val="24"/>
          <w:highlight w:val="none"/>
        </w:rPr>
        <w:t>（13）《危险废物鉴别技术规范》（HJ/T298-2007）；</w:t>
      </w:r>
    </w:p>
    <w:p>
      <w:pPr>
        <w:snapToGrid w:val="0"/>
        <w:ind w:firstLine="480"/>
        <w:jc w:val="both"/>
        <w:rPr>
          <w:sz w:val="24"/>
          <w:szCs w:val="24"/>
          <w:highlight w:val="none"/>
        </w:rPr>
      </w:pPr>
      <w:r>
        <w:rPr>
          <w:rFonts w:hint="eastAsia"/>
          <w:sz w:val="24"/>
          <w:szCs w:val="24"/>
          <w:highlight w:val="none"/>
        </w:rPr>
        <w:t>（14）《国家危险废物名录（2021年本）》（部令第15号）；</w:t>
      </w:r>
    </w:p>
    <w:p>
      <w:pPr>
        <w:snapToGrid w:val="0"/>
        <w:ind w:firstLine="480"/>
        <w:jc w:val="both"/>
        <w:rPr>
          <w:sz w:val="24"/>
          <w:szCs w:val="24"/>
          <w:highlight w:val="none"/>
        </w:rPr>
      </w:pPr>
      <w:r>
        <w:rPr>
          <w:rFonts w:hint="eastAsia"/>
          <w:sz w:val="24"/>
          <w:szCs w:val="24"/>
          <w:highlight w:val="none"/>
        </w:rPr>
        <w:t>（15）《大气污染治理工程技术导则》（HJ2000-2010）；</w:t>
      </w:r>
    </w:p>
    <w:p>
      <w:pPr>
        <w:snapToGrid w:val="0"/>
        <w:ind w:firstLine="480"/>
        <w:jc w:val="both"/>
        <w:rPr>
          <w:sz w:val="24"/>
          <w:szCs w:val="24"/>
          <w:highlight w:val="none"/>
        </w:rPr>
      </w:pPr>
      <w:r>
        <w:rPr>
          <w:rFonts w:hint="eastAsia"/>
          <w:sz w:val="24"/>
          <w:szCs w:val="24"/>
          <w:highlight w:val="none"/>
        </w:rPr>
        <w:t>（16）《水污染治理工程技术导则》(HJ2015-2012)；</w:t>
      </w:r>
    </w:p>
    <w:p>
      <w:pPr>
        <w:snapToGrid w:val="0"/>
        <w:ind w:firstLine="480"/>
        <w:jc w:val="both"/>
        <w:rPr>
          <w:sz w:val="24"/>
          <w:szCs w:val="24"/>
          <w:highlight w:val="none"/>
        </w:rPr>
      </w:pPr>
      <w:r>
        <w:rPr>
          <w:rFonts w:hint="eastAsia"/>
          <w:sz w:val="24"/>
          <w:szCs w:val="24"/>
          <w:highlight w:val="none"/>
        </w:rPr>
        <w:t>（17）《环境噪声与振动控制工程技术导则》(HJ2034-2013)；</w:t>
      </w:r>
    </w:p>
    <w:p>
      <w:pPr>
        <w:snapToGrid w:val="0"/>
        <w:ind w:firstLine="480"/>
        <w:jc w:val="both"/>
        <w:rPr>
          <w:sz w:val="24"/>
          <w:szCs w:val="24"/>
          <w:highlight w:val="none"/>
        </w:rPr>
      </w:pPr>
      <w:r>
        <w:rPr>
          <w:rFonts w:hint="eastAsia"/>
          <w:sz w:val="24"/>
          <w:szCs w:val="24"/>
          <w:highlight w:val="none"/>
        </w:rPr>
        <w:t>（18）《固体废物处理处置工程技术导则》(HJ2035-2013)；</w:t>
      </w:r>
    </w:p>
    <w:p>
      <w:pPr>
        <w:snapToGrid w:val="0"/>
        <w:ind w:firstLine="480"/>
        <w:jc w:val="both"/>
        <w:rPr>
          <w:sz w:val="24"/>
          <w:szCs w:val="24"/>
          <w:highlight w:val="none"/>
        </w:rPr>
      </w:pPr>
      <w:r>
        <w:rPr>
          <w:rFonts w:hint="eastAsia"/>
          <w:sz w:val="24"/>
          <w:szCs w:val="24"/>
          <w:highlight w:val="none"/>
        </w:rPr>
        <w:t>（19）《防治城市扬尘污染技术规范》(HJ/T393-2007)；</w:t>
      </w:r>
    </w:p>
    <w:p>
      <w:pPr>
        <w:snapToGrid w:val="0"/>
        <w:ind w:firstLine="480"/>
        <w:jc w:val="both"/>
        <w:rPr>
          <w:sz w:val="24"/>
          <w:szCs w:val="24"/>
          <w:highlight w:val="none"/>
        </w:rPr>
      </w:pPr>
      <w:r>
        <w:rPr>
          <w:rFonts w:hint="eastAsia"/>
          <w:sz w:val="24"/>
          <w:szCs w:val="24"/>
          <w:highlight w:val="none"/>
        </w:rPr>
        <w:t>（20）《危险废物收集 储存 运输技术规范》(HJ2025-2012)；</w:t>
      </w:r>
    </w:p>
    <w:p>
      <w:pPr>
        <w:snapToGrid w:val="0"/>
        <w:ind w:firstLine="480"/>
        <w:jc w:val="both"/>
        <w:rPr>
          <w:sz w:val="24"/>
          <w:szCs w:val="24"/>
          <w:highlight w:val="none"/>
        </w:rPr>
      </w:pPr>
      <w:r>
        <w:rPr>
          <w:rFonts w:hint="eastAsia"/>
          <w:sz w:val="24"/>
          <w:szCs w:val="24"/>
          <w:highlight w:val="none"/>
        </w:rPr>
        <w:t>（21）《</w:t>
      </w:r>
      <w:r>
        <w:rPr>
          <w:sz w:val="24"/>
          <w:szCs w:val="24"/>
          <w:highlight w:val="none"/>
        </w:rPr>
        <w:t>危险废物识别标志设置技术规范</w:t>
      </w:r>
      <w:r>
        <w:rPr>
          <w:rFonts w:hint="eastAsia"/>
          <w:sz w:val="24"/>
          <w:szCs w:val="24"/>
          <w:highlight w:val="none"/>
        </w:rPr>
        <w:t>》（</w:t>
      </w:r>
      <w:r>
        <w:rPr>
          <w:sz w:val="24"/>
          <w:szCs w:val="24"/>
          <w:highlight w:val="none"/>
        </w:rPr>
        <w:t>HJ 1276—2022</w:t>
      </w:r>
      <w:r>
        <w:rPr>
          <w:rFonts w:hint="eastAsia"/>
          <w:sz w:val="24"/>
          <w:szCs w:val="24"/>
          <w:highlight w:val="none"/>
        </w:rPr>
        <w:t>）；</w:t>
      </w:r>
    </w:p>
    <w:p>
      <w:pPr>
        <w:snapToGrid w:val="0"/>
        <w:ind w:firstLine="480"/>
        <w:jc w:val="both"/>
        <w:rPr>
          <w:sz w:val="24"/>
          <w:szCs w:val="24"/>
          <w:highlight w:val="none"/>
        </w:rPr>
      </w:pPr>
      <w:r>
        <w:rPr>
          <w:rFonts w:hint="eastAsia"/>
          <w:sz w:val="24"/>
          <w:szCs w:val="24"/>
          <w:highlight w:val="none"/>
        </w:rPr>
        <w:t>（22）《生活与服务业用水定额》（DB13/T5450.1-2021）。</w:t>
      </w:r>
    </w:p>
    <w:p>
      <w:pPr>
        <w:pStyle w:val="6"/>
        <w:numPr>
          <w:ilvl w:val="2"/>
          <w:numId w:val="1"/>
        </w:numPr>
        <w:rPr>
          <w:szCs w:val="28"/>
          <w:highlight w:val="none"/>
        </w:rPr>
      </w:pPr>
      <w:bookmarkStart w:id="66" w:name="_Toc521591673"/>
      <w:bookmarkStart w:id="67" w:name="_Toc10357"/>
      <w:r>
        <w:rPr>
          <w:szCs w:val="28"/>
          <w:highlight w:val="none"/>
        </w:rPr>
        <w:t>其他相关文件</w:t>
      </w:r>
      <w:bookmarkEnd w:id="66"/>
      <w:bookmarkEnd w:id="67"/>
    </w:p>
    <w:p>
      <w:pPr>
        <w:ind w:firstLine="480"/>
        <w:jc w:val="both"/>
        <w:rPr>
          <w:sz w:val="24"/>
          <w:szCs w:val="24"/>
          <w:highlight w:val="none"/>
        </w:rPr>
      </w:pPr>
      <w:r>
        <w:rPr>
          <w:sz w:val="24"/>
          <w:szCs w:val="24"/>
          <w:highlight w:val="none"/>
        </w:rPr>
        <w:t>（1）《环境影响评价委托书》；</w:t>
      </w:r>
    </w:p>
    <w:p>
      <w:pPr>
        <w:ind w:firstLine="480"/>
        <w:jc w:val="both"/>
        <w:rPr>
          <w:sz w:val="24"/>
          <w:szCs w:val="24"/>
          <w:highlight w:val="none"/>
        </w:rPr>
      </w:pPr>
      <w:r>
        <w:rPr>
          <w:sz w:val="24"/>
          <w:szCs w:val="24"/>
          <w:highlight w:val="none"/>
        </w:rPr>
        <w:t>（2）《</w:t>
      </w:r>
      <w:r>
        <w:rPr>
          <w:rFonts w:hint="eastAsia"/>
          <w:sz w:val="24"/>
          <w:szCs w:val="24"/>
          <w:highlight w:val="none"/>
        </w:rPr>
        <w:t>遵化市群利铁精粉加工厂年处理30万吨铁矿石项目环境影响报告书</w:t>
      </w:r>
      <w:r>
        <w:rPr>
          <w:sz w:val="24"/>
          <w:szCs w:val="24"/>
          <w:highlight w:val="none"/>
        </w:rPr>
        <w:t>》</w:t>
      </w:r>
      <w:r>
        <w:rPr>
          <w:rFonts w:hint="eastAsia"/>
          <w:sz w:val="24"/>
          <w:szCs w:val="24"/>
          <w:highlight w:val="none"/>
        </w:rPr>
        <w:t>及其批复文件</w:t>
      </w:r>
      <w:r>
        <w:rPr>
          <w:sz w:val="24"/>
          <w:szCs w:val="24"/>
          <w:highlight w:val="none"/>
        </w:rPr>
        <w:t>；</w:t>
      </w:r>
    </w:p>
    <w:p>
      <w:pPr>
        <w:ind w:firstLine="480"/>
        <w:jc w:val="both"/>
        <w:rPr>
          <w:sz w:val="24"/>
          <w:szCs w:val="24"/>
          <w:highlight w:val="none"/>
        </w:rPr>
      </w:pPr>
      <w:r>
        <w:rPr>
          <w:sz w:val="24"/>
          <w:szCs w:val="24"/>
          <w:highlight w:val="none"/>
        </w:rPr>
        <w:t>（3）河北省发展和改革委员会企业投资项目备案信息（冀发改</w:t>
      </w:r>
      <w:r>
        <w:rPr>
          <w:rFonts w:hint="eastAsia"/>
          <w:sz w:val="24"/>
          <w:szCs w:val="24"/>
          <w:highlight w:val="none"/>
        </w:rPr>
        <w:t>政务</w:t>
      </w:r>
      <w:r>
        <w:rPr>
          <w:sz w:val="24"/>
          <w:szCs w:val="24"/>
          <w:highlight w:val="none"/>
        </w:rPr>
        <w:t>备字[20</w:t>
      </w:r>
      <w:r>
        <w:rPr>
          <w:rFonts w:hint="eastAsia"/>
          <w:sz w:val="24"/>
          <w:szCs w:val="24"/>
          <w:highlight w:val="none"/>
        </w:rPr>
        <w:t>23</w:t>
      </w:r>
      <w:r>
        <w:rPr>
          <w:sz w:val="24"/>
          <w:szCs w:val="24"/>
          <w:highlight w:val="none"/>
        </w:rPr>
        <w:t>]</w:t>
      </w:r>
      <w:r>
        <w:rPr>
          <w:rFonts w:hint="eastAsia"/>
          <w:sz w:val="24"/>
          <w:szCs w:val="24"/>
          <w:highlight w:val="none"/>
        </w:rPr>
        <w:t>76</w:t>
      </w:r>
      <w:r>
        <w:rPr>
          <w:sz w:val="24"/>
          <w:szCs w:val="24"/>
          <w:highlight w:val="none"/>
        </w:rPr>
        <w:t>号）；</w:t>
      </w:r>
    </w:p>
    <w:p>
      <w:pPr>
        <w:ind w:firstLine="480"/>
        <w:jc w:val="both"/>
        <w:rPr>
          <w:sz w:val="24"/>
          <w:szCs w:val="24"/>
          <w:highlight w:val="none"/>
        </w:rPr>
      </w:pPr>
      <w:r>
        <w:rPr>
          <w:sz w:val="24"/>
          <w:szCs w:val="24"/>
          <w:highlight w:val="none"/>
        </w:rPr>
        <w:t>（</w:t>
      </w:r>
      <w:r>
        <w:rPr>
          <w:rFonts w:hint="eastAsia"/>
          <w:sz w:val="24"/>
          <w:szCs w:val="24"/>
          <w:highlight w:val="none"/>
        </w:rPr>
        <w:t>4</w:t>
      </w:r>
      <w:r>
        <w:rPr>
          <w:sz w:val="24"/>
          <w:szCs w:val="24"/>
          <w:highlight w:val="none"/>
        </w:rPr>
        <w:t>）检测报告；</w:t>
      </w:r>
    </w:p>
    <w:p>
      <w:pPr>
        <w:ind w:firstLine="480"/>
        <w:jc w:val="both"/>
        <w:rPr>
          <w:sz w:val="24"/>
          <w:szCs w:val="24"/>
          <w:highlight w:val="none"/>
        </w:rPr>
      </w:pPr>
      <w:r>
        <w:rPr>
          <w:sz w:val="24"/>
          <w:szCs w:val="24"/>
          <w:highlight w:val="none"/>
        </w:rPr>
        <w:t>（</w:t>
      </w:r>
      <w:r>
        <w:rPr>
          <w:rFonts w:hint="eastAsia"/>
          <w:sz w:val="24"/>
          <w:szCs w:val="24"/>
          <w:highlight w:val="none"/>
        </w:rPr>
        <w:t>5</w:t>
      </w:r>
      <w:r>
        <w:rPr>
          <w:sz w:val="24"/>
          <w:szCs w:val="24"/>
          <w:highlight w:val="none"/>
        </w:rPr>
        <w:t>）</w:t>
      </w:r>
      <w:bookmarkStart w:id="68" w:name="_Hlk522220087"/>
      <w:r>
        <w:rPr>
          <w:sz w:val="24"/>
          <w:szCs w:val="24"/>
          <w:highlight w:val="none"/>
        </w:rPr>
        <w:t>环评委托方提供的其它有关资料</w:t>
      </w:r>
      <w:bookmarkEnd w:id="68"/>
      <w:r>
        <w:rPr>
          <w:sz w:val="24"/>
          <w:szCs w:val="24"/>
          <w:highlight w:val="none"/>
        </w:rPr>
        <w:t>。</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69" w:name="_Toc24726"/>
      <w:bookmarkStart w:id="70" w:name="_Toc9428"/>
      <w:bookmarkStart w:id="71" w:name="_Toc521591674"/>
      <w:bookmarkStart w:id="72" w:name="_Toc503218096"/>
      <w:bookmarkStart w:id="73" w:name="_Toc2994"/>
      <w:bookmarkStart w:id="74" w:name="_Toc499651397"/>
      <w:bookmarkStart w:id="75" w:name="_Toc524284659"/>
      <w:bookmarkStart w:id="76" w:name="_Toc1057"/>
      <w:bookmarkStart w:id="77" w:name="_Toc476574687"/>
      <w:r>
        <w:rPr>
          <w:rFonts w:ascii="Times New Roman" w:hAnsi="Times New Roman" w:eastAsia="宋体"/>
          <w:bCs w:val="0"/>
          <w:snapToGrid w:val="0"/>
          <w:kern w:val="0"/>
          <w:sz w:val="28"/>
          <w:szCs w:val="28"/>
          <w:highlight w:val="none"/>
        </w:rPr>
        <w:t>评价目的与评价原则</w:t>
      </w:r>
      <w:bookmarkEnd w:id="69"/>
    </w:p>
    <w:p>
      <w:pPr>
        <w:pStyle w:val="6"/>
        <w:numPr>
          <w:ilvl w:val="2"/>
          <w:numId w:val="1"/>
        </w:numPr>
        <w:rPr>
          <w:szCs w:val="28"/>
          <w:highlight w:val="none"/>
        </w:rPr>
      </w:pPr>
      <w:bookmarkStart w:id="78" w:name="_Toc246815927"/>
      <w:bookmarkStart w:id="79" w:name="_Toc246985967"/>
      <w:bookmarkStart w:id="80" w:name="_Toc246749938"/>
      <w:bookmarkStart w:id="81" w:name="_Toc258867568"/>
      <w:bookmarkStart w:id="82" w:name="_Toc257125152"/>
      <w:r>
        <w:rPr>
          <w:szCs w:val="28"/>
          <w:highlight w:val="none"/>
        </w:rPr>
        <w:t>评价目的</w:t>
      </w:r>
      <w:bookmarkEnd w:id="78"/>
      <w:bookmarkEnd w:id="79"/>
      <w:bookmarkEnd w:id="80"/>
      <w:bookmarkEnd w:id="81"/>
      <w:bookmarkEnd w:id="82"/>
    </w:p>
    <w:p>
      <w:pPr>
        <w:ind w:firstLine="480"/>
        <w:rPr>
          <w:sz w:val="24"/>
          <w:szCs w:val="24"/>
          <w:highlight w:val="none"/>
        </w:rPr>
      </w:pPr>
      <w:bookmarkStart w:id="83" w:name="_Toc257125153"/>
      <w:bookmarkStart w:id="84" w:name="_Toc246815928"/>
      <w:bookmarkStart w:id="85" w:name="_Toc246749939"/>
      <w:bookmarkStart w:id="86" w:name="_Toc246985968"/>
      <w:bookmarkStart w:id="87" w:name="_Toc258867569"/>
      <w:r>
        <w:rPr>
          <w:sz w:val="24"/>
          <w:szCs w:val="24"/>
          <w:highlight w:val="none"/>
        </w:rPr>
        <w:t>（1）通过调查与监测，了解建设项目周围的自然环境、社会经济环境和环境质量现状。</w:t>
      </w:r>
    </w:p>
    <w:p>
      <w:pPr>
        <w:ind w:firstLine="480"/>
        <w:rPr>
          <w:sz w:val="24"/>
          <w:szCs w:val="24"/>
          <w:highlight w:val="none"/>
        </w:rPr>
      </w:pPr>
      <w:r>
        <w:rPr>
          <w:sz w:val="24"/>
          <w:szCs w:val="24"/>
          <w:highlight w:val="none"/>
        </w:rPr>
        <w:t>（2）通过工程分析和类比调查，查清建设项目的主要污染源、污染物及排放量；按</w:t>
      </w:r>
      <w:r>
        <w:rPr>
          <w:rFonts w:hint="eastAsia"/>
          <w:sz w:val="24"/>
          <w:szCs w:val="24"/>
          <w:highlight w:val="none"/>
        </w:rPr>
        <w:t>“</w:t>
      </w:r>
      <w:r>
        <w:rPr>
          <w:sz w:val="24"/>
          <w:szCs w:val="24"/>
          <w:highlight w:val="none"/>
        </w:rPr>
        <w:t>清洁生产</w:t>
      </w:r>
      <w:r>
        <w:rPr>
          <w:rFonts w:hint="eastAsia"/>
          <w:sz w:val="24"/>
          <w:szCs w:val="24"/>
          <w:highlight w:val="none"/>
        </w:rPr>
        <w:t>”</w:t>
      </w:r>
      <w:r>
        <w:rPr>
          <w:sz w:val="24"/>
          <w:szCs w:val="24"/>
          <w:highlight w:val="none"/>
        </w:rPr>
        <w:t>的要求，对工程采用的工艺、设备、物耗、能耗等各环节进行分析。</w:t>
      </w:r>
    </w:p>
    <w:p>
      <w:pPr>
        <w:ind w:firstLine="480"/>
        <w:rPr>
          <w:sz w:val="24"/>
          <w:szCs w:val="24"/>
          <w:highlight w:val="none"/>
        </w:rPr>
      </w:pPr>
      <w:r>
        <w:rPr>
          <w:sz w:val="24"/>
          <w:szCs w:val="24"/>
          <w:highlight w:val="none"/>
        </w:rPr>
        <w:t>（3）通过分析和计算，预测主要污染物排放对周围环境的影响程度，判断其是否满足排放标准、环境质量标准和总量控制要求。</w:t>
      </w:r>
    </w:p>
    <w:p>
      <w:pPr>
        <w:ind w:firstLine="480"/>
        <w:rPr>
          <w:sz w:val="24"/>
          <w:szCs w:val="24"/>
          <w:highlight w:val="none"/>
        </w:rPr>
      </w:pPr>
      <w:r>
        <w:rPr>
          <w:sz w:val="24"/>
          <w:szCs w:val="24"/>
          <w:highlight w:val="none"/>
        </w:rPr>
        <w:t>（4）从技术、经济角度分析拟采取的环保措施的可行性，必要时提出替代方案，为主管部门决策和加强环境管理提供依据。</w:t>
      </w:r>
    </w:p>
    <w:p>
      <w:pPr>
        <w:ind w:firstLine="480"/>
        <w:rPr>
          <w:sz w:val="24"/>
          <w:szCs w:val="24"/>
          <w:highlight w:val="none"/>
        </w:rPr>
      </w:pPr>
      <w:r>
        <w:rPr>
          <w:sz w:val="24"/>
          <w:szCs w:val="24"/>
          <w:highlight w:val="none"/>
        </w:rPr>
        <w:t>（5）从环保法规、产业政策、环境特点、污染防治等方面综合分析，对厂址选择的合理性和建设项目的可行性给出明确结论，为管理部门决策、设计部门优化设计和建设单位的环境管理提供科学依据。</w:t>
      </w:r>
    </w:p>
    <w:p>
      <w:pPr>
        <w:pStyle w:val="6"/>
        <w:numPr>
          <w:ilvl w:val="2"/>
          <w:numId w:val="1"/>
        </w:numPr>
        <w:rPr>
          <w:szCs w:val="28"/>
          <w:highlight w:val="none"/>
        </w:rPr>
      </w:pPr>
      <w:r>
        <w:rPr>
          <w:szCs w:val="28"/>
          <w:highlight w:val="none"/>
        </w:rPr>
        <w:t>评价原则</w:t>
      </w:r>
      <w:bookmarkEnd w:id="83"/>
      <w:bookmarkEnd w:id="84"/>
      <w:bookmarkEnd w:id="85"/>
      <w:bookmarkEnd w:id="86"/>
      <w:bookmarkEnd w:id="87"/>
    </w:p>
    <w:p>
      <w:pPr>
        <w:pStyle w:val="173"/>
        <w:spacing w:before="0" w:after="0" w:line="360" w:lineRule="auto"/>
        <w:ind w:firstLine="480"/>
        <w:rPr>
          <w:highlight w:val="none"/>
        </w:rPr>
      </w:pPr>
      <w:r>
        <w:rPr>
          <w:highlight w:val="none"/>
        </w:rPr>
        <w:t>突出环境影响评价的源头预防作用，坚持保护和改善环境质量。</w:t>
      </w:r>
    </w:p>
    <w:p>
      <w:pPr>
        <w:pStyle w:val="173"/>
        <w:spacing w:before="0" w:after="0" w:line="360" w:lineRule="auto"/>
        <w:ind w:firstLine="480"/>
        <w:rPr>
          <w:highlight w:val="none"/>
        </w:rPr>
      </w:pPr>
      <w:r>
        <w:rPr>
          <w:highlight w:val="none"/>
        </w:rPr>
        <w:t>（1）依法评价</w:t>
      </w:r>
    </w:p>
    <w:p>
      <w:pPr>
        <w:pStyle w:val="173"/>
        <w:spacing w:before="0" w:after="0" w:line="360" w:lineRule="auto"/>
        <w:ind w:firstLine="480"/>
        <w:rPr>
          <w:highlight w:val="none"/>
        </w:rPr>
      </w:pPr>
      <w:r>
        <w:rPr>
          <w:highlight w:val="none"/>
        </w:rPr>
        <w:t>贯彻执行我国环境保护相关法律法规、标准、政策和规划等，优化项目建设，服务环境管理。</w:t>
      </w:r>
    </w:p>
    <w:p>
      <w:pPr>
        <w:pStyle w:val="173"/>
        <w:spacing w:before="0" w:after="0" w:line="360" w:lineRule="auto"/>
        <w:ind w:firstLine="480"/>
        <w:rPr>
          <w:highlight w:val="none"/>
        </w:rPr>
      </w:pPr>
      <w:r>
        <w:rPr>
          <w:highlight w:val="none"/>
        </w:rPr>
        <w:t>（2）科学评价</w:t>
      </w:r>
    </w:p>
    <w:p>
      <w:pPr>
        <w:pStyle w:val="173"/>
        <w:spacing w:before="0" w:after="0" w:line="360" w:lineRule="auto"/>
        <w:ind w:firstLine="480"/>
        <w:rPr>
          <w:highlight w:val="none"/>
        </w:rPr>
      </w:pPr>
      <w:r>
        <w:rPr>
          <w:highlight w:val="none"/>
        </w:rPr>
        <w:t>规范环境影响评价方法，科学分析项目建设对环境质量的影响。</w:t>
      </w:r>
    </w:p>
    <w:p>
      <w:pPr>
        <w:pStyle w:val="173"/>
        <w:spacing w:before="0" w:after="0" w:line="360" w:lineRule="auto"/>
        <w:ind w:firstLine="480"/>
        <w:rPr>
          <w:highlight w:val="none"/>
        </w:rPr>
      </w:pPr>
      <w:r>
        <w:rPr>
          <w:highlight w:val="none"/>
        </w:rPr>
        <w:t>（3）突出重点</w:t>
      </w:r>
    </w:p>
    <w:p>
      <w:pPr>
        <w:ind w:firstLine="480"/>
        <w:jc w:val="both"/>
        <w:rPr>
          <w:sz w:val="24"/>
          <w:szCs w:val="24"/>
          <w:highlight w:val="none"/>
        </w:rPr>
      </w:pPr>
      <w:r>
        <w:rPr>
          <w:sz w:val="24"/>
          <w:szCs w:val="24"/>
          <w:highlight w:val="none"/>
        </w:rPr>
        <w:t>根据建设项目的工程内容及其特点，明确与环境要素间的作用效应关系，根据规划环境影响评价结论和审查意见，充分利用符合时效的数据资料及成果，对建设项目主要环境影响予以重点分析和评价</w:t>
      </w:r>
      <w:r>
        <w:rPr>
          <w:rFonts w:hint="eastAsia"/>
          <w:sz w:val="24"/>
          <w:szCs w:val="24"/>
          <w:highlight w:val="none"/>
        </w:rPr>
        <w:t>。</w:t>
      </w:r>
    </w:p>
    <w:bookmarkEnd w:id="70"/>
    <w:bookmarkEnd w:id="71"/>
    <w:bookmarkEnd w:id="72"/>
    <w:bookmarkEnd w:id="73"/>
    <w:bookmarkEnd w:id="74"/>
    <w:bookmarkEnd w:id="75"/>
    <w:bookmarkEnd w:id="76"/>
    <w:bookmarkEnd w:id="77"/>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88" w:name="_Toc16601"/>
      <w:r>
        <w:rPr>
          <w:rFonts w:hint="eastAsia" w:ascii="Times New Roman" w:hAnsi="Times New Roman" w:eastAsia="宋体"/>
          <w:bCs w:val="0"/>
          <w:snapToGrid w:val="0"/>
          <w:kern w:val="0"/>
          <w:sz w:val="28"/>
          <w:szCs w:val="28"/>
          <w:highlight w:val="none"/>
        </w:rPr>
        <w:t>环境影响要素和评价因子</w:t>
      </w:r>
      <w:bookmarkEnd w:id="88"/>
    </w:p>
    <w:p>
      <w:pPr>
        <w:pStyle w:val="6"/>
        <w:numPr>
          <w:ilvl w:val="2"/>
          <w:numId w:val="1"/>
        </w:numPr>
        <w:rPr>
          <w:szCs w:val="28"/>
          <w:highlight w:val="none"/>
        </w:rPr>
      </w:pPr>
      <w:bookmarkStart w:id="89" w:name="_Toc20276"/>
      <w:bookmarkStart w:id="90" w:name="_Toc521591675"/>
      <w:r>
        <w:rPr>
          <w:szCs w:val="28"/>
          <w:highlight w:val="none"/>
        </w:rPr>
        <w:t>环境影响</w:t>
      </w:r>
      <w:r>
        <w:rPr>
          <w:rFonts w:hint="eastAsia"/>
          <w:szCs w:val="28"/>
          <w:highlight w:val="none"/>
        </w:rPr>
        <w:t>要素</w:t>
      </w:r>
      <w:r>
        <w:rPr>
          <w:szCs w:val="28"/>
          <w:highlight w:val="none"/>
        </w:rPr>
        <w:t>识别</w:t>
      </w:r>
      <w:bookmarkEnd w:id="89"/>
      <w:bookmarkEnd w:id="90"/>
    </w:p>
    <w:p>
      <w:pPr>
        <w:ind w:firstLine="480"/>
        <w:rPr>
          <w:sz w:val="24"/>
          <w:szCs w:val="24"/>
          <w:highlight w:val="none"/>
        </w:rPr>
      </w:pPr>
      <w:r>
        <w:rPr>
          <w:sz w:val="24"/>
          <w:szCs w:val="24"/>
          <w:highlight w:val="none"/>
        </w:rPr>
        <w:t>根据建设项目的生产工艺流程和排污特征以及建设地区的环境状况，采用矩阵法对项目运营期可能受项目影响的环境要素进行识别，识别结果见表2.3-1。</w:t>
      </w:r>
    </w:p>
    <w:p>
      <w:pPr>
        <w:ind w:firstLine="0" w:firstLineChars="0"/>
        <w:jc w:val="center"/>
        <w:textAlignment w:val="auto"/>
        <w:rPr>
          <w:rFonts w:eastAsia="黑体"/>
          <w:kern w:val="2"/>
          <w:sz w:val="21"/>
          <w:szCs w:val="21"/>
          <w:highlight w:val="none"/>
        </w:rPr>
      </w:pPr>
      <w:r>
        <w:rPr>
          <w:rFonts w:eastAsia="黑体"/>
          <w:kern w:val="2"/>
          <w:sz w:val="21"/>
          <w:szCs w:val="21"/>
          <w:highlight w:val="none"/>
        </w:rPr>
        <w:t>表2.3-1    环境影响要素识别一览表</w:t>
      </w:r>
    </w:p>
    <w:tbl>
      <w:tblPr>
        <w:tblStyle w:val="56"/>
        <w:tblW w:w="8840"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2"/>
        <w:gridCol w:w="1034"/>
        <w:gridCol w:w="1106"/>
        <w:gridCol w:w="1244"/>
        <w:gridCol w:w="1245"/>
        <w:gridCol w:w="973"/>
        <w:gridCol w:w="992"/>
        <w:gridCol w:w="709"/>
        <w:gridCol w:w="875"/>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1696" w:type="dxa"/>
            <w:gridSpan w:val="2"/>
            <w:vMerge w:val="restart"/>
            <w:tcBorders>
              <w:top w:val="single" w:color="auto" w:sz="4"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类别</w:t>
            </w:r>
          </w:p>
        </w:tc>
        <w:tc>
          <w:tcPr>
            <w:tcW w:w="5560" w:type="dxa"/>
            <w:gridSpan w:val="5"/>
            <w:tcBorders>
              <w:top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自然环境</w:t>
            </w:r>
          </w:p>
        </w:tc>
        <w:tc>
          <w:tcPr>
            <w:tcW w:w="1584" w:type="dxa"/>
            <w:gridSpan w:val="2"/>
            <w:tcBorders>
              <w:top w:val="single" w:color="auto" w:sz="4"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生态环境</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1696" w:type="dxa"/>
            <w:gridSpan w:val="2"/>
            <w:vMerge w:val="continue"/>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p>
        </w:tc>
        <w:tc>
          <w:tcPr>
            <w:tcW w:w="1106"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环境空气</w:t>
            </w:r>
          </w:p>
        </w:tc>
        <w:tc>
          <w:tcPr>
            <w:tcW w:w="1244"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地表水环境</w:t>
            </w:r>
          </w:p>
        </w:tc>
        <w:tc>
          <w:tcPr>
            <w:tcW w:w="1245"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地下水环境</w:t>
            </w:r>
          </w:p>
        </w:tc>
        <w:tc>
          <w:tcPr>
            <w:tcW w:w="973"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声环境</w:t>
            </w:r>
          </w:p>
        </w:tc>
        <w:tc>
          <w:tcPr>
            <w:tcW w:w="992"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rFonts w:hint="eastAsia"/>
                <w:highlight w:val="none"/>
              </w:rPr>
              <w:t>土壤环境</w:t>
            </w:r>
          </w:p>
        </w:tc>
        <w:tc>
          <w:tcPr>
            <w:tcW w:w="709"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植被</w:t>
            </w:r>
          </w:p>
        </w:tc>
        <w:tc>
          <w:tcPr>
            <w:tcW w:w="875"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水土流失</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662" w:type="dxa"/>
            <w:vMerge w:val="restart"/>
            <w:tcBorders>
              <w:top w:val="single" w:color="auto" w:sz="6" w:space="0"/>
              <w:left w:val="single" w:color="auto" w:sz="4"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施工期</w:t>
            </w:r>
          </w:p>
        </w:tc>
        <w:tc>
          <w:tcPr>
            <w:tcW w:w="1034"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土方施工</w:t>
            </w:r>
          </w:p>
        </w:tc>
        <w:tc>
          <w:tcPr>
            <w:tcW w:w="1106"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-2D</w:t>
            </w:r>
          </w:p>
        </w:tc>
        <w:tc>
          <w:tcPr>
            <w:tcW w:w="1244" w:type="dxa"/>
            <w:tcBorders>
              <w:top w:val="single" w:color="auto" w:sz="6" w:space="0"/>
              <w:bottom w:val="single" w:color="auto" w:sz="6" w:space="0"/>
            </w:tcBorders>
            <w:tcMar>
              <w:left w:w="0" w:type="dxa"/>
              <w:right w:w="0" w:type="dxa"/>
            </w:tcMar>
            <w:vAlign w:val="center"/>
          </w:tcPr>
          <w:p>
            <w:pPr>
              <w:pStyle w:val="417"/>
              <w:spacing w:line="240" w:lineRule="auto"/>
              <w:rPr>
                <w:highlight w:val="none"/>
                <w:u w:val="single"/>
              </w:rPr>
            </w:pPr>
            <w:r>
              <w:rPr>
                <w:highlight w:val="none"/>
              </w:rPr>
              <w:t>-1D</w:t>
            </w:r>
          </w:p>
        </w:tc>
        <w:tc>
          <w:tcPr>
            <w:tcW w:w="1245"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973"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-2D</w:t>
            </w:r>
          </w:p>
        </w:tc>
        <w:tc>
          <w:tcPr>
            <w:tcW w:w="992"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709"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-1D</w:t>
            </w:r>
          </w:p>
        </w:tc>
        <w:tc>
          <w:tcPr>
            <w:tcW w:w="875"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-1D</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662" w:type="dxa"/>
            <w:vMerge w:val="continue"/>
            <w:tcBorders>
              <w:top w:val="single" w:color="auto" w:sz="6" w:space="0"/>
              <w:left w:val="single" w:color="auto" w:sz="4" w:space="0"/>
              <w:bottom w:val="single" w:color="auto" w:sz="6" w:space="0"/>
              <w:right w:val="single" w:color="auto" w:sz="4" w:space="0"/>
            </w:tcBorders>
            <w:tcMar>
              <w:left w:w="0" w:type="dxa"/>
              <w:right w:w="0" w:type="dxa"/>
            </w:tcMar>
            <w:vAlign w:val="center"/>
          </w:tcPr>
          <w:p>
            <w:pPr>
              <w:pStyle w:val="417"/>
              <w:spacing w:line="240" w:lineRule="auto"/>
              <w:rPr>
                <w:highlight w:val="none"/>
              </w:rPr>
            </w:pPr>
          </w:p>
        </w:tc>
        <w:tc>
          <w:tcPr>
            <w:tcW w:w="1034"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建筑施工</w:t>
            </w:r>
          </w:p>
        </w:tc>
        <w:tc>
          <w:tcPr>
            <w:tcW w:w="1106"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-1D</w:t>
            </w:r>
          </w:p>
        </w:tc>
        <w:tc>
          <w:tcPr>
            <w:tcW w:w="1244"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1245"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973"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-2D</w:t>
            </w:r>
          </w:p>
        </w:tc>
        <w:tc>
          <w:tcPr>
            <w:tcW w:w="992"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709"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-1D</w:t>
            </w:r>
          </w:p>
        </w:tc>
        <w:tc>
          <w:tcPr>
            <w:tcW w:w="875"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-1D</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662" w:type="dxa"/>
            <w:vMerge w:val="continue"/>
            <w:tcBorders>
              <w:top w:val="single" w:color="auto" w:sz="6" w:space="0"/>
              <w:left w:val="single" w:color="auto" w:sz="4" w:space="0"/>
              <w:bottom w:val="single" w:color="auto" w:sz="6" w:space="0"/>
              <w:right w:val="single" w:color="auto" w:sz="4" w:space="0"/>
            </w:tcBorders>
            <w:tcMar>
              <w:left w:w="0" w:type="dxa"/>
              <w:right w:w="0" w:type="dxa"/>
            </w:tcMar>
            <w:vAlign w:val="center"/>
          </w:tcPr>
          <w:p>
            <w:pPr>
              <w:pStyle w:val="417"/>
              <w:spacing w:line="240" w:lineRule="auto"/>
              <w:rPr>
                <w:highlight w:val="none"/>
              </w:rPr>
            </w:pPr>
          </w:p>
        </w:tc>
        <w:tc>
          <w:tcPr>
            <w:tcW w:w="1034"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设备安装</w:t>
            </w:r>
          </w:p>
        </w:tc>
        <w:tc>
          <w:tcPr>
            <w:tcW w:w="1106"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-1D</w:t>
            </w:r>
          </w:p>
        </w:tc>
        <w:tc>
          <w:tcPr>
            <w:tcW w:w="1244"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1245"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973"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-1D</w:t>
            </w:r>
          </w:p>
        </w:tc>
        <w:tc>
          <w:tcPr>
            <w:tcW w:w="992"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709"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875"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662" w:type="dxa"/>
            <w:vMerge w:val="restart"/>
            <w:tcBorders>
              <w:top w:val="single" w:color="auto" w:sz="6" w:space="0"/>
              <w:left w:val="single" w:color="auto" w:sz="4"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营运期</w:t>
            </w:r>
          </w:p>
        </w:tc>
        <w:tc>
          <w:tcPr>
            <w:tcW w:w="1034"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生产</w:t>
            </w:r>
          </w:p>
        </w:tc>
        <w:tc>
          <w:tcPr>
            <w:tcW w:w="1106"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-2C</w:t>
            </w:r>
          </w:p>
        </w:tc>
        <w:tc>
          <w:tcPr>
            <w:tcW w:w="1244"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1245"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-1C</w:t>
            </w:r>
          </w:p>
        </w:tc>
        <w:tc>
          <w:tcPr>
            <w:tcW w:w="973"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-2C</w:t>
            </w:r>
          </w:p>
        </w:tc>
        <w:tc>
          <w:tcPr>
            <w:tcW w:w="992" w:type="dxa"/>
            <w:tcBorders>
              <w:top w:val="single" w:color="auto" w:sz="6" w:space="0"/>
              <w:left w:val="single" w:color="auto" w:sz="4" w:space="0"/>
              <w:bottom w:val="single" w:color="auto" w:sz="6" w:space="0"/>
            </w:tcBorders>
            <w:tcMar>
              <w:left w:w="0" w:type="dxa"/>
              <w:right w:w="0" w:type="dxa"/>
            </w:tcMar>
            <w:vAlign w:val="center"/>
          </w:tcPr>
          <w:p>
            <w:pPr>
              <w:pStyle w:val="417"/>
              <w:spacing w:line="240" w:lineRule="auto"/>
              <w:rPr>
                <w:highlight w:val="none"/>
              </w:rPr>
            </w:pPr>
            <w:r>
              <w:rPr>
                <w:highlight w:val="none"/>
              </w:rPr>
              <w:t>-1C</w:t>
            </w:r>
          </w:p>
        </w:tc>
        <w:tc>
          <w:tcPr>
            <w:tcW w:w="709" w:type="dxa"/>
            <w:tcBorders>
              <w:top w:val="single" w:color="auto" w:sz="6" w:space="0"/>
              <w:bottom w:val="single" w:color="auto" w:sz="6" w:space="0"/>
            </w:tcBorders>
            <w:tcMar>
              <w:left w:w="0" w:type="dxa"/>
              <w:right w:w="0" w:type="dxa"/>
            </w:tcMar>
            <w:vAlign w:val="center"/>
          </w:tcPr>
          <w:p>
            <w:pPr>
              <w:pStyle w:val="417"/>
              <w:spacing w:line="240" w:lineRule="auto"/>
              <w:rPr>
                <w:highlight w:val="none"/>
              </w:rPr>
            </w:pPr>
            <w:r>
              <w:rPr>
                <w:highlight w:val="none"/>
              </w:rPr>
              <w:t>--</w:t>
            </w:r>
          </w:p>
        </w:tc>
        <w:tc>
          <w:tcPr>
            <w:tcW w:w="875" w:type="dxa"/>
            <w:tcBorders>
              <w:top w:val="single" w:color="auto" w:sz="6" w:space="0"/>
              <w:bottom w:val="single" w:color="auto" w:sz="6" w:space="0"/>
              <w:right w:val="single" w:color="auto" w:sz="4" w:space="0"/>
            </w:tcBorders>
            <w:tcMar>
              <w:left w:w="0" w:type="dxa"/>
              <w:right w:w="0" w:type="dxa"/>
            </w:tcMar>
            <w:vAlign w:val="center"/>
          </w:tcPr>
          <w:p>
            <w:pPr>
              <w:pStyle w:val="417"/>
              <w:spacing w:line="240" w:lineRule="auto"/>
              <w:rPr>
                <w:highlight w:val="none"/>
              </w:rPr>
            </w:pPr>
            <w:r>
              <w:rPr>
                <w:highlight w:val="none"/>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662" w:type="dxa"/>
            <w:vMerge w:val="continue"/>
            <w:tcBorders>
              <w:top w:val="single" w:color="auto" w:sz="6" w:space="0"/>
              <w:left w:val="single" w:color="auto" w:sz="4" w:space="0"/>
              <w:bottom w:val="single" w:color="auto" w:sz="4" w:space="0"/>
              <w:right w:val="single" w:color="auto" w:sz="4" w:space="0"/>
            </w:tcBorders>
            <w:tcMar>
              <w:left w:w="0" w:type="dxa"/>
              <w:right w:w="0" w:type="dxa"/>
            </w:tcMar>
            <w:vAlign w:val="center"/>
          </w:tcPr>
          <w:p>
            <w:pPr>
              <w:pStyle w:val="417"/>
              <w:spacing w:line="240" w:lineRule="auto"/>
              <w:rPr>
                <w:highlight w:val="none"/>
              </w:rPr>
            </w:pPr>
          </w:p>
        </w:tc>
        <w:tc>
          <w:tcPr>
            <w:tcW w:w="1034" w:type="dxa"/>
            <w:tcBorders>
              <w:top w:val="single" w:color="auto" w:sz="6" w:space="0"/>
              <w:left w:val="single" w:color="auto" w:sz="4" w:space="0"/>
              <w:bottom w:val="single" w:color="auto" w:sz="4" w:space="0"/>
            </w:tcBorders>
            <w:tcMar>
              <w:left w:w="0" w:type="dxa"/>
              <w:right w:w="0" w:type="dxa"/>
            </w:tcMar>
            <w:vAlign w:val="center"/>
          </w:tcPr>
          <w:p>
            <w:pPr>
              <w:pStyle w:val="417"/>
              <w:spacing w:line="240" w:lineRule="auto"/>
              <w:rPr>
                <w:highlight w:val="none"/>
              </w:rPr>
            </w:pPr>
            <w:r>
              <w:rPr>
                <w:highlight w:val="none"/>
              </w:rPr>
              <w:t>运输</w:t>
            </w:r>
          </w:p>
        </w:tc>
        <w:tc>
          <w:tcPr>
            <w:tcW w:w="1106" w:type="dxa"/>
            <w:tcBorders>
              <w:top w:val="single" w:color="auto" w:sz="6" w:space="0"/>
              <w:bottom w:val="single" w:color="auto" w:sz="4" w:space="0"/>
            </w:tcBorders>
            <w:tcMar>
              <w:left w:w="0" w:type="dxa"/>
              <w:right w:w="0" w:type="dxa"/>
            </w:tcMar>
            <w:vAlign w:val="center"/>
          </w:tcPr>
          <w:p>
            <w:pPr>
              <w:pStyle w:val="417"/>
              <w:spacing w:line="240" w:lineRule="auto"/>
              <w:rPr>
                <w:highlight w:val="none"/>
              </w:rPr>
            </w:pPr>
            <w:r>
              <w:rPr>
                <w:highlight w:val="none"/>
              </w:rPr>
              <w:t>-1C</w:t>
            </w:r>
          </w:p>
        </w:tc>
        <w:tc>
          <w:tcPr>
            <w:tcW w:w="1244" w:type="dxa"/>
            <w:tcBorders>
              <w:top w:val="single" w:color="auto" w:sz="6" w:space="0"/>
              <w:bottom w:val="single" w:color="auto" w:sz="4" w:space="0"/>
            </w:tcBorders>
            <w:tcMar>
              <w:left w:w="0" w:type="dxa"/>
              <w:right w:w="0" w:type="dxa"/>
            </w:tcMar>
            <w:vAlign w:val="center"/>
          </w:tcPr>
          <w:p>
            <w:pPr>
              <w:pStyle w:val="417"/>
              <w:spacing w:line="240" w:lineRule="auto"/>
              <w:rPr>
                <w:highlight w:val="none"/>
              </w:rPr>
            </w:pPr>
            <w:r>
              <w:rPr>
                <w:highlight w:val="none"/>
              </w:rPr>
              <w:t>--</w:t>
            </w:r>
          </w:p>
        </w:tc>
        <w:tc>
          <w:tcPr>
            <w:tcW w:w="1245" w:type="dxa"/>
            <w:tcBorders>
              <w:top w:val="single" w:color="auto" w:sz="6" w:space="0"/>
              <w:bottom w:val="single" w:color="auto" w:sz="4" w:space="0"/>
            </w:tcBorders>
            <w:tcMar>
              <w:left w:w="0" w:type="dxa"/>
              <w:right w:w="0" w:type="dxa"/>
            </w:tcMar>
            <w:vAlign w:val="center"/>
          </w:tcPr>
          <w:p>
            <w:pPr>
              <w:pStyle w:val="417"/>
              <w:spacing w:line="240" w:lineRule="auto"/>
              <w:rPr>
                <w:highlight w:val="none"/>
              </w:rPr>
            </w:pPr>
            <w:r>
              <w:rPr>
                <w:highlight w:val="none"/>
              </w:rPr>
              <w:t>--</w:t>
            </w:r>
          </w:p>
        </w:tc>
        <w:tc>
          <w:tcPr>
            <w:tcW w:w="973" w:type="dxa"/>
            <w:tcBorders>
              <w:top w:val="single" w:color="auto" w:sz="6" w:space="0"/>
              <w:bottom w:val="single" w:color="auto" w:sz="4" w:space="0"/>
              <w:right w:val="single" w:color="auto" w:sz="4" w:space="0"/>
            </w:tcBorders>
            <w:tcMar>
              <w:left w:w="0" w:type="dxa"/>
              <w:right w:w="0" w:type="dxa"/>
            </w:tcMar>
            <w:vAlign w:val="center"/>
          </w:tcPr>
          <w:p>
            <w:pPr>
              <w:pStyle w:val="417"/>
              <w:spacing w:line="240" w:lineRule="auto"/>
              <w:rPr>
                <w:highlight w:val="none"/>
              </w:rPr>
            </w:pPr>
            <w:r>
              <w:rPr>
                <w:highlight w:val="none"/>
              </w:rPr>
              <w:t>-1C</w:t>
            </w:r>
          </w:p>
        </w:tc>
        <w:tc>
          <w:tcPr>
            <w:tcW w:w="992" w:type="dxa"/>
            <w:tcBorders>
              <w:top w:val="single" w:color="auto" w:sz="6" w:space="0"/>
              <w:left w:val="single" w:color="auto" w:sz="4" w:space="0"/>
              <w:bottom w:val="single" w:color="auto" w:sz="4" w:space="0"/>
            </w:tcBorders>
            <w:tcMar>
              <w:left w:w="0" w:type="dxa"/>
              <w:right w:w="0" w:type="dxa"/>
            </w:tcMar>
            <w:vAlign w:val="center"/>
          </w:tcPr>
          <w:p>
            <w:pPr>
              <w:pStyle w:val="417"/>
              <w:spacing w:line="240" w:lineRule="auto"/>
              <w:rPr>
                <w:highlight w:val="none"/>
              </w:rPr>
            </w:pPr>
            <w:r>
              <w:rPr>
                <w:highlight w:val="none"/>
              </w:rPr>
              <w:t>-1C</w:t>
            </w:r>
          </w:p>
        </w:tc>
        <w:tc>
          <w:tcPr>
            <w:tcW w:w="709" w:type="dxa"/>
            <w:tcBorders>
              <w:top w:val="single" w:color="auto" w:sz="6" w:space="0"/>
              <w:bottom w:val="single" w:color="auto" w:sz="4" w:space="0"/>
            </w:tcBorders>
            <w:tcMar>
              <w:left w:w="0" w:type="dxa"/>
              <w:right w:w="0" w:type="dxa"/>
            </w:tcMar>
            <w:vAlign w:val="center"/>
          </w:tcPr>
          <w:p>
            <w:pPr>
              <w:pStyle w:val="417"/>
              <w:spacing w:line="240" w:lineRule="auto"/>
              <w:rPr>
                <w:highlight w:val="none"/>
              </w:rPr>
            </w:pPr>
            <w:r>
              <w:rPr>
                <w:highlight w:val="none"/>
              </w:rPr>
              <w:t>--</w:t>
            </w:r>
          </w:p>
        </w:tc>
        <w:tc>
          <w:tcPr>
            <w:tcW w:w="875" w:type="dxa"/>
            <w:tcBorders>
              <w:top w:val="single" w:color="auto" w:sz="6" w:space="0"/>
              <w:bottom w:val="single" w:color="auto" w:sz="4" w:space="0"/>
              <w:right w:val="single" w:color="auto" w:sz="4" w:space="0"/>
            </w:tcBorders>
            <w:tcMar>
              <w:left w:w="0" w:type="dxa"/>
              <w:right w:w="0" w:type="dxa"/>
            </w:tcMar>
            <w:vAlign w:val="center"/>
          </w:tcPr>
          <w:p>
            <w:pPr>
              <w:pStyle w:val="417"/>
              <w:spacing w:line="240" w:lineRule="auto"/>
              <w:rPr>
                <w:highlight w:val="none"/>
              </w:rPr>
            </w:pPr>
            <w:r>
              <w:rPr>
                <w:highlight w:val="none"/>
              </w:rPr>
              <w:t>--</w:t>
            </w:r>
          </w:p>
        </w:tc>
      </w:tr>
    </w:tbl>
    <w:p>
      <w:pPr>
        <w:ind w:firstLine="360"/>
        <w:rPr>
          <w:sz w:val="18"/>
          <w:szCs w:val="18"/>
          <w:highlight w:val="none"/>
        </w:rPr>
      </w:pPr>
      <w:r>
        <w:rPr>
          <w:sz w:val="18"/>
          <w:szCs w:val="18"/>
          <w:highlight w:val="none"/>
        </w:rPr>
        <w:t>备注：</w:t>
      </w:r>
      <w:r>
        <w:rPr>
          <w:rFonts w:hint="eastAsia"/>
          <w:sz w:val="18"/>
          <w:szCs w:val="18"/>
          <w:highlight w:val="none"/>
        </w:rPr>
        <w:t>①</w:t>
      </w:r>
      <w:r>
        <w:rPr>
          <w:sz w:val="18"/>
          <w:szCs w:val="18"/>
          <w:highlight w:val="none"/>
        </w:rPr>
        <w:t>表中“+”表示正面影响，“-”表示负面影响；</w:t>
      </w:r>
    </w:p>
    <w:p>
      <w:pPr>
        <w:ind w:firstLine="900" w:firstLineChars="500"/>
        <w:rPr>
          <w:sz w:val="18"/>
          <w:szCs w:val="18"/>
          <w:highlight w:val="none"/>
        </w:rPr>
      </w:pPr>
      <w:r>
        <w:rPr>
          <w:rFonts w:hint="eastAsia"/>
          <w:sz w:val="18"/>
          <w:szCs w:val="18"/>
          <w:highlight w:val="none"/>
        </w:rPr>
        <w:t>②</w:t>
      </w:r>
      <w:r>
        <w:rPr>
          <w:sz w:val="18"/>
          <w:szCs w:val="18"/>
          <w:highlight w:val="none"/>
        </w:rPr>
        <w:t>表中“1”表示影响较小，“2”表示影响中等，“3”表示影响较大；</w:t>
      </w:r>
    </w:p>
    <w:p>
      <w:pPr>
        <w:ind w:firstLine="900" w:firstLineChars="500"/>
        <w:rPr>
          <w:sz w:val="18"/>
          <w:szCs w:val="18"/>
          <w:highlight w:val="none"/>
        </w:rPr>
      </w:pPr>
      <w:r>
        <w:rPr>
          <w:rFonts w:hint="eastAsia"/>
          <w:sz w:val="18"/>
          <w:szCs w:val="18"/>
          <w:highlight w:val="none"/>
        </w:rPr>
        <w:t>③</w:t>
      </w:r>
      <w:r>
        <w:rPr>
          <w:sz w:val="18"/>
          <w:szCs w:val="18"/>
          <w:highlight w:val="none"/>
        </w:rPr>
        <w:t>表中“D”表示短期影响，“C表示长期影响”；</w:t>
      </w:r>
    </w:p>
    <w:p>
      <w:pPr>
        <w:ind w:firstLine="900" w:firstLineChars="500"/>
        <w:rPr>
          <w:sz w:val="18"/>
          <w:szCs w:val="18"/>
          <w:highlight w:val="none"/>
        </w:rPr>
      </w:pPr>
      <w:r>
        <w:rPr>
          <w:rFonts w:hint="eastAsia"/>
          <w:sz w:val="18"/>
          <w:szCs w:val="18"/>
          <w:highlight w:val="none"/>
        </w:rPr>
        <w:t>④</w:t>
      </w:r>
      <w:r>
        <w:rPr>
          <w:sz w:val="18"/>
          <w:szCs w:val="18"/>
          <w:highlight w:val="none"/>
        </w:rPr>
        <w:t>空白表示相互作用不明显或不确定。</w:t>
      </w:r>
    </w:p>
    <w:p>
      <w:pPr>
        <w:ind w:firstLine="480"/>
        <w:rPr>
          <w:sz w:val="24"/>
          <w:szCs w:val="24"/>
          <w:highlight w:val="none"/>
        </w:rPr>
      </w:pPr>
      <w:r>
        <w:rPr>
          <w:sz w:val="24"/>
          <w:szCs w:val="24"/>
          <w:highlight w:val="none"/>
        </w:rPr>
        <w:t>由表2.3-1分析可知，本项目对环境的影响是多方面的，主要表现在营运期对环境空气、声环境、地下水环境的影响，施工期的影响是局部的、短期的，并随着施工期的结束而消失。</w:t>
      </w:r>
    </w:p>
    <w:p>
      <w:pPr>
        <w:ind w:firstLine="480"/>
        <w:rPr>
          <w:sz w:val="24"/>
          <w:szCs w:val="24"/>
          <w:highlight w:val="none"/>
        </w:rPr>
      </w:pPr>
      <w:r>
        <w:rPr>
          <w:sz w:val="24"/>
          <w:szCs w:val="24"/>
          <w:highlight w:val="none"/>
        </w:rPr>
        <w:t>项目投入运营后对环境的影响是长期的，主要影响因素是生产过程中产生的废气、废水、噪声、固体废物等污染物的排放，对周围环境空气、地下水环境</w:t>
      </w:r>
      <w:r>
        <w:rPr>
          <w:rFonts w:hint="eastAsia"/>
          <w:sz w:val="24"/>
          <w:szCs w:val="24"/>
          <w:highlight w:val="none"/>
        </w:rPr>
        <w:t>、土壤环境</w:t>
      </w:r>
      <w:r>
        <w:rPr>
          <w:sz w:val="24"/>
          <w:szCs w:val="24"/>
          <w:highlight w:val="none"/>
        </w:rPr>
        <w:t>和声环境存在一定不利影响；在经济和就业等诸多方面的影响是积极的，有利于当地经济的发展</w:t>
      </w:r>
      <w:r>
        <w:rPr>
          <w:rFonts w:hint="eastAsia"/>
          <w:sz w:val="24"/>
          <w:szCs w:val="24"/>
          <w:highlight w:val="none"/>
        </w:rPr>
        <w:t>。</w:t>
      </w:r>
    </w:p>
    <w:p>
      <w:pPr>
        <w:pStyle w:val="6"/>
        <w:numPr>
          <w:ilvl w:val="2"/>
          <w:numId w:val="1"/>
        </w:numPr>
        <w:rPr>
          <w:szCs w:val="28"/>
          <w:highlight w:val="none"/>
        </w:rPr>
      </w:pPr>
      <w:bookmarkStart w:id="91" w:name="_Toc521591676"/>
      <w:bookmarkStart w:id="92" w:name="_Toc30406"/>
      <w:r>
        <w:rPr>
          <w:szCs w:val="28"/>
          <w:highlight w:val="none"/>
        </w:rPr>
        <w:t>评价因子筛选</w:t>
      </w:r>
      <w:bookmarkEnd w:id="91"/>
      <w:bookmarkEnd w:id="92"/>
    </w:p>
    <w:p>
      <w:pPr>
        <w:ind w:firstLine="480"/>
        <w:rPr>
          <w:sz w:val="24"/>
          <w:szCs w:val="24"/>
          <w:highlight w:val="none"/>
        </w:rPr>
      </w:pPr>
      <w:r>
        <w:rPr>
          <w:sz w:val="24"/>
          <w:szCs w:val="24"/>
          <w:highlight w:val="none"/>
        </w:rPr>
        <w:t>根据环境影响因素识别结果，结合区域环境质量现状,以及工程特点和污染物排放特征，确定本项目评价因子见表2.3-2。</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表2.3-2  本项目评价因子</w:t>
      </w:r>
    </w:p>
    <w:tbl>
      <w:tblPr>
        <w:tblStyle w:val="56"/>
        <w:tblW w:w="8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14"/>
        <w:gridCol w:w="1114"/>
        <w:gridCol w:w="1349"/>
        <w:gridCol w:w="4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1114"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时段</w:t>
            </w:r>
          </w:p>
        </w:tc>
        <w:tc>
          <w:tcPr>
            <w:tcW w:w="1114"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类别</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项目</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施工期</w:t>
            </w:r>
          </w:p>
        </w:tc>
        <w:tc>
          <w:tcPr>
            <w:tcW w:w="1114"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大气环境</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污染源</w:t>
            </w:r>
          </w:p>
        </w:tc>
        <w:tc>
          <w:tcPr>
            <w:tcW w:w="4853" w:type="dxa"/>
            <w:tcBorders>
              <w:tl2br w:val="nil"/>
              <w:tr2bl w:val="nil"/>
            </w:tcBorders>
            <w:vAlign w:val="center"/>
          </w:tcPr>
          <w:p>
            <w:pPr>
              <w:pStyle w:val="417"/>
              <w:spacing w:line="240" w:lineRule="auto"/>
              <w:rPr>
                <w:highlight w:val="none"/>
              </w:rPr>
            </w:pPr>
            <w:r>
              <w:rPr>
                <w:rFonts w:hint="eastAsia"/>
                <w:highlight w:val="non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影响分析</w:t>
            </w:r>
          </w:p>
        </w:tc>
        <w:tc>
          <w:tcPr>
            <w:tcW w:w="4853" w:type="dxa"/>
            <w:tcBorders>
              <w:tl2br w:val="nil"/>
              <w:tr2bl w:val="nil"/>
            </w:tcBorders>
            <w:vAlign w:val="center"/>
          </w:tcPr>
          <w:p>
            <w:pPr>
              <w:pStyle w:val="417"/>
              <w:spacing w:line="240" w:lineRule="auto"/>
              <w:rPr>
                <w:highlight w:val="none"/>
              </w:rPr>
            </w:pPr>
            <w:r>
              <w:rPr>
                <w:highlight w:val="none"/>
              </w:rPr>
              <w:t>PM</w:t>
            </w:r>
            <w:r>
              <w:rPr>
                <w:highlight w:val="none"/>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114" w:type="dxa"/>
            <w:vMerge w:val="restart"/>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水环境</w:t>
            </w:r>
          </w:p>
        </w:tc>
        <w:tc>
          <w:tcPr>
            <w:tcW w:w="1349"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污染源</w:t>
            </w:r>
          </w:p>
        </w:tc>
        <w:tc>
          <w:tcPr>
            <w:tcW w:w="4853"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SS、COD、氨氮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影响分析</w:t>
            </w:r>
          </w:p>
        </w:tc>
        <w:tc>
          <w:tcPr>
            <w:tcW w:w="4853"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SS、COD、氨氮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114" w:type="dxa"/>
            <w:vMerge w:val="restart"/>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声环境</w:t>
            </w:r>
          </w:p>
        </w:tc>
        <w:tc>
          <w:tcPr>
            <w:tcW w:w="1349"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污染源</w:t>
            </w:r>
          </w:p>
        </w:tc>
        <w:tc>
          <w:tcPr>
            <w:tcW w:w="4853"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影响分析</w:t>
            </w:r>
          </w:p>
        </w:tc>
        <w:tc>
          <w:tcPr>
            <w:tcW w:w="4853"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Leq（A）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114"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固体废物</w:t>
            </w:r>
          </w:p>
        </w:tc>
        <w:tc>
          <w:tcPr>
            <w:tcW w:w="1349"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影响分析</w:t>
            </w:r>
          </w:p>
        </w:tc>
        <w:tc>
          <w:tcPr>
            <w:tcW w:w="4853"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建筑垃圾、生活垃圾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napToGrid w:val="0"/>
              <w:spacing w:line="240" w:lineRule="auto"/>
              <w:ind w:firstLine="0" w:firstLineChars="0"/>
              <w:jc w:val="center"/>
              <w:rPr>
                <w:snapToGrid w:val="0"/>
                <w:sz w:val="21"/>
                <w:szCs w:val="21"/>
                <w:highlight w:val="none"/>
              </w:rPr>
            </w:pPr>
          </w:p>
        </w:tc>
        <w:tc>
          <w:tcPr>
            <w:tcW w:w="1114"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生态环境</w:t>
            </w:r>
          </w:p>
        </w:tc>
        <w:tc>
          <w:tcPr>
            <w:tcW w:w="1349"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napToGrid w:val="0"/>
                <w:sz w:val="21"/>
                <w:szCs w:val="21"/>
                <w:highlight w:val="none"/>
              </w:rPr>
              <w:t>影响分析</w:t>
            </w:r>
          </w:p>
        </w:tc>
        <w:tc>
          <w:tcPr>
            <w:tcW w:w="4853" w:type="dxa"/>
            <w:tcBorders>
              <w:tl2br w:val="nil"/>
              <w:tr2bl w:val="nil"/>
            </w:tcBorders>
            <w:vAlign w:val="center"/>
          </w:tcPr>
          <w:p>
            <w:pPr>
              <w:snapToGrid w:val="0"/>
              <w:spacing w:line="240" w:lineRule="auto"/>
              <w:ind w:firstLine="0" w:firstLineChars="0"/>
              <w:jc w:val="center"/>
              <w:rPr>
                <w:snapToGrid w:val="0"/>
                <w:sz w:val="21"/>
                <w:szCs w:val="21"/>
                <w:highlight w:val="none"/>
              </w:rPr>
            </w:pPr>
            <w:r>
              <w:rPr>
                <w:rFonts w:hint="eastAsia"/>
                <w:sz w:val="21"/>
                <w:szCs w:val="21"/>
                <w:highlight w:val="none"/>
              </w:rPr>
              <w:t>植被覆盖度、物种丰富度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运营期</w:t>
            </w:r>
          </w:p>
        </w:tc>
        <w:tc>
          <w:tcPr>
            <w:tcW w:w="1114"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大气环境</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现状评价</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z w:val="21"/>
                <w:szCs w:val="21"/>
                <w:highlight w:val="none"/>
              </w:rPr>
              <w:t>TSP、PM</w:t>
            </w:r>
            <w:r>
              <w:rPr>
                <w:sz w:val="21"/>
                <w:szCs w:val="21"/>
                <w:highlight w:val="none"/>
                <w:vertAlign w:val="subscript"/>
              </w:rPr>
              <w:t>2.5</w:t>
            </w:r>
            <w:r>
              <w:rPr>
                <w:sz w:val="21"/>
                <w:szCs w:val="21"/>
                <w:highlight w:val="none"/>
              </w:rPr>
              <w:t>、PM</w:t>
            </w:r>
            <w:r>
              <w:rPr>
                <w:sz w:val="21"/>
                <w:szCs w:val="21"/>
                <w:highlight w:val="none"/>
                <w:vertAlign w:val="subscript"/>
              </w:rPr>
              <w:t>10</w:t>
            </w:r>
            <w:r>
              <w:rPr>
                <w:sz w:val="21"/>
                <w:szCs w:val="21"/>
                <w:highlight w:val="none"/>
              </w:rPr>
              <w:t>、SO</w:t>
            </w:r>
            <w:r>
              <w:rPr>
                <w:sz w:val="21"/>
                <w:szCs w:val="21"/>
                <w:highlight w:val="none"/>
                <w:vertAlign w:val="subscript"/>
              </w:rPr>
              <w:t>2</w:t>
            </w:r>
            <w:r>
              <w:rPr>
                <w:sz w:val="21"/>
                <w:szCs w:val="21"/>
                <w:highlight w:val="none"/>
              </w:rPr>
              <w:t>、NO</w:t>
            </w:r>
            <w:r>
              <w:rPr>
                <w:sz w:val="21"/>
                <w:szCs w:val="21"/>
                <w:highlight w:val="none"/>
                <w:vertAlign w:val="subscript"/>
              </w:rPr>
              <w:t>2</w:t>
            </w:r>
            <w:r>
              <w:rPr>
                <w:sz w:val="21"/>
                <w:szCs w:val="21"/>
                <w:highlight w:val="none"/>
              </w:rPr>
              <w:t>、CO、O</w:t>
            </w:r>
            <w:r>
              <w:rPr>
                <w:sz w:val="21"/>
                <w:szCs w:val="21"/>
                <w:highlight w:val="none"/>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8"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污染源评价</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影响评价</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z w:val="20"/>
                <w:highlight w:val="none"/>
              </w:rPr>
              <w:t>PM</w:t>
            </w:r>
            <w:r>
              <w:rPr>
                <w:sz w:val="20"/>
                <w:highlight w:val="none"/>
                <w:vertAlign w:val="subscript"/>
              </w:rPr>
              <w:t>2.5</w:t>
            </w:r>
            <w:r>
              <w:rPr>
                <w:sz w:val="20"/>
                <w:highlight w:val="none"/>
              </w:rPr>
              <w:t>、</w:t>
            </w:r>
            <w:r>
              <w:rPr>
                <w:sz w:val="21"/>
                <w:szCs w:val="21"/>
                <w:highlight w:val="none"/>
              </w:rPr>
              <w:t>PM</w:t>
            </w:r>
            <w:r>
              <w:rPr>
                <w:sz w:val="21"/>
                <w:szCs w:val="21"/>
                <w:highlight w:val="none"/>
                <w:vertAlign w:val="subscript"/>
              </w:rPr>
              <w:t>10</w:t>
            </w:r>
            <w:r>
              <w:rPr>
                <w:sz w:val="21"/>
                <w:szCs w:val="21"/>
                <w:highlight w:val="none"/>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地表水环境</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影响分析</w:t>
            </w:r>
          </w:p>
        </w:tc>
        <w:tc>
          <w:tcPr>
            <w:tcW w:w="485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COD、SS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68"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地下水环境</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现状评价</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z w:val="21"/>
                <w:szCs w:val="21"/>
                <w:highlight w:val="none"/>
              </w:rPr>
              <w:t>K</w:t>
            </w:r>
            <w:r>
              <w:rPr>
                <w:sz w:val="21"/>
                <w:szCs w:val="21"/>
                <w:highlight w:val="none"/>
                <w:vertAlign w:val="superscript"/>
              </w:rPr>
              <w:t>+</w:t>
            </w:r>
            <w:r>
              <w:rPr>
                <w:sz w:val="21"/>
                <w:szCs w:val="21"/>
                <w:highlight w:val="none"/>
              </w:rPr>
              <w:t>、Na</w:t>
            </w:r>
            <w:r>
              <w:rPr>
                <w:sz w:val="21"/>
                <w:szCs w:val="21"/>
                <w:highlight w:val="none"/>
                <w:vertAlign w:val="superscript"/>
              </w:rPr>
              <w:t>+</w:t>
            </w:r>
            <w:r>
              <w:rPr>
                <w:sz w:val="21"/>
                <w:szCs w:val="21"/>
                <w:highlight w:val="none"/>
              </w:rPr>
              <w:t>、Ca</w:t>
            </w:r>
            <w:r>
              <w:rPr>
                <w:sz w:val="21"/>
                <w:szCs w:val="21"/>
                <w:highlight w:val="none"/>
                <w:vertAlign w:val="superscript"/>
              </w:rPr>
              <w:t>2+</w:t>
            </w:r>
            <w:r>
              <w:rPr>
                <w:sz w:val="21"/>
                <w:szCs w:val="21"/>
                <w:highlight w:val="none"/>
              </w:rPr>
              <w:t>、Mg</w:t>
            </w:r>
            <w:r>
              <w:rPr>
                <w:sz w:val="21"/>
                <w:szCs w:val="21"/>
                <w:highlight w:val="none"/>
                <w:vertAlign w:val="superscript"/>
              </w:rPr>
              <w:t>2+</w:t>
            </w:r>
            <w:r>
              <w:rPr>
                <w:sz w:val="21"/>
                <w:szCs w:val="21"/>
                <w:highlight w:val="none"/>
              </w:rPr>
              <w:t>、CO</w:t>
            </w:r>
            <w:r>
              <w:rPr>
                <w:sz w:val="21"/>
                <w:szCs w:val="21"/>
                <w:highlight w:val="none"/>
                <w:vertAlign w:val="subscript"/>
              </w:rPr>
              <w:t>3</w:t>
            </w:r>
            <w:r>
              <w:rPr>
                <w:sz w:val="21"/>
                <w:szCs w:val="21"/>
                <w:highlight w:val="none"/>
                <w:vertAlign w:val="superscript"/>
              </w:rPr>
              <w:t>2-</w:t>
            </w:r>
            <w:r>
              <w:rPr>
                <w:sz w:val="21"/>
                <w:szCs w:val="21"/>
                <w:highlight w:val="none"/>
              </w:rPr>
              <w:t>、HCO</w:t>
            </w:r>
            <w:r>
              <w:rPr>
                <w:sz w:val="21"/>
                <w:szCs w:val="21"/>
                <w:highlight w:val="none"/>
                <w:vertAlign w:val="subscript"/>
              </w:rPr>
              <w:t>3</w:t>
            </w:r>
            <w:r>
              <w:rPr>
                <w:sz w:val="21"/>
                <w:szCs w:val="21"/>
                <w:highlight w:val="none"/>
                <w:vertAlign w:val="superscript"/>
              </w:rPr>
              <w:t>2-</w:t>
            </w:r>
            <w:r>
              <w:rPr>
                <w:sz w:val="21"/>
                <w:szCs w:val="21"/>
                <w:highlight w:val="none"/>
              </w:rPr>
              <w:t>、Cl</w:t>
            </w:r>
            <w:r>
              <w:rPr>
                <w:sz w:val="21"/>
                <w:szCs w:val="21"/>
                <w:highlight w:val="none"/>
                <w:vertAlign w:val="superscript"/>
              </w:rPr>
              <w:t>-</w:t>
            </w:r>
            <w:r>
              <w:rPr>
                <w:sz w:val="21"/>
                <w:szCs w:val="21"/>
                <w:highlight w:val="none"/>
              </w:rPr>
              <w:t>、SO</w:t>
            </w:r>
            <w:r>
              <w:rPr>
                <w:sz w:val="21"/>
                <w:szCs w:val="21"/>
                <w:highlight w:val="none"/>
                <w:vertAlign w:val="subscript"/>
              </w:rPr>
              <w:t>4</w:t>
            </w:r>
            <w:r>
              <w:rPr>
                <w:sz w:val="21"/>
                <w:szCs w:val="21"/>
                <w:highlight w:val="none"/>
                <w:vertAlign w:val="superscript"/>
              </w:rPr>
              <w:t>2-</w:t>
            </w:r>
            <w:r>
              <w:rPr>
                <w:sz w:val="21"/>
                <w:szCs w:val="21"/>
                <w:highlight w:val="none"/>
              </w:rPr>
              <w:t>、 pH、氨氮、硝酸盐、亚硝酸盐、挥发酚、氰化物、砷、汞、铬（六价）、总硬度、铅、氟化物、镉、铁、锰、铜、锌、石油类、硫化物、溶解性总固体、耗氧量、总大肠菌群、细菌总数</w:t>
            </w:r>
            <w:r>
              <w:rPr>
                <w:rFonts w:hint="eastAsia"/>
                <w:sz w:val="21"/>
                <w:szCs w:val="21"/>
                <w:highlight w:val="none"/>
              </w:rPr>
              <w:t>、石油类</w:t>
            </w: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污染源</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Fe</w:t>
            </w:r>
            <w:r>
              <w:rPr>
                <w:rFonts w:hint="eastAsia"/>
                <w:snapToGrid w:val="0"/>
                <w:sz w:val="21"/>
                <w:szCs w:val="21"/>
                <w:highlight w:val="non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影响评价</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Fe</w:t>
            </w:r>
            <w:r>
              <w:rPr>
                <w:rFonts w:hint="eastAsia"/>
                <w:snapToGrid w:val="0"/>
                <w:sz w:val="21"/>
                <w:szCs w:val="21"/>
                <w:highlight w:val="non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声环境</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现状评价</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污染源</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影响</w:t>
            </w:r>
            <w:r>
              <w:rPr>
                <w:rFonts w:hint="eastAsia"/>
                <w:snapToGrid w:val="0"/>
                <w:sz w:val="21"/>
                <w:szCs w:val="21"/>
                <w:highlight w:val="none"/>
              </w:rPr>
              <w:t>评价</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固体废物</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污染源</w:t>
            </w:r>
          </w:p>
        </w:tc>
        <w:tc>
          <w:tcPr>
            <w:tcW w:w="4853"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废</w:t>
            </w:r>
            <w:r>
              <w:rPr>
                <w:rFonts w:hint="eastAsia"/>
                <w:snapToGrid w:val="0"/>
                <w:sz w:val="21"/>
                <w:szCs w:val="21"/>
                <w:highlight w:val="none"/>
              </w:rPr>
              <w:t>矿物油</w:t>
            </w:r>
            <w:r>
              <w:rPr>
                <w:snapToGrid w:val="0"/>
                <w:sz w:val="21"/>
                <w:szCs w:val="21"/>
                <w:highlight w:val="none"/>
              </w:rPr>
              <w:t>、废油桶、废钢球、尾矿砂</w:t>
            </w:r>
            <w:r>
              <w:rPr>
                <w:rFonts w:hint="eastAsia"/>
                <w:snapToGrid w:val="0"/>
                <w:sz w:val="21"/>
                <w:szCs w:val="21"/>
                <w:highlight w:val="none"/>
              </w:rPr>
              <w:t>、砂石料、泥饼、除尘灰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影响分析</w:t>
            </w:r>
          </w:p>
        </w:tc>
        <w:tc>
          <w:tcPr>
            <w:tcW w:w="4853"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restart"/>
            <w:tcBorders>
              <w:tl2br w:val="nil"/>
              <w:tr2bl w:val="nil"/>
            </w:tcBorders>
            <w:vAlign w:val="center"/>
          </w:tcPr>
          <w:p>
            <w:pPr>
              <w:pStyle w:val="417"/>
              <w:rPr>
                <w:highlight w:val="none"/>
              </w:rPr>
            </w:pPr>
            <w:r>
              <w:rPr>
                <w:rFonts w:hint="eastAsia"/>
                <w:highlight w:val="none"/>
              </w:rPr>
              <w:t>土壤环境</w:t>
            </w:r>
          </w:p>
        </w:tc>
        <w:tc>
          <w:tcPr>
            <w:tcW w:w="1349" w:type="dxa"/>
            <w:tcBorders>
              <w:tl2br w:val="nil"/>
              <w:tr2bl w:val="nil"/>
            </w:tcBorders>
            <w:vAlign w:val="center"/>
          </w:tcPr>
          <w:p>
            <w:pPr>
              <w:pStyle w:val="417"/>
              <w:spacing w:line="240" w:lineRule="auto"/>
              <w:rPr>
                <w:highlight w:val="none"/>
              </w:rPr>
            </w:pPr>
            <w:r>
              <w:rPr>
                <w:rFonts w:hint="eastAsia"/>
                <w:highlight w:val="none"/>
              </w:rPr>
              <w:t>现状评价</w:t>
            </w:r>
          </w:p>
        </w:tc>
        <w:tc>
          <w:tcPr>
            <w:tcW w:w="4853" w:type="dxa"/>
            <w:tcBorders>
              <w:tl2br w:val="nil"/>
              <w:tr2bl w:val="nil"/>
            </w:tcBorders>
            <w:vAlign w:val="center"/>
          </w:tcPr>
          <w:p>
            <w:pPr>
              <w:pStyle w:val="417"/>
              <w:spacing w:line="240" w:lineRule="auto"/>
              <w:rPr>
                <w:highlight w:val="none"/>
              </w:rPr>
            </w:pPr>
            <w:r>
              <w:rPr>
                <w:rFonts w:hint="eastAsia"/>
                <w:highlight w:val="none"/>
              </w:rPr>
              <w:t>砷、镉、六价铬、铜、铅、汞、镍、硝基苯、2-氯酚、苯并[a]蒽、苯并[a]芘、苯并[b]荧蒽、苯并[k]荧蒽、窟、二苯并[a，h]蒽、茚并[1，2，3-cd]芘、萘、苯胺、四氯化碳、氯仿、氯甲烷、1,1-二氯乙烷、1,2-二氯乙烷、1,1-二氯乙烯、1,2-二氯乙烯（顺式）、1,2-二氯乙烯（反式）、二氯甲烷、1,2-二氯乙烷、 1,1,1,2-四氯乙烷、1,1,2,2-四氯乙烷、四氯乙烯、1,1,1-三氯乙烷、1,1,2-三氯乙烷、三氯乙烯、1,2,3-三氯丙烯、氯乙烯、苯、氯苯、1,2-二氯苯、1,4-二氯苯、乙苯、苯乙烯、甲苯、间二甲苯+对二甲苯、邻二甲苯，</w:t>
            </w:r>
            <w:r>
              <w:rPr>
                <w:highlight w:val="none"/>
              </w:rPr>
              <w:t>pH、石油</w:t>
            </w:r>
            <w:r>
              <w:rPr>
                <w:rFonts w:hint="eastAsia"/>
                <w:highlight w:val="none"/>
              </w:rPr>
              <w:t>烃</w:t>
            </w:r>
            <w:r>
              <w:rPr>
                <w:highlight w:val="none"/>
              </w:rPr>
              <w:t>、铁</w:t>
            </w:r>
            <w:r>
              <w:rPr>
                <w:rFonts w:hint="eastAsia"/>
                <w:highlight w:val="none"/>
              </w:rPr>
              <w:t>共48项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pStyle w:val="417"/>
              <w:rPr>
                <w:highlight w:val="none"/>
              </w:rPr>
            </w:pPr>
          </w:p>
        </w:tc>
        <w:tc>
          <w:tcPr>
            <w:tcW w:w="1349" w:type="dxa"/>
            <w:tcBorders>
              <w:tl2br w:val="nil"/>
              <w:tr2bl w:val="nil"/>
            </w:tcBorders>
            <w:vAlign w:val="center"/>
          </w:tcPr>
          <w:p>
            <w:pPr>
              <w:pStyle w:val="417"/>
              <w:spacing w:line="240" w:lineRule="auto"/>
              <w:rPr>
                <w:highlight w:val="none"/>
              </w:rPr>
            </w:pPr>
            <w:r>
              <w:rPr>
                <w:highlight w:val="none"/>
              </w:rPr>
              <w:t>影响分析</w:t>
            </w:r>
          </w:p>
        </w:tc>
        <w:tc>
          <w:tcPr>
            <w:tcW w:w="4853" w:type="dxa"/>
            <w:tcBorders>
              <w:tl2br w:val="nil"/>
              <w:tr2bl w:val="nil"/>
            </w:tcBorders>
            <w:vAlign w:val="center"/>
          </w:tcPr>
          <w:p>
            <w:pPr>
              <w:pStyle w:val="417"/>
              <w:spacing w:line="240" w:lineRule="auto"/>
              <w:rPr>
                <w:highlight w:val="none"/>
              </w:rPr>
            </w:pPr>
            <w:r>
              <w:rPr>
                <w:highlight w:val="none"/>
              </w:rPr>
              <w:t>pH、石油</w:t>
            </w:r>
            <w:r>
              <w:rPr>
                <w:rFonts w:hint="eastAsia"/>
                <w:highlight w:val="none"/>
              </w:rPr>
              <w:t>烃</w:t>
            </w:r>
            <w:r>
              <w:rPr>
                <w:highlight w:val="none"/>
              </w:rPr>
              <w:t>、Fe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生态环境</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简单</w:t>
            </w:r>
            <w:r>
              <w:rPr>
                <w:snapToGrid w:val="0"/>
                <w:sz w:val="21"/>
                <w:szCs w:val="21"/>
                <w:highlight w:val="none"/>
              </w:rPr>
              <w:t>分析</w:t>
            </w:r>
          </w:p>
        </w:tc>
        <w:tc>
          <w:tcPr>
            <w:tcW w:w="4853" w:type="dxa"/>
            <w:tcBorders>
              <w:tl2br w:val="nil"/>
              <w:tr2bl w:val="nil"/>
            </w:tcBorders>
            <w:vAlign w:val="center"/>
          </w:tcPr>
          <w:p>
            <w:pPr>
              <w:spacing w:line="240" w:lineRule="auto"/>
              <w:ind w:firstLine="0" w:firstLineChars="0"/>
              <w:jc w:val="center"/>
              <w:rPr>
                <w:snapToGrid w:val="0"/>
                <w:sz w:val="21"/>
                <w:szCs w:val="21"/>
                <w:highlight w:val="none"/>
              </w:rPr>
            </w:pPr>
            <w:r>
              <w:rPr>
                <w:rFonts w:hint="eastAsia"/>
                <w:sz w:val="21"/>
                <w:szCs w:val="21"/>
                <w:highlight w:val="none"/>
              </w:rPr>
              <w:t>植被覆盖度、物种丰富度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环境风险</w:t>
            </w: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污染源</w:t>
            </w:r>
          </w:p>
        </w:tc>
        <w:tc>
          <w:tcPr>
            <w:tcW w:w="4853" w:type="dxa"/>
            <w:vMerge w:val="restart"/>
            <w:tcBorders>
              <w:tl2br w:val="nil"/>
              <w:tr2bl w:val="nil"/>
            </w:tcBorders>
            <w:vAlign w:val="center"/>
          </w:tcPr>
          <w:p>
            <w:pPr>
              <w:spacing w:line="240" w:lineRule="auto"/>
              <w:ind w:firstLine="0" w:firstLineChars="0"/>
              <w:jc w:val="center"/>
              <w:rPr>
                <w:snapToGrid w:val="0"/>
                <w:sz w:val="21"/>
                <w:szCs w:val="21"/>
                <w:highlight w:val="none"/>
              </w:rPr>
            </w:pPr>
            <w:r>
              <w:rPr>
                <w:rFonts w:hint="eastAsia"/>
                <w:snapToGrid w:val="0"/>
                <w:sz w:val="21"/>
                <w:szCs w:val="21"/>
                <w:highlight w:val="none"/>
              </w:rPr>
              <w:t>废矿物油、废油桶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 w:hRule="atLeast"/>
        </w:trPr>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114"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c>
          <w:tcPr>
            <w:tcW w:w="1349"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影响分析</w:t>
            </w:r>
          </w:p>
        </w:tc>
        <w:tc>
          <w:tcPr>
            <w:tcW w:w="4853" w:type="dxa"/>
            <w:vMerge w:val="continue"/>
            <w:tcBorders>
              <w:tl2br w:val="nil"/>
              <w:tr2bl w:val="nil"/>
            </w:tcBorders>
            <w:vAlign w:val="center"/>
          </w:tcPr>
          <w:p>
            <w:pPr>
              <w:spacing w:line="240" w:lineRule="auto"/>
              <w:ind w:firstLine="0" w:firstLineChars="0"/>
              <w:jc w:val="center"/>
              <w:rPr>
                <w:snapToGrid w:val="0"/>
                <w:sz w:val="21"/>
                <w:szCs w:val="21"/>
                <w:highlight w:val="none"/>
              </w:rPr>
            </w:pPr>
          </w:p>
        </w:tc>
      </w:tr>
    </w:tbl>
    <w:p>
      <w:pPr>
        <w:spacing w:line="240" w:lineRule="auto"/>
        <w:ind w:firstLine="0" w:firstLineChars="0"/>
        <w:jc w:val="center"/>
        <w:textAlignment w:val="auto"/>
        <w:rPr>
          <w:rFonts w:eastAsia="黑体"/>
          <w:kern w:val="2"/>
          <w:sz w:val="21"/>
          <w:szCs w:val="21"/>
          <w:highlight w:val="none"/>
        </w:rPr>
      </w:pPr>
    </w:p>
    <w:p>
      <w:pPr>
        <w:pStyle w:val="5"/>
        <w:keepNext w:val="0"/>
        <w:keepLines w:val="0"/>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93" w:name="_Toc11973"/>
      <w:bookmarkStart w:id="94" w:name="_Toc15383"/>
      <w:bookmarkStart w:id="95" w:name="_Toc524284660"/>
      <w:bookmarkStart w:id="96" w:name="_Toc499651398"/>
      <w:bookmarkStart w:id="97" w:name="_Toc30444"/>
      <w:bookmarkStart w:id="98" w:name="_Toc503218097"/>
      <w:bookmarkStart w:id="99" w:name="_Toc521591742"/>
      <w:bookmarkStart w:id="100" w:name="_Toc15469"/>
      <w:r>
        <w:rPr>
          <w:rFonts w:ascii="Times New Roman" w:hAnsi="Times New Roman" w:eastAsia="宋体"/>
          <w:bCs w:val="0"/>
          <w:snapToGrid w:val="0"/>
          <w:kern w:val="0"/>
          <w:sz w:val="28"/>
          <w:szCs w:val="28"/>
          <w:highlight w:val="none"/>
        </w:rPr>
        <w:t>评价等级和评价范围</w:t>
      </w:r>
      <w:bookmarkEnd w:id="93"/>
    </w:p>
    <w:p>
      <w:pPr>
        <w:pStyle w:val="6"/>
        <w:keepNext w:val="0"/>
        <w:keepLines w:val="0"/>
        <w:numPr>
          <w:ilvl w:val="2"/>
          <w:numId w:val="1"/>
        </w:numPr>
        <w:rPr>
          <w:szCs w:val="28"/>
          <w:highlight w:val="none"/>
        </w:rPr>
      </w:pPr>
      <w:r>
        <w:rPr>
          <w:szCs w:val="28"/>
          <w:highlight w:val="none"/>
        </w:rPr>
        <w:t>评价等级</w:t>
      </w:r>
    </w:p>
    <w:p>
      <w:pPr>
        <w:pStyle w:val="3"/>
        <w:keepNext w:val="0"/>
        <w:keepLines w:val="0"/>
        <w:numPr>
          <w:ilvl w:val="3"/>
          <w:numId w:val="1"/>
        </w:numPr>
        <w:ind w:left="709" w:hanging="709"/>
        <w:rPr>
          <w:rFonts w:eastAsia="宋体"/>
          <w:b/>
          <w:highlight w:val="none"/>
        </w:rPr>
      </w:pPr>
      <w:r>
        <w:rPr>
          <w:rFonts w:eastAsia="宋体"/>
          <w:b/>
          <w:highlight w:val="none"/>
        </w:rPr>
        <w:t>大气环境</w:t>
      </w:r>
      <w:r>
        <w:rPr>
          <w:rFonts w:hint="eastAsia" w:eastAsia="宋体"/>
          <w:b/>
          <w:highlight w:val="none"/>
        </w:rPr>
        <w:t>影响评价等级</w:t>
      </w:r>
    </w:p>
    <w:p>
      <w:pPr>
        <w:ind w:firstLine="480"/>
        <w:rPr>
          <w:sz w:val="24"/>
          <w:szCs w:val="24"/>
          <w:highlight w:val="none"/>
        </w:rPr>
      </w:pPr>
      <w:r>
        <w:rPr>
          <w:sz w:val="24"/>
          <w:szCs w:val="24"/>
          <w:highlight w:val="none"/>
        </w:rPr>
        <w:t>选择《环境影响评价技术导则—大气环境》（HJ2.2—2018）中推荐估算模型ARESCREEN 对本项目建成后全厂的大气环境评价工作进行分级。结合项目的工程分析结果，选择正常排放的主要污染物及排放参数，计算各污染物的最大地面空气质量浓度占标率（P</w:t>
      </w:r>
      <w:r>
        <w:rPr>
          <w:sz w:val="24"/>
          <w:szCs w:val="24"/>
          <w:highlight w:val="none"/>
          <w:vertAlign w:val="subscript"/>
        </w:rPr>
        <w:t>max</w:t>
      </w:r>
      <w:r>
        <w:rPr>
          <w:sz w:val="24"/>
          <w:szCs w:val="24"/>
          <w:highlight w:val="none"/>
        </w:rPr>
        <w:t>）和最远影响距离（D</w:t>
      </w:r>
      <w:r>
        <w:rPr>
          <w:sz w:val="24"/>
          <w:szCs w:val="24"/>
          <w:highlight w:val="none"/>
          <w:vertAlign w:val="subscript"/>
        </w:rPr>
        <w:t>10%</w:t>
      </w:r>
      <w:r>
        <w:rPr>
          <w:sz w:val="24"/>
          <w:szCs w:val="24"/>
          <w:highlight w:val="none"/>
        </w:rPr>
        <w:t>），然后按评价工作分级判据进行分级。</w:t>
      </w:r>
    </w:p>
    <w:p>
      <w:pPr>
        <w:ind w:firstLine="480"/>
        <w:rPr>
          <w:sz w:val="24"/>
          <w:szCs w:val="24"/>
          <w:highlight w:val="none"/>
        </w:rPr>
      </w:pPr>
      <w:r>
        <w:rPr>
          <w:sz w:val="24"/>
          <w:szCs w:val="24"/>
          <w:highlight w:val="none"/>
        </w:rPr>
        <w:t>根据工程分析结果，本项目排放的主要废气污染物为颗粒物，计算各污染源污染因子最大地面浓度占质量标准值的比率P</w:t>
      </w:r>
      <w:r>
        <w:rPr>
          <w:sz w:val="24"/>
          <w:szCs w:val="24"/>
          <w:highlight w:val="none"/>
          <w:vertAlign w:val="subscript"/>
        </w:rPr>
        <w:t>i</w:t>
      </w:r>
      <w:r>
        <w:rPr>
          <w:sz w:val="24"/>
          <w:szCs w:val="24"/>
          <w:highlight w:val="none"/>
        </w:rPr>
        <w:t>。</w:t>
      </w:r>
    </w:p>
    <w:p>
      <w:pPr>
        <w:ind w:firstLine="480"/>
        <w:rPr>
          <w:sz w:val="24"/>
          <w:szCs w:val="24"/>
          <w:highlight w:val="none"/>
        </w:rPr>
      </w:pPr>
      <w:r>
        <w:rPr>
          <w:sz w:val="24"/>
          <w:szCs w:val="24"/>
          <w:highlight w:val="none"/>
        </w:rPr>
        <w:t>按估算模式进行预测，主要相关参数见</w:t>
      </w:r>
      <w:r>
        <w:rPr>
          <w:rFonts w:hint="eastAsia"/>
          <w:sz w:val="24"/>
          <w:szCs w:val="24"/>
          <w:highlight w:val="none"/>
        </w:rPr>
        <w:t>表2.4-1</w:t>
      </w:r>
      <w:r>
        <w:rPr>
          <w:sz w:val="24"/>
          <w:szCs w:val="24"/>
          <w:highlight w:val="none"/>
        </w:rPr>
        <w:t>。</w:t>
      </w:r>
    </w:p>
    <w:p>
      <w:pPr>
        <w:spacing w:line="240" w:lineRule="auto"/>
        <w:ind w:firstLine="0" w:firstLineChars="0"/>
        <w:jc w:val="center"/>
        <w:textAlignment w:val="auto"/>
        <w:rPr>
          <w:rFonts w:eastAsia="黑体"/>
          <w:kern w:val="2"/>
          <w:sz w:val="21"/>
          <w:szCs w:val="21"/>
          <w:highlight w:val="none"/>
        </w:rPr>
      </w:pPr>
      <w:bookmarkStart w:id="101" w:name="_Ref6754032"/>
      <w:r>
        <w:rPr>
          <w:rFonts w:eastAsia="黑体"/>
          <w:kern w:val="2"/>
          <w:sz w:val="21"/>
          <w:szCs w:val="21"/>
          <w:highlight w:val="none"/>
        </w:rPr>
        <w:t>表</w:t>
      </w:r>
      <w:r>
        <w:rPr>
          <w:rFonts w:hint="eastAsia" w:eastAsia="黑体"/>
          <w:kern w:val="2"/>
          <w:sz w:val="21"/>
          <w:szCs w:val="21"/>
          <w:highlight w:val="none"/>
        </w:rPr>
        <w:t>2.4-1</w:t>
      </w:r>
      <w:bookmarkEnd w:id="101"/>
      <w:r>
        <w:rPr>
          <w:rFonts w:eastAsia="黑体"/>
          <w:kern w:val="2"/>
          <w:sz w:val="21"/>
          <w:szCs w:val="21"/>
          <w:highlight w:val="none"/>
        </w:rPr>
        <w:t xml:space="preserve">   大气估算模式的相关参数表</w:t>
      </w:r>
    </w:p>
    <w:tbl>
      <w:tblPr>
        <w:tblStyle w:val="56"/>
        <w:tblW w:w="8316" w:type="dxa"/>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2301"/>
        <w:gridCol w:w="3077"/>
        <w:gridCol w:w="293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78" w:type="dxa"/>
            <w:gridSpan w:val="2"/>
            <w:vAlign w:val="center"/>
          </w:tcPr>
          <w:p>
            <w:pPr>
              <w:pStyle w:val="417"/>
              <w:spacing w:line="240" w:lineRule="auto"/>
              <w:rPr>
                <w:highlight w:val="none"/>
              </w:rPr>
            </w:pPr>
            <w:r>
              <w:rPr>
                <w:highlight w:val="none"/>
              </w:rPr>
              <w:t>参数</w:t>
            </w:r>
          </w:p>
        </w:tc>
        <w:tc>
          <w:tcPr>
            <w:tcW w:w="2938" w:type="dxa"/>
            <w:vAlign w:val="center"/>
          </w:tcPr>
          <w:p>
            <w:pPr>
              <w:pStyle w:val="417"/>
              <w:spacing w:line="240" w:lineRule="auto"/>
              <w:rPr>
                <w:highlight w:val="none"/>
              </w:rPr>
            </w:pPr>
            <w:r>
              <w:rPr>
                <w:highlight w:val="none"/>
              </w:rPr>
              <w:t>取值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01" w:type="dxa"/>
            <w:vMerge w:val="restart"/>
            <w:vAlign w:val="center"/>
          </w:tcPr>
          <w:p>
            <w:pPr>
              <w:pStyle w:val="417"/>
              <w:spacing w:line="240" w:lineRule="auto"/>
              <w:rPr>
                <w:highlight w:val="none"/>
              </w:rPr>
            </w:pPr>
            <w:r>
              <w:rPr>
                <w:highlight w:val="none"/>
              </w:rPr>
              <w:t>城市/农村选项</w:t>
            </w:r>
          </w:p>
        </w:tc>
        <w:tc>
          <w:tcPr>
            <w:tcW w:w="3077" w:type="dxa"/>
            <w:vAlign w:val="center"/>
          </w:tcPr>
          <w:p>
            <w:pPr>
              <w:pStyle w:val="417"/>
              <w:spacing w:line="240" w:lineRule="auto"/>
              <w:rPr>
                <w:highlight w:val="none"/>
              </w:rPr>
            </w:pPr>
            <w:r>
              <w:rPr>
                <w:highlight w:val="none"/>
              </w:rPr>
              <w:t>城市/农村</w:t>
            </w:r>
          </w:p>
        </w:tc>
        <w:tc>
          <w:tcPr>
            <w:tcW w:w="2938" w:type="dxa"/>
            <w:vAlign w:val="center"/>
          </w:tcPr>
          <w:p>
            <w:pPr>
              <w:pStyle w:val="417"/>
              <w:spacing w:line="240" w:lineRule="auto"/>
              <w:rPr>
                <w:highlight w:val="none"/>
              </w:rPr>
            </w:pPr>
            <w:r>
              <w:rPr>
                <w:highlight w:val="none"/>
              </w:rPr>
              <w:t>农村</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01" w:type="dxa"/>
            <w:vMerge w:val="continue"/>
            <w:vAlign w:val="center"/>
          </w:tcPr>
          <w:p>
            <w:pPr>
              <w:pStyle w:val="417"/>
              <w:spacing w:line="240" w:lineRule="auto"/>
              <w:rPr>
                <w:highlight w:val="none"/>
              </w:rPr>
            </w:pPr>
          </w:p>
        </w:tc>
        <w:tc>
          <w:tcPr>
            <w:tcW w:w="3077" w:type="dxa"/>
            <w:vAlign w:val="center"/>
          </w:tcPr>
          <w:p>
            <w:pPr>
              <w:pStyle w:val="417"/>
              <w:spacing w:line="240" w:lineRule="auto"/>
              <w:rPr>
                <w:highlight w:val="none"/>
              </w:rPr>
            </w:pPr>
            <w:r>
              <w:rPr>
                <w:highlight w:val="none"/>
              </w:rPr>
              <w:t>人口数（城市选项时）</w:t>
            </w:r>
          </w:p>
        </w:tc>
        <w:tc>
          <w:tcPr>
            <w:tcW w:w="2938" w:type="dxa"/>
            <w:vAlign w:val="center"/>
          </w:tcPr>
          <w:p>
            <w:pPr>
              <w:pStyle w:val="417"/>
              <w:spacing w:line="240" w:lineRule="auto"/>
              <w:rPr>
                <w:highlight w:val="none"/>
              </w:rPr>
            </w:pPr>
            <w:r>
              <w:rPr>
                <w:highlight w:val="none"/>
              </w:rPr>
              <w:t>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78" w:type="dxa"/>
            <w:gridSpan w:val="2"/>
            <w:vAlign w:val="center"/>
          </w:tcPr>
          <w:p>
            <w:pPr>
              <w:pStyle w:val="417"/>
              <w:spacing w:line="240" w:lineRule="auto"/>
              <w:rPr>
                <w:highlight w:val="none"/>
              </w:rPr>
            </w:pPr>
            <w:r>
              <w:rPr>
                <w:highlight w:val="none"/>
              </w:rPr>
              <w:t>最高环境温度/℃</w:t>
            </w:r>
          </w:p>
        </w:tc>
        <w:tc>
          <w:tcPr>
            <w:tcW w:w="2938" w:type="dxa"/>
            <w:vAlign w:val="center"/>
          </w:tcPr>
          <w:p>
            <w:pPr>
              <w:pStyle w:val="417"/>
              <w:spacing w:line="240" w:lineRule="auto"/>
              <w:rPr>
                <w:highlight w:val="none"/>
              </w:rPr>
            </w:pPr>
            <w:r>
              <w:rPr>
                <w:highlight w:val="none"/>
              </w:rPr>
              <w:t>40.5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78" w:type="dxa"/>
            <w:gridSpan w:val="2"/>
            <w:vAlign w:val="center"/>
          </w:tcPr>
          <w:p>
            <w:pPr>
              <w:pStyle w:val="417"/>
              <w:spacing w:line="240" w:lineRule="auto"/>
              <w:rPr>
                <w:highlight w:val="none"/>
              </w:rPr>
            </w:pPr>
            <w:r>
              <w:rPr>
                <w:highlight w:val="none"/>
              </w:rPr>
              <w:t>最低环境温度/℃</w:t>
            </w:r>
          </w:p>
        </w:tc>
        <w:tc>
          <w:tcPr>
            <w:tcW w:w="2938" w:type="dxa"/>
            <w:vAlign w:val="center"/>
          </w:tcPr>
          <w:p>
            <w:pPr>
              <w:pStyle w:val="417"/>
              <w:spacing w:line="240" w:lineRule="auto"/>
              <w:rPr>
                <w:highlight w:val="none"/>
              </w:rPr>
            </w:pPr>
            <w:r>
              <w:rPr>
                <w:highlight w:val="none"/>
              </w:rPr>
              <w:t>-25.7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78" w:type="dxa"/>
            <w:gridSpan w:val="2"/>
            <w:vAlign w:val="center"/>
          </w:tcPr>
          <w:p>
            <w:pPr>
              <w:pStyle w:val="417"/>
              <w:spacing w:line="240" w:lineRule="auto"/>
              <w:rPr>
                <w:highlight w:val="none"/>
              </w:rPr>
            </w:pPr>
            <w:r>
              <w:rPr>
                <w:highlight w:val="none"/>
              </w:rPr>
              <w:t>土地利用类型</w:t>
            </w:r>
          </w:p>
        </w:tc>
        <w:tc>
          <w:tcPr>
            <w:tcW w:w="2938" w:type="dxa"/>
            <w:vAlign w:val="center"/>
          </w:tcPr>
          <w:p>
            <w:pPr>
              <w:pStyle w:val="417"/>
              <w:spacing w:line="240" w:lineRule="auto"/>
              <w:rPr>
                <w:highlight w:val="none"/>
              </w:rPr>
            </w:pPr>
            <w:r>
              <w:rPr>
                <w:highlight w:val="none"/>
              </w:rPr>
              <w:t>耕地</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78" w:type="dxa"/>
            <w:gridSpan w:val="2"/>
            <w:vAlign w:val="center"/>
          </w:tcPr>
          <w:p>
            <w:pPr>
              <w:pStyle w:val="417"/>
              <w:spacing w:line="240" w:lineRule="auto"/>
              <w:rPr>
                <w:highlight w:val="none"/>
              </w:rPr>
            </w:pPr>
            <w:r>
              <w:rPr>
                <w:highlight w:val="none"/>
              </w:rPr>
              <w:t>区域湿度条件</w:t>
            </w:r>
          </w:p>
        </w:tc>
        <w:tc>
          <w:tcPr>
            <w:tcW w:w="2938" w:type="dxa"/>
            <w:vAlign w:val="center"/>
          </w:tcPr>
          <w:p>
            <w:pPr>
              <w:pStyle w:val="417"/>
              <w:spacing w:line="240" w:lineRule="auto"/>
              <w:rPr>
                <w:highlight w:val="none"/>
              </w:rPr>
            </w:pPr>
            <w:r>
              <w:rPr>
                <w:highlight w:val="none"/>
              </w:rPr>
              <w:t>中等湿度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01" w:type="dxa"/>
            <w:vMerge w:val="restart"/>
            <w:vAlign w:val="center"/>
          </w:tcPr>
          <w:p>
            <w:pPr>
              <w:pStyle w:val="417"/>
              <w:spacing w:line="240" w:lineRule="auto"/>
              <w:rPr>
                <w:highlight w:val="none"/>
              </w:rPr>
            </w:pPr>
            <w:r>
              <w:rPr>
                <w:highlight w:val="none"/>
              </w:rPr>
              <w:t>是否考虑地形</w:t>
            </w:r>
          </w:p>
        </w:tc>
        <w:tc>
          <w:tcPr>
            <w:tcW w:w="3077" w:type="dxa"/>
            <w:vAlign w:val="center"/>
          </w:tcPr>
          <w:p>
            <w:pPr>
              <w:pStyle w:val="417"/>
              <w:spacing w:line="240" w:lineRule="auto"/>
              <w:rPr>
                <w:highlight w:val="none"/>
              </w:rPr>
            </w:pPr>
            <w:r>
              <w:rPr>
                <w:highlight w:val="none"/>
              </w:rPr>
              <w:t>考虑地形</w:t>
            </w:r>
          </w:p>
        </w:tc>
        <w:tc>
          <w:tcPr>
            <w:tcW w:w="2938" w:type="dxa"/>
            <w:vAlign w:val="center"/>
          </w:tcPr>
          <w:p>
            <w:pPr>
              <w:pStyle w:val="417"/>
              <w:spacing w:line="240" w:lineRule="auto"/>
              <w:rPr>
                <w:highlight w:val="none"/>
              </w:rPr>
            </w:pPr>
            <w:r>
              <w:rPr>
                <w:highlight w:val="none"/>
              </w:rPr>
              <w:t>是</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01" w:type="dxa"/>
            <w:vMerge w:val="continue"/>
            <w:vAlign w:val="center"/>
          </w:tcPr>
          <w:p>
            <w:pPr>
              <w:pStyle w:val="417"/>
              <w:spacing w:line="240" w:lineRule="auto"/>
              <w:rPr>
                <w:highlight w:val="none"/>
              </w:rPr>
            </w:pPr>
          </w:p>
        </w:tc>
        <w:tc>
          <w:tcPr>
            <w:tcW w:w="3077" w:type="dxa"/>
            <w:vAlign w:val="center"/>
          </w:tcPr>
          <w:p>
            <w:pPr>
              <w:pStyle w:val="417"/>
              <w:spacing w:line="240" w:lineRule="auto"/>
              <w:rPr>
                <w:highlight w:val="none"/>
              </w:rPr>
            </w:pPr>
            <w:r>
              <w:rPr>
                <w:highlight w:val="none"/>
              </w:rPr>
              <w:t>地形数据分辨率/m</w:t>
            </w:r>
          </w:p>
        </w:tc>
        <w:tc>
          <w:tcPr>
            <w:tcW w:w="2938" w:type="dxa"/>
            <w:vAlign w:val="center"/>
          </w:tcPr>
          <w:p>
            <w:pPr>
              <w:pStyle w:val="417"/>
              <w:spacing w:line="240" w:lineRule="auto"/>
              <w:rPr>
                <w:highlight w:val="none"/>
              </w:rPr>
            </w:pPr>
            <w:r>
              <w:rPr>
                <w:highlight w:val="none"/>
              </w:rPr>
              <w:t>90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01" w:type="dxa"/>
            <w:vMerge w:val="restart"/>
            <w:vAlign w:val="center"/>
          </w:tcPr>
          <w:p>
            <w:pPr>
              <w:pStyle w:val="417"/>
              <w:spacing w:line="240" w:lineRule="auto"/>
              <w:rPr>
                <w:highlight w:val="none"/>
              </w:rPr>
            </w:pPr>
            <w:r>
              <w:rPr>
                <w:highlight w:val="none"/>
              </w:rPr>
              <w:t>是否考虑岸线熏烟</w:t>
            </w:r>
          </w:p>
        </w:tc>
        <w:tc>
          <w:tcPr>
            <w:tcW w:w="3077" w:type="dxa"/>
            <w:vAlign w:val="center"/>
          </w:tcPr>
          <w:p>
            <w:pPr>
              <w:pStyle w:val="417"/>
              <w:spacing w:line="240" w:lineRule="auto"/>
              <w:rPr>
                <w:highlight w:val="none"/>
              </w:rPr>
            </w:pPr>
            <w:r>
              <w:rPr>
                <w:highlight w:val="none"/>
              </w:rPr>
              <w:t>考虑岸线熏烟</w:t>
            </w:r>
          </w:p>
        </w:tc>
        <w:tc>
          <w:tcPr>
            <w:tcW w:w="2938" w:type="dxa"/>
            <w:vAlign w:val="center"/>
          </w:tcPr>
          <w:p>
            <w:pPr>
              <w:pStyle w:val="417"/>
              <w:spacing w:line="240" w:lineRule="auto"/>
              <w:rPr>
                <w:highlight w:val="none"/>
              </w:rPr>
            </w:pPr>
            <w:r>
              <w:rPr>
                <w:highlight w:val="none"/>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01" w:type="dxa"/>
            <w:vMerge w:val="continue"/>
            <w:vAlign w:val="center"/>
          </w:tcPr>
          <w:p>
            <w:pPr>
              <w:pStyle w:val="417"/>
              <w:spacing w:line="240" w:lineRule="auto"/>
              <w:rPr>
                <w:highlight w:val="none"/>
              </w:rPr>
            </w:pPr>
          </w:p>
        </w:tc>
        <w:tc>
          <w:tcPr>
            <w:tcW w:w="3077" w:type="dxa"/>
            <w:vAlign w:val="center"/>
          </w:tcPr>
          <w:p>
            <w:pPr>
              <w:pStyle w:val="417"/>
              <w:spacing w:line="240" w:lineRule="auto"/>
              <w:rPr>
                <w:highlight w:val="none"/>
              </w:rPr>
            </w:pPr>
            <w:r>
              <w:rPr>
                <w:highlight w:val="none"/>
              </w:rPr>
              <w:t>岸线距离/km</w:t>
            </w:r>
          </w:p>
        </w:tc>
        <w:tc>
          <w:tcPr>
            <w:tcW w:w="2938" w:type="dxa"/>
            <w:vAlign w:val="center"/>
          </w:tcPr>
          <w:p>
            <w:pPr>
              <w:pStyle w:val="417"/>
              <w:spacing w:line="240" w:lineRule="auto"/>
              <w:rPr>
                <w:highlight w:val="none"/>
              </w:rPr>
            </w:pPr>
            <w:r>
              <w:rPr>
                <w:highlight w:val="none"/>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01" w:type="dxa"/>
            <w:vMerge w:val="continue"/>
            <w:vAlign w:val="center"/>
          </w:tcPr>
          <w:p>
            <w:pPr>
              <w:pStyle w:val="417"/>
              <w:spacing w:line="240" w:lineRule="auto"/>
              <w:rPr>
                <w:highlight w:val="none"/>
              </w:rPr>
            </w:pPr>
          </w:p>
        </w:tc>
        <w:tc>
          <w:tcPr>
            <w:tcW w:w="3077" w:type="dxa"/>
            <w:vAlign w:val="center"/>
          </w:tcPr>
          <w:p>
            <w:pPr>
              <w:pStyle w:val="417"/>
              <w:spacing w:line="240" w:lineRule="auto"/>
              <w:rPr>
                <w:highlight w:val="none"/>
              </w:rPr>
            </w:pPr>
            <w:r>
              <w:rPr>
                <w:highlight w:val="none"/>
              </w:rPr>
              <w:t>岸线方向/°</w:t>
            </w:r>
          </w:p>
        </w:tc>
        <w:tc>
          <w:tcPr>
            <w:tcW w:w="2938" w:type="dxa"/>
            <w:vAlign w:val="center"/>
          </w:tcPr>
          <w:p>
            <w:pPr>
              <w:pStyle w:val="417"/>
              <w:spacing w:line="240" w:lineRule="auto"/>
              <w:rPr>
                <w:highlight w:val="none"/>
              </w:rPr>
            </w:pPr>
            <w:r>
              <w:rPr>
                <w:highlight w:val="none"/>
              </w:rPr>
              <w:t>---</w:t>
            </w:r>
          </w:p>
        </w:tc>
      </w:tr>
    </w:tbl>
    <w:p>
      <w:pPr>
        <w:ind w:firstLine="480"/>
        <w:rPr>
          <w:sz w:val="24"/>
          <w:szCs w:val="24"/>
          <w:highlight w:val="none"/>
        </w:rPr>
      </w:pPr>
      <w:r>
        <w:rPr>
          <w:sz w:val="24"/>
          <w:szCs w:val="24"/>
          <w:highlight w:val="none"/>
        </w:rPr>
        <w:t>本项目评价因子及评价标准表见</w:t>
      </w:r>
      <w:r>
        <w:rPr>
          <w:rFonts w:hint="eastAsia"/>
          <w:sz w:val="24"/>
          <w:szCs w:val="24"/>
          <w:highlight w:val="none"/>
        </w:rPr>
        <w:t>表2.4-2</w:t>
      </w:r>
      <w:r>
        <w:rPr>
          <w:sz w:val="24"/>
          <w:szCs w:val="24"/>
          <w:highlight w:val="none"/>
        </w:rPr>
        <w:t>，主要废气污染源排放参数见</w:t>
      </w:r>
      <w:r>
        <w:rPr>
          <w:rFonts w:hint="eastAsia"/>
          <w:sz w:val="24"/>
          <w:szCs w:val="24"/>
          <w:highlight w:val="none"/>
        </w:rPr>
        <w:t>表2</w:t>
      </w:r>
      <w:r>
        <w:rPr>
          <w:sz w:val="24"/>
          <w:szCs w:val="24"/>
          <w:highlight w:val="none"/>
        </w:rPr>
        <w:t>.4-3、</w:t>
      </w:r>
      <w:r>
        <w:rPr>
          <w:rFonts w:hint="eastAsia"/>
          <w:sz w:val="24"/>
          <w:szCs w:val="24"/>
          <w:highlight w:val="none"/>
        </w:rPr>
        <w:t>表2</w:t>
      </w:r>
      <w:r>
        <w:rPr>
          <w:sz w:val="24"/>
          <w:szCs w:val="24"/>
          <w:highlight w:val="none"/>
        </w:rPr>
        <w:t>.4-4。</w:t>
      </w:r>
    </w:p>
    <w:p>
      <w:pPr>
        <w:spacing w:line="240" w:lineRule="auto"/>
        <w:ind w:firstLine="0" w:firstLineChars="0"/>
        <w:jc w:val="center"/>
        <w:textAlignment w:val="auto"/>
        <w:rPr>
          <w:rFonts w:eastAsia="黑体"/>
          <w:kern w:val="2"/>
          <w:sz w:val="21"/>
          <w:szCs w:val="21"/>
          <w:highlight w:val="none"/>
        </w:rPr>
      </w:pPr>
      <w:bookmarkStart w:id="102" w:name="_Ref8598476"/>
      <w:r>
        <w:rPr>
          <w:rFonts w:hint="eastAsia" w:eastAsia="黑体"/>
          <w:kern w:val="2"/>
          <w:sz w:val="21"/>
          <w:szCs w:val="21"/>
          <w:highlight w:val="none"/>
        </w:rPr>
        <w:t>表2.4-2</w:t>
      </w:r>
      <w:bookmarkEnd w:id="102"/>
      <w:r>
        <w:rPr>
          <w:rFonts w:eastAsia="黑体"/>
          <w:kern w:val="2"/>
          <w:sz w:val="21"/>
          <w:szCs w:val="21"/>
          <w:highlight w:val="none"/>
        </w:rPr>
        <w:t xml:space="preserve">  评价因子和评价标准表</w:t>
      </w:r>
    </w:p>
    <w:tbl>
      <w:tblPr>
        <w:tblStyle w:val="56"/>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55"/>
        <w:gridCol w:w="2153"/>
        <w:gridCol w:w="2234"/>
        <w:gridCol w:w="248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5" w:type="dxa"/>
            <w:vAlign w:val="center"/>
          </w:tcPr>
          <w:p>
            <w:pPr>
              <w:pStyle w:val="417"/>
              <w:spacing w:line="240" w:lineRule="auto"/>
              <w:rPr>
                <w:highlight w:val="none"/>
              </w:rPr>
            </w:pPr>
            <w:r>
              <w:rPr>
                <w:highlight w:val="none"/>
              </w:rPr>
              <w:t>评价因子</w:t>
            </w:r>
          </w:p>
        </w:tc>
        <w:tc>
          <w:tcPr>
            <w:tcW w:w="2153" w:type="dxa"/>
            <w:vAlign w:val="center"/>
          </w:tcPr>
          <w:p>
            <w:pPr>
              <w:pStyle w:val="417"/>
              <w:spacing w:line="240" w:lineRule="auto"/>
              <w:rPr>
                <w:highlight w:val="none"/>
              </w:rPr>
            </w:pPr>
            <w:r>
              <w:rPr>
                <w:highlight w:val="none"/>
              </w:rPr>
              <w:t>取值时间</w:t>
            </w:r>
          </w:p>
        </w:tc>
        <w:tc>
          <w:tcPr>
            <w:tcW w:w="2234" w:type="dxa"/>
            <w:vAlign w:val="center"/>
          </w:tcPr>
          <w:p>
            <w:pPr>
              <w:pStyle w:val="417"/>
              <w:spacing w:line="240" w:lineRule="auto"/>
              <w:rPr>
                <w:highlight w:val="none"/>
              </w:rPr>
            </w:pPr>
            <w:r>
              <w:rPr>
                <w:highlight w:val="none"/>
              </w:rPr>
              <w:t>标准值</w:t>
            </w:r>
          </w:p>
          <w:p>
            <w:pPr>
              <w:pStyle w:val="417"/>
              <w:spacing w:line="240" w:lineRule="auto"/>
              <w:rPr>
                <w:highlight w:val="none"/>
              </w:rPr>
            </w:pPr>
            <w:r>
              <w:rPr>
                <w:highlight w:val="none"/>
              </w:rPr>
              <w:t>(μg/m³)</w:t>
            </w:r>
          </w:p>
        </w:tc>
        <w:tc>
          <w:tcPr>
            <w:tcW w:w="2480" w:type="dxa"/>
            <w:vAlign w:val="center"/>
          </w:tcPr>
          <w:p>
            <w:pPr>
              <w:pStyle w:val="417"/>
              <w:rPr>
                <w:highlight w:val="none"/>
              </w:rPr>
            </w:pPr>
            <w:r>
              <w:rPr>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5" w:type="dxa"/>
            <w:vMerge w:val="restart"/>
            <w:vAlign w:val="center"/>
          </w:tcPr>
          <w:p>
            <w:pPr>
              <w:pStyle w:val="417"/>
              <w:spacing w:line="240" w:lineRule="auto"/>
              <w:rPr>
                <w:highlight w:val="none"/>
              </w:rPr>
            </w:pPr>
            <w:r>
              <w:rPr>
                <w:highlight w:val="none"/>
              </w:rPr>
              <w:t>PM</w:t>
            </w:r>
            <w:r>
              <w:rPr>
                <w:rFonts w:hint="eastAsia"/>
                <w:highlight w:val="none"/>
                <w:vertAlign w:val="subscript"/>
              </w:rPr>
              <w:t>2.5</w:t>
            </w:r>
          </w:p>
        </w:tc>
        <w:tc>
          <w:tcPr>
            <w:tcW w:w="2153" w:type="dxa"/>
            <w:vAlign w:val="center"/>
          </w:tcPr>
          <w:p>
            <w:pPr>
              <w:pStyle w:val="417"/>
              <w:spacing w:line="240" w:lineRule="auto"/>
              <w:rPr>
                <w:highlight w:val="none"/>
              </w:rPr>
            </w:pPr>
            <w:r>
              <w:rPr>
                <w:highlight w:val="none"/>
              </w:rPr>
              <w:t>日均</w:t>
            </w:r>
          </w:p>
        </w:tc>
        <w:tc>
          <w:tcPr>
            <w:tcW w:w="2234" w:type="dxa"/>
            <w:vAlign w:val="center"/>
          </w:tcPr>
          <w:p>
            <w:pPr>
              <w:pStyle w:val="417"/>
              <w:spacing w:line="240" w:lineRule="auto"/>
              <w:rPr>
                <w:highlight w:val="none"/>
              </w:rPr>
            </w:pPr>
            <w:r>
              <w:rPr>
                <w:rFonts w:hint="eastAsia"/>
                <w:highlight w:val="none"/>
              </w:rPr>
              <w:t>75.0</w:t>
            </w:r>
          </w:p>
        </w:tc>
        <w:tc>
          <w:tcPr>
            <w:tcW w:w="2480" w:type="dxa"/>
            <w:vMerge w:val="restart"/>
            <w:vAlign w:val="center"/>
          </w:tcPr>
          <w:p>
            <w:pPr>
              <w:pStyle w:val="417"/>
              <w:rPr>
                <w:highlight w:val="none"/>
              </w:rPr>
            </w:pPr>
            <w:r>
              <w:rPr>
                <w:highlight w:val="none"/>
              </w:rPr>
              <w:t>GB 3095-2012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5" w:type="dxa"/>
            <w:vMerge w:val="continue"/>
            <w:tcBorders>
              <w:bottom w:val="single" w:color="auto" w:sz="4" w:space="0"/>
            </w:tcBorders>
            <w:vAlign w:val="center"/>
          </w:tcPr>
          <w:p>
            <w:pPr>
              <w:pStyle w:val="417"/>
              <w:spacing w:line="240" w:lineRule="auto"/>
              <w:rPr>
                <w:highlight w:val="none"/>
              </w:rPr>
            </w:pPr>
          </w:p>
        </w:tc>
        <w:tc>
          <w:tcPr>
            <w:tcW w:w="2153" w:type="dxa"/>
            <w:vAlign w:val="center"/>
          </w:tcPr>
          <w:p>
            <w:pPr>
              <w:pStyle w:val="417"/>
              <w:spacing w:line="240" w:lineRule="auto"/>
              <w:rPr>
                <w:highlight w:val="none"/>
              </w:rPr>
            </w:pPr>
            <w:r>
              <w:rPr>
                <w:highlight w:val="none"/>
              </w:rPr>
              <w:t>1h平均</w:t>
            </w:r>
          </w:p>
        </w:tc>
        <w:tc>
          <w:tcPr>
            <w:tcW w:w="2234" w:type="dxa"/>
            <w:vAlign w:val="center"/>
          </w:tcPr>
          <w:p>
            <w:pPr>
              <w:pStyle w:val="417"/>
              <w:spacing w:line="240" w:lineRule="auto"/>
              <w:rPr>
                <w:highlight w:val="none"/>
              </w:rPr>
            </w:pPr>
            <w:r>
              <w:rPr>
                <w:rFonts w:hint="eastAsia"/>
                <w:highlight w:val="none"/>
              </w:rPr>
              <w:t>225.0</w:t>
            </w:r>
          </w:p>
        </w:tc>
        <w:tc>
          <w:tcPr>
            <w:tcW w:w="2480" w:type="dxa"/>
            <w:vMerge w:val="continue"/>
            <w:vAlign w:val="center"/>
          </w:tcPr>
          <w:p>
            <w:pPr>
              <w:pStyle w:val="417"/>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5" w:type="dxa"/>
            <w:vMerge w:val="restart"/>
            <w:tcBorders>
              <w:top w:val="single" w:color="auto" w:sz="4" w:space="0"/>
            </w:tcBorders>
            <w:vAlign w:val="center"/>
          </w:tcPr>
          <w:p>
            <w:pPr>
              <w:pStyle w:val="417"/>
              <w:spacing w:line="240" w:lineRule="auto"/>
              <w:rPr>
                <w:highlight w:val="none"/>
              </w:rPr>
            </w:pPr>
            <w:r>
              <w:rPr>
                <w:highlight w:val="none"/>
              </w:rPr>
              <w:t>PM</w:t>
            </w:r>
            <w:r>
              <w:rPr>
                <w:highlight w:val="none"/>
                <w:vertAlign w:val="subscript"/>
              </w:rPr>
              <w:t>10</w:t>
            </w:r>
          </w:p>
        </w:tc>
        <w:tc>
          <w:tcPr>
            <w:tcW w:w="2153" w:type="dxa"/>
            <w:vAlign w:val="center"/>
          </w:tcPr>
          <w:p>
            <w:pPr>
              <w:pStyle w:val="417"/>
              <w:spacing w:line="240" w:lineRule="auto"/>
              <w:rPr>
                <w:highlight w:val="none"/>
              </w:rPr>
            </w:pPr>
            <w:r>
              <w:rPr>
                <w:highlight w:val="none"/>
              </w:rPr>
              <w:t>日均</w:t>
            </w:r>
          </w:p>
        </w:tc>
        <w:tc>
          <w:tcPr>
            <w:tcW w:w="2234" w:type="dxa"/>
            <w:vAlign w:val="center"/>
          </w:tcPr>
          <w:p>
            <w:pPr>
              <w:pStyle w:val="417"/>
              <w:spacing w:line="240" w:lineRule="auto"/>
              <w:rPr>
                <w:highlight w:val="none"/>
              </w:rPr>
            </w:pPr>
            <w:r>
              <w:rPr>
                <w:highlight w:val="none"/>
              </w:rPr>
              <w:t>150.0</w:t>
            </w:r>
          </w:p>
        </w:tc>
        <w:tc>
          <w:tcPr>
            <w:tcW w:w="2480" w:type="dxa"/>
            <w:vMerge w:val="continue"/>
            <w:vAlign w:val="center"/>
          </w:tcPr>
          <w:p>
            <w:pPr>
              <w:pStyle w:val="417"/>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5" w:type="dxa"/>
            <w:vMerge w:val="continue"/>
            <w:vAlign w:val="center"/>
          </w:tcPr>
          <w:p>
            <w:pPr>
              <w:pStyle w:val="417"/>
              <w:spacing w:line="240" w:lineRule="auto"/>
              <w:rPr>
                <w:highlight w:val="none"/>
              </w:rPr>
            </w:pPr>
          </w:p>
        </w:tc>
        <w:tc>
          <w:tcPr>
            <w:tcW w:w="2153" w:type="dxa"/>
            <w:vAlign w:val="center"/>
          </w:tcPr>
          <w:p>
            <w:pPr>
              <w:pStyle w:val="417"/>
              <w:spacing w:line="240" w:lineRule="auto"/>
              <w:rPr>
                <w:highlight w:val="none"/>
              </w:rPr>
            </w:pPr>
            <w:r>
              <w:rPr>
                <w:highlight w:val="none"/>
              </w:rPr>
              <w:t>1h平均</w:t>
            </w:r>
          </w:p>
        </w:tc>
        <w:tc>
          <w:tcPr>
            <w:tcW w:w="2234" w:type="dxa"/>
            <w:vAlign w:val="center"/>
          </w:tcPr>
          <w:p>
            <w:pPr>
              <w:pStyle w:val="417"/>
              <w:spacing w:line="240" w:lineRule="auto"/>
              <w:rPr>
                <w:highlight w:val="none"/>
              </w:rPr>
            </w:pPr>
            <w:r>
              <w:rPr>
                <w:highlight w:val="none"/>
              </w:rPr>
              <w:t>450.0</w:t>
            </w:r>
          </w:p>
        </w:tc>
        <w:tc>
          <w:tcPr>
            <w:tcW w:w="2480" w:type="dxa"/>
            <w:vMerge w:val="continue"/>
            <w:vAlign w:val="center"/>
          </w:tcPr>
          <w:p>
            <w:pPr>
              <w:pStyle w:val="417"/>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5" w:type="dxa"/>
            <w:vMerge w:val="restart"/>
            <w:vAlign w:val="center"/>
          </w:tcPr>
          <w:p>
            <w:pPr>
              <w:pStyle w:val="417"/>
              <w:spacing w:line="240" w:lineRule="auto"/>
              <w:rPr>
                <w:highlight w:val="none"/>
              </w:rPr>
            </w:pPr>
            <w:r>
              <w:rPr>
                <w:highlight w:val="none"/>
              </w:rPr>
              <w:t>TSP</w:t>
            </w:r>
          </w:p>
        </w:tc>
        <w:tc>
          <w:tcPr>
            <w:tcW w:w="2153" w:type="dxa"/>
            <w:vAlign w:val="center"/>
          </w:tcPr>
          <w:p>
            <w:pPr>
              <w:pStyle w:val="417"/>
              <w:spacing w:line="240" w:lineRule="auto"/>
              <w:rPr>
                <w:highlight w:val="none"/>
              </w:rPr>
            </w:pPr>
            <w:r>
              <w:rPr>
                <w:highlight w:val="none"/>
              </w:rPr>
              <w:t>日均</w:t>
            </w:r>
          </w:p>
        </w:tc>
        <w:tc>
          <w:tcPr>
            <w:tcW w:w="2234" w:type="dxa"/>
            <w:vAlign w:val="center"/>
          </w:tcPr>
          <w:p>
            <w:pPr>
              <w:pStyle w:val="417"/>
              <w:spacing w:line="240" w:lineRule="auto"/>
              <w:rPr>
                <w:highlight w:val="none"/>
              </w:rPr>
            </w:pPr>
            <w:r>
              <w:rPr>
                <w:highlight w:val="none"/>
              </w:rPr>
              <w:t>300.0</w:t>
            </w:r>
          </w:p>
        </w:tc>
        <w:tc>
          <w:tcPr>
            <w:tcW w:w="2480" w:type="dxa"/>
            <w:vMerge w:val="continue"/>
            <w:vAlign w:val="center"/>
          </w:tcPr>
          <w:p>
            <w:pPr>
              <w:pStyle w:val="417"/>
              <w:rPr>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5" w:type="dxa"/>
            <w:vMerge w:val="continue"/>
            <w:vAlign w:val="center"/>
          </w:tcPr>
          <w:p>
            <w:pPr>
              <w:pStyle w:val="417"/>
              <w:spacing w:line="240" w:lineRule="auto"/>
              <w:rPr>
                <w:highlight w:val="none"/>
              </w:rPr>
            </w:pPr>
          </w:p>
        </w:tc>
        <w:tc>
          <w:tcPr>
            <w:tcW w:w="2153" w:type="dxa"/>
            <w:vAlign w:val="center"/>
          </w:tcPr>
          <w:p>
            <w:pPr>
              <w:pStyle w:val="417"/>
              <w:spacing w:line="240" w:lineRule="auto"/>
              <w:rPr>
                <w:highlight w:val="none"/>
              </w:rPr>
            </w:pPr>
            <w:r>
              <w:rPr>
                <w:highlight w:val="none"/>
              </w:rPr>
              <w:t>1h平均</w:t>
            </w:r>
          </w:p>
        </w:tc>
        <w:tc>
          <w:tcPr>
            <w:tcW w:w="2234" w:type="dxa"/>
            <w:vAlign w:val="center"/>
          </w:tcPr>
          <w:p>
            <w:pPr>
              <w:pStyle w:val="417"/>
              <w:spacing w:line="240" w:lineRule="auto"/>
              <w:rPr>
                <w:highlight w:val="none"/>
              </w:rPr>
            </w:pPr>
            <w:r>
              <w:rPr>
                <w:highlight w:val="none"/>
              </w:rPr>
              <w:t>900.0</w:t>
            </w:r>
          </w:p>
        </w:tc>
        <w:tc>
          <w:tcPr>
            <w:tcW w:w="2480" w:type="dxa"/>
            <w:vMerge w:val="continue"/>
            <w:vAlign w:val="center"/>
          </w:tcPr>
          <w:p>
            <w:pPr>
              <w:pStyle w:val="417"/>
              <w:rPr>
                <w:highlight w:val="none"/>
              </w:rPr>
            </w:pPr>
          </w:p>
        </w:tc>
      </w:tr>
    </w:tbl>
    <w:p>
      <w:pPr>
        <w:spacing w:line="240" w:lineRule="auto"/>
        <w:ind w:firstLine="0" w:firstLineChars="0"/>
        <w:jc w:val="both"/>
        <w:textAlignment w:val="auto"/>
        <w:rPr>
          <w:rFonts w:eastAsia="黑体"/>
          <w:kern w:val="2"/>
          <w:sz w:val="21"/>
          <w:szCs w:val="21"/>
          <w:highlight w:val="none"/>
        </w:rPr>
      </w:pPr>
    </w:p>
    <w:p>
      <w:pPr>
        <w:spacing w:line="240" w:lineRule="auto"/>
        <w:ind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4</w:t>
      </w:r>
      <w:r>
        <w:rPr>
          <w:rFonts w:eastAsia="黑体"/>
          <w:kern w:val="2"/>
          <w:sz w:val="21"/>
          <w:szCs w:val="21"/>
          <w:highlight w:val="none"/>
        </w:rPr>
        <w:t>-3      点源大气估算模式的相关参数表</w:t>
      </w:r>
    </w:p>
    <w:tbl>
      <w:tblPr>
        <w:tblStyle w:val="5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39"/>
        <w:gridCol w:w="1060"/>
        <w:gridCol w:w="943"/>
        <w:gridCol w:w="694"/>
        <w:gridCol w:w="532"/>
        <w:gridCol w:w="549"/>
        <w:gridCol w:w="498"/>
        <w:gridCol w:w="654"/>
        <w:gridCol w:w="304"/>
        <w:gridCol w:w="395"/>
        <w:gridCol w:w="615"/>
        <w:gridCol w:w="7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99" w:type="pct"/>
            <w:vMerge w:val="restart"/>
            <w:tcBorders>
              <w:lef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污染源名称</w:t>
            </w:r>
          </w:p>
        </w:tc>
        <w:tc>
          <w:tcPr>
            <w:tcW w:w="1195" w:type="pct"/>
            <w:gridSpan w:val="2"/>
            <w:vAlign w:val="center"/>
          </w:tcPr>
          <w:p>
            <w:pPr>
              <w:adjustRightInd w:val="0"/>
              <w:snapToGrid w:val="0"/>
              <w:spacing w:line="240" w:lineRule="auto"/>
              <w:ind w:firstLine="0" w:firstLineChars="0"/>
              <w:jc w:val="center"/>
              <w:rPr>
                <w:sz w:val="21"/>
                <w:szCs w:val="21"/>
                <w:highlight w:val="none"/>
              </w:rPr>
            </w:pPr>
            <w:r>
              <w:rPr>
                <w:sz w:val="21"/>
                <w:szCs w:val="21"/>
                <w:highlight w:val="none"/>
              </w:rPr>
              <w:t>排气筒底部中心坐标(</w:t>
            </w:r>
            <w:r>
              <w:rPr>
                <w:sz w:val="21"/>
                <w:szCs w:val="21"/>
                <w:highlight w:val="none"/>
                <w:vertAlign w:val="superscript"/>
              </w:rPr>
              <w:t>o</w:t>
            </w:r>
            <w:r>
              <w:rPr>
                <w:sz w:val="21"/>
                <w:szCs w:val="21"/>
                <w:highlight w:val="none"/>
              </w:rPr>
              <w:t>)</w:t>
            </w:r>
          </w:p>
        </w:tc>
        <w:tc>
          <w:tcPr>
            <w:tcW w:w="415" w:type="pct"/>
            <w:vMerge w:val="restart"/>
            <w:vAlign w:val="center"/>
          </w:tcPr>
          <w:p>
            <w:pPr>
              <w:adjustRightInd w:val="0"/>
              <w:snapToGrid w:val="0"/>
              <w:spacing w:line="240" w:lineRule="auto"/>
              <w:ind w:firstLine="0" w:firstLineChars="0"/>
              <w:jc w:val="center"/>
              <w:rPr>
                <w:sz w:val="21"/>
                <w:szCs w:val="21"/>
                <w:highlight w:val="none"/>
              </w:rPr>
            </w:pPr>
            <w:r>
              <w:rPr>
                <w:sz w:val="21"/>
                <w:szCs w:val="21"/>
                <w:highlight w:val="none"/>
              </w:rPr>
              <w:t>排气筒底部海拔高度(m)</w:t>
            </w:r>
          </w:p>
        </w:tc>
        <w:tc>
          <w:tcPr>
            <w:tcW w:w="1335" w:type="pct"/>
            <w:gridSpan w:val="4"/>
            <w:vAlign w:val="center"/>
          </w:tcPr>
          <w:p>
            <w:pPr>
              <w:adjustRightInd w:val="0"/>
              <w:snapToGrid w:val="0"/>
              <w:spacing w:line="240" w:lineRule="auto"/>
              <w:ind w:firstLine="0" w:firstLineChars="0"/>
              <w:jc w:val="center"/>
              <w:rPr>
                <w:sz w:val="21"/>
                <w:szCs w:val="21"/>
                <w:highlight w:val="none"/>
              </w:rPr>
            </w:pPr>
            <w:r>
              <w:rPr>
                <w:sz w:val="21"/>
                <w:szCs w:val="21"/>
                <w:highlight w:val="none"/>
              </w:rPr>
              <w:t>排气筒参数</w:t>
            </w:r>
          </w:p>
        </w:tc>
        <w:tc>
          <w:tcPr>
            <w:tcW w:w="182" w:type="pct"/>
            <w:vMerge w:val="restart"/>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排放</w:t>
            </w:r>
          </w:p>
          <w:p>
            <w:pPr>
              <w:adjustRightInd w:val="0"/>
              <w:snapToGrid w:val="0"/>
              <w:spacing w:line="240" w:lineRule="auto"/>
              <w:ind w:firstLine="0" w:firstLineChars="0"/>
              <w:jc w:val="center"/>
              <w:rPr>
                <w:sz w:val="21"/>
                <w:szCs w:val="21"/>
                <w:highlight w:val="none"/>
              </w:rPr>
            </w:pPr>
            <w:r>
              <w:rPr>
                <w:rFonts w:hint="eastAsia"/>
                <w:sz w:val="21"/>
                <w:szCs w:val="21"/>
                <w:highlight w:val="none"/>
              </w:rPr>
              <w:t>工况</w:t>
            </w:r>
          </w:p>
        </w:tc>
        <w:tc>
          <w:tcPr>
            <w:tcW w:w="236" w:type="pct"/>
            <w:vMerge w:val="restart"/>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年排放h</w:t>
            </w:r>
          </w:p>
        </w:tc>
        <w:tc>
          <w:tcPr>
            <w:tcW w:w="368" w:type="pct"/>
            <w:vMerge w:val="restart"/>
            <w:vAlign w:val="center"/>
          </w:tcPr>
          <w:p>
            <w:pPr>
              <w:adjustRightInd w:val="0"/>
              <w:snapToGrid w:val="0"/>
              <w:spacing w:line="240" w:lineRule="auto"/>
              <w:ind w:firstLine="0" w:firstLineChars="0"/>
              <w:jc w:val="center"/>
              <w:rPr>
                <w:sz w:val="21"/>
                <w:szCs w:val="21"/>
                <w:highlight w:val="none"/>
              </w:rPr>
            </w:pPr>
            <w:r>
              <w:rPr>
                <w:sz w:val="21"/>
                <w:szCs w:val="21"/>
                <w:highlight w:val="none"/>
              </w:rPr>
              <w:t>污染物</w:t>
            </w:r>
          </w:p>
          <w:p>
            <w:pPr>
              <w:adjustRightInd w:val="0"/>
              <w:snapToGrid w:val="0"/>
              <w:spacing w:line="240" w:lineRule="auto"/>
              <w:ind w:firstLine="0" w:firstLineChars="0"/>
              <w:jc w:val="center"/>
              <w:rPr>
                <w:sz w:val="21"/>
                <w:szCs w:val="21"/>
                <w:highlight w:val="none"/>
              </w:rPr>
            </w:pPr>
            <w:r>
              <w:rPr>
                <w:sz w:val="21"/>
                <w:szCs w:val="21"/>
                <w:highlight w:val="none"/>
              </w:rPr>
              <w:t>名称</w:t>
            </w:r>
          </w:p>
        </w:tc>
        <w:tc>
          <w:tcPr>
            <w:tcW w:w="466" w:type="pct"/>
            <w:vMerge w:val="restart"/>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排放</w:t>
            </w:r>
          </w:p>
          <w:p>
            <w:pPr>
              <w:adjustRightInd w:val="0"/>
              <w:snapToGrid w:val="0"/>
              <w:spacing w:line="240" w:lineRule="auto"/>
              <w:ind w:firstLine="0" w:firstLineChars="0"/>
              <w:jc w:val="center"/>
              <w:rPr>
                <w:sz w:val="21"/>
                <w:szCs w:val="21"/>
                <w:highlight w:val="none"/>
              </w:rPr>
            </w:pPr>
            <w:r>
              <w:rPr>
                <w:sz w:val="21"/>
                <w:szCs w:val="21"/>
                <w:highlight w:val="none"/>
              </w:rPr>
              <w:t>速率（kg/h）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99" w:type="pct"/>
            <w:vMerge w:val="continue"/>
            <w:tcBorders>
              <w:left w:val="single" w:color="auto" w:sz="4" w:space="0"/>
            </w:tcBorders>
            <w:vAlign w:val="center"/>
          </w:tcPr>
          <w:p>
            <w:pPr>
              <w:adjustRightInd w:val="0"/>
              <w:snapToGrid w:val="0"/>
              <w:spacing w:line="240" w:lineRule="auto"/>
              <w:ind w:firstLine="0" w:firstLineChars="0"/>
              <w:jc w:val="center"/>
              <w:rPr>
                <w:sz w:val="21"/>
                <w:szCs w:val="21"/>
                <w:highlight w:val="none"/>
              </w:rPr>
            </w:pPr>
          </w:p>
        </w:tc>
        <w:tc>
          <w:tcPr>
            <w:tcW w:w="632" w:type="pct"/>
            <w:vAlign w:val="center"/>
          </w:tcPr>
          <w:p>
            <w:pPr>
              <w:adjustRightInd w:val="0"/>
              <w:snapToGrid w:val="0"/>
              <w:spacing w:line="240" w:lineRule="auto"/>
              <w:ind w:firstLine="0" w:firstLineChars="0"/>
              <w:jc w:val="center"/>
              <w:rPr>
                <w:sz w:val="21"/>
                <w:szCs w:val="21"/>
                <w:highlight w:val="none"/>
              </w:rPr>
            </w:pPr>
            <w:r>
              <w:rPr>
                <w:sz w:val="21"/>
                <w:szCs w:val="21"/>
                <w:highlight w:val="none"/>
              </w:rPr>
              <w:t>经度</w:t>
            </w:r>
          </w:p>
        </w:tc>
        <w:tc>
          <w:tcPr>
            <w:tcW w:w="562" w:type="pct"/>
            <w:vAlign w:val="center"/>
          </w:tcPr>
          <w:p>
            <w:pPr>
              <w:adjustRightInd w:val="0"/>
              <w:snapToGrid w:val="0"/>
              <w:spacing w:line="240" w:lineRule="auto"/>
              <w:ind w:firstLine="0" w:firstLineChars="0"/>
              <w:jc w:val="center"/>
              <w:rPr>
                <w:sz w:val="21"/>
                <w:szCs w:val="21"/>
                <w:highlight w:val="none"/>
              </w:rPr>
            </w:pPr>
            <w:r>
              <w:rPr>
                <w:sz w:val="21"/>
                <w:szCs w:val="21"/>
                <w:highlight w:val="none"/>
              </w:rPr>
              <w:t>纬度</w:t>
            </w:r>
          </w:p>
        </w:tc>
        <w:tc>
          <w:tcPr>
            <w:tcW w:w="415" w:type="pct"/>
            <w:vMerge w:val="continue"/>
            <w:vAlign w:val="center"/>
          </w:tcPr>
          <w:p>
            <w:pPr>
              <w:adjustRightInd w:val="0"/>
              <w:snapToGrid w:val="0"/>
              <w:spacing w:line="240" w:lineRule="auto"/>
              <w:ind w:firstLine="0" w:firstLineChars="0"/>
              <w:jc w:val="center"/>
              <w:rPr>
                <w:sz w:val="21"/>
                <w:szCs w:val="21"/>
                <w:highlight w:val="none"/>
              </w:rPr>
            </w:pPr>
          </w:p>
        </w:tc>
        <w:tc>
          <w:tcPr>
            <w:tcW w:w="318" w:type="pct"/>
            <w:vAlign w:val="center"/>
          </w:tcPr>
          <w:p>
            <w:pPr>
              <w:adjustRightInd w:val="0"/>
              <w:snapToGrid w:val="0"/>
              <w:spacing w:line="240" w:lineRule="auto"/>
              <w:ind w:firstLine="0" w:firstLineChars="0"/>
              <w:jc w:val="center"/>
              <w:rPr>
                <w:sz w:val="21"/>
                <w:szCs w:val="21"/>
                <w:highlight w:val="none"/>
              </w:rPr>
            </w:pPr>
            <w:r>
              <w:rPr>
                <w:sz w:val="21"/>
                <w:szCs w:val="21"/>
                <w:highlight w:val="none"/>
              </w:rPr>
              <w:t>高度</w:t>
            </w:r>
          </w:p>
          <w:p>
            <w:pPr>
              <w:adjustRightInd w:val="0"/>
              <w:snapToGrid w:val="0"/>
              <w:spacing w:line="240" w:lineRule="auto"/>
              <w:ind w:firstLine="0" w:firstLineChars="0"/>
              <w:jc w:val="center"/>
              <w:rPr>
                <w:sz w:val="21"/>
                <w:szCs w:val="21"/>
                <w:highlight w:val="none"/>
              </w:rPr>
            </w:pPr>
            <w:r>
              <w:rPr>
                <w:sz w:val="21"/>
                <w:szCs w:val="21"/>
                <w:highlight w:val="none"/>
              </w:rPr>
              <w:t>(m)</w:t>
            </w:r>
          </w:p>
        </w:tc>
        <w:tc>
          <w:tcPr>
            <w:tcW w:w="328" w:type="pct"/>
            <w:vAlign w:val="center"/>
          </w:tcPr>
          <w:p>
            <w:pPr>
              <w:adjustRightInd w:val="0"/>
              <w:snapToGrid w:val="0"/>
              <w:spacing w:line="240" w:lineRule="auto"/>
              <w:ind w:firstLine="0" w:firstLineChars="0"/>
              <w:jc w:val="center"/>
              <w:rPr>
                <w:sz w:val="21"/>
                <w:szCs w:val="21"/>
                <w:highlight w:val="none"/>
              </w:rPr>
            </w:pPr>
            <w:r>
              <w:rPr>
                <w:sz w:val="21"/>
                <w:szCs w:val="21"/>
                <w:highlight w:val="none"/>
              </w:rPr>
              <w:t>内径</w:t>
            </w:r>
          </w:p>
          <w:p>
            <w:pPr>
              <w:adjustRightInd w:val="0"/>
              <w:snapToGrid w:val="0"/>
              <w:spacing w:line="240" w:lineRule="auto"/>
              <w:ind w:firstLine="0" w:firstLineChars="0"/>
              <w:jc w:val="center"/>
              <w:rPr>
                <w:sz w:val="21"/>
                <w:szCs w:val="21"/>
                <w:highlight w:val="none"/>
              </w:rPr>
            </w:pPr>
            <w:r>
              <w:rPr>
                <w:sz w:val="21"/>
                <w:szCs w:val="21"/>
                <w:highlight w:val="none"/>
              </w:rPr>
              <w:t>(m)</w:t>
            </w:r>
          </w:p>
        </w:tc>
        <w:tc>
          <w:tcPr>
            <w:tcW w:w="298" w:type="pct"/>
            <w:vAlign w:val="center"/>
          </w:tcPr>
          <w:p>
            <w:pPr>
              <w:adjustRightInd w:val="0"/>
              <w:snapToGrid w:val="0"/>
              <w:spacing w:line="240" w:lineRule="auto"/>
              <w:ind w:firstLine="0" w:firstLineChars="0"/>
              <w:jc w:val="center"/>
              <w:rPr>
                <w:sz w:val="21"/>
                <w:szCs w:val="21"/>
                <w:highlight w:val="none"/>
              </w:rPr>
            </w:pPr>
            <w:r>
              <w:rPr>
                <w:sz w:val="21"/>
                <w:szCs w:val="21"/>
                <w:highlight w:val="none"/>
              </w:rPr>
              <w:t>温度</w:t>
            </w:r>
          </w:p>
          <w:p>
            <w:pPr>
              <w:adjustRightInd w:val="0"/>
              <w:snapToGrid w:val="0"/>
              <w:spacing w:line="240" w:lineRule="auto"/>
              <w:ind w:firstLine="0" w:firstLineChars="0"/>
              <w:jc w:val="center"/>
              <w:rPr>
                <w:sz w:val="21"/>
                <w:szCs w:val="21"/>
                <w:highlight w:val="none"/>
              </w:rPr>
            </w:pPr>
            <w:r>
              <w:rPr>
                <w:sz w:val="21"/>
                <w:szCs w:val="21"/>
                <w:highlight w:val="none"/>
              </w:rPr>
              <w:t>(℃)</w:t>
            </w:r>
          </w:p>
        </w:tc>
        <w:tc>
          <w:tcPr>
            <w:tcW w:w="388" w:type="pct"/>
            <w:vAlign w:val="center"/>
          </w:tcPr>
          <w:p>
            <w:pPr>
              <w:adjustRightInd w:val="0"/>
              <w:snapToGrid w:val="0"/>
              <w:spacing w:line="240" w:lineRule="auto"/>
              <w:ind w:firstLine="0" w:firstLineChars="0"/>
              <w:jc w:val="center"/>
              <w:rPr>
                <w:sz w:val="21"/>
                <w:szCs w:val="21"/>
                <w:highlight w:val="none"/>
              </w:rPr>
            </w:pPr>
            <w:r>
              <w:rPr>
                <w:sz w:val="21"/>
                <w:szCs w:val="21"/>
                <w:highlight w:val="none"/>
              </w:rPr>
              <w:t>流速</w:t>
            </w:r>
          </w:p>
          <w:p>
            <w:pPr>
              <w:adjustRightInd w:val="0"/>
              <w:snapToGrid w:val="0"/>
              <w:spacing w:line="240" w:lineRule="auto"/>
              <w:ind w:firstLine="0" w:firstLineChars="0"/>
              <w:jc w:val="center"/>
              <w:rPr>
                <w:sz w:val="21"/>
                <w:szCs w:val="21"/>
                <w:highlight w:val="none"/>
              </w:rPr>
            </w:pPr>
            <w:r>
              <w:rPr>
                <w:sz w:val="21"/>
                <w:szCs w:val="21"/>
                <w:highlight w:val="none"/>
              </w:rPr>
              <w:t>(m/s)</w:t>
            </w:r>
          </w:p>
        </w:tc>
        <w:tc>
          <w:tcPr>
            <w:tcW w:w="182" w:type="pct"/>
            <w:vMerge w:val="continue"/>
            <w:vAlign w:val="center"/>
          </w:tcPr>
          <w:p>
            <w:pPr>
              <w:adjustRightInd w:val="0"/>
              <w:snapToGrid w:val="0"/>
              <w:spacing w:line="240" w:lineRule="auto"/>
              <w:ind w:firstLine="0" w:firstLineChars="0"/>
              <w:jc w:val="center"/>
              <w:rPr>
                <w:sz w:val="21"/>
                <w:szCs w:val="21"/>
                <w:highlight w:val="none"/>
              </w:rPr>
            </w:pPr>
          </w:p>
        </w:tc>
        <w:tc>
          <w:tcPr>
            <w:tcW w:w="236" w:type="pct"/>
            <w:vMerge w:val="continue"/>
            <w:vAlign w:val="center"/>
          </w:tcPr>
          <w:p>
            <w:pPr>
              <w:adjustRightInd w:val="0"/>
              <w:snapToGrid w:val="0"/>
              <w:spacing w:line="240" w:lineRule="auto"/>
              <w:ind w:firstLine="0" w:firstLineChars="0"/>
              <w:jc w:val="center"/>
              <w:rPr>
                <w:sz w:val="21"/>
                <w:szCs w:val="21"/>
                <w:highlight w:val="none"/>
              </w:rPr>
            </w:pPr>
          </w:p>
        </w:tc>
        <w:tc>
          <w:tcPr>
            <w:tcW w:w="368" w:type="pct"/>
            <w:vMerge w:val="continue"/>
            <w:vAlign w:val="center"/>
          </w:tcPr>
          <w:p>
            <w:pPr>
              <w:adjustRightInd w:val="0"/>
              <w:snapToGrid w:val="0"/>
              <w:spacing w:line="240" w:lineRule="auto"/>
              <w:ind w:firstLine="0" w:firstLineChars="0"/>
              <w:jc w:val="center"/>
              <w:rPr>
                <w:sz w:val="21"/>
                <w:szCs w:val="21"/>
                <w:highlight w:val="none"/>
              </w:rPr>
            </w:pPr>
          </w:p>
        </w:tc>
        <w:tc>
          <w:tcPr>
            <w:tcW w:w="466" w:type="pct"/>
            <w:vMerge w:val="continue"/>
            <w:tcBorders>
              <w:right w:val="single" w:color="auto" w:sz="4" w:space="0"/>
            </w:tcBorders>
            <w:vAlign w:val="center"/>
          </w:tcPr>
          <w:p>
            <w:pPr>
              <w:adjustRightInd w:val="0"/>
              <w:snapToGrid w:val="0"/>
              <w:spacing w:line="240" w:lineRule="auto"/>
              <w:ind w:firstLine="0" w:firstLineChars="0"/>
              <w:jc w:val="center"/>
              <w:rPr>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9" w:hRule="atLeast"/>
        </w:trPr>
        <w:tc>
          <w:tcPr>
            <w:tcW w:w="799" w:type="pct"/>
            <w:vMerge w:val="restart"/>
            <w:tcBorders>
              <w:left w:val="single" w:color="auto" w:sz="4" w:space="0"/>
            </w:tcBorders>
          </w:tcPr>
          <w:p>
            <w:pPr>
              <w:adjustRightInd w:val="0"/>
              <w:snapToGrid w:val="0"/>
              <w:spacing w:line="240" w:lineRule="auto"/>
              <w:ind w:firstLine="0" w:firstLineChars="0"/>
              <w:jc w:val="center"/>
              <w:rPr>
                <w:sz w:val="21"/>
                <w:szCs w:val="21"/>
                <w:highlight w:val="none"/>
              </w:rPr>
            </w:pPr>
            <w:r>
              <w:rPr>
                <w:sz w:val="21"/>
                <w:szCs w:val="21"/>
                <w:highlight w:val="none"/>
              </w:rPr>
              <w:t>破碎车间排气筒</w:t>
            </w:r>
          </w:p>
        </w:tc>
        <w:tc>
          <w:tcPr>
            <w:tcW w:w="632" w:type="pct"/>
            <w:vMerge w:val="restart"/>
            <w:vAlign w:val="center"/>
          </w:tcPr>
          <w:p>
            <w:pPr>
              <w:adjustRightInd w:val="0"/>
              <w:snapToGrid w:val="0"/>
              <w:spacing w:line="240" w:lineRule="auto"/>
              <w:ind w:firstLine="0" w:firstLineChars="0"/>
              <w:jc w:val="center"/>
              <w:rPr>
                <w:sz w:val="21"/>
                <w:szCs w:val="21"/>
                <w:highlight w:val="none"/>
              </w:rPr>
            </w:pPr>
            <w:r>
              <w:rPr>
                <w:sz w:val="21"/>
                <w:szCs w:val="21"/>
                <w:highlight w:val="none"/>
              </w:rPr>
              <w:t>11</w:t>
            </w:r>
            <w:r>
              <w:rPr>
                <w:rFonts w:hint="eastAsia"/>
                <w:sz w:val="21"/>
                <w:szCs w:val="21"/>
                <w:highlight w:val="none"/>
              </w:rPr>
              <w:t>7</w:t>
            </w:r>
            <w:r>
              <w:rPr>
                <w:sz w:val="21"/>
                <w:szCs w:val="21"/>
                <w:highlight w:val="none"/>
              </w:rPr>
              <w:t>°</w:t>
            </w:r>
            <w:r>
              <w:rPr>
                <w:rFonts w:hint="eastAsia"/>
                <w:sz w:val="21"/>
                <w:szCs w:val="21"/>
                <w:highlight w:val="none"/>
              </w:rPr>
              <w:t>59</w:t>
            </w:r>
            <w:r>
              <w:rPr>
                <w:sz w:val="21"/>
                <w:szCs w:val="21"/>
                <w:highlight w:val="none"/>
              </w:rPr>
              <w:t>′</w:t>
            </w:r>
            <w:r>
              <w:rPr>
                <w:rFonts w:hint="eastAsia"/>
                <w:sz w:val="21"/>
                <w:szCs w:val="21"/>
                <w:highlight w:val="none"/>
              </w:rPr>
              <w:t>11.73</w:t>
            </w:r>
            <w:r>
              <w:rPr>
                <w:sz w:val="21"/>
                <w:szCs w:val="21"/>
                <w:highlight w:val="none"/>
              </w:rPr>
              <w:t>″</w:t>
            </w:r>
          </w:p>
        </w:tc>
        <w:tc>
          <w:tcPr>
            <w:tcW w:w="562" w:type="pct"/>
            <w:vMerge w:val="restart"/>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40</w:t>
            </w:r>
            <w:r>
              <w:rPr>
                <w:sz w:val="21"/>
                <w:szCs w:val="21"/>
                <w:highlight w:val="none"/>
              </w:rPr>
              <w:t>°</w:t>
            </w:r>
            <w:r>
              <w:rPr>
                <w:rFonts w:hint="eastAsia"/>
                <w:sz w:val="21"/>
                <w:szCs w:val="21"/>
                <w:highlight w:val="none"/>
              </w:rPr>
              <w:t>6</w:t>
            </w:r>
            <w:r>
              <w:rPr>
                <w:sz w:val="21"/>
                <w:szCs w:val="21"/>
                <w:highlight w:val="none"/>
              </w:rPr>
              <w:t>′</w:t>
            </w:r>
            <w:r>
              <w:rPr>
                <w:rFonts w:hint="eastAsia"/>
                <w:sz w:val="21"/>
                <w:szCs w:val="21"/>
                <w:highlight w:val="none"/>
              </w:rPr>
              <w:t>33.35</w:t>
            </w:r>
            <w:r>
              <w:rPr>
                <w:sz w:val="21"/>
                <w:szCs w:val="21"/>
                <w:highlight w:val="none"/>
              </w:rPr>
              <w:t>″</w:t>
            </w:r>
          </w:p>
        </w:tc>
        <w:tc>
          <w:tcPr>
            <w:tcW w:w="415" w:type="pct"/>
            <w:vMerge w:val="restart"/>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41.3</w:t>
            </w:r>
          </w:p>
        </w:tc>
        <w:tc>
          <w:tcPr>
            <w:tcW w:w="318" w:type="pct"/>
            <w:vMerge w:val="restart"/>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18</w:t>
            </w:r>
          </w:p>
        </w:tc>
        <w:tc>
          <w:tcPr>
            <w:tcW w:w="328" w:type="pct"/>
            <w:vMerge w:val="restart"/>
            <w:vAlign w:val="center"/>
          </w:tcPr>
          <w:p>
            <w:pPr>
              <w:adjustRightInd w:val="0"/>
              <w:snapToGrid w:val="0"/>
              <w:spacing w:line="240" w:lineRule="auto"/>
              <w:ind w:firstLine="0" w:firstLineChars="0"/>
              <w:jc w:val="center"/>
              <w:rPr>
                <w:sz w:val="21"/>
                <w:szCs w:val="21"/>
                <w:highlight w:val="none"/>
              </w:rPr>
            </w:pPr>
            <w:r>
              <w:rPr>
                <w:sz w:val="21"/>
                <w:szCs w:val="21"/>
                <w:highlight w:val="none"/>
              </w:rPr>
              <w:t>1</w:t>
            </w:r>
            <w:r>
              <w:rPr>
                <w:rFonts w:hint="eastAsia"/>
                <w:sz w:val="21"/>
                <w:szCs w:val="21"/>
                <w:highlight w:val="none"/>
              </w:rPr>
              <w:t>.2</w:t>
            </w:r>
          </w:p>
        </w:tc>
        <w:tc>
          <w:tcPr>
            <w:tcW w:w="298" w:type="pct"/>
            <w:vMerge w:val="restart"/>
            <w:vAlign w:val="center"/>
          </w:tcPr>
          <w:p>
            <w:pPr>
              <w:adjustRightInd w:val="0"/>
              <w:snapToGrid w:val="0"/>
              <w:spacing w:line="240" w:lineRule="auto"/>
              <w:ind w:firstLine="0" w:firstLineChars="0"/>
              <w:jc w:val="center"/>
              <w:rPr>
                <w:sz w:val="21"/>
                <w:szCs w:val="21"/>
                <w:highlight w:val="none"/>
              </w:rPr>
            </w:pPr>
            <w:r>
              <w:rPr>
                <w:sz w:val="21"/>
                <w:szCs w:val="21"/>
                <w:highlight w:val="none"/>
              </w:rPr>
              <w:t>20</w:t>
            </w:r>
          </w:p>
        </w:tc>
        <w:tc>
          <w:tcPr>
            <w:tcW w:w="388" w:type="pct"/>
            <w:vMerge w:val="restart"/>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15</w:t>
            </w:r>
          </w:p>
        </w:tc>
        <w:tc>
          <w:tcPr>
            <w:tcW w:w="182" w:type="pct"/>
            <w:vMerge w:val="restart"/>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正常</w:t>
            </w:r>
          </w:p>
        </w:tc>
        <w:tc>
          <w:tcPr>
            <w:tcW w:w="236" w:type="pct"/>
            <w:vMerge w:val="restart"/>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4480</w:t>
            </w:r>
          </w:p>
        </w:tc>
        <w:tc>
          <w:tcPr>
            <w:tcW w:w="368" w:type="pct"/>
            <w:vAlign w:val="center"/>
          </w:tcPr>
          <w:p>
            <w:pPr>
              <w:adjustRightInd w:val="0"/>
              <w:snapToGrid w:val="0"/>
              <w:spacing w:line="240" w:lineRule="auto"/>
              <w:ind w:firstLine="0" w:firstLineChars="0"/>
              <w:jc w:val="center"/>
              <w:rPr>
                <w:sz w:val="21"/>
                <w:szCs w:val="21"/>
                <w:highlight w:val="none"/>
              </w:rPr>
            </w:pPr>
            <w:r>
              <w:rPr>
                <w:sz w:val="21"/>
                <w:szCs w:val="21"/>
                <w:highlight w:val="none"/>
              </w:rPr>
              <w:t>PM</w:t>
            </w:r>
            <w:r>
              <w:rPr>
                <w:sz w:val="21"/>
                <w:szCs w:val="21"/>
                <w:highlight w:val="none"/>
                <w:vertAlign w:val="subscript"/>
              </w:rPr>
              <w:t>10</w:t>
            </w:r>
          </w:p>
        </w:tc>
        <w:tc>
          <w:tcPr>
            <w:tcW w:w="466" w:type="pct"/>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0.</w:t>
            </w:r>
            <w:r>
              <w:rPr>
                <w:rFonts w:hint="eastAsia"/>
                <w:sz w:val="21"/>
                <w:szCs w:val="21"/>
                <w:highlight w:val="none"/>
              </w:rPr>
              <w:t>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799" w:type="pct"/>
            <w:vMerge w:val="continue"/>
            <w:tcBorders>
              <w:left w:val="single" w:color="auto" w:sz="4" w:space="0"/>
            </w:tcBorders>
          </w:tcPr>
          <w:p>
            <w:pPr>
              <w:adjustRightInd w:val="0"/>
              <w:snapToGrid w:val="0"/>
              <w:spacing w:line="240" w:lineRule="auto"/>
              <w:ind w:firstLine="0" w:firstLineChars="0"/>
              <w:jc w:val="center"/>
              <w:rPr>
                <w:sz w:val="21"/>
                <w:szCs w:val="21"/>
                <w:highlight w:val="none"/>
              </w:rPr>
            </w:pPr>
          </w:p>
        </w:tc>
        <w:tc>
          <w:tcPr>
            <w:tcW w:w="632" w:type="pct"/>
            <w:vMerge w:val="continue"/>
            <w:vAlign w:val="center"/>
          </w:tcPr>
          <w:p>
            <w:pPr>
              <w:adjustRightInd w:val="0"/>
              <w:snapToGrid w:val="0"/>
              <w:spacing w:line="240" w:lineRule="auto"/>
              <w:ind w:firstLine="0" w:firstLineChars="0"/>
              <w:jc w:val="center"/>
              <w:rPr>
                <w:sz w:val="21"/>
                <w:szCs w:val="21"/>
                <w:highlight w:val="none"/>
              </w:rPr>
            </w:pPr>
          </w:p>
        </w:tc>
        <w:tc>
          <w:tcPr>
            <w:tcW w:w="562" w:type="pct"/>
            <w:vMerge w:val="continue"/>
            <w:vAlign w:val="center"/>
          </w:tcPr>
          <w:p>
            <w:pPr>
              <w:adjustRightInd w:val="0"/>
              <w:snapToGrid w:val="0"/>
              <w:spacing w:line="240" w:lineRule="auto"/>
              <w:ind w:firstLine="0" w:firstLineChars="0"/>
              <w:jc w:val="center"/>
              <w:rPr>
                <w:sz w:val="21"/>
                <w:szCs w:val="21"/>
                <w:highlight w:val="none"/>
              </w:rPr>
            </w:pPr>
          </w:p>
        </w:tc>
        <w:tc>
          <w:tcPr>
            <w:tcW w:w="415" w:type="pct"/>
            <w:vMerge w:val="continue"/>
            <w:vAlign w:val="center"/>
          </w:tcPr>
          <w:p>
            <w:pPr>
              <w:adjustRightInd w:val="0"/>
              <w:snapToGrid w:val="0"/>
              <w:spacing w:line="240" w:lineRule="auto"/>
              <w:ind w:firstLine="0" w:firstLineChars="0"/>
              <w:jc w:val="center"/>
              <w:rPr>
                <w:sz w:val="21"/>
                <w:szCs w:val="21"/>
                <w:highlight w:val="none"/>
              </w:rPr>
            </w:pPr>
          </w:p>
        </w:tc>
        <w:tc>
          <w:tcPr>
            <w:tcW w:w="318" w:type="pct"/>
            <w:vMerge w:val="continue"/>
            <w:vAlign w:val="center"/>
          </w:tcPr>
          <w:p>
            <w:pPr>
              <w:adjustRightInd w:val="0"/>
              <w:snapToGrid w:val="0"/>
              <w:spacing w:line="240" w:lineRule="auto"/>
              <w:ind w:firstLine="0" w:firstLineChars="0"/>
              <w:jc w:val="center"/>
              <w:rPr>
                <w:sz w:val="21"/>
                <w:szCs w:val="21"/>
                <w:highlight w:val="none"/>
              </w:rPr>
            </w:pPr>
          </w:p>
        </w:tc>
        <w:tc>
          <w:tcPr>
            <w:tcW w:w="328" w:type="pct"/>
            <w:vMerge w:val="continue"/>
            <w:vAlign w:val="center"/>
          </w:tcPr>
          <w:p>
            <w:pPr>
              <w:adjustRightInd w:val="0"/>
              <w:snapToGrid w:val="0"/>
              <w:spacing w:line="240" w:lineRule="auto"/>
              <w:ind w:firstLine="0" w:firstLineChars="0"/>
              <w:jc w:val="center"/>
              <w:rPr>
                <w:sz w:val="21"/>
                <w:szCs w:val="21"/>
                <w:highlight w:val="none"/>
              </w:rPr>
            </w:pPr>
          </w:p>
        </w:tc>
        <w:tc>
          <w:tcPr>
            <w:tcW w:w="298" w:type="pct"/>
            <w:vMerge w:val="continue"/>
            <w:vAlign w:val="center"/>
          </w:tcPr>
          <w:p>
            <w:pPr>
              <w:adjustRightInd w:val="0"/>
              <w:snapToGrid w:val="0"/>
              <w:spacing w:line="240" w:lineRule="auto"/>
              <w:ind w:firstLine="0" w:firstLineChars="0"/>
              <w:jc w:val="center"/>
              <w:rPr>
                <w:sz w:val="21"/>
                <w:szCs w:val="21"/>
                <w:highlight w:val="none"/>
              </w:rPr>
            </w:pPr>
          </w:p>
        </w:tc>
        <w:tc>
          <w:tcPr>
            <w:tcW w:w="388" w:type="pct"/>
            <w:vMerge w:val="continue"/>
            <w:vAlign w:val="center"/>
          </w:tcPr>
          <w:p>
            <w:pPr>
              <w:adjustRightInd w:val="0"/>
              <w:snapToGrid w:val="0"/>
              <w:spacing w:line="240" w:lineRule="auto"/>
              <w:ind w:firstLine="0" w:firstLineChars="0"/>
              <w:jc w:val="center"/>
              <w:rPr>
                <w:sz w:val="21"/>
                <w:szCs w:val="21"/>
                <w:highlight w:val="none"/>
              </w:rPr>
            </w:pPr>
          </w:p>
        </w:tc>
        <w:tc>
          <w:tcPr>
            <w:tcW w:w="182" w:type="pct"/>
            <w:vMerge w:val="continue"/>
            <w:vAlign w:val="center"/>
          </w:tcPr>
          <w:p>
            <w:pPr>
              <w:adjustRightInd w:val="0"/>
              <w:snapToGrid w:val="0"/>
              <w:spacing w:line="240" w:lineRule="auto"/>
              <w:ind w:firstLine="0" w:firstLineChars="0"/>
              <w:jc w:val="center"/>
              <w:rPr>
                <w:sz w:val="21"/>
                <w:szCs w:val="21"/>
                <w:highlight w:val="none"/>
              </w:rPr>
            </w:pPr>
          </w:p>
        </w:tc>
        <w:tc>
          <w:tcPr>
            <w:tcW w:w="236" w:type="pct"/>
            <w:vMerge w:val="continue"/>
            <w:vAlign w:val="center"/>
          </w:tcPr>
          <w:p>
            <w:pPr>
              <w:adjustRightInd w:val="0"/>
              <w:snapToGrid w:val="0"/>
              <w:spacing w:line="240" w:lineRule="auto"/>
              <w:ind w:firstLine="0" w:firstLineChars="0"/>
              <w:jc w:val="center"/>
              <w:rPr>
                <w:sz w:val="21"/>
                <w:szCs w:val="21"/>
                <w:highlight w:val="none"/>
              </w:rPr>
            </w:pPr>
          </w:p>
        </w:tc>
        <w:tc>
          <w:tcPr>
            <w:tcW w:w="368" w:type="pct"/>
            <w:vAlign w:val="center"/>
          </w:tcPr>
          <w:p>
            <w:pPr>
              <w:adjustRightInd w:val="0"/>
              <w:snapToGrid w:val="0"/>
              <w:spacing w:line="240" w:lineRule="auto"/>
              <w:ind w:firstLine="0" w:firstLineChars="0"/>
              <w:jc w:val="center"/>
              <w:rPr>
                <w:sz w:val="21"/>
                <w:szCs w:val="21"/>
                <w:highlight w:val="none"/>
              </w:rPr>
            </w:pPr>
            <w:r>
              <w:rPr>
                <w:sz w:val="21"/>
                <w:szCs w:val="21"/>
                <w:highlight w:val="none"/>
              </w:rPr>
              <w:t>PM</w:t>
            </w:r>
            <w:r>
              <w:rPr>
                <w:rFonts w:hint="eastAsia"/>
                <w:sz w:val="21"/>
                <w:szCs w:val="21"/>
                <w:highlight w:val="none"/>
                <w:vertAlign w:val="subscript"/>
              </w:rPr>
              <w:t>2.5</w:t>
            </w:r>
          </w:p>
        </w:tc>
        <w:tc>
          <w:tcPr>
            <w:tcW w:w="466" w:type="pct"/>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0.</w:t>
            </w:r>
            <w:r>
              <w:rPr>
                <w:rFonts w:hint="eastAsia"/>
                <w:sz w:val="21"/>
                <w:szCs w:val="21"/>
                <w:highlight w:val="none"/>
              </w:rPr>
              <w:t>085</w:t>
            </w:r>
          </w:p>
        </w:tc>
      </w:tr>
    </w:tbl>
    <w:p>
      <w:pPr>
        <w:spacing w:line="480" w:lineRule="exact"/>
        <w:ind w:firstLine="369" w:firstLineChars="176"/>
        <w:jc w:val="center"/>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4</w:t>
      </w:r>
      <w:r>
        <w:rPr>
          <w:rFonts w:eastAsia="黑体"/>
          <w:kern w:val="2"/>
          <w:sz w:val="21"/>
          <w:szCs w:val="21"/>
          <w:highlight w:val="none"/>
        </w:rPr>
        <w:t>-4  矩形面源大气估算模式的相关参数表</w:t>
      </w:r>
    </w:p>
    <w:tbl>
      <w:tblPr>
        <w:tblStyle w:val="56"/>
        <w:tblW w:w="8557"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75"/>
        <w:gridCol w:w="1264"/>
        <w:gridCol w:w="1109"/>
        <w:gridCol w:w="684"/>
        <w:gridCol w:w="612"/>
        <w:gridCol w:w="600"/>
        <w:gridCol w:w="655"/>
        <w:gridCol w:w="332"/>
        <w:gridCol w:w="463"/>
        <w:gridCol w:w="683"/>
        <w:gridCol w:w="78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5" w:hRule="atLeast"/>
        </w:trPr>
        <w:tc>
          <w:tcPr>
            <w:tcW w:w="1375" w:type="dxa"/>
            <w:vMerge w:val="restart"/>
            <w:tcBorders>
              <w:lef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污染源名称</w:t>
            </w:r>
          </w:p>
        </w:tc>
        <w:tc>
          <w:tcPr>
            <w:tcW w:w="2373" w:type="dxa"/>
            <w:gridSpan w:val="2"/>
            <w:vAlign w:val="center"/>
          </w:tcPr>
          <w:p>
            <w:pPr>
              <w:adjustRightInd w:val="0"/>
              <w:snapToGrid w:val="0"/>
              <w:spacing w:line="240" w:lineRule="auto"/>
              <w:ind w:firstLine="0" w:firstLineChars="0"/>
              <w:jc w:val="center"/>
              <w:rPr>
                <w:sz w:val="21"/>
                <w:szCs w:val="21"/>
                <w:highlight w:val="none"/>
              </w:rPr>
            </w:pPr>
            <w:r>
              <w:rPr>
                <w:sz w:val="21"/>
                <w:szCs w:val="21"/>
                <w:highlight w:val="none"/>
              </w:rPr>
              <w:t>坐标</w:t>
            </w:r>
          </w:p>
        </w:tc>
        <w:tc>
          <w:tcPr>
            <w:tcW w:w="684" w:type="dxa"/>
            <w:vMerge w:val="restart"/>
            <w:vAlign w:val="center"/>
          </w:tcPr>
          <w:p>
            <w:pPr>
              <w:adjustRightInd w:val="0"/>
              <w:snapToGrid w:val="0"/>
              <w:spacing w:line="240" w:lineRule="auto"/>
              <w:ind w:firstLine="0" w:firstLineChars="0"/>
              <w:jc w:val="center"/>
              <w:rPr>
                <w:sz w:val="21"/>
                <w:szCs w:val="21"/>
                <w:highlight w:val="none"/>
              </w:rPr>
            </w:pPr>
            <w:r>
              <w:rPr>
                <w:sz w:val="21"/>
                <w:szCs w:val="21"/>
                <w:highlight w:val="none"/>
              </w:rPr>
              <w:t>海拔高度/m</w:t>
            </w:r>
          </w:p>
        </w:tc>
        <w:tc>
          <w:tcPr>
            <w:tcW w:w="1867" w:type="dxa"/>
            <w:gridSpan w:val="3"/>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矩形面源</w:t>
            </w:r>
          </w:p>
        </w:tc>
        <w:tc>
          <w:tcPr>
            <w:tcW w:w="332" w:type="dxa"/>
            <w:vMerge w:val="restart"/>
            <w:tcBorders>
              <w:left w:val="single" w:color="auto" w:sz="4" w:space="0"/>
            </w:tcBorders>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排放工况</w:t>
            </w:r>
          </w:p>
        </w:tc>
        <w:tc>
          <w:tcPr>
            <w:tcW w:w="463" w:type="dxa"/>
            <w:vMerge w:val="restart"/>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年排放h</w:t>
            </w:r>
          </w:p>
        </w:tc>
        <w:tc>
          <w:tcPr>
            <w:tcW w:w="683" w:type="dxa"/>
            <w:vMerge w:val="restart"/>
            <w:tcBorders>
              <w:lef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污染物</w:t>
            </w:r>
          </w:p>
          <w:p>
            <w:pPr>
              <w:adjustRightInd w:val="0"/>
              <w:snapToGrid w:val="0"/>
              <w:spacing w:line="240" w:lineRule="auto"/>
              <w:ind w:firstLine="0" w:firstLineChars="0"/>
              <w:jc w:val="center"/>
              <w:rPr>
                <w:sz w:val="21"/>
                <w:szCs w:val="21"/>
                <w:highlight w:val="none"/>
              </w:rPr>
            </w:pPr>
            <w:r>
              <w:rPr>
                <w:sz w:val="21"/>
                <w:szCs w:val="21"/>
                <w:highlight w:val="none"/>
              </w:rPr>
              <w:t>名称</w:t>
            </w:r>
          </w:p>
        </w:tc>
        <w:tc>
          <w:tcPr>
            <w:tcW w:w="780" w:type="dxa"/>
            <w:vMerge w:val="restart"/>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排放</w:t>
            </w:r>
          </w:p>
          <w:p>
            <w:pPr>
              <w:adjustRightInd w:val="0"/>
              <w:snapToGrid w:val="0"/>
              <w:spacing w:line="240" w:lineRule="auto"/>
              <w:ind w:firstLine="0" w:firstLineChars="0"/>
              <w:jc w:val="center"/>
              <w:rPr>
                <w:sz w:val="21"/>
                <w:szCs w:val="21"/>
                <w:highlight w:val="none"/>
              </w:rPr>
            </w:pPr>
            <w:r>
              <w:rPr>
                <w:sz w:val="21"/>
                <w:szCs w:val="21"/>
                <w:highlight w:val="none"/>
              </w:rPr>
              <w:t>速率</w:t>
            </w:r>
          </w:p>
          <w:p>
            <w:pPr>
              <w:adjustRightInd w:val="0"/>
              <w:snapToGrid w:val="0"/>
              <w:spacing w:line="240" w:lineRule="auto"/>
              <w:ind w:firstLine="0" w:firstLineChars="0"/>
              <w:jc w:val="center"/>
              <w:rPr>
                <w:sz w:val="21"/>
                <w:szCs w:val="21"/>
                <w:highlight w:val="none"/>
              </w:rPr>
            </w:pPr>
            <w:r>
              <w:rPr>
                <w:sz w:val="21"/>
                <w:szCs w:val="21"/>
                <w:highlight w:val="none"/>
              </w:rPr>
              <w:t>（kg/h）</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9" w:hRule="atLeast"/>
        </w:trPr>
        <w:tc>
          <w:tcPr>
            <w:tcW w:w="1375" w:type="dxa"/>
            <w:vMerge w:val="continue"/>
            <w:tcBorders>
              <w:left w:val="single" w:color="auto" w:sz="4" w:space="0"/>
            </w:tcBorders>
            <w:vAlign w:val="center"/>
          </w:tcPr>
          <w:p>
            <w:pPr>
              <w:adjustRightInd w:val="0"/>
              <w:snapToGrid w:val="0"/>
              <w:spacing w:line="240" w:lineRule="auto"/>
              <w:ind w:firstLine="0" w:firstLineChars="0"/>
              <w:jc w:val="center"/>
              <w:rPr>
                <w:sz w:val="21"/>
                <w:szCs w:val="21"/>
                <w:highlight w:val="none"/>
              </w:rPr>
            </w:pPr>
          </w:p>
        </w:tc>
        <w:tc>
          <w:tcPr>
            <w:tcW w:w="1264"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X</w:t>
            </w:r>
          </w:p>
        </w:tc>
        <w:tc>
          <w:tcPr>
            <w:tcW w:w="1109"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Y</w:t>
            </w:r>
          </w:p>
        </w:tc>
        <w:tc>
          <w:tcPr>
            <w:tcW w:w="684" w:type="dxa"/>
            <w:vMerge w:val="continue"/>
            <w:vAlign w:val="center"/>
          </w:tcPr>
          <w:p>
            <w:pPr>
              <w:adjustRightInd w:val="0"/>
              <w:snapToGrid w:val="0"/>
              <w:spacing w:line="240" w:lineRule="auto"/>
              <w:ind w:firstLine="0" w:firstLineChars="0"/>
              <w:jc w:val="center"/>
              <w:rPr>
                <w:sz w:val="21"/>
                <w:szCs w:val="21"/>
                <w:highlight w:val="none"/>
              </w:rPr>
            </w:pPr>
          </w:p>
        </w:tc>
        <w:tc>
          <w:tcPr>
            <w:tcW w:w="612"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长度</w:t>
            </w:r>
          </w:p>
          <w:p>
            <w:pPr>
              <w:adjustRightInd w:val="0"/>
              <w:snapToGrid w:val="0"/>
              <w:spacing w:line="240" w:lineRule="auto"/>
              <w:ind w:firstLine="0" w:firstLineChars="0"/>
              <w:jc w:val="center"/>
              <w:rPr>
                <w:sz w:val="21"/>
                <w:szCs w:val="21"/>
                <w:highlight w:val="none"/>
              </w:rPr>
            </w:pPr>
            <w:r>
              <w:rPr>
                <w:sz w:val="21"/>
                <w:szCs w:val="21"/>
                <w:highlight w:val="none"/>
              </w:rPr>
              <w:t>(m)</w:t>
            </w:r>
          </w:p>
        </w:tc>
        <w:tc>
          <w:tcPr>
            <w:tcW w:w="600"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宽度</w:t>
            </w:r>
          </w:p>
          <w:p>
            <w:pPr>
              <w:adjustRightInd w:val="0"/>
              <w:snapToGrid w:val="0"/>
              <w:spacing w:line="240" w:lineRule="auto"/>
              <w:ind w:firstLine="0" w:firstLineChars="0"/>
              <w:jc w:val="center"/>
              <w:rPr>
                <w:sz w:val="21"/>
                <w:szCs w:val="21"/>
                <w:highlight w:val="none"/>
              </w:rPr>
            </w:pPr>
            <w:r>
              <w:rPr>
                <w:sz w:val="21"/>
                <w:szCs w:val="21"/>
                <w:highlight w:val="none"/>
              </w:rPr>
              <w:t>(m)</w:t>
            </w:r>
          </w:p>
        </w:tc>
        <w:tc>
          <w:tcPr>
            <w:tcW w:w="655" w:type="dxa"/>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有效</w:t>
            </w:r>
          </w:p>
          <w:p>
            <w:pPr>
              <w:adjustRightInd w:val="0"/>
              <w:snapToGrid w:val="0"/>
              <w:spacing w:line="240" w:lineRule="auto"/>
              <w:ind w:firstLine="0" w:firstLineChars="0"/>
              <w:jc w:val="center"/>
              <w:rPr>
                <w:sz w:val="21"/>
                <w:szCs w:val="21"/>
                <w:highlight w:val="none"/>
              </w:rPr>
            </w:pPr>
            <w:r>
              <w:rPr>
                <w:sz w:val="21"/>
                <w:szCs w:val="21"/>
                <w:highlight w:val="none"/>
              </w:rPr>
              <w:t>高度</w:t>
            </w:r>
          </w:p>
          <w:p>
            <w:pPr>
              <w:adjustRightInd w:val="0"/>
              <w:snapToGrid w:val="0"/>
              <w:spacing w:line="240" w:lineRule="auto"/>
              <w:ind w:firstLine="0" w:firstLineChars="0"/>
              <w:jc w:val="center"/>
              <w:rPr>
                <w:sz w:val="21"/>
                <w:szCs w:val="21"/>
                <w:highlight w:val="none"/>
              </w:rPr>
            </w:pPr>
            <w:r>
              <w:rPr>
                <w:sz w:val="21"/>
                <w:szCs w:val="21"/>
                <w:highlight w:val="none"/>
              </w:rPr>
              <w:t>(m)</w:t>
            </w:r>
          </w:p>
        </w:tc>
        <w:tc>
          <w:tcPr>
            <w:tcW w:w="332" w:type="dxa"/>
            <w:vMerge w:val="continue"/>
            <w:tcBorders>
              <w:left w:val="single" w:color="auto" w:sz="4" w:space="0"/>
            </w:tcBorders>
            <w:vAlign w:val="center"/>
          </w:tcPr>
          <w:p>
            <w:pPr>
              <w:adjustRightInd w:val="0"/>
              <w:snapToGrid w:val="0"/>
              <w:spacing w:line="240" w:lineRule="auto"/>
              <w:ind w:firstLine="0" w:firstLineChars="0"/>
              <w:jc w:val="center"/>
              <w:rPr>
                <w:sz w:val="21"/>
                <w:szCs w:val="21"/>
                <w:highlight w:val="none"/>
              </w:rPr>
            </w:pPr>
          </w:p>
        </w:tc>
        <w:tc>
          <w:tcPr>
            <w:tcW w:w="463" w:type="dxa"/>
            <w:vMerge w:val="continue"/>
            <w:tcBorders>
              <w:right w:val="single" w:color="auto" w:sz="4" w:space="0"/>
            </w:tcBorders>
            <w:vAlign w:val="center"/>
          </w:tcPr>
          <w:p>
            <w:pPr>
              <w:adjustRightInd w:val="0"/>
              <w:snapToGrid w:val="0"/>
              <w:spacing w:line="240" w:lineRule="auto"/>
              <w:ind w:firstLine="0" w:firstLineChars="0"/>
              <w:jc w:val="center"/>
              <w:rPr>
                <w:sz w:val="21"/>
                <w:szCs w:val="21"/>
                <w:highlight w:val="none"/>
              </w:rPr>
            </w:pPr>
          </w:p>
        </w:tc>
        <w:tc>
          <w:tcPr>
            <w:tcW w:w="683" w:type="dxa"/>
            <w:vMerge w:val="continue"/>
            <w:tcBorders>
              <w:left w:val="single" w:color="auto" w:sz="4" w:space="0"/>
            </w:tcBorders>
            <w:vAlign w:val="center"/>
          </w:tcPr>
          <w:p>
            <w:pPr>
              <w:adjustRightInd w:val="0"/>
              <w:snapToGrid w:val="0"/>
              <w:spacing w:line="240" w:lineRule="auto"/>
              <w:ind w:firstLine="0" w:firstLineChars="0"/>
              <w:jc w:val="center"/>
              <w:rPr>
                <w:sz w:val="21"/>
                <w:szCs w:val="21"/>
                <w:highlight w:val="none"/>
              </w:rPr>
            </w:pPr>
          </w:p>
        </w:tc>
        <w:tc>
          <w:tcPr>
            <w:tcW w:w="780" w:type="dxa"/>
            <w:vMerge w:val="continue"/>
            <w:tcBorders>
              <w:right w:val="single" w:color="auto" w:sz="4" w:space="0"/>
            </w:tcBorders>
            <w:vAlign w:val="center"/>
          </w:tcPr>
          <w:p>
            <w:pPr>
              <w:adjustRightInd w:val="0"/>
              <w:snapToGrid w:val="0"/>
              <w:spacing w:line="240" w:lineRule="auto"/>
              <w:ind w:firstLine="0" w:firstLineChars="0"/>
              <w:jc w:val="center"/>
              <w:rPr>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75" w:type="dxa"/>
            <w:tcBorders>
              <w:lef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破碎车间</w:t>
            </w:r>
          </w:p>
        </w:tc>
        <w:tc>
          <w:tcPr>
            <w:tcW w:w="1264" w:type="dxa"/>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117.98584</w:t>
            </w:r>
          </w:p>
        </w:tc>
        <w:tc>
          <w:tcPr>
            <w:tcW w:w="1109" w:type="dxa"/>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40.10946</w:t>
            </w:r>
          </w:p>
        </w:tc>
        <w:tc>
          <w:tcPr>
            <w:tcW w:w="684" w:type="dxa"/>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41.3</w:t>
            </w:r>
          </w:p>
        </w:tc>
        <w:tc>
          <w:tcPr>
            <w:tcW w:w="612" w:type="dxa"/>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93</w:t>
            </w:r>
          </w:p>
        </w:tc>
        <w:tc>
          <w:tcPr>
            <w:tcW w:w="600" w:type="dxa"/>
            <w:vAlign w:val="center"/>
          </w:tcPr>
          <w:p>
            <w:pPr>
              <w:adjustRightInd w:val="0"/>
              <w:snapToGrid w:val="0"/>
              <w:spacing w:line="240" w:lineRule="auto"/>
              <w:ind w:firstLine="0" w:firstLineChars="0"/>
              <w:jc w:val="center"/>
              <w:rPr>
                <w:sz w:val="21"/>
                <w:szCs w:val="21"/>
                <w:highlight w:val="none"/>
              </w:rPr>
            </w:pPr>
            <w:r>
              <w:rPr>
                <w:rFonts w:hint="eastAsia"/>
                <w:bCs/>
                <w:sz w:val="21"/>
                <w:szCs w:val="21"/>
                <w:highlight w:val="none"/>
              </w:rPr>
              <w:t>70</w:t>
            </w:r>
          </w:p>
        </w:tc>
        <w:tc>
          <w:tcPr>
            <w:tcW w:w="655" w:type="dxa"/>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14</w:t>
            </w:r>
          </w:p>
        </w:tc>
        <w:tc>
          <w:tcPr>
            <w:tcW w:w="332" w:type="dxa"/>
            <w:tcBorders>
              <w:left w:val="single" w:color="auto" w:sz="4" w:space="0"/>
            </w:tcBorders>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正常</w:t>
            </w:r>
          </w:p>
        </w:tc>
        <w:tc>
          <w:tcPr>
            <w:tcW w:w="463" w:type="dxa"/>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4480</w:t>
            </w:r>
          </w:p>
        </w:tc>
        <w:tc>
          <w:tcPr>
            <w:tcW w:w="683" w:type="dxa"/>
            <w:tcBorders>
              <w:lef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TSP</w:t>
            </w:r>
          </w:p>
        </w:tc>
        <w:tc>
          <w:tcPr>
            <w:tcW w:w="780" w:type="dxa"/>
            <w:tcBorders>
              <w:right w:val="single" w:color="auto" w:sz="4" w:space="0"/>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0.</w:t>
            </w:r>
            <w:r>
              <w:rPr>
                <w:rFonts w:hint="eastAsia"/>
                <w:sz w:val="21"/>
                <w:szCs w:val="21"/>
                <w:highlight w:val="none"/>
              </w:rPr>
              <w:t>15</w:t>
            </w:r>
          </w:p>
        </w:tc>
      </w:tr>
    </w:tbl>
    <w:p>
      <w:pPr>
        <w:ind w:firstLine="480"/>
        <w:rPr>
          <w:sz w:val="24"/>
          <w:szCs w:val="24"/>
          <w:highlight w:val="none"/>
        </w:rPr>
      </w:pPr>
      <w:r>
        <w:rPr>
          <w:rFonts w:hint="eastAsia"/>
          <w:sz w:val="24"/>
          <w:szCs w:val="24"/>
          <w:highlight w:val="none"/>
        </w:rPr>
        <w:t>②</w:t>
      </w:r>
      <w:r>
        <w:rPr>
          <w:sz w:val="24"/>
          <w:szCs w:val="24"/>
          <w:highlight w:val="none"/>
        </w:rPr>
        <w:t>根据估算模式计算结果，计算污染物的最大地面浓度占标率Pi，及该污染物的地面浓度达标准限值10%时所对应的最远距离D</w:t>
      </w:r>
      <w:r>
        <w:rPr>
          <w:sz w:val="24"/>
          <w:szCs w:val="24"/>
          <w:highlight w:val="none"/>
          <w:vertAlign w:val="subscript"/>
        </w:rPr>
        <w:t>10%</w:t>
      </w:r>
      <w:r>
        <w:rPr>
          <w:sz w:val="24"/>
          <w:szCs w:val="24"/>
          <w:highlight w:val="none"/>
        </w:rPr>
        <w:t>。计算公式为：</w:t>
      </w:r>
    </w:p>
    <w:p>
      <w:pPr>
        <w:ind w:firstLine="0" w:firstLineChars="0"/>
        <w:jc w:val="center"/>
        <w:rPr>
          <w:sz w:val="24"/>
          <w:szCs w:val="24"/>
          <w:highlight w:val="none"/>
        </w:rPr>
      </w:pPr>
      <w:r>
        <w:rPr>
          <w:sz w:val="24"/>
          <w:szCs w:val="24"/>
          <w:highlight w:val="none"/>
        </w:rPr>
        <w:drawing>
          <wp:inline distT="0" distB="0" distL="0" distR="0">
            <wp:extent cx="914400" cy="396240"/>
            <wp:effectExtent l="0" t="0" r="0" b="317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26" cstate="print"/>
                    <a:srcRect/>
                    <a:stretch>
                      <a:fillRect/>
                    </a:stretch>
                  </pic:blipFill>
                  <pic:spPr>
                    <a:xfrm>
                      <a:off x="0" y="0"/>
                      <a:ext cx="914400" cy="396240"/>
                    </a:xfrm>
                    <a:prstGeom prst="rect">
                      <a:avLst/>
                    </a:prstGeom>
                    <a:noFill/>
                    <a:ln w="9525">
                      <a:noFill/>
                      <a:miter lim="800000"/>
                      <a:headEnd/>
                      <a:tailEnd/>
                    </a:ln>
                  </pic:spPr>
                </pic:pic>
              </a:graphicData>
            </a:graphic>
          </wp:inline>
        </w:drawing>
      </w:r>
    </w:p>
    <w:p>
      <w:pPr>
        <w:ind w:firstLine="480"/>
        <w:rPr>
          <w:sz w:val="24"/>
          <w:szCs w:val="24"/>
          <w:highlight w:val="none"/>
        </w:rPr>
      </w:pPr>
      <w:r>
        <w:rPr>
          <w:sz w:val="24"/>
          <w:szCs w:val="24"/>
          <w:highlight w:val="none"/>
        </w:rPr>
        <w:t>式中：</w:t>
      </w:r>
    </w:p>
    <w:p>
      <w:pPr>
        <w:ind w:firstLine="480"/>
        <w:rPr>
          <w:sz w:val="24"/>
          <w:szCs w:val="24"/>
          <w:highlight w:val="none"/>
        </w:rPr>
      </w:pPr>
      <w:r>
        <w:rPr>
          <w:i/>
          <w:sz w:val="24"/>
          <w:szCs w:val="24"/>
          <w:highlight w:val="none"/>
        </w:rPr>
        <w:t>P</w:t>
      </w:r>
      <w:r>
        <w:rPr>
          <w:sz w:val="24"/>
          <w:szCs w:val="24"/>
          <w:highlight w:val="none"/>
          <w:vertAlign w:val="subscript"/>
        </w:rPr>
        <w:t>i</w:t>
      </w:r>
      <w:r>
        <w:rPr>
          <w:sz w:val="24"/>
          <w:szCs w:val="24"/>
          <w:highlight w:val="none"/>
        </w:rPr>
        <w:t>——第</w:t>
      </w:r>
      <w:r>
        <w:rPr>
          <w:i/>
          <w:sz w:val="24"/>
          <w:szCs w:val="24"/>
          <w:highlight w:val="none"/>
        </w:rPr>
        <w:t>i</w:t>
      </w:r>
      <w:r>
        <w:rPr>
          <w:sz w:val="24"/>
          <w:szCs w:val="24"/>
          <w:highlight w:val="none"/>
        </w:rPr>
        <w:t>个污染物的最大地面空气质量浓度占标率，%；</w:t>
      </w:r>
    </w:p>
    <w:p>
      <w:pPr>
        <w:ind w:firstLine="480"/>
        <w:rPr>
          <w:sz w:val="24"/>
          <w:szCs w:val="24"/>
          <w:highlight w:val="none"/>
        </w:rPr>
      </w:pPr>
      <w:r>
        <w:rPr>
          <w:i/>
          <w:sz w:val="24"/>
          <w:szCs w:val="24"/>
          <w:highlight w:val="none"/>
        </w:rPr>
        <w:t>C</w:t>
      </w:r>
      <w:r>
        <w:rPr>
          <w:sz w:val="24"/>
          <w:szCs w:val="24"/>
          <w:highlight w:val="none"/>
          <w:vertAlign w:val="subscript"/>
        </w:rPr>
        <w:t>i</w:t>
      </w:r>
      <w:r>
        <w:rPr>
          <w:sz w:val="24"/>
          <w:szCs w:val="24"/>
          <w:highlight w:val="none"/>
        </w:rPr>
        <w:t>——采用估算模式计算出的第</w:t>
      </w:r>
      <w:r>
        <w:rPr>
          <w:i/>
          <w:sz w:val="24"/>
          <w:szCs w:val="24"/>
          <w:highlight w:val="none"/>
        </w:rPr>
        <w:t>i</w:t>
      </w:r>
      <w:r>
        <w:rPr>
          <w:sz w:val="24"/>
          <w:szCs w:val="24"/>
          <w:highlight w:val="none"/>
        </w:rPr>
        <w:t>个污染物的最大1h地面空气质量浓度，μg/m</w:t>
      </w:r>
      <w:r>
        <w:rPr>
          <w:sz w:val="24"/>
          <w:szCs w:val="24"/>
          <w:highlight w:val="none"/>
          <w:vertAlign w:val="superscript"/>
        </w:rPr>
        <w:t>3</w:t>
      </w:r>
      <w:r>
        <w:rPr>
          <w:sz w:val="24"/>
          <w:szCs w:val="24"/>
          <w:highlight w:val="none"/>
        </w:rPr>
        <w:t>；</w:t>
      </w:r>
    </w:p>
    <w:p>
      <w:pPr>
        <w:ind w:firstLine="480"/>
        <w:rPr>
          <w:sz w:val="24"/>
          <w:szCs w:val="24"/>
          <w:highlight w:val="none"/>
        </w:rPr>
      </w:pPr>
      <w:r>
        <w:rPr>
          <w:i/>
          <w:sz w:val="24"/>
          <w:szCs w:val="24"/>
          <w:highlight w:val="none"/>
        </w:rPr>
        <w:t>C</w:t>
      </w:r>
      <w:r>
        <w:rPr>
          <w:sz w:val="24"/>
          <w:szCs w:val="24"/>
          <w:highlight w:val="none"/>
          <w:vertAlign w:val="subscript"/>
        </w:rPr>
        <w:t>0i</w:t>
      </w:r>
      <w:r>
        <w:rPr>
          <w:sz w:val="24"/>
          <w:szCs w:val="24"/>
          <w:highlight w:val="none"/>
        </w:rPr>
        <w:t>——第</w:t>
      </w:r>
      <w:r>
        <w:rPr>
          <w:i/>
          <w:sz w:val="24"/>
          <w:szCs w:val="24"/>
          <w:highlight w:val="none"/>
        </w:rPr>
        <w:t>i</w:t>
      </w:r>
      <w:r>
        <w:rPr>
          <w:sz w:val="24"/>
          <w:szCs w:val="24"/>
          <w:highlight w:val="none"/>
        </w:rPr>
        <w:t>个污染物的环境空气质量浓度标准，μg/m</w:t>
      </w:r>
      <w:r>
        <w:rPr>
          <w:sz w:val="24"/>
          <w:szCs w:val="24"/>
          <w:highlight w:val="none"/>
          <w:vertAlign w:val="superscript"/>
        </w:rPr>
        <w:t>3</w:t>
      </w:r>
      <w:r>
        <w:rPr>
          <w:sz w:val="24"/>
          <w:szCs w:val="24"/>
          <w:highlight w:val="none"/>
        </w:rPr>
        <w:t>。</w:t>
      </w:r>
    </w:p>
    <w:p>
      <w:pPr>
        <w:ind w:firstLine="480"/>
        <w:rPr>
          <w:sz w:val="24"/>
          <w:szCs w:val="24"/>
          <w:highlight w:val="none"/>
        </w:rPr>
      </w:pPr>
      <w:r>
        <w:rPr>
          <w:i/>
          <w:sz w:val="24"/>
          <w:szCs w:val="24"/>
          <w:highlight w:val="none"/>
        </w:rPr>
        <w:t>C</w:t>
      </w:r>
      <w:r>
        <w:rPr>
          <w:sz w:val="24"/>
          <w:szCs w:val="24"/>
          <w:highlight w:val="none"/>
          <w:vertAlign w:val="subscript"/>
        </w:rPr>
        <w:t>0i</w:t>
      </w:r>
      <w:r>
        <w:rPr>
          <w:sz w:val="24"/>
          <w:szCs w:val="24"/>
          <w:highlight w:val="none"/>
        </w:rPr>
        <w:t>一般选用GB 3095中1h平均质量浓度的二级浓度限值；对于没有1h平均质量浓度限值的污染物，可取日平均浓度限值的3倍值。</w:t>
      </w:r>
    </w:p>
    <w:p>
      <w:pPr>
        <w:ind w:firstLine="480"/>
        <w:rPr>
          <w:sz w:val="24"/>
          <w:szCs w:val="24"/>
          <w:highlight w:val="none"/>
        </w:rPr>
      </w:pPr>
      <w:r>
        <w:rPr>
          <w:sz w:val="24"/>
          <w:szCs w:val="24"/>
          <w:highlight w:val="none"/>
        </w:rPr>
        <w:t>按照《环境影响评价技术导则—大气环境》（HJ2.2—2018）中估算模式及参数，计算生产过程产生的颗粒物的落地浓度及出现距离，计算结果见</w:t>
      </w:r>
      <w:r>
        <w:rPr>
          <w:rFonts w:hint="eastAsia"/>
          <w:sz w:val="24"/>
          <w:szCs w:val="24"/>
          <w:highlight w:val="none"/>
        </w:rPr>
        <w:t>表2.4-5</w:t>
      </w:r>
      <w:r>
        <w:rPr>
          <w:sz w:val="24"/>
          <w:szCs w:val="24"/>
          <w:highlight w:val="none"/>
        </w:rPr>
        <w:t>。</w:t>
      </w:r>
    </w:p>
    <w:p>
      <w:pPr>
        <w:spacing w:line="240" w:lineRule="auto"/>
        <w:ind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4</w:t>
      </w:r>
      <w:r>
        <w:rPr>
          <w:rFonts w:eastAsia="黑体"/>
          <w:kern w:val="2"/>
          <w:sz w:val="21"/>
          <w:szCs w:val="21"/>
          <w:highlight w:val="none"/>
        </w:rPr>
        <w:t>-</w:t>
      </w:r>
      <w:r>
        <w:rPr>
          <w:rFonts w:hint="eastAsia" w:eastAsia="黑体"/>
          <w:kern w:val="2"/>
          <w:sz w:val="21"/>
          <w:szCs w:val="21"/>
          <w:highlight w:val="none"/>
        </w:rPr>
        <w:t>5</w:t>
      </w:r>
      <w:r>
        <w:rPr>
          <w:rFonts w:eastAsia="黑体"/>
          <w:kern w:val="2"/>
          <w:sz w:val="21"/>
          <w:szCs w:val="21"/>
          <w:highlight w:val="none"/>
        </w:rPr>
        <w:t xml:space="preserve">  估算模式计算结果</w:t>
      </w:r>
    </w:p>
    <w:tbl>
      <w:tblPr>
        <w:tblStyle w:val="56"/>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848"/>
        <w:gridCol w:w="1243"/>
        <w:gridCol w:w="1514"/>
        <w:gridCol w:w="1611"/>
        <w:gridCol w:w="1197"/>
        <w:gridCol w:w="109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1848"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污染源名称</w:t>
            </w:r>
          </w:p>
        </w:tc>
        <w:tc>
          <w:tcPr>
            <w:tcW w:w="1243"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评价因子</w:t>
            </w:r>
          </w:p>
        </w:tc>
        <w:tc>
          <w:tcPr>
            <w:tcW w:w="1514"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评价标准(μg/m³)</w:t>
            </w:r>
          </w:p>
        </w:tc>
        <w:tc>
          <w:tcPr>
            <w:tcW w:w="161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Cmax(μg/m³)</w:t>
            </w:r>
          </w:p>
        </w:tc>
        <w:tc>
          <w:tcPr>
            <w:tcW w:w="1197"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Pmax(%)</w:t>
            </w:r>
          </w:p>
        </w:tc>
        <w:tc>
          <w:tcPr>
            <w:tcW w:w="109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D10%(m)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7" w:hRule="atLeast"/>
        </w:trPr>
        <w:tc>
          <w:tcPr>
            <w:tcW w:w="1848" w:type="dxa"/>
            <w:vMerge w:val="restart"/>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破碎</w:t>
            </w:r>
            <w:r>
              <w:rPr>
                <w:sz w:val="21"/>
                <w:szCs w:val="21"/>
                <w:highlight w:val="none"/>
              </w:rPr>
              <w:t>生产线</w:t>
            </w:r>
          </w:p>
        </w:tc>
        <w:tc>
          <w:tcPr>
            <w:tcW w:w="1243"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PM</w:t>
            </w:r>
            <w:r>
              <w:rPr>
                <w:sz w:val="21"/>
                <w:szCs w:val="21"/>
                <w:highlight w:val="none"/>
                <w:vertAlign w:val="subscript"/>
              </w:rPr>
              <w:t>10</w:t>
            </w:r>
          </w:p>
        </w:tc>
        <w:tc>
          <w:tcPr>
            <w:tcW w:w="1514"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450.0</w:t>
            </w:r>
          </w:p>
        </w:tc>
        <w:tc>
          <w:tcPr>
            <w:tcW w:w="1611"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7.25</w:t>
            </w:r>
          </w:p>
        </w:tc>
        <w:tc>
          <w:tcPr>
            <w:tcW w:w="1197"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1.61</w:t>
            </w:r>
          </w:p>
        </w:tc>
        <w:tc>
          <w:tcPr>
            <w:tcW w:w="109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7" w:hRule="atLeast"/>
        </w:trPr>
        <w:tc>
          <w:tcPr>
            <w:tcW w:w="1848" w:type="dxa"/>
            <w:vMerge w:val="continue"/>
            <w:vAlign w:val="center"/>
          </w:tcPr>
          <w:p>
            <w:pPr>
              <w:widowControl/>
              <w:spacing w:line="240" w:lineRule="auto"/>
              <w:ind w:firstLine="0" w:firstLineChars="0"/>
              <w:jc w:val="center"/>
              <w:textAlignment w:val="auto"/>
              <w:rPr>
                <w:sz w:val="21"/>
                <w:szCs w:val="21"/>
                <w:highlight w:val="none"/>
              </w:rPr>
            </w:pPr>
          </w:p>
        </w:tc>
        <w:tc>
          <w:tcPr>
            <w:tcW w:w="1243"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PM</w:t>
            </w:r>
            <w:r>
              <w:rPr>
                <w:rFonts w:hint="eastAsia"/>
                <w:sz w:val="21"/>
                <w:szCs w:val="21"/>
                <w:highlight w:val="none"/>
                <w:vertAlign w:val="subscript"/>
              </w:rPr>
              <w:t>2.5</w:t>
            </w:r>
          </w:p>
        </w:tc>
        <w:tc>
          <w:tcPr>
            <w:tcW w:w="1514"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225</w:t>
            </w:r>
            <w:r>
              <w:rPr>
                <w:sz w:val="21"/>
                <w:szCs w:val="21"/>
                <w:highlight w:val="none"/>
              </w:rPr>
              <w:t>.0</w:t>
            </w:r>
          </w:p>
        </w:tc>
        <w:tc>
          <w:tcPr>
            <w:tcW w:w="1611"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3.62</w:t>
            </w:r>
          </w:p>
        </w:tc>
        <w:tc>
          <w:tcPr>
            <w:tcW w:w="1197"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1.61</w:t>
            </w:r>
          </w:p>
        </w:tc>
        <w:tc>
          <w:tcPr>
            <w:tcW w:w="109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95" w:hRule="atLeast"/>
        </w:trPr>
        <w:tc>
          <w:tcPr>
            <w:tcW w:w="1848"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破碎车间</w:t>
            </w:r>
          </w:p>
        </w:tc>
        <w:tc>
          <w:tcPr>
            <w:tcW w:w="1243"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TSP</w:t>
            </w:r>
          </w:p>
        </w:tc>
        <w:tc>
          <w:tcPr>
            <w:tcW w:w="1514"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900.0</w:t>
            </w:r>
          </w:p>
        </w:tc>
        <w:tc>
          <w:tcPr>
            <w:tcW w:w="1611"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45.26</w:t>
            </w:r>
          </w:p>
        </w:tc>
        <w:tc>
          <w:tcPr>
            <w:tcW w:w="1197"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5.03</w:t>
            </w:r>
          </w:p>
        </w:tc>
        <w:tc>
          <w:tcPr>
            <w:tcW w:w="109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w:t>
            </w:r>
          </w:p>
        </w:tc>
      </w:tr>
    </w:tbl>
    <w:p>
      <w:pPr>
        <w:spacing w:line="240" w:lineRule="auto"/>
        <w:ind w:firstLineChars="0"/>
        <w:jc w:val="center"/>
        <w:textAlignment w:val="auto"/>
        <w:rPr>
          <w:rFonts w:eastAsia="黑体"/>
          <w:kern w:val="2"/>
          <w:sz w:val="21"/>
          <w:szCs w:val="21"/>
          <w:highlight w:val="none"/>
        </w:rPr>
      </w:pPr>
    </w:p>
    <w:p>
      <w:pPr>
        <w:ind w:firstLine="480"/>
        <w:rPr>
          <w:sz w:val="24"/>
          <w:szCs w:val="24"/>
          <w:highlight w:val="none"/>
        </w:rPr>
      </w:pPr>
      <w:r>
        <w:rPr>
          <w:rFonts w:hint="eastAsia"/>
          <w:sz w:val="24"/>
          <w:szCs w:val="24"/>
          <w:highlight w:val="none"/>
        </w:rPr>
        <w:t>③</w:t>
      </w:r>
      <w:r>
        <w:rPr>
          <w:sz w:val="24"/>
          <w:szCs w:val="24"/>
          <w:highlight w:val="none"/>
        </w:rPr>
        <w:t>项目大气环境评价工作级别划分依据列于</w:t>
      </w:r>
      <w:r>
        <w:rPr>
          <w:rFonts w:hint="eastAsia"/>
          <w:sz w:val="24"/>
          <w:szCs w:val="24"/>
          <w:highlight w:val="none"/>
        </w:rPr>
        <w:t>表2.4-6</w:t>
      </w:r>
      <w:r>
        <w:rPr>
          <w:sz w:val="24"/>
          <w:szCs w:val="24"/>
          <w:highlight w:val="none"/>
        </w:rPr>
        <w:t>。</w:t>
      </w:r>
    </w:p>
    <w:p>
      <w:pPr>
        <w:spacing w:line="240" w:lineRule="auto"/>
        <w:ind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4</w:t>
      </w:r>
      <w:r>
        <w:rPr>
          <w:rFonts w:eastAsia="黑体"/>
          <w:kern w:val="2"/>
          <w:sz w:val="21"/>
          <w:szCs w:val="21"/>
          <w:highlight w:val="none"/>
        </w:rPr>
        <w:t>-</w:t>
      </w:r>
      <w:r>
        <w:rPr>
          <w:rFonts w:hint="eastAsia" w:eastAsia="黑体"/>
          <w:kern w:val="2"/>
          <w:sz w:val="21"/>
          <w:szCs w:val="21"/>
          <w:highlight w:val="none"/>
        </w:rPr>
        <w:t>6</w:t>
      </w:r>
      <w:r>
        <w:rPr>
          <w:rFonts w:eastAsia="黑体"/>
          <w:kern w:val="2"/>
          <w:sz w:val="21"/>
          <w:szCs w:val="21"/>
          <w:highlight w:val="none"/>
        </w:rPr>
        <w:t xml:space="preserve"> 评价等级判别表</w:t>
      </w:r>
    </w:p>
    <w:tbl>
      <w:tblPr>
        <w:tblStyle w:val="56"/>
        <w:tblW w:w="8316" w:type="dxa"/>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3031"/>
        <w:gridCol w:w="528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3031" w:type="dxa"/>
            <w:vAlign w:val="center"/>
          </w:tcPr>
          <w:p>
            <w:pPr>
              <w:pStyle w:val="417"/>
              <w:rPr>
                <w:highlight w:val="none"/>
              </w:rPr>
            </w:pPr>
            <w:r>
              <w:rPr>
                <w:highlight w:val="none"/>
              </w:rPr>
              <w:t>评价工作等级</w:t>
            </w:r>
          </w:p>
        </w:tc>
        <w:tc>
          <w:tcPr>
            <w:tcW w:w="5285" w:type="dxa"/>
            <w:vAlign w:val="center"/>
          </w:tcPr>
          <w:p>
            <w:pPr>
              <w:pStyle w:val="417"/>
              <w:rPr>
                <w:highlight w:val="none"/>
              </w:rPr>
            </w:pPr>
            <w:r>
              <w:rPr>
                <w:highlight w:val="none"/>
              </w:rPr>
              <w:t>评价工作分级判据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031" w:type="dxa"/>
            <w:vAlign w:val="center"/>
          </w:tcPr>
          <w:p>
            <w:pPr>
              <w:pStyle w:val="417"/>
              <w:rPr>
                <w:highlight w:val="none"/>
              </w:rPr>
            </w:pPr>
            <w:r>
              <w:rPr>
                <w:highlight w:val="none"/>
              </w:rPr>
              <w:t>一级评价</w:t>
            </w:r>
          </w:p>
        </w:tc>
        <w:tc>
          <w:tcPr>
            <w:tcW w:w="5285" w:type="dxa"/>
            <w:vAlign w:val="center"/>
          </w:tcPr>
          <w:p>
            <w:pPr>
              <w:pStyle w:val="417"/>
              <w:rPr>
                <w:highlight w:val="none"/>
              </w:rPr>
            </w:pPr>
            <w:r>
              <w:rPr>
                <w:highlight w:val="none"/>
              </w:rPr>
              <w:t>P</w:t>
            </w:r>
            <w:r>
              <w:rPr>
                <w:highlight w:val="none"/>
                <w:vertAlign w:val="subscript"/>
              </w:rPr>
              <w:t>max</w:t>
            </w:r>
            <w:r>
              <w:rPr>
                <w:highlight w:val="none"/>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031" w:type="dxa"/>
            <w:vAlign w:val="center"/>
          </w:tcPr>
          <w:p>
            <w:pPr>
              <w:pStyle w:val="417"/>
              <w:rPr>
                <w:highlight w:val="none"/>
              </w:rPr>
            </w:pPr>
            <w:r>
              <w:rPr>
                <w:highlight w:val="none"/>
              </w:rPr>
              <w:t>二级评价</w:t>
            </w:r>
          </w:p>
        </w:tc>
        <w:tc>
          <w:tcPr>
            <w:tcW w:w="5285" w:type="dxa"/>
            <w:vAlign w:val="center"/>
          </w:tcPr>
          <w:p>
            <w:pPr>
              <w:pStyle w:val="417"/>
              <w:rPr>
                <w:highlight w:val="none"/>
              </w:rPr>
            </w:pPr>
            <w:r>
              <w:rPr>
                <w:highlight w:val="none"/>
              </w:rPr>
              <w:t>1%≤P</w:t>
            </w:r>
            <w:r>
              <w:rPr>
                <w:highlight w:val="none"/>
                <w:vertAlign w:val="subscript"/>
              </w:rPr>
              <w:t>max</w:t>
            </w:r>
            <w:r>
              <w:rPr>
                <w:highlight w:val="none"/>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031" w:type="dxa"/>
            <w:vAlign w:val="center"/>
          </w:tcPr>
          <w:p>
            <w:pPr>
              <w:pStyle w:val="417"/>
              <w:rPr>
                <w:highlight w:val="none"/>
              </w:rPr>
            </w:pPr>
            <w:r>
              <w:rPr>
                <w:highlight w:val="none"/>
              </w:rPr>
              <w:t>三级评价</w:t>
            </w:r>
          </w:p>
        </w:tc>
        <w:tc>
          <w:tcPr>
            <w:tcW w:w="5285" w:type="dxa"/>
            <w:vAlign w:val="center"/>
          </w:tcPr>
          <w:p>
            <w:pPr>
              <w:pStyle w:val="417"/>
              <w:rPr>
                <w:highlight w:val="none"/>
              </w:rPr>
            </w:pPr>
            <w:r>
              <w:rPr>
                <w:highlight w:val="none"/>
              </w:rPr>
              <w:t>P</w:t>
            </w:r>
            <w:r>
              <w:rPr>
                <w:highlight w:val="none"/>
                <w:vertAlign w:val="subscript"/>
              </w:rPr>
              <w:t>max</w:t>
            </w:r>
            <w:r>
              <w:rPr>
                <w:highlight w:val="none"/>
              </w:rPr>
              <w:t>&lt;1%</w:t>
            </w:r>
          </w:p>
        </w:tc>
      </w:tr>
    </w:tbl>
    <w:p>
      <w:pPr>
        <w:spacing w:line="240" w:lineRule="auto"/>
        <w:ind w:firstLineChars="0"/>
        <w:jc w:val="center"/>
        <w:textAlignment w:val="auto"/>
        <w:rPr>
          <w:rFonts w:eastAsia="黑体"/>
          <w:kern w:val="2"/>
          <w:sz w:val="21"/>
          <w:szCs w:val="21"/>
          <w:highlight w:val="none"/>
        </w:rPr>
      </w:pPr>
    </w:p>
    <w:p>
      <w:pPr>
        <w:ind w:firstLine="480"/>
        <w:rPr>
          <w:sz w:val="24"/>
          <w:szCs w:val="24"/>
          <w:highlight w:val="none"/>
        </w:rPr>
      </w:pPr>
      <w:r>
        <w:rPr>
          <w:sz w:val="24"/>
          <w:szCs w:val="24"/>
          <w:highlight w:val="none"/>
        </w:rPr>
        <w:t>根据《环境影响评价技术导则  大气环境》（HJ2.2-2018）中规定的评价工作等级的规定以及上表中主要大气污染物最大地面占标率计算结果判定，本项目颗粒物最大地面浓度占标率P</w:t>
      </w:r>
      <w:r>
        <w:rPr>
          <w:sz w:val="24"/>
          <w:szCs w:val="24"/>
          <w:highlight w:val="none"/>
          <w:vertAlign w:val="subscript"/>
        </w:rPr>
        <w:t>max</w:t>
      </w:r>
      <w:r>
        <w:rPr>
          <w:sz w:val="24"/>
          <w:szCs w:val="24"/>
          <w:highlight w:val="none"/>
        </w:rPr>
        <w:t>为</w:t>
      </w:r>
      <w:r>
        <w:rPr>
          <w:rFonts w:hint="eastAsia"/>
          <w:sz w:val="24"/>
          <w:szCs w:val="24"/>
          <w:highlight w:val="none"/>
        </w:rPr>
        <w:t>5.03</w:t>
      </w:r>
      <w:r>
        <w:rPr>
          <w:sz w:val="24"/>
          <w:szCs w:val="24"/>
          <w:highlight w:val="none"/>
        </w:rPr>
        <w:t>%，小于10%，因此，确定本项目大气环境影响评价等级为二级</w:t>
      </w:r>
      <w:r>
        <w:rPr>
          <w:rFonts w:hint="eastAsia"/>
          <w:sz w:val="24"/>
          <w:szCs w:val="24"/>
          <w:highlight w:val="none"/>
        </w:rPr>
        <w:t>。</w:t>
      </w:r>
    </w:p>
    <w:p>
      <w:pPr>
        <w:pStyle w:val="3"/>
        <w:numPr>
          <w:ilvl w:val="3"/>
          <w:numId w:val="1"/>
        </w:numPr>
        <w:ind w:left="709" w:hanging="709"/>
        <w:rPr>
          <w:rFonts w:eastAsia="宋体"/>
          <w:b/>
          <w:highlight w:val="none"/>
        </w:rPr>
      </w:pPr>
      <w:r>
        <w:rPr>
          <w:rFonts w:eastAsia="宋体"/>
          <w:b/>
          <w:highlight w:val="none"/>
        </w:rPr>
        <w:t>声环境</w:t>
      </w:r>
    </w:p>
    <w:p>
      <w:pPr>
        <w:ind w:firstLine="480"/>
        <w:rPr>
          <w:rFonts w:eastAsia="黑体"/>
          <w:kern w:val="2"/>
          <w:sz w:val="21"/>
          <w:szCs w:val="21"/>
          <w:highlight w:val="none"/>
        </w:rPr>
      </w:pPr>
      <w:r>
        <w:rPr>
          <w:sz w:val="24"/>
          <w:szCs w:val="24"/>
          <w:highlight w:val="none"/>
        </w:rPr>
        <w:t>根据《环境影响评价技术导则  声环境》（HJ2.4-20</w:t>
      </w:r>
      <w:r>
        <w:rPr>
          <w:rFonts w:hint="eastAsia"/>
          <w:sz w:val="24"/>
          <w:szCs w:val="24"/>
          <w:highlight w:val="none"/>
        </w:rPr>
        <w:t>21</w:t>
      </w:r>
      <w:r>
        <w:rPr>
          <w:sz w:val="24"/>
          <w:szCs w:val="24"/>
          <w:highlight w:val="none"/>
        </w:rPr>
        <w:t>）中的规定：“建设项目所处的声环境功能区为GB3096规定的1类、2类地区，或建设项目建设前后评价范围内敏感目标噪声级增高量达3dB(A)-5dB(A)（含5dB(A)），或受噪声影响人口数量增加较多时，按二级评价。”声环境影响评价工作级别划分依据见</w:t>
      </w:r>
      <w:r>
        <w:rPr>
          <w:rFonts w:hint="eastAsia"/>
          <w:sz w:val="24"/>
          <w:szCs w:val="24"/>
          <w:highlight w:val="none"/>
        </w:rPr>
        <w:t>表2.4-7</w:t>
      </w:r>
      <w:r>
        <w:rPr>
          <w:sz w:val="24"/>
          <w:szCs w:val="24"/>
          <w:highlight w:val="none"/>
        </w:rPr>
        <w:t>。</w:t>
      </w:r>
      <w:bookmarkStart w:id="103" w:name="_Ref6773014"/>
    </w:p>
    <w:p>
      <w:pPr>
        <w:spacing w:line="240" w:lineRule="auto"/>
        <w:ind w:firstLine="0" w:firstLineChars="0"/>
        <w:jc w:val="center"/>
        <w:textAlignment w:val="auto"/>
        <w:rPr>
          <w:rFonts w:eastAsia="黑体"/>
          <w:kern w:val="2"/>
          <w:sz w:val="21"/>
          <w:szCs w:val="21"/>
          <w:highlight w:val="none"/>
        </w:rPr>
      </w:pPr>
      <w:r>
        <w:rPr>
          <w:rFonts w:hint="eastAsia" w:eastAsia="黑体"/>
          <w:kern w:val="2"/>
          <w:sz w:val="21"/>
          <w:szCs w:val="21"/>
          <w:highlight w:val="none"/>
        </w:rPr>
        <w:t>表2.4-7</w:t>
      </w:r>
      <w:bookmarkEnd w:id="103"/>
      <w:r>
        <w:rPr>
          <w:rFonts w:hint="eastAsia" w:eastAsia="黑体"/>
          <w:kern w:val="2"/>
          <w:sz w:val="21"/>
          <w:szCs w:val="21"/>
          <w:highlight w:val="none"/>
        </w:rPr>
        <w:t xml:space="preserve">    声环境评价等级划分表</w:t>
      </w:r>
    </w:p>
    <w:tbl>
      <w:tblPr>
        <w:tblStyle w:val="56"/>
        <w:tblW w:w="8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9"/>
        <w:gridCol w:w="3732"/>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009" w:type="dxa"/>
            <w:vAlign w:val="center"/>
          </w:tcPr>
          <w:p>
            <w:pPr>
              <w:pStyle w:val="417"/>
              <w:spacing w:line="240" w:lineRule="auto"/>
              <w:rPr>
                <w:highlight w:val="none"/>
              </w:rPr>
            </w:pPr>
            <w:r>
              <w:rPr>
                <w:highlight w:val="none"/>
              </w:rPr>
              <w:t>评价类别</w:t>
            </w:r>
          </w:p>
        </w:tc>
        <w:tc>
          <w:tcPr>
            <w:tcW w:w="3732" w:type="dxa"/>
            <w:vAlign w:val="center"/>
          </w:tcPr>
          <w:p>
            <w:pPr>
              <w:pStyle w:val="417"/>
              <w:spacing w:line="240" w:lineRule="auto"/>
              <w:rPr>
                <w:highlight w:val="none"/>
              </w:rPr>
            </w:pPr>
            <w:r>
              <w:rPr>
                <w:highlight w:val="none"/>
              </w:rPr>
              <w:t>指标</w:t>
            </w:r>
          </w:p>
        </w:tc>
        <w:tc>
          <w:tcPr>
            <w:tcW w:w="1571" w:type="dxa"/>
            <w:vAlign w:val="center"/>
          </w:tcPr>
          <w:p>
            <w:pPr>
              <w:pStyle w:val="417"/>
              <w:rPr>
                <w:highlight w:val="none"/>
              </w:rPr>
            </w:pPr>
            <w:r>
              <w:rPr>
                <w:highlight w:val="none"/>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009" w:type="dxa"/>
            <w:vAlign w:val="center"/>
          </w:tcPr>
          <w:p>
            <w:pPr>
              <w:pStyle w:val="417"/>
              <w:spacing w:line="240" w:lineRule="auto"/>
              <w:rPr>
                <w:highlight w:val="none"/>
              </w:rPr>
            </w:pPr>
            <w:r>
              <w:rPr>
                <w:highlight w:val="none"/>
              </w:rPr>
              <w:t>声环境功能区类别</w:t>
            </w:r>
          </w:p>
        </w:tc>
        <w:tc>
          <w:tcPr>
            <w:tcW w:w="3732" w:type="dxa"/>
            <w:vAlign w:val="center"/>
          </w:tcPr>
          <w:p>
            <w:pPr>
              <w:pStyle w:val="417"/>
              <w:spacing w:line="240" w:lineRule="auto"/>
              <w:rPr>
                <w:highlight w:val="none"/>
              </w:rPr>
            </w:pPr>
            <w:r>
              <w:rPr>
                <w:highlight w:val="none"/>
              </w:rPr>
              <w:t>GB3096-2008  2类</w:t>
            </w:r>
          </w:p>
        </w:tc>
        <w:tc>
          <w:tcPr>
            <w:tcW w:w="1571" w:type="dxa"/>
            <w:vMerge w:val="restart"/>
            <w:vAlign w:val="center"/>
          </w:tcPr>
          <w:p>
            <w:pPr>
              <w:pStyle w:val="417"/>
              <w:rPr>
                <w:highlight w:val="none"/>
              </w:rPr>
            </w:pPr>
            <w:r>
              <w:rPr>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009" w:type="dxa"/>
            <w:vAlign w:val="center"/>
          </w:tcPr>
          <w:p>
            <w:pPr>
              <w:pStyle w:val="417"/>
              <w:spacing w:line="240" w:lineRule="auto"/>
              <w:rPr>
                <w:highlight w:val="none"/>
              </w:rPr>
            </w:pPr>
            <w:r>
              <w:rPr>
                <w:highlight w:val="none"/>
              </w:rPr>
              <w:t>声环境质量变化程度</w:t>
            </w:r>
          </w:p>
        </w:tc>
        <w:tc>
          <w:tcPr>
            <w:tcW w:w="3732" w:type="dxa"/>
            <w:vAlign w:val="center"/>
          </w:tcPr>
          <w:p>
            <w:pPr>
              <w:pStyle w:val="417"/>
              <w:spacing w:line="240" w:lineRule="auto"/>
              <w:rPr>
                <w:highlight w:val="none"/>
              </w:rPr>
            </w:pPr>
            <w:r>
              <w:rPr>
                <w:highlight w:val="none"/>
              </w:rPr>
              <w:t>变化不大，预计增加＜3dB(A)</w:t>
            </w:r>
          </w:p>
        </w:tc>
        <w:tc>
          <w:tcPr>
            <w:tcW w:w="1571" w:type="dxa"/>
            <w:vMerge w:val="continue"/>
            <w:vAlign w:val="center"/>
          </w:tcPr>
          <w:p>
            <w:pPr>
              <w:pStyle w:val="417"/>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009" w:type="dxa"/>
            <w:vAlign w:val="center"/>
          </w:tcPr>
          <w:p>
            <w:pPr>
              <w:pStyle w:val="417"/>
              <w:spacing w:line="240" w:lineRule="auto"/>
              <w:rPr>
                <w:highlight w:val="none"/>
              </w:rPr>
            </w:pPr>
            <w:r>
              <w:rPr>
                <w:highlight w:val="none"/>
              </w:rPr>
              <w:t>受影响人口的数量</w:t>
            </w:r>
          </w:p>
        </w:tc>
        <w:tc>
          <w:tcPr>
            <w:tcW w:w="3732" w:type="dxa"/>
            <w:vAlign w:val="center"/>
          </w:tcPr>
          <w:p>
            <w:pPr>
              <w:pStyle w:val="417"/>
              <w:spacing w:line="240" w:lineRule="auto"/>
              <w:rPr>
                <w:highlight w:val="none"/>
              </w:rPr>
            </w:pPr>
            <w:r>
              <w:rPr>
                <w:highlight w:val="none"/>
              </w:rPr>
              <w:t>受噪声影响人口数量无变化</w:t>
            </w:r>
          </w:p>
        </w:tc>
        <w:tc>
          <w:tcPr>
            <w:tcW w:w="1571" w:type="dxa"/>
            <w:vMerge w:val="continue"/>
            <w:vAlign w:val="center"/>
          </w:tcPr>
          <w:p>
            <w:pPr>
              <w:pStyle w:val="417"/>
              <w:rPr>
                <w:highlight w:val="none"/>
              </w:rPr>
            </w:pPr>
          </w:p>
        </w:tc>
      </w:tr>
    </w:tbl>
    <w:p>
      <w:pPr>
        <w:spacing w:before="120" w:beforeLines="50"/>
        <w:ind w:firstLine="480"/>
        <w:rPr>
          <w:sz w:val="24"/>
          <w:szCs w:val="24"/>
          <w:highlight w:val="none"/>
        </w:rPr>
      </w:pPr>
      <w:r>
        <w:rPr>
          <w:sz w:val="24"/>
          <w:szCs w:val="24"/>
          <w:highlight w:val="none"/>
        </w:rPr>
        <w:t>本项目区域属于GB3096-2008规定的2类地区，</w:t>
      </w:r>
      <w:bookmarkStart w:id="104" w:name="OLE_LINK123"/>
      <w:r>
        <w:rPr>
          <w:sz w:val="24"/>
          <w:szCs w:val="24"/>
          <w:highlight w:val="none"/>
        </w:rPr>
        <w:t>项目建设前后评价范围内敏感目标噪声级增高量小于3dB（A），且噪声影响范围主要在厂区，受影响人口数量变化不大。</w:t>
      </w:r>
      <w:bookmarkEnd w:id="104"/>
      <w:r>
        <w:rPr>
          <w:sz w:val="24"/>
          <w:szCs w:val="24"/>
          <w:highlight w:val="none"/>
        </w:rPr>
        <w:t>根据《环境影响评价导则  声环境》（HJ2.4-20</w:t>
      </w:r>
      <w:r>
        <w:rPr>
          <w:rFonts w:hint="eastAsia"/>
          <w:sz w:val="24"/>
          <w:szCs w:val="24"/>
          <w:highlight w:val="none"/>
        </w:rPr>
        <w:t>21</w:t>
      </w:r>
      <w:r>
        <w:rPr>
          <w:sz w:val="24"/>
          <w:szCs w:val="24"/>
          <w:highlight w:val="none"/>
        </w:rPr>
        <w:t>），确定本项目声环境影响评价工作等级为二级。</w:t>
      </w:r>
    </w:p>
    <w:p>
      <w:pPr>
        <w:pStyle w:val="3"/>
        <w:numPr>
          <w:ilvl w:val="3"/>
          <w:numId w:val="1"/>
        </w:numPr>
        <w:ind w:left="709" w:hanging="709"/>
        <w:rPr>
          <w:rFonts w:eastAsia="宋体"/>
          <w:b/>
          <w:highlight w:val="none"/>
        </w:rPr>
      </w:pPr>
      <w:r>
        <w:rPr>
          <w:rFonts w:eastAsia="宋体"/>
          <w:b/>
          <w:highlight w:val="none"/>
        </w:rPr>
        <w:t>水环境影响评价等级</w:t>
      </w:r>
    </w:p>
    <w:p>
      <w:pPr>
        <w:ind w:firstLine="480"/>
        <w:rPr>
          <w:sz w:val="24"/>
          <w:szCs w:val="24"/>
          <w:highlight w:val="none"/>
        </w:rPr>
      </w:pPr>
      <w:r>
        <w:rPr>
          <w:sz w:val="24"/>
          <w:szCs w:val="24"/>
          <w:highlight w:val="none"/>
        </w:rPr>
        <w:t>（1）地表水环境</w:t>
      </w:r>
    </w:p>
    <w:p>
      <w:pPr>
        <w:ind w:firstLine="480"/>
        <w:rPr>
          <w:sz w:val="24"/>
          <w:szCs w:val="24"/>
          <w:highlight w:val="none"/>
        </w:rPr>
      </w:pPr>
      <w:r>
        <w:rPr>
          <w:rFonts w:hint="eastAsia"/>
          <w:sz w:val="24"/>
          <w:szCs w:val="24"/>
          <w:highlight w:val="none"/>
        </w:rPr>
        <w:t>①</w:t>
      </w:r>
      <w:r>
        <w:rPr>
          <w:sz w:val="24"/>
          <w:szCs w:val="24"/>
          <w:highlight w:val="none"/>
        </w:rPr>
        <w:t>地表水环境影响评价类型</w:t>
      </w:r>
    </w:p>
    <w:p>
      <w:pPr>
        <w:ind w:firstLine="480"/>
        <w:rPr>
          <w:sz w:val="24"/>
          <w:szCs w:val="24"/>
          <w:highlight w:val="none"/>
        </w:rPr>
      </w:pPr>
      <w:r>
        <w:rPr>
          <w:sz w:val="24"/>
          <w:szCs w:val="24"/>
          <w:highlight w:val="none"/>
        </w:rPr>
        <w:t>根据《环境影响评价技术导则 地表水环境》（HJ2.3-2018），评价工作等级的划分应按照影响类型、排放方式、排放量或影响情况、收纳水体环境质量现状、水环境保护目标等综合确定。建设项目地表水环境影响评价划分为水污染影响型、水文要素影响型以及两者兼有的复合影响型，评价等级分为三级，复合影响型建设项目的评价工作，应按类别分别确定评价等级并开展评价工作。</w:t>
      </w:r>
    </w:p>
    <w:p>
      <w:pPr>
        <w:ind w:firstLine="480"/>
        <w:rPr>
          <w:sz w:val="24"/>
          <w:szCs w:val="24"/>
          <w:highlight w:val="none"/>
        </w:rPr>
      </w:pPr>
      <w:r>
        <w:rPr>
          <w:sz w:val="24"/>
          <w:szCs w:val="24"/>
          <w:highlight w:val="none"/>
        </w:rPr>
        <w:t>根据工程分析，项目建成投产后，项目无废水外排。本项目不涉及水文要素影响，不进行水文要素影响评价工作定级。</w:t>
      </w:r>
    </w:p>
    <w:p>
      <w:pPr>
        <w:ind w:firstLine="480"/>
        <w:rPr>
          <w:sz w:val="24"/>
          <w:szCs w:val="24"/>
          <w:highlight w:val="none"/>
        </w:rPr>
      </w:pPr>
      <w:r>
        <w:rPr>
          <w:rFonts w:hint="eastAsia"/>
          <w:sz w:val="24"/>
          <w:szCs w:val="24"/>
          <w:highlight w:val="none"/>
        </w:rPr>
        <w:t>②</w:t>
      </w:r>
      <w:r>
        <w:rPr>
          <w:sz w:val="24"/>
          <w:szCs w:val="24"/>
          <w:highlight w:val="none"/>
        </w:rPr>
        <w:t>水污染影响型建设项目环境影响评价等级划分</w:t>
      </w:r>
    </w:p>
    <w:p>
      <w:pPr>
        <w:ind w:firstLine="480"/>
        <w:rPr>
          <w:sz w:val="24"/>
          <w:szCs w:val="24"/>
          <w:highlight w:val="none"/>
        </w:rPr>
      </w:pPr>
      <w:r>
        <w:rPr>
          <w:sz w:val="24"/>
          <w:szCs w:val="24"/>
          <w:highlight w:val="none"/>
        </w:rPr>
        <w:t>根据《环境影响评价技术导则 地表水环境》（HJ2.3-2018），水污染影响型建设项目根据排放方式和废水排放量划分评价等级。水污染影响型建设项目地表水环境影响评价工作等级判定见</w:t>
      </w:r>
      <w:r>
        <w:rPr>
          <w:rFonts w:hint="eastAsia"/>
          <w:sz w:val="24"/>
          <w:szCs w:val="24"/>
          <w:highlight w:val="none"/>
        </w:rPr>
        <w:t>表2.4-8</w:t>
      </w:r>
      <w:r>
        <w:rPr>
          <w:sz w:val="24"/>
          <w:szCs w:val="24"/>
          <w:highlight w:val="none"/>
        </w:rPr>
        <w:t>。</w:t>
      </w:r>
      <w:bookmarkStart w:id="105" w:name="_Ref6772120"/>
    </w:p>
    <w:bookmarkEnd w:id="105"/>
    <w:p>
      <w:pPr>
        <w:spacing w:line="240" w:lineRule="auto"/>
        <w:ind w:firstLine="0" w:firstLineChars="0"/>
        <w:jc w:val="center"/>
        <w:textAlignment w:val="auto"/>
        <w:rPr>
          <w:rFonts w:eastAsia="黑体"/>
          <w:kern w:val="2"/>
          <w:sz w:val="21"/>
          <w:szCs w:val="21"/>
          <w:highlight w:val="none"/>
        </w:rPr>
      </w:pPr>
      <w:bookmarkStart w:id="106" w:name="_Ref9726070"/>
      <w:r>
        <w:rPr>
          <w:rFonts w:hint="eastAsia" w:eastAsia="黑体"/>
          <w:kern w:val="2"/>
          <w:sz w:val="21"/>
          <w:szCs w:val="21"/>
          <w:highlight w:val="none"/>
        </w:rPr>
        <w:t>表2.4-8</w:t>
      </w:r>
      <w:bookmarkEnd w:id="106"/>
      <w:r>
        <w:rPr>
          <w:rFonts w:eastAsia="黑体"/>
          <w:kern w:val="2"/>
          <w:sz w:val="21"/>
          <w:szCs w:val="21"/>
          <w:highlight w:val="none"/>
        </w:rPr>
        <w:t xml:space="preserve">  水污染影响型建设项目评价工作等级判定</w:t>
      </w:r>
    </w:p>
    <w:tbl>
      <w:tblPr>
        <w:tblStyle w:val="56"/>
        <w:tblW w:w="8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0"/>
        <w:gridCol w:w="2659"/>
        <w:gridCol w:w="3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360" w:type="dxa"/>
            <w:vMerge w:val="restart"/>
            <w:vAlign w:val="center"/>
          </w:tcPr>
          <w:p>
            <w:pPr>
              <w:pStyle w:val="417"/>
              <w:spacing w:line="240" w:lineRule="auto"/>
              <w:rPr>
                <w:highlight w:val="none"/>
              </w:rPr>
            </w:pPr>
            <w:r>
              <w:rPr>
                <w:highlight w:val="none"/>
              </w:rPr>
              <w:t>评价等级</w:t>
            </w:r>
          </w:p>
        </w:tc>
        <w:tc>
          <w:tcPr>
            <w:tcW w:w="5924" w:type="dxa"/>
            <w:gridSpan w:val="2"/>
            <w:vAlign w:val="center"/>
          </w:tcPr>
          <w:p>
            <w:pPr>
              <w:pStyle w:val="417"/>
              <w:spacing w:line="240" w:lineRule="auto"/>
              <w:rPr>
                <w:highlight w:val="none"/>
              </w:rPr>
            </w:pPr>
            <w:r>
              <w:rPr>
                <w:highlight w:val="none"/>
              </w:rPr>
              <w:t>判断依据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360" w:type="dxa"/>
            <w:vMerge w:val="continue"/>
            <w:vAlign w:val="center"/>
          </w:tcPr>
          <w:p>
            <w:pPr>
              <w:pStyle w:val="417"/>
              <w:spacing w:line="240" w:lineRule="auto"/>
              <w:rPr>
                <w:highlight w:val="none"/>
              </w:rPr>
            </w:pPr>
          </w:p>
        </w:tc>
        <w:tc>
          <w:tcPr>
            <w:tcW w:w="2659" w:type="dxa"/>
            <w:vAlign w:val="center"/>
          </w:tcPr>
          <w:p>
            <w:pPr>
              <w:pStyle w:val="417"/>
              <w:spacing w:line="240" w:lineRule="auto"/>
              <w:rPr>
                <w:highlight w:val="none"/>
              </w:rPr>
            </w:pPr>
            <w:r>
              <w:rPr>
                <w:highlight w:val="none"/>
              </w:rPr>
              <w:t>排放方式</w:t>
            </w:r>
          </w:p>
        </w:tc>
        <w:tc>
          <w:tcPr>
            <w:tcW w:w="3265" w:type="dxa"/>
            <w:vAlign w:val="center"/>
          </w:tcPr>
          <w:p>
            <w:pPr>
              <w:pStyle w:val="417"/>
              <w:spacing w:line="240" w:lineRule="auto"/>
              <w:rPr>
                <w:highlight w:val="none"/>
              </w:rPr>
            </w:pPr>
            <w:r>
              <w:rPr>
                <w:highlight w:val="none"/>
              </w:rPr>
              <w:t>废水排放量Q/（m³/d）；</w:t>
            </w:r>
          </w:p>
          <w:p>
            <w:pPr>
              <w:pStyle w:val="417"/>
              <w:spacing w:line="240" w:lineRule="auto"/>
              <w:rPr>
                <w:highlight w:val="none"/>
              </w:rPr>
            </w:pPr>
            <w:r>
              <w:rPr>
                <w:highlight w:val="none"/>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360" w:type="dxa"/>
            <w:vAlign w:val="center"/>
          </w:tcPr>
          <w:p>
            <w:pPr>
              <w:pStyle w:val="417"/>
              <w:spacing w:line="240" w:lineRule="auto"/>
              <w:rPr>
                <w:highlight w:val="none"/>
              </w:rPr>
            </w:pPr>
            <w:r>
              <w:rPr>
                <w:highlight w:val="none"/>
              </w:rPr>
              <w:t>一级</w:t>
            </w:r>
          </w:p>
        </w:tc>
        <w:tc>
          <w:tcPr>
            <w:tcW w:w="2659" w:type="dxa"/>
            <w:vAlign w:val="center"/>
          </w:tcPr>
          <w:p>
            <w:pPr>
              <w:pStyle w:val="417"/>
              <w:spacing w:line="240" w:lineRule="auto"/>
              <w:rPr>
                <w:highlight w:val="none"/>
              </w:rPr>
            </w:pPr>
            <w:r>
              <w:rPr>
                <w:highlight w:val="none"/>
              </w:rPr>
              <w:t>直接排放</w:t>
            </w:r>
          </w:p>
        </w:tc>
        <w:tc>
          <w:tcPr>
            <w:tcW w:w="3265" w:type="dxa"/>
            <w:vAlign w:val="center"/>
          </w:tcPr>
          <w:p>
            <w:pPr>
              <w:pStyle w:val="417"/>
              <w:spacing w:line="240" w:lineRule="auto"/>
              <w:rPr>
                <w:highlight w:val="none"/>
              </w:rPr>
            </w:pPr>
            <w:r>
              <w:rPr>
                <w:highlight w:val="none"/>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360" w:type="dxa"/>
            <w:vAlign w:val="center"/>
          </w:tcPr>
          <w:p>
            <w:pPr>
              <w:pStyle w:val="417"/>
              <w:spacing w:line="240" w:lineRule="auto"/>
              <w:rPr>
                <w:highlight w:val="none"/>
              </w:rPr>
            </w:pPr>
            <w:r>
              <w:rPr>
                <w:highlight w:val="none"/>
              </w:rPr>
              <w:t>二级</w:t>
            </w:r>
          </w:p>
        </w:tc>
        <w:tc>
          <w:tcPr>
            <w:tcW w:w="2659" w:type="dxa"/>
            <w:vAlign w:val="center"/>
          </w:tcPr>
          <w:p>
            <w:pPr>
              <w:pStyle w:val="417"/>
              <w:spacing w:line="240" w:lineRule="auto"/>
              <w:rPr>
                <w:highlight w:val="none"/>
              </w:rPr>
            </w:pPr>
            <w:r>
              <w:rPr>
                <w:highlight w:val="none"/>
              </w:rPr>
              <w:t>直接排放</w:t>
            </w:r>
          </w:p>
        </w:tc>
        <w:tc>
          <w:tcPr>
            <w:tcW w:w="3265" w:type="dxa"/>
            <w:vAlign w:val="center"/>
          </w:tcPr>
          <w:p>
            <w:pPr>
              <w:pStyle w:val="417"/>
              <w:spacing w:line="240" w:lineRule="auto"/>
              <w:rPr>
                <w:highlight w:val="none"/>
              </w:rPr>
            </w:pPr>
            <w:r>
              <w:rPr>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360" w:type="dxa"/>
            <w:vAlign w:val="center"/>
          </w:tcPr>
          <w:p>
            <w:pPr>
              <w:pStyle w:val="417"/>
              <w:spacing w:line="240" w:lineRule="auto"/>
              <w:rPr>
                <w:highlight w:val="none"/>
              </w:rPr>
            </w:pPr>
            <w:r>
              <w:rPr>
                <w:highlight w:val="none"/>
              </w:rPr>
              <w:t>三级A</w:t>
            </w:r>
          </w:p>
        </w:tc>
        <w:tc>
          <w:tcPr>
            <w:tcW w:w="2659" w:type="dxa"/>
            <w:vAlign w:val="center"/>
          </w:tcPr>
          <w:p>
            <w:pPr>
              <w:pStyle w:val="417"/>
              <w:spacing w:line="240" w:lineRule="auto"/>
              <w:rPr>
                <w:highlight w:val="none"/>
              </w:rPr>
            </w:pPr>
            <w:r>
              <w:rPr>
                <w:highlight w:val="none"/>
              </w:rPr>
              <w:t>直接排放</w:t>
            </w:r>
          </w:p>
        </w:tc>
        <w:tc>
          <w:tcPr>
            <w:tcW w:w="3265" w:type="dxa"/>
            <w:vAlign w:val="center"/>
          </w:tcPr>
          <w:p>
            <w:pPr>
              <w:pStyle w:val="417"/>
              <w:spacing w:line="240" w:lineRule="auto"/>
              <w:rPr>
                <w:highlight w:val="none"/>
              </w:rPr>
            </w:pPr>
            <w:r>
              <w:rPr>
                <w:highlight w:val="none"/>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360" w:type="dxa"/>
            <w:vAlign w:val="center"/>
          </w:tcPr>
          <w:p>
            <w:pPr>
              <w:pStyle w:val="417"/>
              <w:spacing w:line="240" w:lineRule="auto"/>
              <w:rPr>
                <w:highlight w:val="none"/>
              </w:rPr>
            </w:pPr>
            <w:r>
              <w:rPr>
                <w:highlight w:val="none"/>
              </w:rPr>
              <w:t>三级B</w:t>
            </w:r>
          </w:p>
        </w:tc>
        <w:tc>
          <w:tcPr>
            <w:tcW w:w="2659" w:type="dxa"/>
            <w:vAlign w:val="center"/>
          </w:tcPr>
          <w:p>
            <w:pPr>
              <w:pStyle w:val="417"/>
              <w:spacing w:line="240" w:lineRule="auto"/>
              <w:rPr>
                <w:highlight w:val="none"/>
              </w:rPr>
            </w:pPr>
            <w:r>
              <w:rPr>
                <w:highlight w:val="none"/>
              </w:rPr>
              <w:t>间接排放</w:t>
            </w:r>
          </w:p>
        </w:tc>
        <w:tc>
          <w:tcPr>
            <w:tcW w:w="3265" w:type="dxa"/>
            <w:vAlign w:val="center"/>
          </w:tcPr>
          <w:p>
            <w:pPr>
              <w:pStyle w:val="417"/>
              <w:spacing w:line="240" w:lineRule="auto"/>
              <w:rPr>
                <w:highlight w:val="none"/>
              </w:rPr>
            </w:pPr>
            <w:r>
              <w:rPr>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84" w:type="dxa"/>
            <w:gridSpan w:val="3"/>
            <w:vAlign w:val="center"/>
          </w:tcPr>
          <w:p>
            <w:pPr>
              <w:pStyle w:val="417"/>
              <w:jc w:val="left"/>
              <w:rPr>
                <w:highlight w:val="none"/>
              </w:rPr>
            </w:pPr>
            <w:r>
              <w:rPr>
                <w:rFonts w:hint="eastAsia"/>
                <w:highlight w:val="none"/>
              </w:rPr>
              <w:t>……</w:t>
            </w:r>
          </w:p>
          <w:p>
            <w:pPr>
              <w:pStyle w:val="417"/>
              <w:spacing w:line="240" w:lineRule="auto"/>
              <w:jc w:val="left"/>
              <w:rPr>
                <w:highlight w:val="none"/>
              </w:rPr>
            </w:pPr>
            <w:r>
              <w:rPr>
                <w:b/>
                <w:highlight w:val="none"/>
              </w:rPr>
              <w:t>注10：建设项目生产工艺中有废水产生，但作为回水利用，不排放到外环境的，按三级B评价。</w:t>
            </w:r>
          </w:p>
        </w:tc>
      </w:tr>
    </w:tbl>
    <w:p>
      <w:pPr>
        <w:ind w:firstLine="480"/>
        <w:rPr>
          <w:highlight w:val="none"/>
        </w:rPr>
      </w:pPr>
      <w:r>
        <w:rPr>
          <w:sz w:val="24"/>
          <w:szCs w:val="24"/>
          <w:highlight w:val="none"/>
        </w:rPr>
        <w:t>根据工程分析，项目建成投产后，项目产生的废水主要为生产废水。项目生产废水经沉淀处理，并由清水池收集后，回用于生产工艺循环使用不外排。因此，项目无废水外排。</w:t>
      </w:r>
    </w:p>
    <w:p>
      <w:pPr>
        <w:ind w:firstLine="480"/>
        <w:rPr>
          <w:sz w:val="24"/>
          <w:szCs w:val="24"/>
          <w:highlight w:val="none"/>
        </w:rPr>
      </w:pPr>
      <w:r>
        <w:rPr>
          <w:sz w:val="24"/>
          <w:szCs w:val="24"/>
          <w:highlight w:val="none"/>
        </w:rPr>
        <w:t>根据《环境影响评价技术导则 地表水环境》（HJ2.3-2018）中关于工作等级划分规定，本项目为水污染影响型建设项目，确定本项目地表水环境影响评价等级为三级B。</w:t>
      </w:r>
    </w:p>
    <w:p>
      <w:pPr>
        <w:ind w:firstLine="480"/>
        <w:rPr>
          <w:sz w:val="24"/>
          <w:szCs w:val="24"/>
          <w:highlight w:val="none"/>
        </w:rPr>
      </w:pPr>
      <w:r>
        <w:rPr>
          <w:sz w:val="24"/>
          <w:szCs w:val="24"/>
          <w:highlight w:val="none"/>
        </w:rPr>
        <w:t>（2）地下水环境</w:t>
      </w:r>
    </w:p>
    <w:p>
      <w:pPr>
        <w:ind w:firstLine="480"/>
        <w:rPr>
          <w:sz w:val="24"/>
          <w:szCs w:val="24"/>
          <w:highlight w:val="none"/>
        </w:rPr>
      </w:pPr>
      <w:r>
        <w:rPr>
          <w:rFonts w:hint="eastAsia"/>
          <w:sz w:val="24"/>
          <w:szCs w:val="24"/>
          <w:highlight w:val="none"/>
        </w:rPr>
        <w:t>①</w:t>
      </w:r>
      <w:r>
        <w:rPr>
          <w:sz w:val="24"/>
          <w:szCs w:val="24"/>
          <w:highlight w:val="none"/>
        </w:rPr>
        <w:t>项目类别</w:t>
      </w:r>
    </w:p>
    <w:p>
      <w:pPr>
        <w:ind w:firstLine="480"/>
        <w:rPr>
          <w:rFonts w:eastAsia="黑体"/>
          <w:kern w:val="2"/>
          <w:sz w:val="21"/>
          <w:szCs w:val="21"/>
          <w:highlight w:val="none"/>
        </w:rPr>
      </w:pPr>
      <w:r>
        <w:rPr>
          <w:sz w:val="24"/>
          <w:szCs w:val="24"/>
          <w:highlight w:val="none"/>
        </w:rPr>
        <w:t>根据《环境影响评价技术导则-地下水环境》（HJ610-2016）附录A（规范性附录）地下水环境影响评价行业分类表，其相关内容见</w:t>
      </w:r>
      <w:r>
        <w:rPr>
          <w:rFonts w:hint="eastAsia"/>
          <w:sz w:val="24"/>
          <w:szCs w:val="24"/>
          <w:highlight w:val="none"/>
        </w:rPr>
        <w:t>表2.4-9</w:t>
      </w:r>
      <w:r>
        <w:rPr>
          <w:sz w:val="24"/>
          <w:szCs w:val="24"/>
          <w:highlight w:val="none"/>
        </w:rPr>
        <w:t>。</w:t>
      </w:r>
      <w:bookmarkStart w:id="107" w:name="_Ref6772325"/>
    </w:p>
    <w:p>
      <w:pPr>
        <w:ind w:firstLine="420"/>
        <w:jc w:val="center"/>
        <w:rPr>
          <w:sz w:val="24"/>
          <w:szCs w:val="24"/>
          <w:highlight w:val="none"/>
        </w:rPr>
      </w:pPr>
      <w:r>
        <w:rPr>
          <w:rFonts w:eastAsia="黑体"/>
          <w:kern w:val="2"/>
          <w:sz w:val="21"/>
          <w:szCs w:val="21"/>
          <w:highlight w:val="none"/>
        </w:rPr>
        <w:t>表</w:t>
      </w:r>
      <w:r>
        <w:rPr>
          <w:rFonts w:hint="eastAsia" w:eastAsia="黑体"/>
          <w:kern w:val="2"/>
          <w:sz w:val="21"/>
          <w:szCs w:val="21"/>
          <w:highlight w:val="none"/>
        </w:rPr>
        <w:t>2.4-9</w:t>
      </w:r>
      <w:r>
        <w:rPr>
          <w:rFonts w:eastAsia="黑体"/>
          <w:kern w:val="2"/>
          <w:sz w:val="21"/>
          <w:szCs w:val="21"/>
          <w:highlight w:val="none"/>
        </w:rPr>
        <w:t xml:space="preserve"> </w:t>
      </w:r>
      <w:bookmarkEnd w:id="107"/>
      <w:r>
        <w:rPr>
          <w:rFonts w:eastAsia="黑体"/>
          <w:kern w:val="2"/>
          <w:sz w:val="21"/>
          <w:szCs w:val="21"/>
          <w:highlight w:val="none"/>
        </w:rPr>
        <w:t xml:space="preserve">  地下水环境影响评价行业分类表</w:t>
      </w:r>
    </w:p>
    <w:tbl>
      <w:tblPr>
        <w:tblStyle w:val="56"/>
        <w:tblW w:w="8756" w:type="dxa"/>
        <w:tblInd w:w="-2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2135"/>
        <w:gridCol w:w="862"/>
        <w:gridCol w:w="851"/>
        <w:gridCol w:w="2126"/>
        <w:gridCol w:w="992"/>
        <w:gridCol w:w="179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5" w:type="dxa"/>
            <w:vMerge w:val="restart"/>
            <w:tcBorders>
              <w:tl2br w:val="single" w:color="auto" w:sz="4" w:space="0"/>
            </w:tcBorders>
            <w:vAlign w:val="center"/>
          </w:tcPr>
          <w:p>
            <w:pPr>
              <w:pStyle w:val="417"/>
              <w:spacing w:line="240" w:lineRule="auto"/>
              <w:rPr>
                <w:highlight w:val="none"/>
              </w:rPr>
            </w:pPr>
            <w:r>
              <w:rPr>
                <w:highlight w:val="none"/>
              </w:rPr>
              <w:t>环评类别</w:t>
            </w:r>
          </w:p>
          <w:p>
            <w:pPr>
              <w:pStyle w:val="417"/>
              <w:spacing w:line="240" w:lineRule="auto"/>
              <w:rPr>
                <w:highlight w:val="none"/>
              </w:rPr>
            </w:pPr>
            <w:r>
              <w:rPr>
                <w:highlight w:val="none"/>
              </w:rPr>
              <w:t>行业类别</w:t>
            </w:r>
          </w:p>
        </w:tc>
        <w:tc>
          <w:tcPr>
            <w:tcW w:w="862" w:type="dxa"/>
            <w:vMerge w:val="restart"/>
            <w:vAlign w:val="center"/>
          </w:tcPr>
          <w:p>
            <w:pPr>
              <w:pStyle w:val="417"/>
              <w:spacing w:line="240" w:lineRule="auto"/>
              <w:rPr>
                <w:highlight w:val="none"/>
              </w:rPr>
            </w:pPr>
            <w:r>
              <w:rPr>
                <w:highlight w:val="none"/>
              </w:rPr>
              <w:t>报告书</w:t>
            </w:r>
          </w:p>
        </w:tc>
        <w:tc>
          <w:tcPr>
            <w:tcW w:w="851" w:type="dxa"/>
            <w:vMerge w:val="restart"/>
            <w:vAlign w:val="center"/>
          </w:tcPr>
          <w:p>
            <w:pPr>
              <w:pStyle w:val="417"/>
              <w:spacing w:line="240" w:lineRule="auto"/>
              <w:rPr>
                <w:highlight w:val="none"/>
              </w:rPr>
            </w:pPr>
            <w:r>
              <w:rPr>
                <w:highlight w:val="none"/>
              </w:rPr>
              <w:t>报告表</w:t>
            </w:r>
          </w:p>
        </w:tc>
        <w:tc>
          <w:tcPr>
            <w:tcW w:w="3118" w:type="dxa"/>
            <w:gridSpan w:val="2"/>
            <w:vAlign w:val="center"/>
          </w:tcPr>
          <w:p>
            <w:pPr>
              <w:pStyle w:val="417"/>
              <w:spacing w:line="240" w:lineRule="auto"/>
              <w:rPr>
                <w:highlight w:val="none"/>
              </w:rPr>
            </w:pPr>
            <w:r>
              <w:rPr>
                <w:highlight w:val="none"/>
              </w:rPr>
              <w:t>地下水环境影响评价项目类别</w:t>
            </w:r>
          </w:p>
        </w:tc>
        <w:tc>
          <w:tcPr>
            <w:tcW w:w="1790" w:type="dxa"/>
            <w:vAlign w:val="center"/>
          </w:tcPr>
          <w:p>
            <w:pPr>
              <w:pStyle w:val="417"/>
              <w:spacing w:line="240" w:lineRule="auto"/>
              <w:rPr>
                <w:highlight w:val="none"/>
              </w:rPr>
            </w:pPr>
            <w:r>
              <w:rPr>
                <w:highlight w:val="none"/>
              </w:rPr>
              <w:t>本项目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5" w:type="dxa"/>
            <w:vMerge w:val="continue"/>
            <w:vAlign w:val="center"/>
          </w:tcPr>
          <w:p>
            <w:pPr>
              <w:pStyle w:val="417"/>
              <w:spacing w:line="240" w:lineRule="auto"/>
              <w:rPr>
                <w:highlight w:val="none"/>
              </w:rPr>
            </w:pPr>
          </w:p>
        </w:tc>
        <w:tc>
          <w:tcPr>
            <w:tcW w:w="862" w:type="dxa"/>
            <w:vMerge w:val="continue"/>
            <w:vAlign w:val="center"/>
          </w:tcPr>
          <w:p>
            <w:pPr>
              <w:pStyle w:val="417"/>
              <w:spacing w:line="240" w:lineRule="auto"/>
              <w:rPr>
                <w:highlight w:val="none"/>
              </w:rPr>
            </w:pPr>
          </w:p>
        </w:tc>
        <w:tc>
          <w:tcPr>
            <w:tcW w:w="851" w:type="dxa"/>
            <w:vMerge w:val="continue"/>
            <w:vAlign w:val="center"/>
          </w:tcPr>
          <w:p>
            <w:pPr>
              <w:pStyle w:val="417"/>
              <w:spacing w:line="240" w:lineRule="auto"/>
              <w:rPr>
                <w:highlight w:val="none"/>
              </w:rPr>
            </w:pPr>
          </w:p>
        </w:tc>
        <w:tc>
          <w:tcPr>
            <w:tcW w:w="2126" w:type="dxa"/>
            <w:vAlign w:val="center"/>
          </w:tcPr>
          <w:p>
            <w:pPr>
              <w:pStyle w:val="417"/>
              <w:spacing w:line="240" w:lineRule="auto"/>
              <w:rPr>
                <w:highlight w:val="none"/>
              </w:rPr>
            </w:pPr>
            <w:r>
              <w:rPr>
                <w:highlight w:val="none"/>
              </w:rPr>
              <w:t>报告书</w:t>
            </w:r>
          </w:p>
        </w:tc>
        <w:tc>
          <w:tcPr>
            <w:tcW w:w="992" w:type="dxa"/>
            <w:vAlign w:val="center"/>
          </w:tcPr>
          <w:p>
            <w:pPr>
              <w:pStyle w:val="417"/>
              <w:spacing w:line="240" w:lineRule="auto"/>
              <w:rPr>
                <w:highlight w:val="none"/>
              </w:rPr>
            </w:pPr>
            <w:r>
              <w:rPr>
                <w:highlight w:val="none"/>
              </w:rPr>
              <w:t>报告表</w:t>
            </w:r>
          </w:p>
        </w:tc>
        <w:tc>
          <w:tcPr>
            <w:tcW w:w="1790" w:type="dxa"/>
            <w:vAlign w:val="center"/>
          </w:tcPr>
          <w:p>
            <w:pPr>
              <w:pStyle w:val="417"/>
              <w:spacing w:line="240" w:lineRule="auto"/>
              <w:rPr>
                <w:highlight w:val="none"/>
              </w:rPr>
            </w:pPr>
            <w:r>
              <w:rPr>
                <w:highlight w:val="none"/>
              </w:rPr>
              <w:t>报告书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56" w:type="dxa"/>
            <w:gridSpan w:val="6"/>
            <w:vAlign w:val="center"/>
          </w:tcPr>
          <w:p>
            <w:pPr>
              <w:pStyle w:val="417"/>
              <w:spacing w:line="240" w:lineRule="auto"/>
              <w:rPr>
                <w:highlight w:val="none"/>
              </w:rPr>
            </w:pPr>
            <w:r>
              <w:rPr>
                <w:highlight w:val="none"/>
              </w:rPr>
              <w:t>四十三黑色金属矿采选业</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5" w:type="dxa"/>
            <w:vAlign w:val="center"/>
          </w:tcPr>
          <w:p>
            <w:pPr>
              <w:pStyle w:val="417"/>
              <w:spacing w:line="240" w:lineRule="auto"/>
              <w:rPr>
                <w:highlight w:val="none"/>
              </w:rPr>
            </w:pPr>
            <w:r>
              <w:rPr>
                <w:highlight w:val="none"/>
              </w:rPr>
              <w:t>135、黑色金属矿采选（含单独尾矿库）</w:t>
            </w:r>
          </w:p>
        </w:tc>
        <w:tc>
          <w:tcPr>
            <w:tcW w:w="862" w:type="dxa"/>
            <w:vAlign w:val="center"/>
          </w:tcPr>
          <w:p>
            <w:pPr>
              <w:pStyle w:val="417"/>
              <w:spacing w:line="240" w:lineRule="auto"/>
              <w:rPr>
                <w:highlight w:val="none"/>
              </w:rPr>
            </w:pPr>
            <w:r>
              <w:rPr>
                <w:highlight w:val="none"/>
              </w:rPr>
              <w:t>全部</w:t>
            </w:r>
          </w:p>
        </w:tc>
        <w:tc>
          <w:tcPr>
            <w:tcW w:w="851" w:type="dxa"/>
            <w:vAlign w:val="center"/>
          </w:tcPr>
          <w:p>
            <w:pPr>
              <w:pStyle w:val="417"/>
              <w:spacing w:line="240" w:lineRule="auto"/>
              <w:rPr>
                <w:highlight w:val="none"/>
              </w:rPr>
            </w:pPr>
            <w:r>
              <w:rPr>
                <w:highlight w:val="none"/>
              </w:rPr>
              <w:t>---</w:t>
            </w:r>
          </w:p>
        </w:tc>
        <w:tc>
          <w:tcPr>
            <w:tcW w:w="2126" w:type="dxa"/>
            <w:vAlign w:val="center"/>
          </w:tcPr>
          <w:p>
            <w:pPr>
              <w:pStyle w:val="417"/>
              <w:spacing w:line="240" w:lineRule="auto"/>
              <w:rPr>
                <w:highlight w:val="none"/>
              </w:rPr>
            </w:pPr>
            <w:r>
              <w:rPr>
                <w:highlight w:val="none"/>
              </w:rPr>
              <w:t>排土场、尾矿库Ⅰ类，选矿厂Ⅱ类，其余Ⅳ类</w:t>
            </w:r>
          </w:p>
        </w:tc>
        <w:tc>
          <w:tcPr>
            <w:tcW w:w="992" w:type="dxa"/>
            <w:vAlign w:val="center"/>
          </w:tcPr>
          <w:p>
            <w:pPr>
              <w:pStyle w:val="417"/>
              <w:spacing w:line="240" w:lineRule="auto"/>
              <w:rPr>
                <w:highlight w:val="none"/>
              </w:rPr>
            </w:pPr>
            <w:r>
              <w:rPr>
                <w:highlight w:val="none"/>
              </w:rPr>
              <w:t>---</w:t>
            </w:r>
          </w:p>
        </w:tc>
        <w:tc>
          <w:tcPr>
            <w:tcW w:w="1790" w:type="dxa"/>
            <w:vAlign w:val="center"/>
          </w:tcPr>
          <w:p>
            <w:pPr>
              <w:pStyle w:val="417"/>
              <w:spacing w:line="240" w:lineRule="auto"/>
              <w:rPr>
                <w:highlight w:val="none"/>
              </w:rPr>
            </w:pPr>
            <w:r>
              <w:rPr>
                <w:highlight w:val="none"/>
              </w:rPr>
              <w:t>本项目铁选项目，不设尾矿库</w:t>
            </w:r>
          </w:p>
        </w:tc>
      </w:tr>
    </w:tbl>
    <w:p>
      <w:pPr>
        <w:ind w:firstLine="480"/>
        <w:rPr>
          <w:sz w:val="24"/>
          <w:szCs w:val="24"/>
          <w:highlight w:val="none"/>
        </w:rPr>
      </w:pPr>
      <w:r>
        <w:rPr>
          <w:rFonts w:hint="eastAsia"/>
          <w:sz w:val="24"/>
          <w:szCs w:val="24"/>
          <w:highlight w:val="none"/>
        </w:rPr>
        <w:t>由上表可知，本项目属于Ⅱ类建设项目。</w:t>
      </w:r>
    </w:p>
    <w:p>
      <w:pPr>
        <w:ind w:firstLine="480"/>
        <w:rPr>
          <w:sz w:val="24"/>
          <w:szCs w:val="24"/>
          <w:highlight w:val="none"/>
        </w:rPr>
      </w:pPr>
      <w:r>
        <w:rPr>
          <w:rFonts w:hint="eastAsia"/>
          <w:sz w:val="24"/>
          <w:szCs w:val="24"/>
          <w:highlight w:val="none"/>
        </w:rPr>
        <w:t>②项目所在地敏感程度</w:t>
      </w:r>
    </w:p>
    <w:p>
      <w:pPr>
        <w:ind w:firstLine="480"/>
        <w:rPr>
          <w:sz w:val="24"/>
          <w:szCs w:val="24"/>
          <w:highlight w:val="none"/>
        </w:rPr>
      </w:pPr>
      <w:r>
        <w:rPr>
          <w:rFonts w:hint="eastAsia"/>
          <w:sz w:val="24"/>
          <w:szCs w:val="24"/>
          <w:highlight w:val="none"/>
        </w:rPr>
        <w:t>《环境影响评价技术导则-地下水环境》（HJ610-2016）地下水环境敏感程度分级表见表2.4-10。</w:t>
      </w:r>
    </w:p>
    <w:p>
      <w:pPr>
        <w:ind w:firstLine="420"/>
        <w:jc w:val="center"/>
        <w:rPr>
          <w:sz w:val="24"/>
          <w:szCs w:val="24"/>
          <w:highlight w:val="none"/>
        </w:rPr>
      </w:pPr>
      <w:bookmarkStart w:id="108" w:name="_Ref6772396"/>
      <w:r>
        <w:rPr>
          <w:rFonts w:eastAsia="黑体"/>
          <w:kern w:val="2"/>
          <w:sz w:val="21"/>
          <w:szCs w:val="21"/>
          <w:highlight w:val="none"/>
        </w:rPr>
        <w:t>表</w:t>
      </w:r>
      <w:r>
        <w:rPr>
          <w:rFonts w:hint="eastAsia" w:eastAsia="黑体"/>
          <w:kern w:val="2"/>
          <w:sz w:val="21"/>
          <w:szCs w:val="21"/>
          <w:highlight w:val="none"/>
        </w:rPr>
        <w:t>2.4-10</w:t>
      </w:r>
      <w:r>
        <w:rPr>
          <w:rFonts w:eastAsia="黑体"/>
          <w:kern w:val="2"/>
          <w:sz w:val="21"/>
          <w:szCs w:val="21"/>
          <w:highlight w:val="none"/>
        </w:rPr>
        <w:t xml:space="preserve"> </w:t>
      </w:r>
      <w:bookmarkEnd w:id="108"/>
      <w:r>
        <w:rPr>
          <w:rFonts w:eastAsia="黑体"/>
          <w:kern w:val="2"/>
          <w:sz w:val="21"/>
          <w:szCs w:val="21"/>
          <w:highlight w:val="none"/>
        </w:rPr>
        <w:t xml:space="preserve">  地下水环境敏感程度分级表</w:t>
      </w:r>
    </w:p>
    <w:tbl>
      <w:tblPr>
        <w:tblStyle w:val="56"/>
        <w:tblW w:w="8312" w:type="dxa"/>
        <w:tblInd w:w="-2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1174"/>
        <w:gridCol w:w="713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1" w:hRule="atLeast"/>
          <w:tblHeader/>
        </w:trPr>
        <w:tc>
          <w:tcPr>
            <w:tcW w:w="1174" w:type="dxa"/>
            <w:vAlign w:val="center"/>
          </w:tcPr>
          <w:p>
            <w:pPr>
              <w:pStyle w:val="417"/>
              <w:spacing w:line="240" w:lineRule="auto"/>
              <w:rPr>
                <w:highlight w:val="none"/>
              </w:rPr>
            </w:pPr>
            <w:r>
              <w:rPr>
                <w:highlight w:val="none"/>
              </w:rPr>
              <w:t>敏感程度</w:t>
            </w:r>
          </w:p>
        </w:tc>
        <w:tc>
          <w:tcPr>
            <w:tcW w:w="7138" w:type="dxa"/>
            <w:vAlign w:val="center"/>
          </w:tcPr>
          <w:p>
            <w:pPr>
              <w:pStyle w:val="417"/>
              <w:spacing w:line="240" w:lineRule="auto"/>
              <w:rPr>
                <w:highlight w:val="none"/>
              </w:rPr>
            </w:pPr>
            <w:r>
              <w:rPr>
                <w:highlight w:val="none"/>
              </w:rPr>
              <w:t>地下水环境敏感特征</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174" w:type="dxa"/>
            <w:vAlign w:val="center"/>
          </w:tcPr>
          <w:p>
            <w:pPr>
              <w:pStyle w:val="417"/>
              <w:spacing w:line="240" w:lineRule="auto"/>
              <w:rPr>
                <w:highlight w:val="none"/>
              </w:rPr>
            </w:pPr>
            <w:r>
              <w:rPr>
                <w:highlight w:val="none"/>
              </w:rPr>
              <w:t>敏感</w:t>
            </w:r>
          </w:p>
        </w:tc>
        <w:tc>
          <w:tcPr>
            <w:tcW w:w="7138" w:type="dxa"/>
            <w:vAlign w:val="center"/>
          </w:tcPr>
          <w:p>
            <w:pPr>
              <w:pStyle w:val="417"/>
              <w:spacing w:line="240" w:lineRule="auto"/>
              <w:rPr>
                <w:highlight w:val="none"/>
              </w:rPr>
            </w:pPr>
            <w:r>
              <w:rPr>
                <w:highlight w:val="none"/>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174" w:type="dxa"/>
            <w:vAlign w:val="center"/>
          </w:tcPr>
          <w:p>
            <w:pPr>
              <w:pStyle w:val="417"/>
              <w:spacing w:line="240" w:lineRule="auto"/>
              <w:rPr>
                <w:highlight w:val="none"/>
              </w:rPr>
            </w:pPr>
            <w:r>
              <w:rPr>
                <w:highlight w:val="none"/>
              </w:rPr>
              <w:t>较敏感</w:t>
            </w:r>
          </w:p>
        </w:tc>
        <w:tc>
          <w:tcPr>
            <w:tcW w:w="7138" w:type="dxa"/>
            <w:vAlign w:val="center"/>
          </w:tcPr>
          <w:p>
            <w:pPr>
              <w:pStyle w:val="417"/>
              <w:spacing w:line="240" w:lineRule="auto"/>
              <w:rPr>
                <w:highlight w:val="none"/>
              </w:rPr>
            </w:pPr>
            <w:r>
              <w:rPr>
                <w:highlight w:val="none"/>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a。</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174" w:type="dxa"/>
            <w:vAlign w:val="center"/>
          </w:tcPr>
          <w:p>
            <w:pPr>
              <w:pStyle w:val="417"/>
              <w:spacing w:line="240" w:lineRule="auto"/>
              <w:rPr>
                <w:highlight w:val="none"/>
              </w:rPr>
            </w:pPr>
            <w:r>
              <w:rPr>
                <w:highlight w:val="none"/>
              </w:rPr>
              <w:t>不敏感</w:t>
            </w:r>
          </w:p>
        </w:tc>
        <w:tc>
          <w:tcPr>
            <w:tcW w:w="7138" w:type="dxa"/>
            <w:vAlign w:val="center"/>
          </w:tcPr>
          <w:p>
            <w:pPr>
              <w:pStyle w:val="417"/>
              <w:spacing w:line="240" w:lineRule="auto"/>
              <w:rPr>
                <w:highlight w:val="none"/>
              </w:rPr>
            </w:pPr>
            <w:r>
              <w:rPr>
                <w:highlight w:val="none"/>
              </w:rPr>
              <w:t>上述地区之外的其他地区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8312" w:type="dxa"/>
            <w:gridSpan w:val="2"/>
            <w:vAlign w:val="center"/>
          </w:tcPr>
          <w:p>
            <w:pPr>
              <w:pStyle w:val="417"/>
              <w:spacing w:line="240" w:lineRule="auto"/>
              <w:rPr>
                <w:highlight w:val="none"/>
              </w:rPr>
            </w:pPr>
            <w:r>
              <w:rPr>
                <w:highlight w:val="none"/>
              </w:rPr>
              <w:t>注：a“环境敏感区”是指《建设项目环境影响评价分类管理名录》中所界定的涉及地下水的环境敏感区。</w:t>
            </w:r>
          </w:p>
        </w:tc>
      </w:tr>
    </w:tbl>
    <w:p>
      <w:pPr>
        <w:ind w:firstLine="480"/>
        <w:rPr>
          <w:sz w:val="24"/>
          <w:szCs w:val="24"/>
          <w:highlight w:val="none"/>
        </w:rPr>
      </w:pPr>
      <w:r>
        <w:rPr>
          <w:rFonts w:hint="eastAsia"/>
          <w:sz w:val="24"/>
          <w:szCs w:val="24"/>
          <w:highlight w:val="none"/>
        </w:rPr>
        <w:t>本项目不在集中式饮用水源准保护区及准保护区以外的补给径流区；不涉及国家及地方政府设定的与地下水环境相关的其他保护区及保护区以外的分布区，不涉及未划定准保护区的集中式饮用水水源，其保护区以外的补给径流区，项目周边村庄供水方式主要为自来水和单井单户供水相结合的供水方式，自来水单井供水能力小于1000人，为</w:t>
      </w:r>
      <w:r>
        <w:rPr>
          <w:sz w:val="24"/>
          <w:szCs w:val="24"/>
          <w:highlight w:val="none"/>
        </w:rPr>
        <w:t>分散式饮用水水源井</w:t>
      </w:r>
      <w:r>
        <w:rPr>
          <w:rFonts w:hint="eastAsia"/>
          <w:sz w:val="24"/>
          <w:szCs w:val="24"/>
          <w:highlight w:val="none"/>
        </w:rPr>
        <w:t>，因此场地地下水敏感特征为较敏感。</w:t>
      </w:r>
      <w:r>
        <w:rPr>
          <w:sz w:val="24"/>
          <w:szCs w:val="24"/>
          <w:highlight w:val="none"/>
        </w:rPr>
        <w:t>因此，本项目地下水评价等级为</w:t>
      </w:r>
      <w:r>
        <w:rPr>
          <w:rFonts w:hint="eastAsia"/>
          <w:sz w:val="24"/>
          <w:szCs w:val="24"/>
          <w:highlight w:val="none"/>
        </w:rPr>
        <w:t>二</w:t>
      </w:r>
      <w:r>
        <w:rPr>
          <w:sz w:val="24"/>
          <w:szCs w:val="24"/>
          <w:highlight w:val="none"/>
        </w:rPr>
        <w:t>级，具体划分见</w:t>
      </w:r>
      <w:r>
        <w:rPr>
          <w:rFonts w:hint="eastAsia"/>
          <w:sz w:val="24"/>
          <w:szCs w:val="24"/>
          <w:highlight w:val="none"/>
        </w:rPr>
        <w:t>表2.4-11。</w:t>
      </w:r>
    </w:p>
    <w:p>
      <w:pPr>
        <w:spacing w:line="240" w:lineRule="auto"/>
        <w:ind w:firstLineChars="0"/>
        <w:jc w:val="center"/>
        <w:textAlignment w:val="auto"/>
        <w:rPr>
          <w:rFonts w:eastAsia="黑体"/>
          <w:kern w:val="2"/>
          <w:sz w:val="21"/>
          <w:szCs w:val="21"/>
          <w:highlight w:val="none"/>
        </w:rPr>
      </w:pPr>
      <w:bookmarkStart w:id="109" w:name="_Ref6772511"/>
      <w:r>
        <w:rPr>
          <w:rFonts w:eastAsia="黑体"/>
          <w:kern w:val="2"/>
          <w:sz w:val="21"/>
          <w:szCs w:val="21"/>
          <w:highlight w:val="none"/>
        </w:rPr>
        <w:t>表</w:t>
      </w:r>
      <w:r>
        <w:rPr>
          <w:rFonts w:hint="eastAsia" w:eastAsia="黑体"/>
          <w:kern w:val="2"/>
          <w:sz w:val="21"/>
          <w:szCs w:val="21"/>
          <w:highlight w:val="none"/>
        </w:rPr>
        <w:t>2.4-11</w:t>
      </w:r>
      <w:bookmarkEnd w:id="109"/>
      <w:r>
        <w:rPr>
          <w:rFonts w:hint="eastAsia" w:eastAsia="黑体"/>
          <w:kern w:val="2"/>
          <w:sz w:val="21"/>
          <w:szCs w:val="21"/>
          <w:highlight w:val="none"/>
        </w:rPr>
        <w:t xml:space="preserve">   </w:t>
      </w:r>
      <w:r>
        <w:rPr>
          <w:rFonts w:eastAsia="黑体"/>
          <w:kern w:val="2"/>
          <w:sz w:val="21"/>
          <w:szCs w:val="21"/>
          <w:highlight w:val="none"/>
        </w:rPr>
        <w:t>地下水环境影响评价等级划分情况</w:t>
      </w:r>
    </w:p>
    <w:tbl>
      <w:tblPr>
        <w:tblStyle w:val="56"/>
        <w:tblW w:w="833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527"/>
        <w:gridCol w:w="3680"/>
        <w:gridCol w:w="1320"/>
        <w:gridCol w:w="11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8"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序号</w:t>
            </w:r>
          </w:p>
        </w:tc>
        <w:tc>
          <w:tcPr>
            <w:tcW w:w="1527" w:type="dxa"/>
            <w:vAlign w:val="center"/>
          </w:tcPr>
          <w:p>
            <w:pPr>
              <w:spacing w:line="240" w:lineRule="auto"/>
              <w:ind w:firstLine="0" w:firstLineChars="0"/>
              <w:jc w:val="center"/>
              <w:rPr>
                <w:sz w:val="21"/>
                <w:szCs w:val="21"/>
                <w:highlight w:val="none"/>
              </w:rPr>
            </w:pPr>
            <w:r>
              <w:rPr>
                <w:sz w:val="21"/>
                <w:szCs w:val="21"/>
                <w:highlight w:val="none"/>
              </w:rPr>
              <w:t>指标</w:t>
            </w:r>
          </w:p>
        </w:tc>
        <w:tc>
          <w:tcPr>
            <w:tcW w:w="3680" w:type="dxa"/>
            <w:vAlign w:val="center"/>
          </w:tcPr>
          <w:p>
            <w:pPr>
              <w:spacing w:line="240" w:lineRule="auto"/>
              <w:ind w:firstLine="0" w:firstLineChars="0"/>
              <w:jc w:val="center"/>
              <w:rPr>
                <w:sz w:val="21"/>
                <w:szCs w:val="21"/>
                <w:highlight w:val="none"/>
              </w:rPr>
            </w:pPr>
            <w:r>
              <w:rPr>
                <w:sz w:val="21"/>
                <w:szCs w:val="21"/>
                <w:highlight w:val="none"/>
              </w:rPr>
              <w:t>性能（特征）</w:t>
            </w:r>
          </w:p>
        </w:tc>
        <w:tc>
          <w:tcPr>
            <w:tcW w:w="1320" w:type="dxa"/>
            <w:vAlign w:val="center"/>
          </w:tcPr>
          <w:p>
            <w:pPr>
              <w:spacing w:line="240" w:lineRule="auto"/>
              <w:ind w:firstLine="0" w:firstLineChars="0"/>
              <w:jc w:val="center"/>
              <w:rPr>
                <w:sz w:val="21"/>
                <w:szCs w:val="21"/>
                <w:highlight w:val="none"/>
              </w:rPr>
            </w:pPr>
            <w:r>
              <w:rPr>
                <w:sz w:val="21"/>
                <w:szCs w:val="21"/>
                <w:highlight w:val="none"/>
              </w:rPr>
              <w:t>级别</w:t>
            </w:r>
          </w:p>
        </w:tc>
        <w:tc>
          <w:tcPr>
            <w:tcW w:w="1134"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评价等级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78"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1</w:t>
            </w:r>
          </w:p>
        </w:tc>
        <w:tc>
          <w:tcPr>
            <w:tcW w:w="1527" w:type="dxa"/>
            <w:vAlign w:val="center"/>
          </w:tcPr>
          <w:p>
            <w:pPr>
              <w:spacing w:line="240" w:lineRule="auto"/>
              <w:ind w:firstLine="0" w:firstLineChars="0"/>
              <w:jc w:val="center"/>
              <w:rPr>
                <w:sz w:val="21"/>
                <w:szCs w:val="21"/>
                <w:highlight w:val="none"/>
              </w:rPr>
            </w:pPr>
            <w:r>
              <w:rPr>
                <w:sz w:val="21"/>
                <w:szCs w:val="21"/>
                <w:highlight w:val="none"/>
              </w:rPr>
              <w:t>项目类别</w:t>
            </w:r>
          </w:p>
        </w:tc>
        <w:tc>
          <w:tcPr>
            <w:tcW w:w="3680" w:type="dxa"/>
            <w:vAlign w:val="center"/>
          </w:tcPr>
          <w:p>
            <w:pPr>
              <w:spacing w:line="240" w:lineRule="auto"/>
              <w:ind w:firstLine="0" w:firstLineChars="0"/>
              <w:jc w:val="center"/>
              <w:rPr>
                <w:sz w:val="21"/>
                <w:szCs w:val="21"/>
                <w:highlight w:val="none"/>
              </w:rPr>
            </w:pPr>
            <w:r>
              <w:rPr>
                <w:sz w:val="21"/>
                <w:szCs w:val="21"/>
                <w:highlight w:val="none"/>
              </w:rPr>
              <w:t>黑色金属采选中选矿厂</w:t>
            </w:r>
          </w:p>
        </w:tc>
        <w:tc>
          <w:tcPr>
            <w:tcW w:w="1320" w:type="dxa"/>
            <w:vAlign w:val="center"/>
          </w:tcPr>
          <w:p>
            <w:pPr>
              <w:spacing w:line="240" w:lineRule="auto"/>
              <w:ind w:firstLine="0" w:firstLineChars="0"/>
              <w:jc w:val="center"/>
              <w:rPr>
                <w:sz w:val="21"/>
                <w:szCs w:val="21"/>
                <w:highlight w:val="none"/>
              </w:rPr>
            </w:pPr>
            <w:r>
              <w:rPr>
                <w:sz w:val="21"/>
                <w:szCs w:val="21"/>
                <w:highlight w:val="none"/>
              </w:rPr>
              <w:t>Ⅱ类项目</w:t>
            </w:r>
          </w:p>
        </w:tc>
        <w:tc>
          <w:tcPr>
            <w:tcW w:w="1134" w:type="dxa"/>
            <w:vMerge w:val="restart"/>
            <w:tcBorders>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二</w:t>
            </w:r>
          </w:p>
          <w:p>
            <w:pPr>
              <w:spacing w:line="240" w:lineRule="auto"/>
              <w:ind w:firstLine="0" w:firstLineChars="0"/>
              <w:jc w:val="center"/>
              <w:rPr>
                <w:sz w:val="21"/>
                <w:szCs w:val="21"/>
                <w:highlight w:val="none"/>
              </w:rPr>
            </w:pPr>
            <w:r>
              <w:rPr>
                <w:sz w:val="21"/>
                <w:szCs w:val="21"/>
                <w:highlight w:val="none"/>
              </w:rPr>
              <w:t>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78"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2</w:t>
            </w:r>
          </w:p>
        </w:tc>
        <w:tc>
          <w:tcPr>
            <w:tcW w:w="1527" w:type="dxa"/>
            <w:vAlign w:val="center"/>
          </w:tcPr>
          <w:p>
            <w:pPr>
              <w:spacing w:line="240" w:lineRule="auto"/>
              <w:ind w:firstLine="0" w:firstLineChars="0"/>
              <w:jc w:val="center"/>
              <w:rPr>
                <w:sz w:val="21"/>
                <w:szCs w:val="21"/>
                <w:highlight w:val="none"/>
              </w:rPr>
            </w:pPr>
            <w:r>
              <w:rPr>
                <w:sz w:val="21"/>
                <w:szCs w:val="21"/>
                <w:highlight w:val="none"/>
              </w:rPr>
              <w:t>地下水环境敏感程度</w:t>
            </w:r>
          </w:p>
        </w:tc>
        <w:tc>
          <w:tcPr>
            <w:tcW w:w="3680" w:type="dxa"/>
            <w:vAlign w:val="center"/>
          </w:tcPr>
          <w:p>
            <w:pPr>
              <w:spacing w:line="240" w:lineRule="auto"/>
              <w:ind w:firstLine="0" w:firstLineChars="0"/>
              <w:jc w:val="center"/>
              <w:rPr>
                <w:sz w:val="21"/>
                <w:szCs w:val="21"/>
                <w:highlight w:val="none"/>
              </w:rPr>
            </w:pPr>
            <w:r>
              <w:rPr>
                <w:rFonts w:hint="eastAsia"/>
                <w:sz w:val="21"/>
                <w:szCs w:val="21"/>
                <w:highlight w:val="none"/>
              </w:rPr>
              <w:t>项目周边村庄供水方式主要为自来水和单井单户供水相结合的供水方式，自来水单井供水能力小于1000人，为</w:t>
            </w:r>
            <w:r>
              <w:rPr>
                <w:sz w:val="21"/>
                <w:szCs w:val="21"/>
                <w:highlight w:val="none"/>
              </w:rPr>
              <w:t>分散式饮用水水源井</w:t>
            </w:r>
          </w:p>
        </w:tc>
        <w:tc>
          <w:tcPr>
            <w:tcW w:w="1320" w:type="dxa"/>
            <w:vAlign w:val="center"/>
          </w:tcPr>
          <w:p>
            <w:pPr>
              <w:spacing w:line="240" w:lineRule="auto"/>
              <w:ind w:firstLine="0" w:firstLineChars="0"/>
              <w:jc w:val="center"/>
              <w:rPr>
                <w:sz w:val="21"/>
                <w:szCs w:val="21"/>
                <w:highlight w:val="none"/>
              </w:rPr>
            </w:pPr>
            <w:r>
              <w:rPr>
                <w:rFonts w:hint="eastAsia"/>
                <w:sz w:val="21"/>
                <w:szCs w:val="21"/>
                <w:highlight w:val="none"/>
              </w:rPr>
              <w:t>较</w:t>
            </w:r>
            <w:r>
              <w:rPr>
                <w:sz w:val="21"/>
                <w:szCs w:val="21"/>
                <w:highlight w:val="none"/>
              </w:rPr>
              <w:t>敏感</w:t>
            </w:r>
          </w:p>
        </w:tc>
        <w:tc>
          <w:tcPr>
            <w:tcW w:w="1134" w:type="dxa"/>
            <w:vMerge w:val="continue"/>
            <w:tcBorders>
              <w:right w:val="single" w:color="auto" w:sz="4" w:space="0"/>
            </w:tcBorders>
            <w:vAlign w:val="center"/>
          </w:tcPr>
          <w:p>
            <w:pPr>
              <w:spacing w:line="240" w:lineRule="auto"/>
              <w:ind w:firstLine="420"/>
              <w:jc w:val="center"/>
              <w:rPr>
                <w:sz w:val="21"/>
                <w:szCs w:val="21"/>
                <w:highlight w:val="none"/>
              </w:rPr>
            </w:pPr>
          </w:p>
        </w:tc>
      </w:tr>
    </w:tbl>
    <w:p>
      <w:pPr>
        <w:pStyle w:val="3"/>
        <w:numPr>
          <w:ilvl w:val="3"/>
          <w:numId w:val="1"/>
        </w:numPr>
        <w:ind w:left="709" w:hanging="709"/>
        <w:rPr>
          <w:rFonts w:eastAsia="宋体"/>
          <w:b/>
          <w:highlight w:val="none"/>
        </w:rPr>
      </w:pPr>
      <w:r>
        <w:rPr>
          <w:rFonts w:hint="eastAsia" w:eastAsia="宋体"/>
          <w:b/>
          <w:highlight w:val="none"/>
        </w:rPr>
        <w:t>土壤环境影响评价工作等级</w:t>
      </w:r>
    </w:p>
    <w:p>
      <w:pPr>
        <w:ind w:firstLine="480"/>
        <w:rPr>
          <w:sz w:val="24"/>
          <w:szCs w:val="22"/>
          <w:highlight w:val="none"/>
        </w:rPr>
      </w:pPr>
      <w:r>
        <w:rPr>
          <w:rFonts w:hint="eastAsia"/>
          <w:sz w:val="24"/>
          <w:szCs w:val="22"/>
          <w:highlight w:val="none"/>
        </w:rPr>
        <w:t>依据《环境影响评价技术导则 土壤环境》（HJ964-2018）评价等级划分的规定，建设项目土壤环境影响评价工作等级的划分应依据建设项目影响类型、行业分类、项目占地规模及土壤环境敏感程度分级进行判定。</w:t>
      </w:r>
    </w:p>
    <w:p>
      <w:pPr>
        <w:ind w:firstLine="480"/>
        <w:rPr>
          <w:sz w:val="24"/>
          <w:szCs w:val="22"/>
          <w:highlight w:val="none"/>
        </w:rPr>
      </w:pPr>
      <w:r>
        <w:rPr>
          <w:rFonts w:hint="eastAsia"/>
          <w:sz w:val="24"/>
          <w:szCs w:val="22"/>
          <w:highlight w:val="none"/>
        </w:rPr>
        <w:t>依据《建设项目环境影响评价技术导则·总纲》(HJ2.1-2016)中对建设项目污染影响和生态影响的相关要求，结合本项目的工程分析内容，确定升级改造项目土壤环境影响类型为“污染影响型”。</w:t>
      </w:r>
    </w:p>
    <w:p>
      <w:pPr>
        <w:ind w:firstLine="480"/>
        <w:rPr>
          <w:sz w:val="24"/>
          <w:szCs w:val="22"/>
          <w:highlight w:val="none"/>
        </w:rPr>
      </w:pPr>
      <w:r>
        <w:rPr>
          <w:rFonts w:hint="eastAsia"/>
          <w:sz w:val="24"/>
          <w:szCs w:val="22"/>
          <w:highlight w:val="none"/>
        </w:rPr>
        <w:t>(1)项目类别</w:t>
      </w:r>
    </w:p>
    <w:p>
      <w:pPr>
        <w:ind w:firstLine="480"/>
        <w:rPr>
          <w:sz w:val="24"/>
          <w:szCs w:val="22"/>
          <w:highlight w:val="none"/>
        </w:rPr>
      </w:pPr>
      <w:r>
        <w:rPr>
          <w:rFonts w:hint="eastAsia"/>
          <w:sz w:val="24"/>
          <w:szCs w:val="22"/>
          <w:highlight w:val="none"/>
        </w:rPr>
        <w:t>根据《环境影响评价技术导则·土壤环境（试行）》(HJ964-2018)附录A—土壤环境影响评价项目类别表，确定升级改造项目土壤环境影响评价项目类别为III类（“采矿业”中的“其他”类别）。</w:t>
      </w:r>
    </w:p>
    <w:p>
      <w:pPr>
        <w:ind w:firstLine="480"/>
        <w:rPr>
          <w:sz w:val="24"/>
          <w:szCs w:val="22"/>
          <w:highlight w:val="none"/>
        </w:rPr>
      </w:pPr>
      <w:r>
        <w:rPr>
          <w:rFonts w:hint="eastAsia"/>
          <w:sz w:val="24"/>
          <w:szCs w:val="22"/>
          <w:highlight w:val="none"/>
        </w:rPr>
        <w:t>(2)占地规模</w:t>
      </w:r>
    </w:p>
    <w:p>
      <w:pPr>
        <w:ind w:firstLine="480"/>
        <w:rPr>
          <w:sz w:val="24"/>
          <w:szCs w:val="22"/>
          <w:highlight w:val="none"/>
        </w:rPr>
      </w:pPr>
      <w:r>
        <w:rPr>
          <w:rFonts w:hint="eastAsia"/>
          <w:sz w:val="24"/>
          <w:szCs w:val="22"/>
          <w:highlight w:val="none"/>
        </w:rPr>
        <w:t>升级改造项目永久占地规模为15005.46m</w:t>
      </w:r>
      <w:r>
        <w:rPr>
          <w:rFonts w:hint="eastAsia"/>
          <w:sz w:val="24"/>
          <w:szCs w:val="22"/>
          <w:highlight w:val="none"/>
          <w:vertAlign w:val="superscript"/>
        </w:rPr>
        <w:t>2</w:t>
      </w:r>
      <w:r>
        <w:rPr>
          <w:rFonts w:hint="eastAsia"/>
          <w:sz w:val="24"/>
          <w:szCs w:val="22"/>
          <w:highlight w:val="none"/>
        </w:rPr>
        <w:t>＜5hm</w:t>
      </w:r>
      <w:r>
        <w:rPr>
          <w:rFonts w:hint="eastAsia"/>
          <w:sz w:val="24"/>
          <w:szCs w:val="22"/>
          <w:highlight w:val="none"/>
          <w:vertAlign w:val="superscript"/>
        </w:rPr>
        <w:t>2</w:t>
      </w:r>
      <w:r>
        <w:rPr>
          <w:rFonts w:hint="eastAsia"/>
          <w:sz w:val="24"/>
          <w:szCs w:val="22"/>
          <w:highlight w:val="none"/>
        </w:rPr>
        <w:t>，属于小型规模。</w:t>
      </w:r>
    </w:p>
    <w:p>
      <w:pPr>
        <w:ind w:firstLine="480"/>
        <w:rPr>
          <w:sz w:val="24"/>
          <w:szCs w:val="22"/>
          <w:highlight w:val="none"/>
        </w:rPr>
      </w:pPr>
      <w:r>
        <w:rPr>
          <w:rFonts w:hint="eastAsia"/>
          <w:sz w:val="24"/>
          <w:szCs w:val="22"/>
          <w:highlight w:val="none"/>
        </w:rPr>
        <w:t>(3)土壤环境敏感程度</w:t>
      </w:r>
    </w:p>
    <w:p>
      <w:pPr>
        <w:ind w:firstLine="480"/>
        <w:rPr>
          <w:sz w:val="24"/>
          <w:szCs w:val="22"/>
          <w:highlight w:val="none"/>
        </w:rPr>
      </w:pPr>
      <w:r>
        <w:rPr>
          <w:rFonts w:hint="eastAsia"/>
          <w:sz w:val="24"/>
          <w:szCs w:val="22"/>
          <w:highlight w:val="none"/>
        </w:rPr>
        <w:t>建设项目所在地周边的土壤环境敏感程度可分为敏感、较敏感、不敏感三级，判别依据见</w:t>
      </w:r>
      <w:r>
        <w:rPr>
          <w:rFonts w:hint="eastAsia"/>
          <w:sz w:val="24"/>
          <w:szCs w:val="24"/>
          <w:highlight w:val="none"/>
        </w:rPr>
        <w:t>表2.4-12</w:t>
      </w:r>
      <w:r>
        <w:rPr>
          <w:rFonts w:hint="eastAsia"/>
          <w:sz w:val="24"/>
          <w:szCs w:val="22"/>
          <w:highlight w:val="none"/>
        </w:rPr>
        <w:t>。</w:t>
      </w:r>
    </w:p>
    <w:p>
      <w:pPr>
        <w:spacing w:line="240" w:lineRule="auto"/>
        <w:ind w:firstLineChars="0"/>
        <w:jc w:val="center"/>
        <w:textAlignment w:val="auto"/>
        <w:rPr>
          <w:rFonts w:eastAsia="黑体"/>
          <w:kern w:val="2"/>
          <w:sz w:val="21"/>
          <w:szCs w:val="21"/>
          <w:highlight w:val="none"/>
        </w:rPr>
      </w:pPr>
      <w:bookmarkStart w:id="110" w:name="_Ref14098024"/>
      <w:r>
        <w:rPr>
          <w:rFonts w:hint="eastAsia" w:eastAsia="黑体"/>
          <w:kern w:val="2"/>
          <w:sz w:val="21"/>
          <w:szCs w:val="21"/>
          <w:highlight w:val="none"/>
        </w:rPr>
        <w:t>表2.4-12</w:t>
      </w:r>
      <w:bookmarkEnd w:id="110"/>
      <w:r>
        <w:rPr>
          <w:rFonts w:hint="eastAsia" w:eastAsia="黑体"/>
          <w:kern w:val="2"/>
          <w:sz w:val="21"/>
          <w:szCs w:val="21"/>
          <w:highlight w:val="none"/>
        </w:rPr>
        <w:t xml:space="preserve">    污染影响型敏感程度分级表</w:t>
      </w:r>
    </w:p>
    <w:tbl>
      <w:tblPr>
        <w:tblStyle w:val="5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6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auto"/>
          </w:tcPr>
          <w:p>
            <w:pPr>
              <w:pStyle w:val="417"/>
              <w:spacing w:line="240" w:lineRule="auto"/>
              <w:rPr>
                <w:highlight w:val="none"/>
              </w:rPr>
            </w:pPr>
            <w:r>
              <w:rPr>
                <w:rFonts w:hint="eastAsia"/>
                <w:highlight w:val="none"/>
              </w:rPr>
              <w:t>敏感程度</w:t>
            </w:r>
          </w:p>
        </w:tc>
        <w:tc>
          <w:tcPr>
            <w:tcW w:w="6883" w:type="dxa"/>
            <w:shd w:val="clear" w:color="auto" w:fill="auto"/>
          </w:tcPr>
          <w:p>
            <w:pPr>
              <w:pStyle w:val="417"/>
              <w:spacing w:line="240" w:lineRule="auto"/>
              <w:rPr>
                <w:highlight w:val="none"/>
              </w:rPr>
            </w:pPr>
            <w:r>
              <w:rPr>
                <w:rFonts w:hint="eastAsia"/>
                <w:highlight w:val="none"/>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auto"/>
          </w:tcPr>
          <w:p>
            <w:pPr>
              <w:pStyle w:val="417"/>
              <w:spacing w:line="240" w:lineRule="auto"/>
              <w:rPr>
                <w:highlight w:val="none"/>
              </w:rPr>
            </w:pPr>
            <w:r>
              <w:rPr>
                <w:rFonts w:hint="eastAsia"/>
                <w:highlight w:val="none"/>
              </w:rPr>
              <w:t>敏感</w:t>
            </w:r>
          </w:p>
        </w:tc>
        <w:tc>
          <w:tcPr>
            <w:tcW w:w="6883" w:type="dxa"/>
            <w:shd w:val="clear" w:color="auto" w:fill="auto"/>
          </w:tcPr>
          <w:p>
            <w:pPr>
              <w:pStyle w:val="417"/>
              <w:spacing w:line="240" w:lineRule="auto"/>
              <w:rPr>
                <w:highlight w:val="none"/>
              </w:rPr>
            </w:pPr>
            <w:r>
              <w:rPr>
                <w:rFonts w:hint="eastAsia"/>
                <w:highlight w:val="none"/>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auto"/>
          </w:tcPr>
          <w:p>
            <w:pPr>
              <w:pStyle w:val="417"/>
              <w:spacing w:line="240" w:lineRule="auto"/>
              <w:rPr>
                <w:highlight w:val="none"/>
              </w:rPr>
            </w:pPr>
            <w:r>
              <w:rPr>
                <w:rFonts w:hint="eastAsia"/>
                <w:highlight w:val="none"/>
              </w:rPr>
              <w:t>较敏感</w:t>
            </w:r>
          </w:p>
        </w:tc>
        <w:tc>
          <w:tcPr>
            <w:tcW w:w="6883" w:type="dxa"/>
            <w:shd w:val="clear" w:color="auto" w:fill="auto"/>
          </w:tcPr>
          <w:p>
            <w:pPr>
              <w:pStyle w:val="417"/>
              <w:spacing w:line="240" w:lineRule="auto"/>
              <w:rPr>
                <w:highlight w:val="none"/>
              </w:rPr>
            </w:pPr>
            <w:r>
              <w:rPr>
                <w:rFonts w:hint="eastAsia"/>
                <w:highlight w:val="none"/>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auto"/>
          </w:tcPr>
          <w:p>
            <w:pPr>
              <w:pStyle w:val="417"/>
              <w:spacing w:line="240" w:lineRule="auto"/>
              <w:rPr>
                <w:highlight w:val="none"/>
              </w:rPr>
            </w:pPr>
            <w:r>
              <w:rPr>
                <w:rFonts w:hint="eastAsia"/>
                <w:highlight w:val="none"/>
              </w:rPr>
              <w:t>不敏感</w:t>
            </w:r>
          </w:p>
        </w:tc>
        <w:tc>
          <w:tcPr>
            <w:tcW w:w="6883" w:type="dxa"/>
            <w:shd w:val="clear" w:color="auto" w:fill="auto"/>
          </w:tcPr>
          <w:p>
            <w:pPr>
              <w:pStyle w:val="417"/>
              <w:spacing w:line="240" w:lineRule="auto"/>
              <w:rPr>
                <w:highlight w:val="none"/>
              </w:rPr>
            </w:pPr>
            <w:r>
              <w:rPr>
                <w:rFonts w:hint="eastAsia"/>
                <w:highlight w:val="none"/>
              </w:rPr>
              <w:t>其他情况</w:t>
            </w:r>
          </w:p>
        </w:tc>
      </w:tr>
    </w:tbl>
    <w:p>
      <w:pPr>
        <w:ind w:firstLine="480"/>
        <w:rPr>
          <w:sz w:val="24"/>
          <w:szCs w:val="22"/>
          <w:highlight w:val="none"/>
        </w:rPr>
      </w:pPr>
      <w:r>
        <w:rPr>
          <w:rFonts w:hint="eastAsia"/>
          <w:sz w:val="24"/>
          <w:szCs w:val="22"/>
          <w:highlight w:val="none"/>
        </w:rPr>
        <w:t>项目厂区周边存在耕地等土壤环境敏感目标，因此，本项目土壤环境敏感程度分级为敏感。</w:t>
      </w:r>
    </w:p>
    <w:p>
      <w:pPr>
        <w:ind w:firstLine="480"/>
        <w:rPr>
          <w:sz w:val="24"/>
          <w:szCs w:val="22"/>
          <w:highlight w:val="none"/>
        </w:rPr>
      </w:pPr>
      <w:r>
        <w:rPr>
          <w:rFonts w:hint="eastAsia"/>
          <w:sz w:val="24"/>
          <w:szCs w:val="22"/>
          <w:highlight w:val="none"/>
        </w:rPr>
        <w:t>(2)评价工作等级划分依据</w:t>
      </w:r>
    </w:p>
    <w:p>
      <w:pPr>
        <w:ind w:firstLine="480"/>
        <w:rPr>
          <w:sz w:val="24"/>
          <w:szCs w:val="22"/>
          <w:highlight w:val="none"/>
        </w:rPr>
      </w:pPr>
      <w:r>
        <w:rPr>
          <w:rFonts w:hint="eastAsia"/>
          <w:sz w:val="24"/>
          <w:szCs w:val="22"/>
          <w:highlight w:val="none"/>
        </w:rPr>
        <w:t>根据《环境影响评价技术导则·土壤环境（试行）》(HJ964-2018)，土壤环境影响评价工作等级划分见表</w:t>
      </w:r>
      <w:r>
        <w:rPr>
          <w:rFonts w:hint="eastAsia"/>
          <w:sz w:val="24"/>
          <w:szCs w:val="24"/>
          <w:highlight w:val="none"/>
        </w:rPr>
        <w:t>2.4-13</w:t>
      </w:r>
      <w:r>
        <w:rPr>
          <w:rFonts w:hint="eastAsia"/>
          <w:sz w:val="24"/>
          <w:szCs w:val="22"/>
          <w:highlight w:val="none"/>
        </w:rPr>
        <w:t>。</w:t>
      </w:r>
    </w:p>
    <w:p>
      <w:pPr>
        <w:spacing w:line="240" w:lineRule="auto"/>
        <w:ind w:firstLineChars="0"/>
        <w:jc w:val="center"/>
        <w:textAlignment w:val="auto"/>
        <w:rPr>
          <w:rFonts w:eastAsia="黑体"/>
          <w:kern w:val="2"/>
          <w:sz w:val="21"/>
          <w:szCs w:val="21"/>
          <w:highlight w:val="none"/>
        </w:rPr>
      </w:pPr>
      <w:bookmarkStart w:id="111" w:name="_Ref14766141"/>
      <w:r>
        <w:rPr>
          <w:rFonts w:hint="eastAsia" w:eastAsia="黑体"/>
          <w:kern w:val="2"/>
          <w:sz w:val="21"/>
          <w:szCs w:val="21"/>
          <w:highlight w:val="none"/>
        </w:rPr>
        <w:t xml:space="preserve">表2.4-13 </w:t>
      </w:r>
      <w:bookmarkEnd w:id="111"/>
      <w:r>
        <w:rPr>
          <w:rFonts w:hint="eastAsia" w:eastAsia="黑体"/>
          <w:kern w:val="2"/>
          <w:sz w:val="21"/>
          <w:szCs w:val="21"/>
          <w:highlight w:val="none"/>
        </w:rPr>
        <w:t xml:space="preserve">    污染影响型评价工作等级划分表</w:t>
      </w:r>
    </w:p>
    <w:tbl>
      <w:tblPr>
        <w:tblStyle w:val="56"/>
        <w:tblW w:w="829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709"/>
        <w:gridCol w:w="708"/>
        <w:gridCol w:w="567"/>
        <w:gridCol w:w="567"/>
        <w:gridCol w:w="709"/>
        <w:gridCol w:w="709"/>
        <w:gridCol w:w="567"/>
        <w:gridCol w:w="567"/>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47" w:type="dxa"/>
            <w:vMerge w:val="restart"/>
            <w:shd w:val="clear" w:color="auto" w:fill="auto"/>
            <w:tcMar>
              <w:left w:w="0" w:type="dxa"/>
              <w:right w:w="0" w:type="dxa"/>
            </w:tcMar>
            <w:vAlign w:val="center"/>
          </w:tcPr>
          <w:p>
            <w:pPr>
              <w:pStyle w:val="417"/>
              <w:spacing w:line="240" w:lineRule="auto"/>
              <w:rPr>
                <w:highlight w:val="none"/>
              </w:rPr>
            </w:pPr>
            <w:r>
              <w:rPr>
                <w:rFonts w:hint="eastAsia"/>
                <w:highlight w:val="none"/>
              </w:rPr>
              <w:t xml:space="preserve"> </w:t>
            </w:r>
            <w:r>
              <w:rPr>
                <w:highlight w:val="none"/>
              </w:rPr>
              <w:t xml:space="preserve">             </w:t>
            </w:r>
            <w:r>
              <w:rPr>
                <w:rFonts w:hint="eastAsia"/>
                <w:highlight w:val="none"/>
              </w:rPr>
              <w:t>占地规模</w:t>
            </w:r>
          </w:p>
          <w:p>
            <w:pPr>
              <w:pStyle w:val="417"/>
              <w:spacing w:line="240" w:lineRule="auto"/>
              <w:rPr>
                <w:highlight w:val="none"/>
              </w:rPr>
            </w:pPr>
            <w:r>
              <w:rPr>
                <w:highlight w:val="none"/>
              </w:rPr>
              <mc:AlternateContent>
                <mc:Choice Requires="wps">
                  <w:drawing>
                    <wp:anchor distT="0" distB="0" distL="114300" distR="114300" simplePos="0" relativeHeight="251671552" behindDoc="0" locked="0" layoutInCell="1" allowOverlap="1">
                      <wp:simplePos x="0" y="0"/>
                      <wp:positionH relativeFrom="column">
                        <wp:posOffset>16510</wp:posOffset>
                      </wp:positionH>
                      <wp:positionV relativeFrom="paragraph">
                        <wp:posOffset>99695</wp:posOffset>
                      </wp:positionV>
                      <wp:extent cx="1593215" cy="241935"/>
                      <wp:effectExtent l="635" t="4445" r="6350" b="20320"/>
                      <wp:wrapNone/>
                      <wp:docPr id="4" name="直接连接符 4"/>
                      <wp:cNvGraphicFramePr/>
                      <a:graphic xmlns:a="http://schemas.openxmlformats.org/drawingml/2006/main">
                        <a:graphicData uri="http://schemas.microsoft.com/office/word/2010/wordprocessingShape">
                          <wps:wsp>
                            <wps:cNvCnPr/>
                            <wps:spPr>
                              <a:xfrm flipH="1" flipV="1">
                                <a:off x="0" y="0"/>
                                <a:ext cx="1638300" cy="36576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flip:x y;margin-left:1.3pt;margin-top:7.85pt;height:19.05pt;width:125.45pt;z-index:251671552;mso-width-relative:page;mso-height-relative:page;" filled="f" stroked="t" coordsize="21600,21600" o:gfxdata="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Bb7ybWAAAABwEAAA8AAAAAAAAAAQAgAAAAIgAAAGRy&#10;cy9kb3ducmV2LnhtbFBLAQIUABQAAAAIAIdO4kBviYTFBwIAAOwDAAAOAAAAAAAAAAEAIAAAACUB&#10;AABkcnMvZTJvRG9jLnhtbFBLBQYAAAAABgAGAFkBAACeBQAAAAA=&#10;">
                      <v:fill on="f" focussize="0,0"/>
                      <v:stroke weight="0.5pt" color="#000000" miterlimit="8" joinstyle="miter"/>
                      <v:imagedata o:title=""/>
                      <o:lock v:ext="edit" aspectratio="f"/>
                    </v:line>
                  </w:pict>
                </mc:Fallback>
              </mc:AlternateContent>
            </w:r>
            <w:r>
              <w:rPr>
                <w:rFonts w:hint="eastAsia"/>
                <w:highlight w:val="none"/>
              </w:rPr>
              <w:t>评价工作等级</w:t>
            </w:r>
          </w:p>
          <w:p>
            <w:pPr>
              <w:pStyle w:val="417"/>
              <w:spacing w:line="240" w:lineRule="auto"/>
              <w:jc w:val="left"/>
              <w:rPr>
                <w:highlight w:val="none"/>
              </w:rPr>
            </w:pPr>
            <w:r>
              <w:rPr>
                <w:rFonts w:hint="eastAsia"/>
                <w:highlight w:val="none"/>
              </w:rPr>
              <w:t>敏感程度</w:t>
            </w:r>
          </w:p>
        </w:tc>
        <w:tc>
          <w:tcPr>
            <w:tcW w:w="1984" w:type="dxa"/>
            <w:gridSpan w:val="3"/>
            <w:shd w:val="clear" w:color="auto" w:fill="auto"/>
            <w:tcMar>
              <w:left w:w="0" w:type="dxa"/>
              <w:right w:w="0" w:type="dxa"/>
            </w:tcMar>
            <w:vAlign w:val="center"/>
          </w:tcPr>
          <w:p>
            <w:pPr>
              <w:pStyle w:val="417"/>
              <w:spacing w:line="240" w:lineRule="auto"/>
              <w:rPr>
                <w:highlight w:val="none"/>
              </w:rPr>
            </w:pPr>
            <w:r>
              <w:rPr>
                <w:rFonts w:hint="eastAsia"/>
                <w:highlight w:val="none"/>
              </w:rPr>
              <w:t>Ⅰ类</w:t>
            </w:r>
          </w:p>
        </w:tc>
        <w:tc>
          <w:tcPr>
            <w:tcW w:w="1985" w:type="dxa"/>
            <w:gridSpan w:val="3"/>
            <w:shd w:val="clear" w:color="auto" w:fill="auto"/>
            <w:tcMar>
              <w:left w:w="0" w:type="dxa"/>
              <w:right w:w="0" w:type="dxa"/>
            </w:tcMar>
            <w:vAlign w:val="center"/>
          </w:tcPr>
          <w:p>
            <w:pPr>
              <w:pStyle w:val="417"/>
              <w:spacing w:line="240" w:lineRule="auto"/>
              <w:rPr>
                <w:highlight w:val="none"/>
              </w:rPr>
            </w:pPr>
            <w:r>
              <w:rPr>
                <w:rFonts w:hint="eastAsia"/>
                <w:highlight w:val="none"/>
              </w:rPr>
              <w:t>Ⅱ类</w:t>
            </w:r>
          </w:p>
        </w:tc>
        <w:tc>
          <w:tcPr>
            <w:tcW w:w="1780" w:type="dxa"/>
            <w:gridSpan w:val="3"/>
            <w:shd w:val="clear" w:color="auto" w:fill="auto"/>
            <w:tcMar>
              <w:left w:w="0" w:type="dxa"/>
              <w:right w:w="0" w:type="dxa"/>
            </w:tcMar>
            <w:vAlign w:val="center"/>
          </w:tcPr>
          <w:p>
            <w:pPr>
              <w:pStyle w:val="417"/>
              <w:spacing w:line="240" w:lineRule="auto"/>
              <w:rPr>
                <w:highlight w:val="none"/>
              </w:rPr>
            </w:pPr>
            <w:r>
              <w:rPr>
                <w:rFonts w:hint="eastAsia"/>
                <w:highlight w:val="non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Merge w:val="continue"/>
            <w:shd w:val="clear" w:color="auto" w:fill="auto"/>
            <w:tcMar>
              <w:left w:w="0" w:type="dxa"/>
              <w:right w:w="0" w:type="dxa"/>
            </w:tcMar>
            <w:vAlign w:val="center"/>
          </w:tcPr>
          <w:p>
            <w:pPr>
              <w:pStyle w:val="417"/>
              <w:spacing w:line="240" w:lineRule="auto"/>
              <w:rPr>
                <w:highlight w:val="none"/>
              </w:rPr>
            </w:pP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大</w:t>
            </w:r>
          </w:p>
        </w:tc>
        <w:tc>
          <w:tcPr>
            <w:tcW w:w="708" w:type="dxa"/>
            <w:shd w:val="clear" w:color="auto" w:fill="auto"/>
            <w:tcMar>
              <w:left w:w="0" w:type="dxa"/>
              <w:right w:w="0" w:type="dxa"/>
            </w:tcMar>
            <w:vAlign w:val="center"/>
          </w:tcPr>
          <w:p>
            <w:pPr>
              <w:pStyle w:val="417"/>
              <w:spacing w:line="240" w:lineRule="auto"/>
              <w:rPr>
                <w:highlight w:val="none"/>
              </w:rPr>
            </w:pPr>
            <w:r>
              <w:rPr>
                <w:rFonts w:hint="eastAsia"/>
                <w:highlight w:val="none"/>
              </w:rPr>
              <w:t>中</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小</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大</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中</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小</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中</w:t>
            </w:r>
          </w:p>
        </w:tc>
        <w:tc>
          <w:tcPr>
            <w:tcW w:w="646" w:type="dxa"/>
            <w:shd w:val="clear" w:color="auto" w:fill="auto"/>
            <w:tcMar>
              <w:left w:w="0" w:type="dxa"/>
              <w:right w:w="0" w:type="dxa"/>
            </w:tcMar>
            <w:vAlign w:val="center"/>
          </w:tcPr>
          <w:p>
            <w:pPr>
              <w:pStyle w:val="417"/>
              <w:spacing w:line="240" w:lineRule="auto"/>
              <w:rPr>
                <w:highlight w:val="none"/>
              </w:rPr>
            </w:pPr>
            <w:r>
              <w:rPr>
                <w:rFonts w:hint="eastAsia"/>
                <w:highlight w:val="none"/>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shd w:val="clear" w:color="auto" w:fill="auto"/>
            <w:tcMar>
              <w:left w:w="0" w:type="dxa"/>
              <w:right w:w="0" w:type="dxa"/>
            </w:tcMar>
            <w:vAlign w:val="center"/>
          </w:tcPr>
          <w:p>
            <w:pPr>
              <w:pStyle w:val="417"/>
              <w:spacing w:line="240" w:lineRule="auto"/>
              <w:rPr>
                <w:highlight w:val="none"/>
              </w:rPr>
            </w:pPr>
            <w:r>
              <w:rPr>
                <w:rFonts w:hint="eastAsia"/>
                <w:highlight w:val="none"/>
              </w:rPr>
              <w:t>敏感</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一级</w:t>
            </w:r>
          </w:p>
        </w:tc>
        <w:tc>
          <w:tcPr>
            <w:tcW w:w="708" w:type="dxa"/>
            <w:shd w:val="clear" w:color="auto" w:fill="auto"/>
            <w:tcMar>
              <w:left w:w="0" w:type="dxa"/>
              <w:right w:w="0" w:type="dxa"/>
            </w:tcMar>
            <w:vAlign w:val="center"/>
          </w:tcPr>
          <w:p>
            <w:pPr>
              <w:pStyle w:val="417"/>
              <w:spacing w:line="240" w:lineRule="auto"/>
              <w:rPr>
                <w:highlight w:val="none"/>
              </w:rPr>
            </w:pPr>
            <w:r>
              <w:rPr>
                <w:rFonts w:hint="eastAsia"/>
                <w:highlight w:val="none"/>
              </w:rPr>
              <w:t>一级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一级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三级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三级</w:t>
            </w:r>
          </w:p>
        </w:tc>
        <w:tc>
          <w:tcPr>
            <w:tcW w:w="646" w:type="dxa"/>
            <w:shd w:val="clear" w:color="auto" w:fill="auto"/>
            <w:tcMar>
              <w:left w:w="0" w:type="dxa"/>
              <w:right w:w="0" w:type="dxa"/>
            </w:tcMar>
            <w:vAlign w:val="center"/>
          </w:tcPr>
          <w:p>
            <w:pPr>
              <w:pStyle w:val="417"/>
              <w:spacing w:line="240" w:lineRule="auto"/>
              <w:rPr>
                <w:b/>
                <w:bCs/>
                <w:highlight w:val="none"/>
              </w:rPr>
            </w:pPr>
            <w:r>
              <w:rPr>
                <w:rFonts w:hint="eastAsia"/>
                <w:b/>
                <w:bCs/>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shd w:val="clear" w:color="auto" w:fill="auto"/>
            <w:tcMar>
              <w:left w:w="0" w:type="dxa"/>
              <w:right w:w="0" w:type="dxa"/>
            </w:tcMar>
            <w:vAlign w:val="center"/>
          </w:tcPr>
          <w:p>
            <w:pPr>
              <w:pStyle w:val="417"/>
              <w:spacing w:line="240" w:lineRule="auto"/>
              <w:rPr>
                <w:highlight w:val="none"/>
              </w:rPr>
            </w:pPr>
            <w:r>
              <w:rPr>
                <w:rFonts w:hint="eastAsia"/>
                <w:highlight w:val="none"/>
              </w:rPr>
              <w:t>较敏感</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一级</w:t>
            </w:r>
          </w:p>
        </w:tc>
        <w:tc>
          <w:tcPr>
            <w:tcW w:w="708" w:type="dxa"/>
            <w:shd w:val="clear" w:color="auto" w:fill="auto"/>
            <w:tcMar>
              <w:left w:w="0" w:type="dxa"/>
              <w:right w:w="0" w:type="dxa"/>
            </w:tcMar>
            <w:vAlign w:val="center"/>
          </w:tcPr>
          <w:p>
            <w:pPr>
              <w:pStyle w:val="417"/>
              <w:spacing w:line="240" w:lineRule="auto"/>
              <w:rPr>
                <w:highlight w:val="none"/>
              </w:rPr>
            </w:pPr>
            <w:r>
              <w:rPr>
                <w:rFonts w:hint="eastAsia"/>
                <w:highlight w:val="none"/>
              </w:rPr>
              <w:t>一级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三级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三级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三级</w:t>
            </w:r>
          </w:p>
        </w:tc>
        <w:tc>
          <w:tcPr>
            <w:tcW w:w="646" w:type="dxa"/>
            <w:shd w:val="clear" w:color="auto" w:fill="auto"/>
            <w:tcMar>
              <w:left w:w="0" w:type="dxa"/>
              <w:right w:w="0" w:type="dxa"/>
            </w:tcMar>
            <w:vAlign w:val="center"/>
          </w:tcPr>
          <w:p>
            <w:pPr>
              <w:pStyle w:val="417"/>
              <w:spacing w:line="240" w:lineRule="auto"/>
              <w:rPr>
                <w:highlight w:val="none"/>
              </w:rPr>
            </w:pPr>
            <w:r>
              <w:rPr>
                <w:rFonts w:hint="eastAsia"/>
                <w:highlight w:val="none"/>
              </w:rPr>
              <w:t>-</w:t>
            </w:r>
            <w:r>
              <w:rPr>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shd w:val="clear" w:color="auto" w:fill="auto"/>
            <w:tcMar>
              <w:left w:w="0" w:type="dxa"/>
              <w:right w:w="0" w:type="dxa"/>
            </w:tcMar>
            <w:vAlign w:val="center"/>
          </w:tcPr>
          <w:p>
            <w:pPr>
              <w:pStyle w:val="417"/>
              <w:spacing w:line="240" w:lineRule="auto"/>
              <w:rPr>
                <w:highlight w:val="none"/>
              </w:rPr>
            </w:pPr>
            <w:r>
              <w:rPr>
                <w:rFonts w:hint="eastAsia"/>
                <w:highlight w:val="none"/>
              </w:rPr>
              <w:t>不敏感</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一级</w:t>
            </w:r>
          </w:p>
        </w:tc>
        <w:tc>
          <w:tcPr>
            <w:tcW w:w="708"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二级</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三级</w:t>
            </w:r>
          </w:p>
        </w:tc>
        <w:tc>
          <w:tcPr>
            <w:tcW w:w="709" w:type="dxa"/>
            <w:shd w:val="clear" w:color="auto" w:fill="auto"/>
            <w:tcMar>
              <w:left w:w="0" w:type="dxa"/>
              <w:right w:w="0" w:type="dxa"/>
            </w:tcMar>
            <w:vAlign w:val="center"/>
          </w:tcPr>
          <w:p>
            <w:pPr>
              <w:pStyle w:val="417"/>
              <w:spacing w:line="240" w:lineRule="auto"/>
              <w:rPr>
                <w:highlight w:val="none"/>
              </w:rPr>
            </w:pPr>
            <w:r>
              <w:rPr>
                <w:rFonts w:hint="eastAsia"/>
                <w:highlight w:val="none"/>
              </w:rPr>
              <w:t>三级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三级</w:t>
            </w:r>
          </w:p>
        </w:tc>
        <w:tc>
          <w:tcPr>
            <w:tcW w:w="567" w:type="dxa"/>
            <w:shd w:val="clear" w:color="auto" w:fill="auto"/>
            <w:tcMar>
              <w:left w:w="0" w:type="dxa"/>
              <w:right w:w="0" w:type="dxa"/>
            </w:tcMar>
            <w:vAlign w:val="center"/>
          </w:tcPr>
          <w:p>
            <w:pPr>
              <w:pStyle w:val="417"/>
              <w:spacing w:line="240" w:lineRule="auto"/>
              <w:rPr>
                <w:highlight w:val="none"/>
              </w:rPr>
            </w:pPr>
            <w:r>
              <w:rPr>
                <w:rFonts w:hint="eastAsia"/>
                <w:highlight w:val="none"/>
              </w:rPr>
              <w:t>-</w:t>
            </w:r>
            <w:r>
              <w:rPr>
                <w:highlight w:val="none"/>
              </w:rPr>
              <w:t>-</w:t>
            </w:r>
          </w:p>
        </w:tc>
        <w:tc>
          <w:tcPr>
            <w:tcW w:w="646" w:type="dxa"/>
            <w:shd w:val="clear" w:color="auto" w:fill="auto"/>
            <w:tcMar>
              <w:left w:w="0" w:type="dxa"/>
              <w:right w:w="0" w:type="dxa"/>
            </w:tcMar>
            <w:vAlign w:val="center"/>
          </w:tcPr>
          <w:p>
            <w:pPr>
              <w:pStyle w:val="417"/>
              <w:spacing w:line="240" w:lineRule="auto"/>
              <w:rPr>
                <w:highlight w:val="none"/>
              </w:rPr>
            </w:pPr>
            <w:r>
              <w:rPr>
                <w:rFonts w:hint="eastAsia"/>
                <w:highlight w:val="none"/>
              </w:rPr>
              <w:t>-</w:t>
            </w:r>
            <w:r>
              <w:rPr>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10"/>
            <w:shd w:val="clear" w:color="auto" w:fill="auto"/>
            <w:tcMar>
              <w:left w:w="0" w:type="dxa"/>
              <w:right w:w="0" w:type="dxa"/>
            </w:tcMar>
            <w:vAlign w:val="center"/>
          </w:tcPr>
          <w:p>
            <w:pPr>
              <w:pStyle w:val="417"/>
              <w:spacing w:line="240" w:lineRule="auto"/>
              <w:rPr>
                <w:highlight w:val="none"/>
              </w:rPr>
            </w:pPr>
            <w:r>
              <w:rPr>
                <w:rFonts w:hint="eastAsia"/>
                <w:highlight w:val="none"/>
              </w:rPr>
              <w:t>注：“-</w:t>
            </w:r>
            <w:r>
              <w:rPr>
                <w:highlight w:val="none"/>
              </w:rPr>
              <w:t>-</w:t>
            </w:r>
            <w:r>
              <w:rPr>
                <w:rFonts w:hint="eastAsia"/>
                <w:highlight w:val="none"/>
              </w:rPr>
              <w:t>”表示可不开展土壤环境影响评价工作。</w:t>
            </w:r>
          </w:p>
        </w:tc>
      </w:tr>
    </w:tbl>
    <w:p>
      <w:pPr>
        <w:ind w:firstLine="480"/>
        <w:jc w:val="both"/>
        <w:rPr>
          <w:highlight w:val="none"/>
        </w:rPr>
      </w:pPr>
      <w:r>
        <w:rPr>
          <w:rFonts w:hint="eastAsia"/>
          <w:sz w:val="24"/>
          <w:szCs w:val="22"/>
          <w:highlight w:val="none"/>
        </w:rPr>
        <w:t>综合以上分析，根据《环境影响评价技术导则· 土壤环境（试行）》(HJ964-2018)土壤环境影响评价工作等级划分原则，确定本项目土壤环境影响评价工作等级为三级。</w:t>
      </w:r>
    </w:p>
    <w:p>
      <w:pPr>
        <w:pStyle w:val="3"/>
        <w:numPr>
          <w:ilvl w:val="3"/>
          <w:numId w:val="1"/>
        </w:numPr>
        <w:ind w:left="709" w:hanging="709"/>
        <w:rPr>
          <w:rFonts w:eastAsia="宋体"/>
          <w:b/>
          <w:highlight w:val="none"/>
        </w:rPr>
      </w:pPr>
      <w:r>
        <w:rPr>
          <w:rFonts w:hint="eastAsia" w:eastAsia="宋体"/>
          <w:b/>
          <w:highlight w:val="none"/>
        </w:rPr>
        <w:t>生态环境</w:t>
      </w:r>
      <w:r>
        <w:rPr>
          <w:rFonts w:eastAsia="宋体"/>
          <w:b/>
          <w:highlight w:val="none"/>
        </w:rPr>
        <w:t>影响评价等级</w:t>
      </w:r>
    </w:p>
    <w:p>
      <w:pPr>
        <w:ind w:firstLine="480"/>
        <w:jc w:val="both"/>
        <w:rPr>
          <w:sz w:val="24"/>
          <w:szCs w:val="24"/>
          <w:highlight w:val="none"/>
        </w:rPr>
      </w:pPr>
      <w:bookmarkStart w:id="112" w:name="_Hlk532027944"/>
      <w:r>
        <w:rPr>
          <w:rFonts w:hint="eastAsia"/>
          <w:sz w:val="24"/>
          <w:szCs w:val="24"/>
          <w:highlight w:val="none"/>
        </w:rPr>
        <w:t>本项目在现有厂区内进行建设，项目在原选矿厂厂界范围内进行建设，不新增占地；</w:t>
      </w:r>
      <w:r>
        <w:rPr>
          <w:sz w:val="24"/>
          <w:szCs w:val="24"/>
          <w:highlight w:val="none"/>
        </w:rPr>
        <w:t>根据《环境影响评价导则生态影响》（HJ 19-20</w:t>
      </w:r>
      <w:r>
        <w:rPr>
          <w:rFonts w:hint="eastAsia"/>
          <w:sz w:val="24"/>
          <w:szCs w:val="24"/>
          <w:highlight w:val="none"/>
        </w:rPr>
        <w:t>22</w:t>
      </w:r>
      <w:r>
        <w:rPr>
          <w:sz w:val="24"/>
          <w:szCs w:val="24"/>
          <w:highlight w:val="none"/>
        </w:rPr>
        <w:t>）要求</w:t>
      </w:r>
      <w:r>
        <w:rPr>
          <w:rFonts w:hint="eastAsia"/>
          <w:sz w:val="24"/>
          <w:szCs w:val="24"/>
          <w:highlight w:val="none"/>
        </w:rPr>
        <w:t>，</w:t>
      </w:r>
      <w:r>
        <w:rPr>
          <w:sz w:val="24"/>
          <w:szCs w:val="24"/>
          <w:highlight w:val="none"/>
        </w:rPr>
        <w:t>本项目</w:t>
      </w:r>
      <w:r>
        <w:rPr>
          <w:rFonts w:hint="eastAsia"/>
          <w:sz w:val="24"/>
          <w:szCs w:val="24"/>
          <w:highlight w:val="none"/>
        </w:rPr>
        <w:t>仅进行生态影响简单分析</w:t>
      </w:r>
      <w:r>
        <w:rPr>
          <w:sz w:val="24"/>
          <w:szCs w:val="24"/>
          <w:highlight w:val="none"/>
        </w:rPr>
        <w:t>。</w:t>
      </w:r>
      <w:bookmarkEnd w:id="112"/>
    </w:p>
    <w:p>
      <w:pPr>
        <w:pStyle w:val="3"/>
        <w:numPr>
          <w:ilvl w:val="3"/>
          <w:numId w:val="1"/>
        </w:numPr>
        <w:ind w:left="709" w:hanging="709"/>
        <w:rPr>
          <w:rFonts w:eastAsia="宋体"/>
          <w:b/>
          <w:highlight w:val="none"/>
        </w:rPr>
      </w:pPr>
      <w:r>
        <w:rPr>
          <w:rFonts w:hint="eastAsia" w:eastAsia="宋体"/>
          <w:b/>
          <w:highlight w:val="none"/>
        </w:rPr>
        <w:t>环境风险评价等级</w:t>
      </w:r>
    </w:p>
    <w:p>
      <w:pPr>
        <w:ind w:firstLine="482"/>
        <w:rPr>
          <w:b/>
          <w:bCs/>
          <w:sz w:val="24"/>
          <w:szCs w:val="24"/>
          <w:highlight w:val="none"/>
        </w:rPr>
      </w:pPr>
      <w:r>
        <w:rPr>
          <w:rFonts w:hint="eastAsia"/>
          <w:b/>
          <w:bCs/>
          <w:sz w:val="24"/>
          <w:szCs w:val="24"/>
          <w:highlight w:val="none"/>
        </w:rPr>
        <w:t>一、项目环境风险潜势的判定</w:t>
      </w:r>
    </w:p>
    <w:p>
      <w:pPr>
        <w:ind w:firstLine="482"/>
        <w:rPr>
          <w:b/>
          <w:bCs/>
          <w:sz w:val="24"/>
          <w:szCs w:val="24"/>
          <w:highlight w:val="none"/>
        </w:rPr>
      </w:pPr>
      <w:r>
        <w:rPr>
          <w:rFonts w:hint="eastAsia"/>
          <w:b/>
          <w:bCs/>
          <w:sz w:val="24"/>
          <w:szCs w:val="24"/>
          <w:highlight w:val="none"/>
        </w:rPr>
        <w:t>项目危险物质数量与临界量比值Q值的确定</w:t>
      </w:r>
    </w:p>
    <w:p>
      <w:pPr>
        <w:ind w:firstLine="480"/>
        <w:rPr>
          <w:sz w:val="24"/>
          <w:szCs w:val="24"/>
          <w:highlight w:val="none"/>
        </w:rPr>
      </w:pPr>
      <w:r>
        <w:rPr>
          <w:rFonts w:hint="eastAsia"/>
          <w:sz w:val="24"/>
          <w:szCs w:val="24"/>
          <w:highlight w:val="none"/>
        </w:rPr>
        <w:t>按照《建设项目环境风险评价技术导则》（HJ169-2018）附录C对本项目涉及的危险物质进行风险识别，并确定其Q值。</w:t>
      </w:r>
    </w:p>
    <w:p>
      <w:pPr>
        <w:ind w:firstLine="480"/>
        <w:rPr>
          <w:sz w:val="24"/>
          <w:szCs w:val="24"/>
          <w:highlight w:val="none"/>
        </w:rPr>
      </w:pPr>
      <w:r>
        <w:rPr>
          <w:rFonts w:hint="eastAsia"/>
          <w:sz w:val="24"/>
          <w:szCs w:val="24"/>
          <w:highlight w:val="none"/>
        </w:rPr>
        <w:t>计算所涉及的每种危险物质在厂界内的最大存在总量与其在附录B中对应临界量的比值Q。在不同厂区的同一种物质，按其在厂界内的最大存在总量计算。</w:t>
      </w:r>
    </w:p>
    <w:p>
      <w:pPr>
        <w:ind w:firstLine="480"/>
        <w:rPr>
          <w:sz w:val="24"/>
          <w:szCs w:val="24"/>
          <w:highlight w:val="none"/>
        </w:rPr>
      </w:pPr>
      <w:r>
        <w:rPr>
          <w:rFonts w:hint="eastAsia"/>
          <w:sz w:val="24"/>
          <w:szCs w:val="24"/>
          <w:highlight w:val="none"/>
        </w:rPr>
        <w:t>当存在多种危险物质时，则按下式计算Q值：</w:t>
      </w:r>
    </w:p>
    <w:p>
      <w:pPr>
        <w:ind w:firstLine="480"/>
        <w:rPr>
          <w:sz w:val="24"/>
          <w:szCs w:val="24"/>
          <w:highlight w:val="none"/>
        </w:rPr>
      </w:pPr>
      <w:r>
        <w:rPr>
          <w:rFonts w:hint="eastAsia"/>
          <w:sz w:val="24"/>
          <w:szCs w:val="24"/>
          <w:highlight w:val="none"/>
        </w:rPr>
        <w:drawing>
          <wp:inline distT="0" distB="0" distL="114300" distR="114300">
            <wp:extent cx="1807210" cy="479425"/>
            <wp:effectExtent l="0" t="0" r="2540" b="15875"/>
            <wp:docPr id="19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40"/>
                    <pic:cNvPicPr>
                      <a:picLocks noChangeAspect="1"/>
                    </pic:cNvPicPr>
                  </pic:nvPicPr>
                  <pic:blipFill>
                    <a:blip r:embed="rId27" cstate="print"/>
                    <a:stretch>
                      <a:fillRect/>
                    </a:stretch>
                  </pic:blipFill>
                  <pic:spPr>
                    <a:xfrm>
                      <a:off x="0" y="0"/>
                      <a:ext cx="1807210" cy="479425"/>
                    </a:xfrm>
                    <a:prstGeom prst="rect">
                      <a:avLst/>
                    </a:prstGeom>
                    <a:noFill/>
                    <a:ln>
                      <a:noFill/>
                    </a:ln>
                  </pic:spPr>
                </pic:pic>
              </a:graphicData>
            </a:graphic>
          </wp:inline>
        </w:drawing>
      </w:r>
    </w:p>
    <w:p>
      <w:pPr>
        <w:ind w:firstLine="480"/>
        <w:rPr>
          <w:sz w:val="24"/>
          <w:szCs w:val="24"/>
          <w:highlight w:val="none"/>
        </w:rPr>
      </w:pPr>
      <w:r>
        <w:rPr>
          <w:rFonts w:hint="eastAsia"/>
          <w:sz w:val="24"/>
          <w:szCs w:val="24"/>
          <w:highlight w:val="none"/>
        </w:rPr>
        <w:t>式中：q</w:t>
      </w:r>
      <w:r>
        <w:rPr>
          <w:rFonts w:hint="eastAsia"/>
          <w:sz w:val="24"/>
          <w:szCs w:val="24"/>
          <w:highlight w:val="none"/>
          <w:vertAlign w:val="subscript"/>
        </w:rPr>
        <w:t>1</w:t>
      </w:r>
      <w:r>
        <w:rPr>
          <w:rFonts w:hint="eastAsia"/>
          <w:sz w:val="24"/>
          <w:szCs w:val="24"/>
          <w:highlight w:val="none"/>
        </w:rPr>
        <w:t>，q</w:t>
      </w:r>
      <w:r>
        <w:rPr>
          <w:rFonts w:hint="eastAsia"/>
          <w:sz w:val="24"/>
          <w:szCs w:val="24"/>
          <w:highlight w:val="none"/>
          <w:vertAlign w:val="subscript"/>
        </w:rPr>
        <w:t>2</w:t>
      </w:r>
      <w:r>
        <w:rPr>
          <w:rFonts w:hint="eastAsia"/>
          <w:sz w:val="24"/>
          <w:szCs w:val="24"/>
          <w:highlight w:val="none"/>
        </w:rPr>
        <w:t>，...，q</w:t>
      </w:r>
      <w:r>
        <w:rPr>
          <w:rFonts w:hint="eastAsia"/>
          <w:sz w:val="24"/>
          <w:szCs w:val="24"/>
          <w:highlight w:val="none"/>
          <w:vertAlign w:val="subscript"/>
        </w:rPr>
        <w:t>n</w:t>
      </w:r>
      <w:r>
        <w:rPr>
          <w:rFonts w:hint="eastAsia"/>
          <w:sz w:val="24"/>
          <w:szCs w:val="24"/>
          <w:highlight w:val="none"/>
        </w:rPr>
        <w:t>——每种危险物质的最大存在总量，t；</w:t>
      </w:r>
    </w:p>
    <w:p>
      <w:pPr>
        <w:ind w:firstLine="480"/>
        <w:rPr>
          <w:sz w:val="24"/>
          <w:szCs w:val="24"/>
          <w:highlight w:val="none"/>
        </w:rPr>
      </w:pPr>
      <w:r>
        <w:rPr>
          <w:rFonts w:hint="eastAsia"/>
          <w:sz w:val="24"/>
          <w:szCs w:val="24"/>
          <w:highlight w:val="none"/>
        </w:rPr>
        <w:t>Q</w:t>
      </w:r>
      <w:r>
        <w:rPr>
          <w:rFonts w:hint="eastAsia"/>
          <w:sz w:val="24"/>
          <w:szCs w:val="24"/>
          <w:highlight w:val="none"/>
          <w:vertAlign w:val="subscript"/>
        </w:rPr>
        <w:t>1</w:t>
      </w:r>
      <w:r>
        <w:rPr>
          <w:rFonts w:hint="eastAsia"/>
          <w:sz w:val="24"/>
          <w:szCs w:val="24"/>
          <w:highlight w:val="none"/>
        </w:rPr>
        <w:t>，Q</w:t>
      </w:r>
      <w:r>
        <w:rPr>
          <w:rFonts w:hint="eastAsia"/>
          <w:sz w:val="24"/>
          <w:szCs w:val="24"/>
          <w:highlight w:val="none"/>
          <w:vertAlign w:val="subscript"/>
        </w:rPr>
        <w:t>2</w:t>
      </w:r>
      <w:r>
        <w:rPr>
          <w:rFonts w:hint="eastAsia"/>
          <w:sz w:val="24"/>
          <w:szCs w:val="24"/>
          <w:highlight w:val="none"/>
        </w:rPr>
        <w:t>，...，Q</w:t>
      </w:r>
      <w:r>
        <w:rPr>
          <w:rFonts w:hint="eastAsia"/>
          <w:sz w:val="24"/>
          <w:szCs w:val="24"/>
          <w:highlight w:val="none"/>
          <w:vertAlign w:val="subscript"/>
        </w:rPr>
        <w:t>n</w:t>
      </w:r>
      <w:r>
        <w:rPr>
          <w:rFonts w:hint="eastAsia"/>
          <w:sz w:val="24"/>
          <w:szCs w:val="24"/>
          <w:highlight w:val="none"/>
        </w:rPr>
        <w:t>——每种危险物质的临界量，t。</w:t>
      </w:r>
    </w:p>
    <w:p>
      <w:pPr>
        <w:ind w:firstLine="480"/>
        <w:rPr>
          <w:sz w:val="24"/>
          <w:szCs w:val="24"/>
          <w:highlight w:val="none"/>
        </w:rPr>
      </w:pPr>
      <w:r>
        <w:rPr>
          <w:rFonts w:hint="eastAsia"/>
          <w:sz w:val="24"/>
          <w:szCs w:val="24"/>
          <w:highlight w:val="none"/>
        </w:rPr>
        <w:t>当Q＜1时，该项目环境风险潜势为Ⅰ。</w:t>
      </w:r>
    </w:p>
    <w:p>
      <w:pPr>
        <w:ind w:firstLine="480"/>
        <w:rPr>
          <w:sz w:val="24"/>
          <w:szCs w:val="24"/>
          <w:highlight w:val="none"/>
        </w:rPr>
      </w:pPr>
      <w:r>
        <w:rPr>
          <w:rFonts w:hint="eastAsia"/>
          <w:sz w:val="24"/>
          <w:szCs w:val="24"/>
          <w:highlight w:val="none"/>
        </w:rPr>
        <w:t>当Q≥1时，将Q值划分为：（1）1≤Q＜10；（2）10≤Q＜100；（3）Q≥100。</w:t>
      </w:r>
    </w:p>
    <w:p>
      <w:pPr>
        <w:spacing w:line="240" w:lineRule="auto"/>
        <w:ind w:firstLineChars="0"/>
        <w:jc w:val="center"/>
        <w:textAlignment w:val="auto"/>
        <w:rPr>
          <w:rFonts w:eastAsia="黑体"/>
          <w:kern w:val="2"/>
          <w:sz w:val="21"/>
          <w:szCs w:val="21"/>
          <w:highlight w:val="none"/>
        </w:rPr>
      </w:pPr>
      <w:bookmarkStart w:id="113" w:name="_Ref8862700"/>
      <w:r>
        <w:rPr>
          <w:rFonts w:hint="eastAsia" w:eastAsia="黑体"/>
          <w:kern w:val="2"/>
          <w:sz w:val="21"/>
          <w:szCs w:val="21"/>
          <w:highlight w:val="none"/>
        </w:rPr>
        <w:t>表</w:t>
      </w:r>
      <w:r>
        <w:rPr>
          <w:rFonts w:eastAsia="黑体"/>
          <w:kern w:val="2"/>
          <w:sz w:val="21"/>
          <w:szCs w:val="21"/>
          <w:highlight w:val="none"/>
        </w:rPr>
        <w:t>2.4-1</w:t>
      </w:r>
      <w:bookmarkEnd w:id="113"/>
      <w:r>
        <w:rPr>
          <w:rFonts w:hint="eastAsia" w:eastAsia="黑体"/>
          <w:kern w:val="2"/>
          <w:sz w:val="21"/>
          <w:szCs w:val="21"/>
          <w:highlight w:val="none"/>
        </w:rPr>
        <w:t>4</w:t>
      </w:r>
      <w:r>
        <w:rPr>
          <w:rFonts w:eastAsia="黑体"/>
          <w:kern w:val="2"/>
          <w:sz w:val="21"/>
          <w:szCs w:val="21"/>
          <w:highlight w:val="none"/>
        </w:rPr>
        <w:t xml:space="preserve">  </w:t>
      </w:r>
      <w:r>
        <w:rPr>
          <w:rFonts w:hint="eastAsia" w:eastAsia="黑体"/>
          <w:kern w:val="2"/>
          <w:sz w:val="21"/>
          <w:szCs w:val="21"/>
          <w:highlight w:val="none"/>
        </w:rPr>
        <w:t>项目危险物质储存情况一览表</w:t>
      </w:r>
    </w:p>
    <w:tbl>
      <w:tblPr>
        <w:tblStyle w:val="5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6"/>
        <w:gridCol w:w="936"/>
        <w:gridCol w:w="1015"/>
        <w:gridCol w:w="1653"/>
        <w:gridCol w:w="991"/>
        <w:gridCol w:w="1229"/>
        <w:gridCol w:w="1018"/>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exact"/>
          <w:tblHeader/>
          <w:jc w:val="center"/>
        </w:trPr>
        <w:tc>
          <w:tcPr>
            <w:tcW w:w="286" w:type="pct"/>
            <w:shd w:val="clear" w:color="auto" w:fill="auto"/>
            <w:vAlign w:val="center"/>
          </w:tcPr>
          <w:p>
            <w:pPr>
              <w:pStyle w:val="417"/>
              <w:overflowPunct w:val="0"/>
              <w:spacing w:line="240" w:lineRule="auto"/>
              <w:rPr>
                <w:highlight w:val="none"/>
              </w:rPr>
            </w:pPr>
            <w:r>
              <w:rPr>
                <w:highlight w:val="none"/>
              </w:rPr>
              <w:t>序号</w:t>
            </w:r>
          </w:p>
        </w:tc>
        <w:tc>
          <w:tcPr>
            <w:tcW w:w="563" w:type="pct"/>
            <w:shd w:val="clear" w:color="auto" w:fill="auto"/>
            <w:vAlign w:val="center"/>
          </w:tcPr>
          <w:p>
            <w:pPr>
              <w:pStyle w:val="417"/>
              <w:overflowPunct w:val="0"/>
              <w:spacing w:line="240" w:lineRule="auto"/>
              <w:rPr>
                <w:highlight w:val="none"/>
              </w:rPr>
            </w:pPr>
            <w:r>
              <w:rPr>
                <w:highlight w:val="none"/>
              </w:rPr>
              <w:t>项目</w:t>
            </w:r>
          </w:p>
        </w:tc>
        <w:tc>
          <w:tcPr>
            <w:tcW w:w="610" w:type="pct"/>
            <w:shd w:val="clear" w:color="auto" w:fill="auto"/>
            <w:vAlign w:val="center"/>
          </w:tcPr>
          <w:p>
            <w:pPr>
              <w:pStyle w:val="417"/>
              <w:overflowPunct w:val="0"/>
              <w:spacing w:line="240" w:lineRule="auto"/>
              <w:rPr>
                <w:highlight w:val="none"/>
              </w:rPr>
            </w:pPr>
            <w:r>
              <w:rPr>
                <w:highlight w:val="none"/>
              </w:rPr>
              <w:t>年用量（t）</w:t>
            </w:r>
          </w:p>
        </w:tc>
        <w:tc>
          <w:tcPr>
            <w:tcW w:w="994" w:type="pct"/>
            <w:shd w:val="clear" w:color="auto" w:fill="auto"/>
            <w:vAlign w:val="center"/>
          </w:tcPr>
          <w:p>
            <w:pPr>
              <w:pStyle w:val="417"/>
              <w:overflowPunct w:val="0"/>
              <w:spacing w:line="240" w:lineRule="auto"/>
              <w:rPr>
                <w:highlight w:val="none"/>
              </w:rPr>
            </w:pPr>
            <w:r>
              <w:rPr>
                <w:highlight w:val="none"/>
              </w:rPr>
              <w:t>循环使用量（t）</w:t>
            </w:r>
          </w:p>
        </w:tc>
        <w:tc>
          <w:tcPr>
            <w:tcW w:w="596" w:type="pct"/>
            <w:shd w:val="clear" w:color="auto" w:fill="auto"/>
            <w:vAlign w:val="center"/>
          </w:tcPr>
          <w:p>
            <w:pPr>
              <w:pStyle w:val="417"/>
              <w:overflowPunct w:val="0"/>
              <w:spacing w:line="240" w:lineRule="auto"/>
              <w:rPr>
                <w:highlight w:val="none"/>
              </w:rPr>
            </w:pPr>
            <w:r>
              <w:rPr>
                <w:highlight w:val="none"/>
              </w:rPr>
              <w:t>包装规格</w:t>
            </w:r>
          </w:p>
        </w:tc>
        <w:tc>
          <w:tcPr>
            <w:tcW w:w="739" w:type="pct"/>
            <w:shd w:val="clear" w:color="auto" w:fill="auto"/>
            <w:vAlign w:val="center"/>
          </w:tcPr>
          <w:p>
            <w:pPr>
              <w:pStyle w:val="417"/>
              <w:overflowPunct w:val="0"/>
              <w:spacing w:line="240" w:lineRule="auto"/>
              <w:rPr>
                <w:highlight w:val="none"/>
              </w:rPr>
            </w:pPr>
            <w:r>
              <w:rPr>
                <w:highlight w:val="none"/>
              </w:rPr>
              <w:t>储存量（t）</w:t>
            </w:r>
          </w:p>
        </w:tc>
        <w:tc>
          <w:tcPr>
            <w:tcW w:w="612" w:type="pct"/>
            <w:vAlign w:val="center"/>
          </w:tcPr>
          <w:p>
            <w:pPr>
              <w:pStyle w:val="417"/>
              <w:overflowPunct w:val="0"/>
              <w:spacing w:line="240" w:lineRule="auto"/>
              <w:rPr>
                <w:highlight w:val="none"/>
              </w:rPr>
            </w:pPr>
            <w:r>
              <w:rPr>
                <w:highlight w:val="none"/>
              </w:rPr>
              <w:t>储存方式</w:t>
            </w:r>
          </w:p>
        </w:tc>
        <w:tc>
          <w:tcPr>
            <w:tcW w:w="595" w:type="pct"/>
            <w:vAlign w:val="center"/>
          </w:tcPr>
          <w:p>
            <w:pPr>
              <w:pStyle w:val="417"/>
              <w:overflowPunct w:val="0"/>
              <w:spacing w:line="240" w:lineRule="auto"/>
              <w:rPr>
                <w:highlight w:val="none"/>
              </w:rPr>
            </w:pPr>
            <w:r>
              <w:rPr>
                <w:highlight w:val="none"/>
              </w:rPr>
              <w:t>储存地点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exact"/>
          <w:jc w:val="center"/>
        </w:trPr>
        <w:tc>
          <w:tcPr>
            <w:tcW w:w="286" w:type="pct"/>
            <w:shd w:val="clear" w:color="auto" w:fill="auto"/>
            <w:vAlign w:val="center"/>
          </w:tcPr>
          <w:p>
            <w:pPr>
              <w:pStyle w:val="417"/>
              <w:overflowPunct w:val="0"/>
              <w:spacing w:line="240" w:lineRule="auto"/>
              <w:rPr>
                <w:highlight w:val="none"/>
              </w:rPr>
            </w:pPr>
            <w:r>
              <w:rPr>
                <w:highlight w:val="none"/>
              </w:rPr>
              <w:t>1</w:t>
            </w:r>
          </w:p>
        </w:tc>
        <w:tc>
          <w:tcPr>
            <w:tcW w:w="563" w:type="pct"/>
            <w:shd w:val="clear" w:color="auto" w:fill="auto"/>
            <w:vAlign w:val="center"/>
          </w:tcPr>
          <w:p>
            <w:pPr>
              <w:pStyle w:val="417"/>
              <w:overflowPunct w:val="0"/>
              <w:spacing w:line="240" w:lineRule="auto"/>
              <w:rPr>
                <w:highlight w:val="none"/>
              </w:rPr>
            </w:pPr>
            <w:r>
              <w:rPr>
                <w:rFonts w:hint="eastAsia"/>
                <w:highlight w:val="none"/>
              </w:rPr>
              <w:t>废矿物油</w:t>
            </w:r>
          </w:p>
        </w:tc>
        <w:tc>
          <w:tcPr>
            <w:tcW w:w="610" w:type="pct"/>
            <w:shd w:val="clear" w:color="auto" w:fill="auto"/>
            <w:vAlign w:val="center"/>
          </w:tcPr>
          <w:p>
            <w:pPr>
              <w:pStyle w:val="417"/>
              <w:overflowPunct w:val="0"/>
              <w:spacing w:line="240" w:lineRule="auto"/>
              <w:rPr>
                <w:highlight w:val="none"/>
              </w:rPr>
            </w:pPr>
            <w:r>
              <w:rPr>
                <w:rFonts w:hint="eastAsia"/>
                <w:highlight w:val="none"/>
              </w:rPr>
              <w:t>0.6</w:t>
            </w:r>
          </w:p>
        </w:tc>
        <w:tc>
          <w:tcPr>
            <w:tcW w:w="994" w:type="pct"/>
            <w:shd w:val="clear" w:color="auto" w:fill="auto"/>
            <w:vAlign w:val="center"/>
          </w:tcPr>
          <w:p>
            <w:pPr>
              <w:pStyle w:val="417"/>
              <w:overflowPunct w:val="0"/>
              <w:spacing w:line="240" w:lineRule="auto"/>
              <w:rPr>
                <w:highlight w:val="none"/>
              </w:rPr>
            </w:pPr>
            <w:r>
              <w:rPr>
                <w:highlight w:val="none"/>
              </w:rPr>
              <w:t>—</w:t>
            </w:r>
          </w:p>
        </w:tc>
        <w:tc>
          <w:tcPr>
            <w:tcW w:w="596" w:type="pct"/>
            <w:shd w:val="clear" w:color="auto" w:fill="auto"/>
            <w:vAlign w:val="center"/>
          </w:tcPr>
          <w:p>
            <w:pPr>
              <w:pStyle w:val="417"/>
              <w:overflowPunct w:val="0"/>
              <w:spacing w:line="240" w:lineRule="auto"/>
              <w:rPr>
                <w:highlight w:val="none"/>
              </w:rPr>
            </w:pPr>
            <w:r>
              <w:rPr>
                <w:highlight w:val="none"/>
              </w:rPr>
              <w:t>25kg/桶</w:t>
            </w:r>
          </w:p>
        </w:tc>
        <w:tc>
          <w:tcPr>
            <w:tcW w:w="739" w:type="pct"/>
            <w:shd w:val="clear" w:color="auto" w:fill="auto"/>
            <w:vAlign w:val="center"/>
          </w:tcPr>
          <w:p>
            <w:pPr>
              <w:pStyle w:val="417"/>
              <w:overflowPunct w:val="0"/>
              <w:spacing w:line="240" w:lineRule="auto"/>
              <w:rPr>
                <w:highlight w:val="none"/>
              </w:rPr>
            </w:pPr>
            <w:r>
              <w:rPr>
                <w:highlight w:val="none"/>
              </w:rPr>
              <w:t>0.</w:t>
            </w:r>
            <w:r>
              <w:rPr>
                <w:rFonts w:hint="eastAsia"/>
                <w:highlight w:val="none"/>
              </w:rPr>
              <w:t>3</w:t>
            </w:r>
          </w:p>
        </w:tc>
        <w:tc>
          <w:tcPr>
            <w:tcW w:w="612" w:type="pct"/>
            <w:vAlign w:val="center"/>
          </w:tcPr>
          <w:p>
            <w:pPr>
              <w:pStyle w:val="417"/>
              <w:overflowPunct w:val="0"/>
              <w:spacing w:line="240" w:lineRule="auto"/>
              <w:rPr>
                <w:highlight w:val="none"/>
              </w:rPr>
            </w:pPr>
            <w:r>
              <w:rPr>
                <w:rFonts w:hint="eastAsia"/>
                <w:highlight w:val="none"/>
              </w:rPr>
              <w:t>塑料桶</w:t>
            </w:r>
          </w:p>
        </w:tc>
        <w:tc>
          <w:tcPr>
            <w:tcW w:w="595" w:type="pct"/>
            <w:vAlign w:val="center"/>
          </w:tcPr>
          <w:p>
            <w:pPr>
              <w:pStyle w:val="417"/>
              <w:overflowPunct w:val="0"/>
              <w:spacing w:line="240" w:lineRule="auto"/>
              <w:rPr>
                <w:highlight w:val="none"/>
              </w:rPr>
            </w:pPr>
            <w:r>
              <w:rPr>
                <w:rFonts w:hint="eastAsia"/>
                <w:highlight w:val="none"/>
              </w:rPr>
              <w:t>危废间</w:t>
            </w:r>
          </w:p>
        </w:tc>
      </w:tr>
    </w:tbl>
    <w:p>
      <w:pPr>
        <w:spacing w:line="240" w:lineRule="auto"/>
        <w:ind w:firstLineChars="0"/>
        <w:jc w:val="center"/>
        <w:textAlignment w:val="auto"/>
        <w:rPr>
          <w:rFonts w:eastAsia="黑体"/>
          <w:kern w:val="2"/>
          <w:sz w:val="21"/>
          <w:szCs w:val="21"/>
          <w:highlight w:val="none"/>
        </w:rPr>
      </w:pPr>
      <w:r>
        <w:rPr>
          <w:rFonts w:hint="eastAsia" w:eastAsia="黑体"/>
          <w:kern w:val="2"/>
          <w:sz w:val="21"/>
          <w:szCs w:val="21"/>
          <w:highlight w:val="none"/>
        </w:rPr>
        <w:t>表</w:t>
      </w:r>
      <w:r>
        <w:rPr>
          <w:rFonts w:eastAsia="黑体"/>
          <w:kern w:val="2"/>
          <w:sz w:val="21"/>
          <w:szCs w:val="21"/>
          <w:highlight w:val="none"/>
        </w:rPr>
        <w:t>2.4-1</w:t>
      </w:r>
      <w:r>
        <w:rPr>
          <w:rFonts w:hint="eastAsia" w:eastAsia="黑体"/>
          <w:kern w:val="2"/>
          <w:sz w:val="21"/>
          <w:szCs w:val="21"/>
          <w:highlight w:val="none"/>
        </w:rPr>
        <w:t>5  本项目危险物质数量与临界量比值Q确定表</w:t>
      </w:r>
    </w:p>
    <w:tbl>
      <w:tblPr>
        <w:tblStyle w:val="56"/>
        <w:tblW w:w="85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3"/>
        <w:gridCol w:w="1613"/>
        <w:gridCol w:w="1413"/>
        <w:gridCol w:w="1911"/>
        <w:gridCol w:w="1387"/>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593" w:type="dxa"/>
            <w:shd w:val="clear" w:color="auto" w:fill="auto"/>
            <w:vAlign w:val="center"/>
          </w:tcPr>
          <w:p>
            <w:pPr>
              <w:pStyle w:val="417"/>
              <w:spacing w:line="240" w:lineRule="auto"/>
              <w:rPr>
                <w:highlight w:val="none"/>
              </w:rPr>
            </w:pPr>
            <w:r>
              <w:rPr>
                <w:highlight w:val="none"/>
              </w:rPr>
              <w:t>序号</w:t>
            </w:r>
          </w:p>
        </w:tc>
        <w:tc>
          <w:tcPr>
            <w:tcW w:w="1613" w:type="dxa"/>
            <w:shd w:val="clear" w:color="auto" w:fill="auto"/>
            <w:vAlign w:val="center"/>
          </w:tcPr>
          <w:p>
            <w:pPr>
              <w:pStyle w:val="417"/>
              <w:spacing w:line="240" w:lineRule="auto"/>
              <w:rPr>
                <w:highlight w:val="none"/>
              </w:rPr>
            </w:pPr>
            <w:r>
              <w:rPr>
                <w:highlight w:val="none"/>
              </w:rPr>
              <w:t>危险物质名称</w:t>
            </w:r>
          </w:p>
        </w:tc>
        <w:tc>
          <w:tcPr>
            <w:tcW w:w="1413" w:type="dxa"/>
            <w:shd w:val="clear" w:color="auto" w:fill="auto"/>
            <w:vAlign w:val="center"/>
          </w:tcPr>
          <w:p>
            <w:pPr>
              <w:pStyle w:val="417"/>
              <w:spacing w:line="240" w:lineRule="auto"/>
              <w:rPr>
                <w:highlight w:val="none"/>
              </w:rPr>
            </w:pPr>
            <w:r>
              <w:rPr>
                <w:highlight w:val="none"/>
              </w:rPr>
              <w:t>CAS号</w:t>
            </w:r>
          </w:p>
        </w:tc>
        <w:tc>
          <w:tcPr>
            <w:tcW w:w="1911" w:type="dxa"/>
            <w:shd w:val="clear" w:color="auto" w:fill="auto"/>
            <w:vAlign w:val="center"/>
          </w:tcPr>
          <w:p>
            <w:pPr>
              <w:pStyle w:val="417"/>
              <w:spacing w:line="240" w:lineRule="auto"/>
              <w:rPr>
                <w:highlight w:val="none"/>
              </w:rPr>
            </w:pPr>
            <w:r>
              <w:rPr>
                <w:highlight w:val="none"/>
              </w:rPr>
              <w:t>最大存在量q</w:t>
            </w:r>
            <w:r>
              <w:rPr>
                <w:highlight w:val="none"/>
                <w:vertAlign w:val="subscript"/>
              </w:rPr>
              <w:t>n</w:t>
            </w:r>
            <w:r>
              <w:rPr>
                <w:highlight w:val="none"/>
              </w:rPr>
              <w:t>/t</w:t>
            </w:r>
          </w:p>
        </w:tc>
        <w:tc>
          <w:tcPr>
            <w:tcW w:w="1387" w:type="dxa"/>
            <w:shd w:val="clear" w:color="auto" w:fill="auto"/>
            <w:vAlign w:val="center"/>
          </w:tcPr>
          <w:p>
            <w:pPr>
              <w:pStyle w:val="417"/>
              <w:spacing w:line="240" w:lineRule="auto"/>
              <w:rPr>
                <w:highlight w:val="none"/>
              </w:rPr>
            </w:pPr>
            <w:r>
              <w:rPr>
                <w:highlight w:val="none"/>
              </w:rPr>
              <w:t>临界量Q</w:t>
            </w:r>
            <w:r>
              <w:rPr>
                <w:highlight w:val="none"/>
                <w:vertAlign w:val="subscript"/>
              </w:rPr>
              <w:t>n</w:t>
            </w:r>
            <w:r>
              <w:rPr>
                <w:highlight w:val="none"/>
              </w:rPr>
              <w:t>/t</w:t>
            </w:r>
          </w:p>
        </w:tc>
        <w:tc>
          <w:tcPr>
            <w:tcW w:w="1644" w:type="dxa"/>
            <w:shd w:val="clear" w:color="auto" w:fill="auto"/>
            <w:vAlign w:val="center"/>
          </w:tcPr>
          <w:p>
            <w:pPr>
              <w:pStyle w:val="417"/>
              <w:spacing w:line="240" w:lineRule="auto"/>
              <w:rPr>
                <w:highlight w:val="none"/>
              </w:rPr>
            </w:pPr>
            <w:r>
              <w:rPr>
                <w:highlight w:val="none"/>
              </w:rPr>
              <w:t>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7" w:hRule="exact"/>
          <w:jc w:val="center"/>
        </w:trPr>
        <w:tc>
          <w:tcPr>
            <w:tcW w:w="593" w:type="dxa"/>
            <w:shd w:val="clear" w:color="auto" w:fill="auto"/>
            <w:vAlign w:val="center"/>
          </w:tcPr>
          <w:p>
            <w:pPr>
              <w:pStyle w:val="417"/>
              <w:spacing w:line="240" w:lineRule="auto"/>
              <w:rPr>
                <w:sz w:val="22"/>
                <w:highlight w:val="none"/>
              </w:rPr>
            </w:pPr>
            <w:r>
              <w:rPr>
                <w:sz w:val="22"/>
                <w:highlight w:val="none"/>
              </w:rPr>
              <w:t>1</w:t>
            </w:r>
          </w:p>
        </w:tc>
        <w:tc>
          <w:tcPr>
            <w:tcW w:w="1613" w:type="dxa"/>
            <w:shd w:val="clear" w:color="auto" w:fill="auto"/>
            <w:vAlign w:val="center"/>
          </w:tcPr>
          <w:p>
            <w:pPr>
              <w:pStyle w:val="417"/>
              <w:spacing w:line="240" w:lineRule="auto"/>
              <w:rPr>
                <w:highlight w:val="none"/>
              </w:rPr>
            </w:pPr>
            <w:r>
              <w:rPr>
                <w:rFonts w:hint="eastAsia"/>
                <w:highlight w:val="none"/>
              </w:rPr>
              <w:t>废矿物油</w:t>
            </w:r>
          </w:p>
        </w:tc>
        <w:tc>
          <w:tcPr>
            <w:tcW w:w="1413" w:type="dxa"/>
            <w:shd w:val="clear" w:color="auto" w:fill="auto"/>
            <w:vAlign w:val="center"/>
          </w:tcPr>
          <w:p>
            <w:pPr>
              <w:pStyle w:val="417"/>
              <w:spacing w:line="240" w:lineRule="auto"/>
              <w:rPr>
                <w:highlight w:val="none"/>
              </w:rPr>
            </w:pPr>
            <w:r>
              <w:rPr>
                <w:highlight w:val="none"/>
              </w:rPr>
              <w:t>--</w:t>
            </w:r>
          </w:p>
        </w:tc>
        <w:tc>
          <w:tcPr>
            <w:tcW w:w="1911" w:type="dxa"/>
            <w:shd w:val="clear" w:color="auto" w:fill="auto"/>
            <w:vAlign w:val="center"/>
          </w:tcPr>
          <w:p>
            <w:pPr>
              <w:pStyle w:val="417"/>
              <w:spacing w:line="240" w:lineRule="auto"/>
              <w:rPr>
                <w:highlight w:val="none"/>
              </w:rPr>
            </w:pPr>
            <w:r>
              <w:rPr>
                <w:highlight w:val="none"/>
              </w:rPr>
              <w:t>0.</w:t>
            </w:r>
            <w:r>
              <w:rPr>
                <w:rFonts w:hint="eastAsia"/>
                <w:highlight w:val="none"/>
              </w:rPr>
              <w:t>3</w:t>
            </w:r>
          </w:p>
        </w:tc>
        <w:tc>
          <w:tcPr>
            <w:tcW w:w="1387" w:type="dxa"/>
            <w:shd w:val="clear" w:color="auto" w:fill="auto"/>
            <w:vAlign w:val="center"/>
          </w:tcPr>
          <w:p>
            <w:pPr>
              <w:pStyle w:val="417"/>
              <w:spacing w:line="240" w:lineRule="auto"/>
              <w:rPr>
                <w:highlight w:val="none"/>
              </w:rPr>
            </w:pPr>
            <w:r>
              <w:rPr>
                <w:rFonts w:hint="eastAsia"/>
                <w:highlight w:val="none"/>
              </w:rPr>
              <w:t>100</w:t>
            </w:r>
          </w:p>
        </w:tc>
        <w:tc>
          <w:tcPr>
            <w:tcW w:w="1644" w:type="dxa"/>
            <w:shd w:val="clear" w:color="auto" w:fill="auto"/>
            <w:vAlign w:val="center"/>
          </w:tcPr>
          <w:p>
            <w:pPr>
              <w:pStyle w:val="417"/>
              <w:spacing w:line="240" w:lineRule="auto"/>
              <w:rPr>
                <w:highlight w:val="none"/>
              </w:rPr>
            </w:pPr>
            <w:r>
              <w:rPr>
                <w:highlight w:val="none"/>
              </w:rPr>
              <w:t>0.00</w:t>
            </w:r>
            <w:r>
              <w:rPr>
                <w:rFonts w:hint="eastAsia"/>
                <w:highlight w:val="none"/>
              </w:rPr>
              <w:t>3</w:t>
            </w:r>
          </w:p>
        </w:tc>
      </w:tr>
    </w:tbl>
    <w:p>
      <w:pPr>
        <w:ind w:firstLine="480"/>
        <w:rPr>
          <w:sz w:val="24"/>
          <w:szCs w:val="24"/>
          <w:highlight w:val="none"/>
        </w:rPr>
      </w:pPr>
      <w:r>
        <w:rPr>
          <w:rFonts w:hint="eastAsia"/>
          <w:sz w:val="24"/>
          <w:szCs w:val="24"/>
          <w:highlight w:val="none"/>
        </w:rPr>
        <w:t xml:space="preserve">由表 </w:t>
      </w:r>
      <w:r>
        <w:rPr>
          <w:sz w:val="24"/>
          <w:szCs w:val="24"/>
          <w:highlight w:val="none"/>
        </w:rPr>
        <w:t>2.4-1</w:t>
      </w:r>
      <w:r>
        <w:rPr>
          <w:rFonts w:hint="eastAsia"/>
          <w:sz w:val="24"/>
          <w:szCs w:val="24"/>
          <w:highlight w:val="none"/>
        </w:rPr>
        <w:t>5可知，本项目Q=0.003，Q＜1。因此，确定本项目环境风险潜势为Ⅰ。</w:t>
      </w:r>
    </w:p>
    <w:p>
      <w:pPr>
        <w:ind w:firstLine="482"/>
        <w:rPr>
          <w:b/>
          <w:bCs/>
          <w:sz w:val="24"/>
          <w:szCs w:val="24"/>
          <w:highlight w:val="none"/>
        </w:rPr>
      </w:pPr>
      <w:r>
        <w:rPr>
          <w:rFonts w:hint="eastAsia"/>
          <w:b/>
          <w:bCs/>
          <w:sz w:val="24"/>
          <w:szCs w:val="24"/>
          <w:highlight w:val="none"/>
        </w:rPr>
        <w:t>二、环境风险评价等级的判定结果</w:t>
      </w:r>
    </w:p>
    <w:p>
      <w:pPr>
        <w:ind w:firstLine="480"/>
        <w:rPr>
          <w:sz w:val="24"/>
          <w:szCs w:val="24"/>
          <w:highlight w:val="none"/>
        </w:rPr>
      </w:pPr>
      <w:r>
        <w:rPr>
          <w:rFonts w:hint="eastAsia"/>
          <w:sz w:val="24"/>
          <w:szCs w:val="24"/>
          <w:highlight w:val="none"/>
        </w:rPr>
        <w:t>根据《建设项目环境风险评价技术导则》（HJ169-2018）的要求，环境风险评价工作等级划分为一级、二级、三级，根据建设项目涉及的危险物质及工艺系统危险性和所在地的环境敏感性确定环境风险潜势。风险潜势为Ⅳ及以上，进行一级评价；风险潜势为Ⅲ，进行二级评价；风险潜势为Ⅱ，进行三级评价；风险潜势为Ⅰ，可开展简单分析。评价工作级别划分见表2.4-16。</w:t>
      </w:r>
      <w:bookmarkStart w:id="114" w:name="_Ref8863382"/>
    </w:p>
    <w:bookmarkEnd w:id="114"/>
    <w:p>
      <w:pPr>
        <w:spacing w:line="240" w:lineRule="auto"/>
        <w:ind w:firstLineChars="0"/>
        <w:jc w:val="center"/>
        <w:textAlignment w:val="auto"/>
        <w:rPr>
          <w:rFonts w:eastAsia="黑体"/>
          <w:kern w:val="2"/>
          <w:sz w:val="21"/>
          <w:szCs w:val="21"/>
          <w:highlight w:val="none"/>
        </w:rPr>
      </w:pPr>
      <w:bookmarkStart w:id="115" w:name="_Ref9718850"/>
      <w:r>
        <w:rPr>
          <w:rFonts w:hint="eastAsia" w:eastAsia="黑体"/>
          <w:kern w:val="2"/>
          <w:sz w:val="21"/>
          <w:szCs w:val="21"/>
          <w:highlight w:val="none"/>
        </w:rPr>
        <w:t>表2.4-1</w:t>
      </w:r>
      <w:bookmarkEnd w:id="115"/>
      <w:r>
        <w:rPr>
          <w:rFonts w:hint="eastAsia" w:eastAsia="黑体"/>
          <w:kern w:val="2"/>
          <w:sz w:val="21"/>
          <w:szCs w:val="21"/>
          <w:highlight w:val="none"/>
        </w:rPr>
        <w:t>6   评价工作级别划分一览表</w:t>
      </w:r>
    </w:p>
    <w:tbl>
      <w:tblPr>
        <w:tblStyle w:val="56"/>
        <w:tblW w:w="8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13"/>
        <w:gridCol w:w="1716"/>
        <w:gridCol w:w="1710"/>
        <w:gridCol w:w="1710"/>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713" w:type="dxa"/>
            <w:shd w:val="clear" w:color="auto" w:fill="auto"/>
          </w:tcPr>
          <w:p>
            <w:pPr>
              <w:pStyle w:val="417"/>
              <w:spacing w:line="240" w:lineRule="auto"/>
              <w:rPr>
                <w:highlight w:val="none"/>
              </w:rPr>
            </w:pPr>
            <w:r>
              <w:rPr>
                <w:rFonts w:hint="eastAsia"/>
                <w:highlight w:val="none"/>
              </w:rPr>
              <w:t>环境风险潜势</w:t>
            </w:r>
          </w:p>
        </w:tc>
        <w:tc>
          <w:tcPr>
            <w:tcW w:w="1716" w:type="dxa"/>
            <w:shd w:val="clear" w:color="auto" w:fill="auto"/>
          </w:tcPr>
          <w:p>
            <w:pPr>
              <w:pStyle w:val="417"/>
              <w:spacing w:line="240" w:lineRule="auto"/>
              <w:rPr>
                <w:highlight w:val="none"/>
              </w:rPr>
            </w:pPr>
            <w:r>
              <w:rPr>
                <w:rFonts w:hint="eastAsia"/>
                <w:highlight w:val="none"/>
              </w:rPr>
              <w:t>Ⅳ</w:t>
            </w:r>
            <w:r>
              <w:rPr>
                <w:highlight w:val="none"/>
              </w:rPr>
              <w:t>、</w:t>
            </w:r>
            <w:r>
              <w:rPr>
                <w:rFonts w:hint="eastAsia"/>
                <w:highlight w:val="none"/>
              </w:rPr>
              <w:t>Ⅳ</w:t>
            </w:r>
            <w:r>
              <w:rPr>
                <w:highlight w:val="none"/>
              </w:rPr>
              <w:t>+</w:t>
            </w:r>
          </w:p>
        </w:tc>
        <w:tc>
          <w:tcPr>
            <w:tcW w:w="1710" w:type="dxa"/>
            <w:shd w:val="clear" w:color="auto" w:fill="auto"/>
          </w:tcPr>
          <w:p>
            <w:pPr>
              <w:pStyle w:val="417"/>
              <w:spacing w:line="240" w:lineRule="auto"/>
              <w:rPr>
                <w:highlight w:val="none"/>
              </w:rPr>
            </w:pPr>
            <w:r>
              <w:rPr>
                <w:rFonts w:hint="eastAsia"/>
                <w:highlight w:val="none"/>
              </w:rPr>
              <w:t>Ⅲ</w:t>
            </w:r>
          </w:p>
        </w:tc>
        <w:tc>
          <w:tcPr>
            <w:tcW w:w="1710" w:type="dxa"/>
            <w:shd w:val="clear" w:color="auto" w:fill="auto"/>
          </w:tcPr>
          <w:p>
            <w:pPr>
              <w:pStyle w:val="417"/>
              <w:spacing w:line="240" w:lineRule="auto"/>
              <w:rPr>
                <w:highlight w:val="none"/>
              </w:rPr>
            </w:pPr>
            <w:r>
              <w:rPr>
                <w:rFonts w:hint="eastAsia"/>
                <w:highlight w:val="none"/>
              </w:rPr>
              <w:t>Ⅱ</w:t>
            </w:r>
          </w:p>
        </w:tc>
        <w:tc>
          <w:tcPr>
            <w:tcW w:w="1712" w:type="dxa"/>
            <w:shd w:val="clear" w:color="auto" w:fill="auto"/>
          </w:tcPr>
          <w:p>
            <w:pPr>
              <w:pStyle w:val="417"/>
              <w:spacing w:line="240" w:lineRule="auto"/>
              <w:rPr>
                <w:b/>
                <w:highlight w:val="none"/>
              </w:rPr>
            </w:pPr>
            <w:r>
              <w:rPr>
                <w:rFonts w:hint="eastAsia"/>
                <w:b/>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713" w:type="dxa"/>
            <w:shd w:val="clear" w:color="auto" w:fill="auto"/>
          </w:tcPr>
          <w:p>
            <w:pPr>
              <w:pStyle w:val="417"/>
              <w:spacing w:line="240" w:lineRule="auto"/>
              <w:rPr>
                <w:highlight w:val="none"/>
              </w:rPr>
            </w:pPr>
            <w:r>
              <w:rPr>
                <w:rFonts w:hint="eastAsia"/>
                <w:highlight w:val="none"/>
              </w:rPr>
              <w:t>评价工作等级</w:t>
            </w:r>
          </w:p>
        </w:tc>
        <w:tc>
          <w:tcPr>
            <w:tcW w:w="1716" w:type="dxa"/>
            <w:shd w:val="clear" w:color="auto" w:fill="auto"/>
          </w:tcPr>
          <w:p>
            <w:pPr>
              <w:pStyle w:val="417"/>
              <w:spacing w:line="240" w:lineRule="auto"/>
              <w:rPr>
                <w:highlight w:val="none"/>
              </w:rPr>
            </w:pPr>
            <w:r>
              <w:rPr>
                <w:highlight w:val="none"/>
              </w:rPr>
              <w:t>一</w:t>
            </w:r>
          </w:p>
        </w:tc>
        <w:tc>
          <w:tcPr>
            <w:tcW w:w="1710" w:type="dxa"/>
            <w:shd w:val="clear" w:color="auto" w:fill="auto"/>
          </w:tcPr>
          <w:p>
            <w:pPr>
              <w:pStyle w:val="417"/>
              <w:spacing w:line="240" w:lineRule="auto"/>
              <w:rPr>
                <w:highlight w:val="none"/>
              </w:rPr>
            </w:pPr>
            <w:r>
              <w:rPr>
                <w:highlight w:val="none"/>
              </w:rPr>
              <w:t>二</w:t>
            </w:r>
          </w:p>
        </w:tc>
        <w:tc>
          <w:tcPr>
            <w:tcW w:w="1710" w:type="dxa"/>
            <w:shd w:val="clear" w:color="auto" w:fill="auto"/>
          </w:tcPr>
          <w:p>
            <w:pPr>
              <w:pStyle w:val="417"/>
              <w:spacing w:line="240" w:lineRule="auto"/>
              <w:rPr>
                <w:highlight w:val="none"/>
              </w:rPr>
            </w:pPr>
            <w:r>
              <w:rPr>
                <w:highlight w:val="none"/>
              </w:rPr>
              <w:t>三</w:t>
            </w:r>
          </w:p>
        </w:tc>
        <w:tc>
          <w:tcPr>
            <w:tcW w:w="1712" w:type="dxa"/>
            <w:shd w:val="clear" w:color="auto" w:fill="auto"/>
          </w:tcPr>
          <w:p>
            <w:pPr>
              <w:pStyle w:val="417"/>
              <w:spacing w:line="240" w:lineRule="auto"/>
              <w:rPr>
                <w:b/>
                <w:highlight w:val="none"/>
              </w:rPr>
            </w:pPr>
            <w:r>
              <w:rPr>
                <w:b/>
                <w:highlight w:val="none"/>
              </w:rPr>
              <w:t>简单分析</w:t>
            </w:r>
            <w:r>
              <w:rPr>
                <w:rFonts w:hint="eastAsia"/>
                <w:b/>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561" w:type="dxa"/>
            <w:gridSpan w:val="5"/>
            <w:shd w:val="clear" w:color="auto" w:fill="auto"/>
          </w:tcPr>
          <w:p>
            <w:pPr>
              <w:pStyle w:val="417"/>
              <w:spacing w:line="240" w:lineRule="auto"/>
              <w:rPr>
                <w:highlight w:val="none"/>
              </w:rPr>
            </w:pPr>
            <w:r>
              <w:rPr>
                <w:highlight w:val="none"/>
              </w:rPr>
              <w:t>a是相对于详细评价工作内容而言，在描述危险物质、环境影响途径、环境危害后果、风险防范措施等方面给</w:t>
            </w:r>
            <w:r>
              <w:rPr>
                <w:rFonts w:hint="eastAsia"/>
                <w:highlight w:val="none"/>
              </w:rPr>
              <w:t>出定性的说明。</w:t>
            </w:r>
          </w:p>
        </w:tc>
      </w:tr>
    </w:tbl>
    <w:p>
      <w:pPr>
        <w:pStyle w:val="25"/>
        <w:ind w:left="0" w:leftChars="0" w:right="-92" w:rightChars="-33" w:firstLine="480"/>
        <w:rPr>
          <w:highlight w:val="none"/>
        </w:rPr>
      </w:pPr>
      <w:r>
        <w:rPr>
          <w:rFonts w:hint="eastAsia"/>
          <w:sz w:val="24"/>
          <w:szCs w:val="24"/>
          <w:highlight w:val="none"/>
        </w:rPr>
        <w:t>经判定，该项目风险潜势为Ⅰ。因此，本项目风险评价等级为简单分析。</w:t>
      </w:r>
    </w:p>
    <w:p>
      <w:pPr>
        <w:pStyle w:val="6"/>
        <w:numPr>
          <w:ilvl w:val="2"/>
          <w:numId w:val="1"/>
        </w:numPr>
        <w:rPr>
          <w:szCs w:val="28"/>
          <w:highlight w:val="none"/>
        </w:rPr>
      </w:pPr>
      <w:r>
        <w:rPr>
          <w:rFonts w:hint="eastAsia"/>
          <w:szCs w:val="28"/>
          <w:highlight w:val="none"/>
        </w:rPr>
        <w:t>评价范围</w:t>
      </w:r>
    </w:p>
    <w:p>
      <w:pPr>
        <w:pStyle w:val="3"/>
        <w:numPr>
          <w:ilvl w:val="3"/>
          <w:numId w:val="1"/>
        </w:numPr>
        <w:ind w:left="709" w:hanging="709"/>
        <w:rPr>
          <w:rFonts w:eastAsia="宋体"/>
          <w:b/>
          <w:highlight w:val="none"/>
        </w:rPr>
      </w:pPr>
      <w:r>
        <w:rPr>
          <w:rFonts w:eastAsia="宋体"/>
          <w:b/>
          <w:highlight w:val="none"/>
        </w:rPr>
        <w:t>环境空气</w:t>
      </w:r>
    </w:p>
    <w:p>
      <w:pPr>
        <w:ind w:firstLine="480"/>
        <w:jc w:val="both"/>
        <w:rPr>
          <w:sz w:val="24"/>
          <w:szCs w:val="24"/>
          <w:highlight w:val="none"/>
        </w:rPr>
      </w:pPr>
      <w:r>
        <w:rPr>
          <w:sz w:val="24"/>
          <w:szCs w:val="24"/>
          <w:highlight w:val="none"/>
        </w:rPr>
        <w:t>根据《环境影响评价技术导则大气环境》（HJ2.2-2018）对不同评价级别工作的要求，确定本次环境空气影响评价范围以选矿厂为中心，边长为5km的矩形区域。</w:t>
      </w:r>
    </w:p>
    <w:p>
      <w:pPr>
        <w:pStyle w:val="3"/>
        <w:numPr>
          <w:ilvl w:val="3"/>
          <w:numId w:val="1"/>
        </w:numPr>
        <w:ind w:left="709" w:hanging="709"/>
        <w:rPr>
          <w:rFonts w:eastAsia="宋体"/>
          <w:b/>
          <w:highlight w:val="none"/>
        </w:rPr>
      </w:pPr>
      <w:r>
        <w:rPr>
          <w:rFonts w:hint="eastAsia" w:eastAsia="宋体"/>
          <w:b/>
          <w:highlight w:val="none"/>
        </w:rPr>
        <w:t>地表水</w:t>
      </w:r>
    </w:p>
    <w:p>
      <w:pPr>
        <w:ind w:firstLine="480"/>
        <w:rPr>
          <w:highlight w:val="none"/>
        </w:rPr>
      </w:pPr>
      <w:r>
        <w:rPr>
          <w:rFonts w:hint="eastAsia"/>
          <w:sz w:val="24"/>
          <w:szCs w:val="24"/>
          <w:highlight w:val="none"/>
        </w:rPr>
        <w:t>根据</w:t>
      </w:r>
      <w:r>
        <w:rPr>
          <w:sz w:val="24"/>
          <w:szCs w:val="24"/>
          <w:highlight w:val="none"/>
        </w:rPr>
        <w:t>《环境影响评价技术导则地</w:t>
      </w:r>
      <w:r>
        <w:rPr>
          <w:rFonts w:hint="eastAsia"/>
          <w:sz w:val="24"/>
          <w:szCs w:val="24"/>
          <w:highlight w:val="none"/>
        </w:rPr>
        <w:t>表</w:t>
      </w:r>
      <w:r>
        <w:rPr>
          <w:sz w:val="24"/>
          <w:szCs w:val="24"/>
          <w:highlight w:val="none"/>
        </w:rPr>
        <w:t>水环境》</w:t>
      </w:r>
      <w:r>
        <w:rPr>
          <w:rFonts w:hint="eastAsia"/>
          <w:sz w:val="24"/>
          <w:szCs w:val="24"/>
          <w:highlight w:val="none"/>
        </w:rPr>
        <w:t>（</w:t>
      </w:r>
      <w:r>
        <w:rPr>
          <w:sz w:val="24"/>
          <w:szCs w:val="24"/>
          <w:highlight w:val="none"/>
        </w:rPr>
        <w:t>HJ</w:t>
      </w:r>
      <w:r>
        <w:rPr>
          <w:rFonts w:hint="eastAsia"/>
          <w:sz w:val="24"/>
          <w:szCs w:val="24"/>
          <w:highlight w:val="none"/>
        </w:rPr>
        <w:t>2.</w:t>
      </w:r>
      <w:r>
        <w:rPr>
          <w:sz w:val="24"/>
          <w:szCs w:val="24"/>
          <w:highlight w:val="none"/>
        </w:rPr>
        <w:t>3-</w:t>
      </w:r>
      <w:r>
        <w:rPr>
          <w:rFonts w:hint="eastAsia"/>
          <w:sz w:val="24"/>
          <w:szCs w:val="24"/>
          <w:highlight w:val="none"/>
        </w:rPr>
        <w:t>2018），本项目地表水环境影响评价等级为三级B评价，不涉及地表水环境风险，评价范围为水处理设施环境可行性分析。</w:t>
      </w:r>
    </w:p>
    <w:p>
      <w:pPr>
        <w:pStyle w:val="3"/>
        <w:numPr>
          <w:ilvl w:val="3"/>
          <w:numId w:val="1"/>
        </w:numPr>
        <w:ind w:left="709" w:hanging="709"/>
        <w:rPr>
          <w:rFonts w:eastAsia="宋体"/>
          <w:b/>
          <w:highlight w:val="none"/>
        </w:rPr>
      </w:pPr>
      <w:bookmarkStart w:id="116" w:name="_Hlk18933111"/>
      <w:r>
        <w:rPr>
          <w:rFonts w:hint="eastAsia" w:eastAsia="宋体"/>
          <w:b/>
          <w:highlight w:val="none"/>
        </w:rPr>
        <w:t>地下水</w:t>
      </w:r>
    </w:p>
    <w:bookmarkEnd w:id="116"/>
    <w:p>
      <w:pPr>
        <w:snapToGrid w:val="0"/>
        <w:ind w:firstLine="480"/>
        <w:rPr>
          <w:sz w:val="24"/>
          <w:highlight w:val="none"/>
        </w:rPr>
      </w:pPr>
      <w:r>
        <w:rPr>
          <w:sz w:val="24"/>
          <w:szCs w:val="24"/>
          <w:highlight w:val="none"/>
        </w:rPr>
        <w:t>地下水评价范围：利用</w:t>
      </w:r>
      <w:r>
        <w:rPr>
          <w:sz w:val="24"/>
          <w:highlight w:val="none"/>
        </w:rPr>
        <w:t>环评导则（HJ610-2016）中公式计算法进行计算（公式</w:t>
      </w:r>
      <w:r>
        <w:rPr>
          <w:rFonts w:hint="eastAsia"/>
          <w:sz w:val="24"/>
          <w:highlight w:val="none"/>
        </w:rPr>
        <w:t>2</w:t>
      </w:r>
      <w:r>
        <w:rPr>
          <w:sz w:val="24"/>
          <w:highlight w:val="none"/>
        </w:rPr>
        <w:t>.</w:t>
      </w:r>
      <w:r>
        <w:rPr>
          <w:rFonts w:hint="eastAsia"/>
          <w:sz w:val="24"/>
          <w:highlight w:val="none"/>
        </w:rPr>
        <w:t>5</w:t>
      </w:r>
      <w:r>
        <w:rPr>
          <w:sz w:val="24"/>
          <w:highlight w:val="none"/>
        </w:rPr>
        <w:t>-1），厂区下游为在持续运移5000d的距离L，场地两侧距离不得小于L/2，上游距离根据评价需求确定。</w:t>
      </w:r>
    </w:p>
    <w:p>
      <w:pPr>
        <w:ind w:firstLine="480"/>
        <w:rPr>
          <w:sz w:val="24"/>
          <w:szCs w:val="24"/>
          <w:highlight w:val="none"/>
        </w:rPr>
      </w:pPr>
      <w:r>
        <w:rPr>
          <w:position w:val="-12"/>
          <w:sz w:val="24"/>
          <w:szCs w:val="24"/>
          <w:highlight w:val="none"/>
        </w:rPr>
        <w:object>
          <v:shape id="_x0000_i1025" o:spt="75" type="#_x0000_t75" style="height:18.6pt;width:98.4pt;" o:ole="t" filled="f" o:preferrelative="t" stroked="f" coordsize="21600,21600">
            <v:path/>
            <v:fill on="f" focussize="0,0"/>
            <v:stroke on="f" joinstyle="miter"/>
            <v:imagedata r:id="rId29" o:title=""/>
            <o:lock v:ext="edit" aspectratio="t"/>
            <w10:wrap type="none"/>
            <w10:anchorlock/>
          </v:shape>
          <o:OLEObject Type="Embed" ProgID="Equation.3" ShapeID="_x0000_i1025" DrawAspect="Content" ObjectID="_1468075725" r:id="rId28">
            <o:LockedField>false</o:LockedField>
          </o:OLEObject>
        </w:object>
      </w:r>
      <w:r>
        <w:rPr>
          <w:sz w:val="24"/>
          <w:szCs w:val="24"/>
          <w:highlight w:val="none"/>
        </w:rPr>
        <w:t xml:space="preserve">                          （2.5-1）</w:t>
      </w:r>
    </w:p>
    <w:p>
      <w:pPr>
        <w:snapToGrid w:val="0"/>
        <w:ind w:firstLine="480"/>
        <w:rPr>
          <w:sz w:val="24"/>
          <w:highlight w:val="none"/>
        </w:rPr>
      </w:pPr>
      <w:r>
        <w:rPr>
          <w:sz w:val="24"/>
          <w:highlight w:val="none"/>
        </w:rPr>
        <w:t>式中，</w:t>
      </w:r>
      <w:r>
        <w:rPr>
          <w:rFonts w:hint="eastAsia"/>
          <w:sz w:val="24"/>
          <w:highlight w:val="none"/>
        </w:rPr>
        <w:t>L</w:t>
      </w:r>
      <w:r>
        <w:rPr>
          <w:sz w:val="24"/>
          <w:highlight w:val="none"/>
        </w:rPr>
        <w:t>—</w:t>
      </w:r>
      <w:r>
        <w:rPr>
          <w:rFonts w:hint="eastAsia"/>
          <w:sz w:val="24"/>
          <w:highlight w:val="none"/>
        </w:rPr>
        <w:t>下游迁移距离</w:t>
      </w:r>
      <w:r>
        <w:rPr>
          <w:sz w:val="24"/>
          <w:highlight w:val="none"/>
        </w:rPr>
        <w:t>，m；</w:t>
      </w:r>
    </w:p>
    <w:p>
      <w:pPr>
        <w:snapToGrid w:val="0"/>
        <w:ind w:firstLine="480"/>
        <w:rPr>
          <w:sz w:val="24"/>
          <w:highlight w:val="none"/>
        </w:rPr>
      </w:pPr>
      <w:r>
        <w:rPr>
          <w:sz w:val="24"/>
          <w:highlight w:val="none"/>
        </w:rPr>
        <w:t>a—安全系数，a≥1，一般取，2.0；</w:t>
      </w:r>
    </w:p>
    <w:p>
      <w:pPr>
        <w:snapToGrid w:val="0"/>
        <w:ind w:firstLine="480"/>
        <w:rPr>
          <w:sz w:val="24"/>
          <w:highlight w:val="none"/>
        </w:rPr>
      </w:pPr>
      <w:r>
        <w:rPr>
          <w:sz w:val="24"/>
          <w:highlight w:val="none"/>
        </w:rPr>
        <w:t>K—含水层渗透系数，m/d；</w:t>
      </w:r>
    </w:p>
    <w:p>
      <w:pPr>
        <w:snapToGrid w:val="0"/>
        <w:ind w:firstLine="480"/>
        <w:rPr>
          <w:sz w:val="24"/>
          <w:highlight w:val="none"/>
        </w:rPr>
      </w:pPr>
      <w:r>
        <w:rPr>
          <w:sz w:val="24"/>
          <w:highlight w:val="none"/>
        </w:rPr>
        <w:t>I—水力梯度，无量纲；</w:t>
      </w:r>
    </w:p>
    <w:p>
      <w:pPr>
        <w:snapToGrid w:val="0"/>
        <w:ind w:firstLine="480"/>
        <w:rPr>
          <w:sz w:val="24"/>
          <w:highlight w:val="none"/>
        </w:rPr>
      </w:pPr>
      <w:r>
        <w:rPr>
          <w:sz w:val="24"/>
          <w:highlight w:val="none"/>
        </w:rPr>
        <w:t>T—质点迁移天数，在此取值为</w:t>
      </w:r>
      <w:r>
        <w:rPr>
          <w:rFonts w:hint="eastAsia"/>
          <w:sz w:val="24"/>
          <w:highlight w:val="none"/>
        </w:rPr>
        <w:t>5</w:t>
      </w:r>
      <w:r>
        <w:rPr>
          <w:sz w:val="24"/>
          <w:highlight w:val="none"/>
        </w:rPr>
        <w:t>000d；</w:t>
      </w:r>
    </w:p>
    <w:p>
      <w:pPr>
        <w:snapToGrid w:val="0"/>
        <w:ind w:firstLine="480"/>
        <w:rPr>
          <w:sz w:val="24"/>
          <w:highlight w:val="none"/>
        </w:rPr>
      </w:pPr>
      <w:r>
        <w:rPr>
          <w:sz w:val="24"/>
          <w:highlight w:val="none"/>
        </w:rPr>
        <w:t>n</w:t>
      </w:r>
      <w:r>
        <w:rPr>
          <w:sz w:val="24"/>
          <w:highlight w:val="none"/>
          <w:vertAlign w:val="subscript"/>
        </w:rPr>
        <w:t>e</w:t>
      </w:r>
      <w:r>
        <w:rPr>
          <w:sz w:val="24"/>
          <w:highlight w:val="none"/>
        </w:rPr>
        <w:t>—有效孔隙度，无量纲。</w:t>
      </w:r>
    </w:p>
    <w:p>
      <w:pPr>
        <w:ind w:firstLine="480"/>
        <w:rPr>
          <w:sz w:val="24"/>
          <w:szCs w:val="24"/>
          <w:highlight w:val="none"/>
        </w:rPr>
      </w:pPr>
      <w:r>
        <w:rPr>
          <w:rFonts w:hint="eastAsia"/>
          <w:sz w:val="24"/>
          <w:szCs w:val="24"/>
          <w:highlight w:val="none"/>
        </w:rPr>
        <w:t>渗透系数采用19m/d，安全系数为2.0，水力梯度为4.3</w:t>
      </w:r>
      <w:r>
        <w:rPr>
          <w:sz w:val="24"/>
          <w:szCs w:val="24"/>
          <w:highlight w:val="none"/>
        </w:rPr>
        <w:t>‰</w:t>
      </w:r>
      <w:r>
        <w:rPr>
          <w:rFonts w:hint="eastAsia"/>
          <w:sz w:val="24"/>
          <w:szCs w:val="24"/>
          <w:highlight w:val="none"/>
        </w:rPr>
        <w:t>，有效孔隙度为0.18，通过计算地下水下游距离L为4.5km</w:t>
      </w:r>
      <w:r>
        <w:rPr>
          <w:sz w:val="24"/>
          <w:szCs w:val="24"/>
          <w:highlight w:val="none"/>
        </w:rPr>
        <w:t>。</w:t>
      </w:r>
    </w:p>
    <w:p>
      <w:pPr>
        <w:ind w:firstLine="480"/>
        <w:rPr>
          <w:sz w:val="24"/>
          <w:szCs w:val="24"/>
          <w:highlight w:val="none"/>
        </w:rPr>
      </w:pPr>
      <w:r>
        <w:rPr>
          <w:rFonts w:hint="eastAsia"/>
          <w:sz w:val="24"/>
          <w:szCs w:val="24"/>
          <w:highlight w:val="none"/>
        </w:rPr>
        <w:t>包含厂区在内，下游延伸到大杨庄村为界，距离厂区3.990 km，上游边界取距厂区2.87 km处，北侧边界取距厂区3.89 km处，南侧边界取距厂区1.798 km处，评价区总面积约为37.57 km</w:t>
      </w:r>
      <w:r>
        <w:rPr>
          <w:rFonts w:hint="eastAsia"/>
          <w:sz w:val="24"/>
          <w:szCs w:val="24"/>
          <w:highlight w:val="none"/>
          <w:vertAlign w:val="superscript"/>
        </w:rPr>
        <w:t>2</w:t>
      </w:r>
      <w:r>
        <w:rPr>
          <w:rFonts w:hint="eastAsia"/>
          <w:sz w:val="24"/>
          <w:szCs w:val="24"/>
          <w:highlight w:val="none"/>
        </w:rPr>
        <w:t>。</w:t>
      </w:r>
    </w:p>
    <w:p>
      <w:pPr>
        <w:pStyle w:val="3"/>
        <w:numPr>
          <w:ilvl w:val="3"/>
          <w:numId w:val="1"/>
        </w:numPr>
        <w:ind w:left="709" w:hanging="709"/>
        <w:rPr>
          <w:rFonts w:eastAsia="宋体"/>
          <w:b/>
          <w:highlight w:val="none"/>
        </w:rPr>
      </w:pPr>
      <w:r>
        <w:rPr>
          <w:rFonts w:eastAsia="宋体"/>
          <w:b/>
          <w:highlight w:val="none"/>
        </w:rPr>
        <w:t>声环境</w:t>
      </w:r>
    </w:p>
    <w:p>
      <w:pPr>
        <w:ind w:firstLine="480"/>
        <w:jc w:val="both"/>
        <w:rPr>
          <w:sz w:val="24"/>
          <w:szCs w:val="24"/>
          <w:highlight w:val="none"/>
        </w:rPr>
      </w:pPr>
      <w:r>
        <w:rPr>
          <w:sz w:val="24"/>
          <w:szCs w:val="24"/>
          <w:highlight w:val="none"/>
        </w:rPr>
        <w:t>根据《环境影响评价技术导则声环境》（HJ2.4-20</w:t>
      </w:r>
      <w:r>
        <w:rPr>
          <w:rFonts w:hint="eastAsia"/>
          <w:sz w:val="24"/>
          <w:szCs w:val="24"/>
          <w:highlight w:val="none"/>
        </w:rPr>
        <w:t>21</w:t>
      </w:r>
      <w:r>
        <w:rPr>
          <w:sz w:val="24"/>
          <w:szCs w:val="24"/>
          <w:highlight w:val="none"/>
        </w:rPr>
        <w:t>）中评价范围的相关规定，本次声环境评价范围为选矿厂厂界外</w:t>
      </w:r>
      <w:r>
        <w:rPr>
          <w:rFonts w:hint="eastAsia"/>
          <w:sz w:val="24"/>
          <w:szCs w:val="24"/>
          <w:highlight w:val="none"/>
        </w:rPr>
        <w:t>1</w:t>
      </w:r>
      <w:r>
        <w:rPr>
          <w:sz w:val="24"/>
          <w:szCs w:val="24"/>
          <w:highlight w:val="none"/>
        </w:rPr>
        <w:t>m范围。</w:t>
      </w:r>
    </w:p>
    <w:p>
      <w:pPr>
        <w:pStyle w:val="3"/>
        <w:numPr>
          <w:ilvl w:val="3"/>
          <w:numId w:val="1"/>
        </w:numPr>
        <w:ind w:left="709" w:hanging="709"/>
        <w:rPr>
          <w:rFonts w:eastAsia="宋体"/>
          <w:b/>
          <w:highlight w:val="none"/>
        </w:rPr>
      </w:pPr>
      <w:r>
        <w:rPr>
          <w:rFonts w:hint="eastAsia" w:eastAsia="宋体"/>
          <w:b/>
          <w:highlight w:val="none"/>
        </w:rPr>
        <w:t>土壤环境</w:t>
      </w:r>
    </w:p>
    <w:p>
      <w:pPr>
        <w:ind w:firstLine="480"/>
        <w:jc w:val="both"/>
        <w:rPr>
          <w:sz w:val="24"/>
          <w:szCs w:val="24"/>
          <w:highlight w:val="none"/>
        </w:rPr>
      </w:pPr>
      <w:r>
        <w:rPr>
          <w:rFonts w:hint="eastAsia"/>
          <w:sz w:val="24"/>
          <w:szCs w:val="24"/>
          <w:highlight w:val="none"/>
        </w:rPr>
        <w:t>根据《环境影响评价技术导则· 土壤环境（试行）》(HJ964-2018)中评价范围的相关规定，本次土壤环境评价范围为选矿厂占地范围及厂界外0.05m范围内。</w:t>
      </w:r>
    </w:p>
    <w:p>
      <w:pPr>
        <w:pStyle w:val="3"/>
        <w:numPr>
          <w:ilvl w:val="3"/>
          <w:numId w:val="1"/>
        </w:numPr>
        <w:ind w:left="709" w:hanging="709"/>
        <w:rPr>
          <w:rFonts w:eastAsia="宋体"/>
          <w:b/>
          <w:highlight w:val="none"/>
        </w:rPr>
      </w:pPr>
      <w:r>
        <w:rPr>
          <w:rFonts w:eastAsia="宋体"/>
          <w:b/>
          <w:highlight w:val="none"/>
        </w:rPr>
        <w:t>生态环境</w:t>
      </w:r>
    </w:p>
    <w:p>
      <w:pPr>
        <w:ind w:firstLine="480"/>
        <w:jc w:val="both"/>
        <w:rPr>
          <w:sz w:val="24"/>
          <w:szCs w:val="24"/>
          <w:highlight w:val="none"/>
        </w:rPr>
      </w:pPr>
      <w:r>
        <w:rPr>
          <w:sz w:val="24"/>
          <w:szCs w:val="24"/>
          <w:highlight w:val="none"/>
        </w:rPr>
        <w:t>根据《环境影响评价技术导则生态环境》（HJ19-20</w:t>
      </w:r>
      <w:r>
        <w:rPr>
          <w:rFonts w:hint="eastAsia"/>
          <w:sz w:val="24"/>
          <w:szCs w:val="24"/>
          <w:highlight w:val="none"/>
        </w:rPr>
        <w:t>22</w:t>
      </w:r>
      <w:r>
        <w:rPr>
          <w:sz w:val="24"/>
          <w:szCs w:val="24"/>
          <w:highlight w:val="none"/>
        </w:rPr>
        <w:t>）评价工作范围的规定，结合本工程的特点、项目所处的地理位置及当地的自然、社会环境条件，确定项目生态影响分析的范围为项目厂区。</w:t>
      </w:r>
    </w:p>
    <w:p>
      <w:pPr>
        <w:ind w:firstLine="480"/>
        <w:jc w:val="both"/>
        <w:rPr>
          <w:sz w:val="24"/>
          <w:szCs w:val="24"/>
          <w:highlight w:val="none"/>
        </w:rPr>
      </w:pPr>
      <w:r>
        <w:rPr>
          <w:sz w:val="24"/>
          <w:szCs w:val="24"/>
          <w:highlight w:val="none"/>
        </w:rPr>
        <w:t>各环境要素评价等级及评价范围一览表如表2.</w:t>
      </w:r>
      <w:r>
        <w:rPr>
          <w:rFonts w:hint="eastAsia"/>
          <w:sz w:val="24"/>
          <w:szCs w:val="24"/>
          <w:highlight w:val="none"/>
        </w:rPr>
        <w:t>4-17</w:t>
      </w:r>
      <w:r>
        <w:rPr>
          <w:sz w:val="24"/>
          <w:szCs w:val="24"/>
          <w:highlight w:val="none"/>
        </w:rPr>
        <w:t>。</w:t>
      </w:r>
    </w:p>
    <w:p>
      <w:pPr>
        <w:widowControl/>
        <w:spacing w:line="240" w:lineRule="auto"/>
        <w:ind w:firstLine="0" w:firstLineChars="0"/>
        <w:jc w:val="center"/>
        <w:textAlignment w:val="auto"/>
        <w:rPr>
          <w:rFonts w:eastAsia="黑体"/>
          <w:sz w:val="21"/>
          <w:szCs w:val="24"/>
          <w:highlight w:val="none"/>
        </w:rPr>
      </w:pPr>
      <w:r>
        <w:rPr>
          <w:rFonts w:eastAsia="黑体"/>
          <w:sz w:val="21"/>
          <w:szCs w:val="24"/>
          <w:highlight w:val="none"/>
        </w:rPr>
        <w:t>表</w:t>
      </w:r>
      <w:r>
        <w:rPr>
          <w:rFonts w:hint="eastAsia" w:eastAsia="黑体"/>
          <w:sz w:val="21"/>
          <w:szCs w:val="24"/>
          <w:highlight w:val="none"/>
        </w:rPr>
        <w:t xml:space="preserve">2.4-17  </w:t>
      </w:r>
      <w:r>
        <w:rPr>
          <w:rFonts w:eastAsia="黑体"/>
          <w:sz w:val="21"/>
          <w:szCs w:val="24"/>
          <w:highlight w:val="none"/>
        </w:rPr>
        <w:t>各环境要素评价等级及评价范围一览表</w:t>
      </w:r>
    </w:p>
    <w:tbl>
      <w:tblPr>
        <w:tblStyle w:val="5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356"/>
        <w:gridCol w:w="1144"/>
        <w:gridCol w:w="5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77"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序号</w:t>
            </w:r>
          </w:p>
        </w:tc>
        <w:tc>
          <w:tcPr>
            <w:tcW w:w="1356"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环境要素</w:t>
            </w:r>
          </w:p>
        </w:tc>
        <w:tc>
          <w:tcPr>
            <w:tcW w:w="1144"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评价等级</w:t>
            </w:r>
          </w:p>
        </w:tc>
        <w:tc>
          <w:tcPr>
            <w:tcW w:w="5151"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1</w:t>
            </w:r>
          </w:p>
        </w:tc>
        <w:tc>
          <w:tcPr>
            <w:tcW w:w="1356"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大气环境</w:t>
            </w:r>
          </w:p>
        </w:tc>
        <w:tc>
          <w:tcPr>
            <w:tcW w:w="1144"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二级</w:t>
            </w:r>
          </w:p>
        </w:tc>
        <w:tc>
          <w:tcPr>
            <w:tcW w:w="5151"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以厂区为中心，边长为5.0km的矩形区域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2</w:t>
            </w:r>
          </w:p>
        </w:tc>
        <w:tc>
          <w:tcPr>
            <w:tcW w:w="1356"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声环境</w:t>
            </w:r>
          </w:p>
        </w:tc>
        <w:tc>
          <w:tcPr>
            <w:tcW w:w="1144"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二级</w:t>
            </w:r>
          </w:p>
        </w:tc>
        <w:tc>
          <w:tcPr>
            <w:tcW w:w="5151"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本项目周围边界外延</w:t>
            </w:r>
            <w:r>
              <w:rPr>
                <w:rFonts w:hint="eastAsia"/>
                <w:kern w:val="24"/>
                <w:sz w:val="21"/>
                <w:szCs w:val="21"/>
                <w:highlight w:val="none"/>
              </w:rPr>
              <w:t>1</w:t>
            </w:r>
            <w:r>
              <w:rPr>
                <w:kern w:val="24"/>
                <w:sz w:val="21"/>
                <w:szCs w:val="21"/>
                <w:highlight w:val="none"/>
              </w:rPr>
              <w:t>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3</w:t>
            </w:r>
          </w:p>
        </w:tc>
        <w:tc>
          <w:tcPr>
            <w:tcW w:w="1356" w:type="dxa"/>
            <w:tcBorders>
              <w:tl2br w:val="nil"/>
              <w:tr2bl w:val="nil"/>
            </w:tcBorders>
            <w:vAlign w:val="center"/>
          </w:tcPr>
          <w:p>
            <w:pPr>
              <w:spacing w:line="240" w:lineRule="auto"/>
              <w:ind w:firstLine="0" w:firstLineChars="0"/>
              <w:jc w:val="center"/>
              <w:rPr>
                <w:kern w:val="24"/>
                <w:sz w:val="21"/>
                <w:szCs w:val="21"/>
                <w:highlight w:val="none"/>
              </w:rPr>
            </w:pPr>
            <w:r>
              <w:rPr>
                <w:rFonts w:hint="eastAsia"/>
                <w:kern w:val="24"/>
                <w:sz w:val="21"/>
                <w:szCs w:val="21"/>
                <w:highlight w:val="none"/>
              </w:rPr>
              <w:t>地表水</w:t>
            </w:r>
            <w:r>
              <w:rPr>
                <w:kern w:val="24"/>
                <w:sz w:val="21"/>
                <w:szCs w:val="21"/>
                <w:highlight w:val="none"/>
              </w:rPr>
              <w:t xml:space="preserve"> </w:t>
            </w:r>
          </w:p>
        </w:tc>
        <w:tc>
          <w:tcPr>
            <w:tcW w:w="1144" w:type="dxa"/>
            <w:tcBorders>
              <w:tl2br w:val="nil"/>
              <w:tr2bl w:val="nil"/>
            </w:tcBorders>
            <w:vAlign w:val="center"/>
          </w:tcPr>
          <w:p>
            <w:pPr>
              <w:spacing w:line="240" w:lineRule="auto"/>
              <w:ind w:firstLine="0" w:firstLineChars="0"/>
              <w:jc w:val="center"/>
              <w:rPr>
                <w:kern w:val="24"/>
                <w:sz w:val="21"/>
                <w:szCs w:val="21"/>
                <w:highlight w:val="none"/>
              </w:rPr>
            </w:pPr>
            <w:r>
              <w:rPr>
                <w:rFonts w:hint="eastAsia"/>
                <w:kern w:val="24"/>
                <w:sz w:val="21"/>
                <w:szCs w:val="21"/>
                <w:highlight w:val="none"/>
              </w:rPr>
              <w:t>三级B</w:t>
            </w:r>
          </w:p>
        </w:tc>
        <w:tc>
          <w:tcPr>
            <w:tcW w:w="5151" w:type="dxa"/>
            <w:tcBorders>
              <w:tl2br w:val="nil"/>
              <w:tr2bl w:val="nil"/>
            </w:tcBorders>
            <w:vAlign w:val="center"/>
          </w:tcPr>
          <w:p>
            <w:pPr>
              <w:spacing w:line="240" w:lineRule="auto"/>
              <w:ind w:firstLine="0" w:firstLineChars="0"/>
              <w:jc w:val="center"/>
              <w:rPr>
                <w:kern w:val="24"/>
                <w:sz w:val="21"/>
                <w:szCs w:val="21"/>
                <w:highlight w:val="none"/>
              </w:rPr>
            </w:pPr>
            <w:r>
              <w:rPr>
                <w:rFonts w:hint="eastAsia"/>
                <w:kern w:val="24"/>
                <w:sz w:val="21"/>
                <w:szCs w:val="21"/>
                <w:highlight w:val="none"/>
              </w:rPr>
              <w:t>水处理设施环境可行性分析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4</w:t>
            </w:r>
          </w:p>
        </w:tc>
        <w:tc>
          <w:tcPr>
            <w:tcW w:w="1356"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地下水</w:t>
            </w:r>
          </w:p>
        </w:tc>
        <w:tc>
          <w:tcPr>
            <w:tcW w:w="1144" w:type="dxa"/>
            <w:tcBorders>
              <w:tl2br w:val="nil"/>
              <w:tr2bl w:val="nil"/>
            </w:tcBorders>
            <w:vAlign w:val="center"/>
          </w:tcPr>
          <w:p>
            <w:pPr>
              <w:spacing w:line="240" w:lineRule="auto"/>
              <w:ind w:firstLine="0" w:firstLineChars="0"/>
              <w:jc w:val="center"/>
              <w:rPr>
                <w:kern w:val="24"/>
                <w:sz w:val="21"/>
                <w:szCs w:val="21"/>
                <w:highlight w:val="none"/>
              </w:rPr>
            </w:pPr>
            <w:r>
              <w:rPr>
                <w:rFonts w:hint="eastAsia"/>
                <w:kern w:val="24"/>
                <w:sz w:val="21"/>
                <w:szCs w:val="21"/>
                <w:highlight w:val="none"/>
              </w:rPr>
              <w:t>二级</w:t>
            </w:r>
          </w:p>
        </w:tc>
        <w:tc>
          <w:tcPr>
            <w:tcW w:w="5151" w:type="dxa"/>
            <w:tcBorders>
              <w:tl2br w:val="nil"/>
              <w:tr2bl w:val="nil"/>
            </w:tcBorders>
            <w:vAlign w:val="center"/>
          </w:tcPr>
          <w:p>
            <w:pPr>
              <w:spacing w:line="240" w:lineRule="auto"/>
              <w:ind w:firstLine="0" w:firstLineChars="0"/>
              <w:jc w:val="center"/>
              <w:rPr>
                <w:kern w:val="24"/>
                <w:sz w:val="21"/>
                <w:szCs w:val="21"/>
                <w:highlight w:val="none"/>
              </w:rPr>
            </w:pPr>
            <w:r>
              <w:rPr>
                <w:rFonts w:hint="eastAsia"/>
                <w:sz w:val="21"/>
                <w:szCs w:val="21"/>
                <w:highlight w:val="none"/>
              </w:rPr>
              <w:t>包含厂区在内，下游延伸到大杨庄村为界，距离厂区3.990 km，上游边界取距厂区2.87 km处，北侧边界取距厂区3.89 km处，南侧边界取距厂区1.798 km处，评价区</w:t>
            </w:r>
            <w:r>
              <w:rPr>
                <w:sz w:val="21"/>
                <w:szCs w:val="21"/>
                <w:highlight w:val="none"/>
              </w:rPr>
              <w:t>总面积约为</w:t>
            </w:r>
            <w:r>
              <w:rPr>
                <w:rFonts w:hint="eastAsia"/>
                <w:sz w:val="21"/>
                <w:szCs w:val="21"/>
                <w:highlight w:val="none"/>
              </w:rPr>
              <w:t xml:space="preserve">37.57 </w:t>
            </w:r>
            <w:r>
              <w:rPr>
                <w:sz w:val="21"/>
                <w:szCs w:val="21"/>
                <w:highlight w:val="none"/>
              </w:rPr>
              <w:t>km</w:t>
            </w:r>
            <w:r>
              <w:rPr>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5</w:t>
            </w:r>
          </w:p>
        </w:tc>
        <w:tc>
          <w:tcPr>
            <w:tcW w:w="1356" w:type="dxa"/>
            <w:tcBorders>
              <w:tl2br w:val="nil"/>
              <w:tr2bl w:val="nil"/>
            </w:tcBorders>
            <w:vAlign w:val="center"/>
          </w:tcPr>
          <w:p>
            <w:pPr>
              <w:spacing w:line="240" w:lineRule="auto"/>
              <w:ind w:firstLine="0" w:firstLineChars="0"/>
              <w:jc w:val="center"/>
              <w:rPr>
                <w:kern w:val="24"/>
                <w:sz w:val="21"/>
                <w:szCs w:val="21"/>
                <w:highlight w:val="none"/>
              </w:rPr>
            </w:pPr>
            <w:r>
              <w:rPr>
                <w:rFonts w:hint="eastAsia"/>
                <w:kern w:val="24"/>
                <w:sz w:val="21"/>
                <w:szCs w:val="21"/>
                <w:highlight w:val="none"/>
              </w:rPr>
              <w:t>土壤环境</w:t>
            </w:r>
          </w:p>
        </w:tc>
        <w:tc>
          <w:tcPr>
            <w:tcW w:w="1144" w:type="dxa"/>
            <w:tcBorders>
              <w:tl2br w:val="nil"/>
              <w:tr2bl w:val="nil"/>
            </w:tcBorders>
            <w:vAlign w:val="center"/>
          </w:tcPr>
          <w:p>
            <w:pPr>
              <w:spacing w:line="240" w:lineRule="auto"/>
              <w:ind w:firstLine="0" w:firstLineChars="0"/>
              <w:jc w:val="center"/>
              <w:rPr>
                <w:kern w:val="24"/>
                <w:sz w:val="21"/>
                <w:szCs w:val="21"/>
                <w:highlight w:val="none"/>
              </w:rPr>
            </w:pPr>
            <w:r>
              <w:rPr>
                <w:rFonts w:hint="eastAsia"/>
                <w:kern w:val="24"/>
                <w:sz w:val="21"/>
                <w:szCs w:val="21"/>
                <w:highlight w:val="none"/>
              </w:rPr>
              <w:t>三级</w:t>
            </w:r>
          </w:p>
        </w:tc>
        <w:tc>
          <w:tcPr>
            <w:tcW w:w="5151"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选矿厂占地范围及厂界外0.05m范围内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6</w:t>
            </w:r>
          </w:p>
        </w:tc>
        <w:tc>
          <w:tcPr>
            <w:tcW w:w="1356"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生态环境</w:t>
            </w:r>
          </w:p>
        </w:tc>
        <w:tc>
          <w:tcPr>
            <w:tcW w:w="114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影响分析</w:t>
            </w:r>
          </w:p>
        </w:tc>
        <w:tc>
          <w:tcPr>
            <w:tcW w:w="515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本项目占地范围内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7</w:t>
            </w:r>
          </w:p>
        </w:tc>
        <w:tc>
          <w:tcPr>
            <w:tcW w:w="1356"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环境风险</w:t>
            </w:r>
          </w:p>
        </w:tc>
        <w:tc>
          <w:tcPr>
            <w:tcW w:w="114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简单分析</w:t>
            </w:r>
          </w:p>
        </w:tc>
        <w:tc>
          <w:tcPr>
            <w:tcW w:w="5151"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r>
      <w:bookmarkEnd w:id="94"/>
      <w:bookmarkEnd w:id="95"/>
      <w:bookmarkEnd w:id="96"/>
      <w:bookmarkEnd w:id="97"/>
      <w:bookmarkEnd w:id="98"/>
      <w:bookmarkEnd w:id="99"/>
      <w:bookmarkEnd w:id="100"/>
    </w:tbl>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117" w:name="_Toc503218099"/>
      <w:bookmarkStart w:id="118" w:name="_Toc10013"/>
      <w:bookmarkStart w:id="119" w:name="_Toc1612"/>
      <w:bookmarkStart w:id="120" w:name="_Toc521591748"/>
      <w:bookmarkStart w:id="121" w:name="_Toc14996"/>
      <w:bookmarkStart w:id="122" w:name="_Toc24072"/>
      <w:bookmarkStart w:id="123" w:name="_Toc476574689"/>
      <w:bookmarkStart w:id="124" w:name="_Toc499651400"/>
      <w:bookmarkStart w:id="125" w:name="_Toc524284662"/>
      <w:r>
        <w:rPr>
          <w:rFonts w:ascii="Times New Roman" w:hAnsi="Times New Roman" w:eastAsia="宋体"/>
          <w:bCs w:val="0"/>
          <w:snapToGrid w:val="0"/>
          <w:kern w:val="0"/>
          <w:sz w:val="28"/>
          <w:szCs w:val="28"/>
          <w:highlight w:val="none"/>
        </w:rPr>
        <w:t>相关规划及环境功能区划</w:t>
      </w:r>
      <w:bookmarkEnd w:id="117"/>
      <w:bookmarkEnd w:id="118"/>
      <w:bookmarkEnd w:id="119"/>
      <w:bookmarkEnd w:id="120"/>
      <w:bookmarkEnd w:id="121"/>
      <w:bookmarkEnd w:id="122"/>
      <w:bookmarkEnd w:id="123"/>
      <w:bookmarkEnd w:id="124"/>
      <w:bookmarkEnd w:id="125"/>
    </w:p>
    <w:p>
      <w:pPr>
        <w:pStyle w:val="6"/>
        <w:numPr>
          <w:ilvl w:val="2"/>
          <w:numId w:val="1"/>
        </w:numPr>
        <w:rPr>
          <w:szCs w:val="28"/>
          <w:highlight w:val="none"/>
        </w:rPr>
      </w:pPr>
      <w:bookmarkStart w:id="126" w:name="_Toc521591749"/>
      <w:bookmarkStart w:id="127" w:name="_Toc4576"/>
      <w:r>
        <w:rPr>
          <w:rFonts w:hint="eastAsia"/>
          <w:szCs w:val="28"/>
          <w:highlight w:val="none"/>
        </w:rPr>
        <w:t>政策符合性分析</w:t>
      </w:r>
      <w:bookmarkEnd w:id="126"/>
      <w:bookmarkEnd w:id="127"/>
    </w:p>
    <w:p>
      <w:pPr>
        <w:pStyle w:val="3"/>
        <w:rPr>
          <w:rFonts w:eastAsiaTheme="minorEastAsia"/>
          <w:b/>
          <w:highlight w:val="none"/>
        </w:rPr>
      </w:pPr>
      <w:r>
        <w:rPr>
          <w:rFonts w:eastAsiaTheme="minorEastAsia"/>
          <w:b/>
          <w:highlight w:val="none"/>
        </w:rPr>
        <w:t>2.</w:t>
      </w:r>
      <w:r>
        <w:rPr>
          <w:rFonts w:hint="eastAsia" w:eastAsiaTheme="minorEastAsia"/>
          <w:b/>
          <w:highlight w:val="none"/>
        </w:rPr>
        <w:t>5</w:t>
      </w:r>
      <w:r>
        <w:rPr>
          <w:rFonts w:eastAsiaTheme="minorEastAsia"/>
          <w:b/>
          <w:highlight w:val="none"/>
        </w:rPr>
        <w:t>.1.</w:t>
      </w:r>
      <w:r>
        <w:rPr>
          <w:rFonts w:hint="eastAsia" w:eastAsiaTheme="minorEastAsia"/>
          <w:b/>
          <w:highlight w:val="none"/>
        </w:rPr>
        <w:t>1</w:t>
      </w:r>
      <w:r>
        <w:rPr>
          <w:rFonts w:eastAsiaTheme="minorEastAsia"/>
          <w:b/>
          <w:highlight w:val="none"/>
        </w:rPr>
        <w:t>产业政策符合性分析</w:t>
      </w:r>
    </w:p>
    <w:p>
      <w:pPr>
        <w:ind w:firstLine="480"/>
        <w:jc w:val="both"/>
        <w:rPr>
          <w:sz w:val="24"/>
          <w:highlight w:val="none"/>
        </w:rPr>
      </w:pPr>
      <w:r>
        <w:rPr>
          <w:sz w:val="24"/>
          <w:highlight w:val="none"/>
        </w:rPr>
        <w:t>根据国家发改委《产业结构调整指导目录（201</w:t>
      </w:r>
      <w:r>
        <w:rPr>
          <w:rFonts w:hint="eastAsia"/>
          <w:sz w:val="24"/>
          <w:highlight w:val="none"/>
        </w:rPr>
        <w:t>9</w:t>
      </w:r>
      <w:r>
        <w:rPr>
          <w:sz w:val="24"/>
          <w:highlight w:val="none"/>
        </w:rPr>
        <w:t>年本）》，本项目不在淘汰类、限制类之列</w:t>
      </w:r>
      <w:r>
        <w:rPr>
          <w:rFonts w:hint="eastAsia"/>
          <w:sz w:val="24"/>
          <w:highlight w:val="none"/>
        </w:rPr>
        <w:t>，属于允许类</w:t>
      </w:r>
      <w:r>
        <w:rPr>
          <w:sz w:val="24"/>
          <w:highlight w:val="none"/>
        </w:rPr>
        <w:t>，符合产业政策。</w:t>
      </w:r>
    </w:p>
    <w:p>
      <w:pPr>
        <w:ind w:firstLine="480"/>
        <w:jc w:val="both"/>
        <w:rPr>
          <w:sz w:val="24"/>
          <w:highlight w:val="none"/>
        </w:rPr>
      </w:pPr>
      <w:r>
        <w:rPr>
          <w:sz w:val="24"/>
          <w:highlight w:val="none"/>
        </w:rPr>
        <w:t>本项目为选矿项目，不涉及采矿，不属于《河北省新增限制和淘汰类产业目录（2015年版）》中淘汰类、限制类项目，项目建设符合河北省政策要求。</w:t>
      </w:r>
    </w:p>
    <w:p>
      <w:pPr>
        <w:snapToGrid w:val="0"/>
        <w:ind w:firstLine="480"/>
        <w:jc w:val="both"/>
        <w:rPr>
          <w:sz w:val="24"/>
          <w:szCs w:val="24"/>
          <w:highlight w:val="none"/>
        </w:rPr>
      </w:pPr>
      <w:r>
        <w:rPr>
          <w:sz w:val="24"/>
          <w:highlight w:val="none"/>
        </w:rPr>
        <w:t>另外本项目已取得河北省发展和改革委员会备案，备案主要建设内容及规模：</w:t>
      </w:r>
      <w:r>
        <w:rPr>
          <w:rFonts w:hint="eastAsia"/>
          <w:bCs/>
          <w:sz w:val="24"/>
          <w:szCs w:val="24"/>
          <w:highlight w:val="none"/>
        </w:rPr>
        <w:t>主要</w:t>
      </w:r>
      <w:r>
        <w:rPr>
          <w:rFonts w:hint="eastAsia"/>
          <w:sz w:val="24"/>
          <w:szCs w:val="24"/>
          <w:highlight w:val="none"/>
        </w:rPr>
        <w:t>建设破碎车间、精选车间、成品库等，购置安装球磨、磁选等设备，配套建设辅助生产设施办公室、配电室、库房。项目建成后年处理60万吨铁矿石、120万吨粗精矿，年产66%铁精粉100万吨。</w:t>
      </w:r>
    </w:p>
    <w:p>
      <w:pPr>
        <w:pStyle w:val="3"/>
        <w:tabs>
          <w:tab w:val="left" w:pos="4253"/>
        </w:tabs>
        <w:rPr>
          <w:rFonts w:eastAsiaTheme="minorEastAsia"/>
          <w:b/>
          <w:highlight w:val="none"/>
        </w:rPr>
      </w:pPr>
      <w:r>
        <w:rPr>
          <w:rFonts w:eastAsiaTheme="minorEastAsia"/>
          <w:b/>
          <w:highlight w:val="none"/>
        </w:rPr>
        <w:t>2.</w:t>
      </w:r>
      <w:r>
        <w:rPr>
          <w:rFonts w:hint="eastAsia" w:eastAsiaTheme="minorEastAsia"/>
          <w:b/>
          <w:highlight w:val="none"/>
        </w:rPr>
        <w:t>5</w:t>
      </w:r>
      <w:r>
        <w:rPr>
          <w:rFonts w:eastAsiaTheme="minorEastAsia"/>
          <w:b/>
          <w:highlight w:val="none"/>
        </w:rPr>
        <w:t>.1.</w:t>
      </w:r>
      <w:r>
        <w:rPr>
          <w:rFonts w:hint="eastAsia" w:eastAsiaTheme="minorEastAsia"/>
          <w:b/>
          <w:highlight w:val="none"/>
        </w:rPr>
        <w:t>2</w:t>
      </w:r>
      <w:r>
        <w:rPr>
          <w:rFonts w:eastAsiaTheme="minorEastAsia"/>
          <w:b/>
          <w:highlight w:val="none"/>
        </w:rPr>
        <w:t>与《遵化市铁选矿综合治理工作实施方案》相符性分析</w:t>
      </w:r>
    </w:p>
    <w:p>
      <w:pPr>
        <w:ind w:firstLine="480"/>
        <w:rPr>
          <w:sz w:val="24"/>
          <w:highlight w:val="none"/>
        </w:rPr>
      </w:pPr>
      <w:r>
        <w:rPr>
          <w:sz w:val="24"/>
          <w:szCs w:val="24"/>
          <w:highlight w:val="none"/>
        </w:rPr>
        <w:t>本项目与《遵化市铁选矿综合治理工作实施方案》的相符性分析见表2.</w:t>
      </w:r>
      <w:r>
        <w:rPr>
          <w:rFonts w:hint="eastAsia"/>
          <w:sz w:val="24"/>
          <w:szCs w:val="24"/>
          <w:highlight w:val="none"/>
        </w:rPr>
        <w:t>5</w:t>
      </w:r>
      <w:r>
        <w:rPr>
          <w:sz w:val="24"/>
          <w:szCs w:val="24"/>
          <w:highlight w:val="none"/>
        </w:rPr>
        <w:t>-</w:t>
      </w:r>
      <w:r>
        <w:rPr>
          <w:rFonts w:hint="eastAsia"/>
          <w:sz w:val="24"/>
          <w:szCs w:val="24"/>
          <w:highlight w:val="none"/>
        </w:rPr>
        <w:t>1</w:t>
      </w:r>
      <w:r>
        <w:rPr>
          <w:sz w:val="24"/>
          <w:szCs w:val="24"/>
          <w:highlight w:val="none"/>
        </w:rPr>
        <w:t>。</w:t>
      </w:r>
    </w:p>
    <w:p>
      <w:pPr>
        <w:pStyle w:val="3"/>
        <w:tabs>
          <w:tab w:val="left" w:pos="4253"/>
        </w:tabs>
        <w:rPr>
          <w:szCs w:val="24"/>
          <w:highlight w:val="none"/>
        </w:rPr>
        <w:sectPr>
          <w:pgSz w:w="11906" w:h="16838"/>
          <w:pgMar w:top="1440" w:right="1800" w:bottom="1440" w:left="1800" w:header="851" w:footer="992" w:gutter="0"/>
          <w:cols w:space="720" w:num="1"/>
          <w:docGrid w:linePitch="312" w:charSpace="0"/>
        </w:sectPr>
      </w:pPr>
    </w:p>
    <w:tbl>
      <w:tblPr>
        <w:tblStyle w:val="56"/>
        <w:tblW w:w="14174"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70"/>
        <w:gridCol w:w="6177"/>
        <w:gridCol w:w="6305"/>
        <w:gridCol w:w="8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14174" w:type="dxa"/>
            <w:gridSpan w:val="4"/>
            <w:tcBorders>
              <w:top w:val="nil"/>
              <w:left w:val="nil"/>
              <w:right w:val="nil"/>
              <w:tl2br w:val="nil"/>
              <w:tr2bl w:val="nil"/>
            </w:tcBorders>
            <w:vAlign w:val="center"/>
          </w:tcPr>
          <w:p>
            <w:pPr>
              <w:spacing w:line="240" w:lineRule="auto"/>
              <w:ind w:firstLine="0" w:firstLineChars="0"/>
              <w:jc w:val="center"/>
              <w:rPr>
                <w:rFonts w:ascii="黑体" w:hAnsi="黑体" w:eastAsia="黑体"/>
                <w:bCs/>
                <w:sz w:val="21"/>
                <w:szCs w:val="21"/>
                <w:highlight w:val="none"/>
              </w:rPr>
            </w:pPr>
            <w:r>
              <w:rPr>
                <w:rFonts w:eastAsia="黑体"/>
                <w:bCs/>
                <w:sz w:val="21"/>
                <w:szCs w:val="21"/>
                <w:highlight w:val="none"/>
              </w:rPr>
              <w:t>表2.5-1     与《遵化市铁选矿综合治理工作</w:t>
            </w:r>
            <w:r>
              <w:rPr>
                <w:rFonts w:hint="eastAsia" w:ascii="黑体" w:hAnsi="黑体" w:eastAsia="黑体"/>
                <w:bCs/>
                <w:sz w:val="21"/>
                <w:szCs w:val="21"/>
                <w:highlight w:val="none"/>
              </w:rPr>
              <w:t>实施方案》相符性分析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内容</w:t>
            </w:r>
          </w:p>
        </w:tc>
        <w:tc>
          <w:tcPr>
            <w:tcW w:w="6177"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《遵化市铁选矿综合治理工作实施方案》要求</w:t>
            </w:r>
          </w:p>
        </w:tc>
        <w:tc>
          <w:tcPr>
            <w:tcW w:w="6305" w:type="dxa"/>
            <w:tcBorders>
              <w:tl2br w:val="nil"/>
              <w:tr2bl w:val="nil"/>
            </w:tcBorders>
            <w:vAlign w:val="center"/>
          </w:tcPr>
          <w:p>
            <w:pPr>
              <w:spacing w:line="240" w:lineRule="auto"/>
              <w:ind w:firstLine="0" w:firstLineChars="0"/>
              <w:jc w:val="center"/>
              <w:rPr>
                <w:bCs/>
                <w:sz w:val="21"/>
                <w:szCs w:val="21"/>
                <w:highlight w:val="none"/>
              </w:rPr>
            </w:pPr>
            <w:r>
              <w:rPr>
                <w:sz w:val="21"/>
                <w:szCs w:val="21"/>
                <w:highlight w:val="none"/>
              </w:rPr>
              <w:t>项目拟建情况</w:t>
            </w:r>
          </w:p>
        </w:tc>
        <w:tc>
          <w:tcPr>
            <w:tcW w:w="822"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符合性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原料库</w:t>
            </w:r>
          </w:p>
        </w:tc>
        <w:tc>
          <w:tcPr>
            <w:tcW w:w="6177" w:type="dxa"/>
            <w:tcBorders>
              <w:tl2br w:val="nil"/>
              <w:tr2bl w:val="nil"/>
            </w:tcBorders>
            <w:vAlign w:val="center"/>
          </w:tcPr>
          <w:p>
            <w:pPr>
              <w:spacing w:line="240" w:lineRule="auto"/>
              <w:ind w:firstLine="0" w:firstLineChars="0"/>
              <w:jc w:val="center"/>
              <w:rPr>
                <w:sz w:val="21"/>
                <w:szCs w:val="21"/>
                <w:highlight w:val="none"/>
              </w:rPr>
            </w:pPr>
            <w:r>
              <w:rPr>
                <w:bCs/>
                <w:sz w:val="21"/>
                <w:szCs w:val="21"/>
                <w:highlight w:val="none"/>
              </w:rPr>
              <w:t>原料库不能露天堆放，设置原料库，加装喷淋抑尘装置。</w:t>
            </w:r>
          </w:p>
        </w:tc>
        <w:tc>
          <w:tcPr>
            <w:tcW w:w="6305" w:type="dxa"/>
            <w:tcBorders>
              <w:tl2br w:val="nil"/>
              <w:tr2bl w:val="nil"/>
            </w:tcBorders>
            <w:vAlign w:val="center"/>
          </w:tcPr>
          <w:p>
            <w:pPr>
              <w:spacing w:line="240" w:lineRule="auto"/>
              <w:ind w:firstLine="0" w:firstLineChars="0"/>
              <w:jc w:val="center"/>
              <w:rPr>
                <w:sz w:val="21"/>
                <w:szCs w:val="21"/>
                <w:highlight w:val="none"/>
              </w:rPr>
            </w:pPr>
            <w:r>
              <w:rPr>
                <w:bCs/>
                <w:sz w:val="21"/>
                <w:szCs w:val="21"/>
                <w:highlight w:val="none"/>
              </w:rPr>
              <w:t>原料</w:t>
            </w:r>
            <w:r>
              <w:rPr>
                <w:rFonts w:hint="eastAsia"/>
                <w:bCs/>
                <w:sz w:val="21"/>
                <w:szCs w:val="21"/>
                <w:highlight w:val="none"/>
              </w:rPr>
              <w:t>暂存于破碎车间原料暂存区</w:t>
            </w:r>
            <w:r>
              <w:rPr>
                <w:bCs/>
                <w:sz w:val="21"/>
                <w:szCs w:val="21"/>
                <w:highlight w:val="none"/>
              </w:rPr>
              <w:t>，</w:t>
            </w:r>
            <w:r>
              <w:rPr>
                <w:rFonts w:hint="eastAsia"/>
                <w:bCs/>
                <w:sz w:val="21"/>
                <w:szCs w:val="21"/>
                <w:highlight w:val="none"/>
              </w:rPr>
              <w:t>破碎车间全封闭</w:t>
            </w:r>
            <w:r>
              <w:rPr>
                <w:sz w:val="21"/>
                <w:szCs w:val="21"/>
                <w:highlight w:val="none"/>
              </w:rPr>
              <w:t>，原料</w:t>
            </w:r>
            <w:r>
              <w:rPr>
                <w:rFonts w:hint="eastAsia"/>
                <w:sz w:val="21"/>
                <w:szCs w:val="21"/>
                <w:highlight w:val="none"/>
              </w:rPr>
              <w:t>暂存区</w:t>
            </w:r>
            <w:r>
              <w:rPr>
                <w:sz w:val="21"/>
                <w:szCs w:val="21"/>
                <w:highlight w:val="none"/>
              </w:rPr>
              <w:t>设置喷雾抑尘装置（电伴热）。</w:t>
            </w:r>
          </w:p>
        </w:tc>
        <w:tc>
          <w:tcPr>
            <w:tcW w:w="822"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尾矿库</w:t>
            </w: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尾矿库铺设喷淋管路实施喷淋抑尘，堆存及卸料作业采取喷淋抑尘措施，并及时清运。</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本项目不建设尾矿库。</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受料仓</w:t>
            </w: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一级破碎受料仓要建三面围挡并带顶的料棚，料棚进深尺度不小于8米，受料仓设置除尘器或喷淋抑尘装置，有效防止卸料扬尘外溢，受料仓围挡发生破损时必须及时维修完善。</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一级破碎受料仓位于</w:t>
            </w:r>
            <w:r>
              <w:rPr>
                <w:rFonts w:hint="eastAsia"/>
                <w:sz w:val="21"/>
                <w:szCs w:val="21"/>
                <w:highlight w:val="none"/>
              </w:rPr>
              <w:t>全封闭生产车间内</w:t>
            </w:r>
            <w:r>
              <w:rPr>
                <w:sz w:val="21"/>
                <w:szCs w:val="21"/>
                <w:highlight w:val="none"/>
              </w:rPr>
              <w:t>，在受料仓处设置喷淋抑尘装置，发现受料仓围挡发生破损时，及时维修完善。</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破碎及磁选</w:t>
            </w: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一级破碎、二级破碎及球磨机设备必须全部建设封闭式厂房，并配套建设抑尘、除尘设施,除尘器排气筒高度不低于15米，生产废水循环利用，不允许外排。</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本项目破碎及球磨设备均布置在封闭生产车间内，并配套建设喷雾抑尘装置</w:t>
            </w:r>
            <w:r>
              <w:rPr>
                <w:rFonts w:eastAsia="仿宋"/>
                <w:sz w:val="21"/>
                <w:szCs w:val="21"/>
                <w:highlight w:val="none"/>
              </w:rPr>
              <w:t>、</w:t>
            </w:r>
            <w:r>
              <w:rPr>
                <w:sz w:val="21"/>
                <w:szCs w:val="21"/>
                <w:highlight w:val="none"/>
              </w:rPr>
              <w:t>脉冲布袋除尘器，除尘器排气筒高度为</w:t>
            </w:r>
            <w:r>
              <w:rPr>
                <w:rFonts w:hint="eastAsia"/>
                <w:sz w:val="21"/>
                <w:szCs w:val="21"/>
                <w:highlight w:val="none"/>
              </w:rPr>
              <w:t>18</w:t>
            </w:r>
            <w:r>
              <w:rPr>
                <w:sz w:val="21"/>
                <w:szCs w:val="21"/>
                <w:highlight w:val="none"/>
              </w:rPr>
              <w:t>m；生产废水经处理后循环使用不外排。</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原料输送转运</w:t>
            </w: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从一级破碎出料口（加装收尘、抑尘设施）至二级破碎（入料口加装收尘、抑尘设施，出料口加装抑尘设施）、磁选、成品库的物料输送以及二级破碎、返矿输送，室外输送系统必须全部建设满足日常检修、清扫落料要求的全封闭皮带通廊，皮带通廊落料转运端根据物料的含水率设置收尘、抑尘设施。</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皮带输送机全部设置全封闭皮带通廊，皮带转运落料端在产尘节点设置抑尘、收尘措施，并派专人进行日常检修、清扫落料。</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vMerge w:val="continue"/>
            <w:tcBorders>
              <w:tl2br w:val="nil"/>
              <w:tr2bl w:val="nil"/>
            </w:tcBorders>
            <w:vAlign w:val="center"/>
          </w:tcPr>
          <w:p>
            <w:pPr>
              <w:spacing w:line="240" w:lineRule="auto"/>
              <w:ind w:firstLine="0" w:firstLineChars="0"/>
              <w:rPr>
                <w:rFonts w:eastAsia="Times New Roman"/>
                <w:sz w:val="21"/>
                <w:szCs w:val="21"/>
                <w:highlight w:val="none"/>
              </w:rPr>
            </w:pP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物料转运系统必须实现封闭，发生破损及时维修完善。</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物料转运设置封闭廊道，发生破损及时维修完善。</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成品</w:t>
            </w:r>
          </w:p>
          <w:p>
            <w:pPr>
              <w:spacing w:line="240" w:lineRule="auto"/>
              <w:ind w:firstLine="0" w:firstLineChars="0"/>
              <w:jc w:val="center"/>
              <w:rPr>
                <w:sz w:val="21"/>
                <w:szCs w:val="21"/>
                <w:highlight w:val="none"/>
              </w:rPr>
            </w:pPr>
            <w:r>
              <w:rPr>
                <w:sz w:val="21"/>
                <w:szCs w:val="21"/>
                <w:highlight w:val="none"/>
              </w:rPr>
              <w:t>堆场</w:t>
            </w: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成品、半成品物料不能露天堆存，进封闭料库，设置喷淋抑尘措施。场区要全部实现硬化或绿化，每天定时清扫保洁、洒水抑尘。</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本项目</w:t>
            </w:r>
            <w:r>
              <w:rPr>
                <w:rFonts w:hint="eastAsia"/>
                <w:sz w:val="21"/>
                <w:szCs w:val="21"/>
                <w:highlight w:val="none"/>
              </w:rPr>
              <w:t>设置封闭</w:t>
            </w:r>
            <w:r>
              <w:rPr>
                <w:sz w:val="21"/>
                <w:szCs w:val="21"/>
                <w:highlight w:val="none"/>
              </w:rPr>
              <w:t>成品</w:t>
            </w:r>
            <w:r>
              <w:rPr>
                <w:rFonts w:hint="eastAsia"/>
                <w:sz w:val="21"/>
                <w:szCs w:val="21"/>
                <w:highlight w:val="none"/>
              </w:rPr>
              <w:t>库，物料不露天堆存，均为</w:t>
            </w:r>
            <w:r>
              <w:rPr>
                <w:sz w:val="21"/>
                <w:szCs w:val="21"/>
                <w:highlight w:val="none"/>
              </w:rPr>
              <w:t>封闭库，库顶部设置喷雾抑尘装置（电伴热），喷雾抑尘装置喷雾面积覆盖整个库。</w:t>
            </w:r>
          </w:p>
          <w:p>
            <w:pPr>
              <w:spacing w:line="240" w:lineRule="auto"/>
              <w:ind w:firstLine="0" w:firstLineChars="0"/>
              <w:jc w:val="center"/>
              <w:rPr>
                <w:sz w:val="21"/>
                <w:szCs w:val="21"/>
                <w:highlight w:val="none"/>
              </w:rPr>
            </w:pPr>
            <w:r>
              <w:rPr>
                <w:sz w:val="21"/>
                <w:szCs w:val="21"/>
                <w:highlight w:val="none"/>
              </w:rPr>
              <w:t>厂区“非硬即绿”，并安排专人每天定时清扫保洁、洒水抑尘。</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喷淋供水设施</w:t>
            </w: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一级破碎入料口、落料口、皮带落料转运端、选矿厂、原料库、尾矿库等建设的喷淋设施，供水管路采取保溫措施确保冬季正常使用。</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本项目在一级破碎入料口、落料口、皮带落料转运端、原料库、成品库等处设置了的喷淋设施，供水管路使用保温棉包裹并设置电伴热，确保冬季正常使用。</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除尘</w:t>
            </w:r>
          </w:p>
          <w:p>
            <w:pPr>
              <w:spacing w:line="240" w:lineRule="auto"/>
              <w:ind w:firstLine="0" w:firstLineChars="0"/>
              <w:jc w:val="center"/>
              <w:rPr>
                <w:b/>
                <w:bCs/>
                <w:sz w:val="21"/>
                <w:szCs w:val="21"/>
                <w:highlight w:val="none"/>
              </w:rPr>
            </w:pPr>
            <w:r>
              <w:rPr>
                <w:sz w:val="21"/>
                <w:szCs w:val="21"/>
                <w:highlight w:val="none"/>
              </w:rPr>
              <w:t>设施</w:t>
            </w: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除尘设施采用高效脉冲布袋除尘器等先进除尘方式，破碎设备的</w:t>
            </w:r>
            <w:r>
              <w:rPr>
                <w:bCs/>
                <w:sz w:val="21"/>
                <w:szCs w:val="21"/>
                <w:highlight w:val="none"/>
              </w:rPr>
              <w:t>除尘风量、集气罩尺寸以及管道直径的设计要完全满足彻底解决生产设备粉尘无组织外溢需要(单台破碎</w:t>
            </w:r>
            <w:r>
              <w:rPr>
                <w:rFonts w:hint="eastAsia"/>
                <w:bCs/>
                <w:sz w:val="21"/>
                <w:szCs w:val="21"/>
                <w:highlight w:val="none"/>
              </w:rPr>
              <w:t>、筛分</w:t>
            </w:r>
            <w:r>
              <w:rPr>
                <w:bCs/>
                <w:sz w:val="21"/>
                <w:szCs w:val="21"/>
                <w:highlight w:val="none"/>
              </w:rPr>
              <w:t>设备的除尘设计风量按大于12000m</w:t>
            </w:r>
            <w:r>
              <w:rPr>
                <w:bCs/>
                <w:sz w:val="21"/>
                <w:szCs w:val="21"/>
                <w:highlight w:val="none"/>
                <w:vertAlign w:val="superscript"/>
              </w:rPr>
              <w:t>3</w:t>
            </w:r>
            <w:r>
              <w:rPr>
                <w:bCs/>
                <w:sz w:val="21"/>
                <w:szCs w:val="21"/>
                <w:highlight w:val="none"/>
              </w:rPr>
              <w:t>/h计算）</w:t>
            </w:r>
          </w:p>
        </w:tc>
        <w:tc>
          <w:tcPr>
            <w:tcW w:w="6305" w:type="dxa"/>
            <w:tcBorders>
              <w:tl2br w:val="nil"/>
              <w:tr2bl w:val="nil"/>
            </w:tcBorders>
            <w:vAlign w:val="center"/>
          </w:tcPr>
          <w:p>
            <w:pPr>
              <w:spacing w:line="240" w:lineRule="auto"/>
              <w:ind w:firstLine="0" w:firstLineChars="0"/>
              <w:jc w:val="center"/>
              <w:rPr>
                <w:b/>
                <w:bCs/>
                <w:sz w:val="21"/>
                <w:szCs w:val="21"/>
                <w:highlight w:val="none"/>
              </w:rPr>
            </w:pPr>
            <w:r>
              <w:rPr>
                <w:sz w:val="21"/>
                <w:szCs w:val="21"/>
                <w:highlight w:val="none"/>
              </w:rPr>
              <w:t>本项目设</w:t>
            </w:r>
            <w:r>
              <w:rPr>
                <w:rFonts w:hint="eastAsia"/>
                <w:sz w:val="21"/>
                <w:szCs w:val="21"/>
                <w:highlight w:val="none"/>
              </w:rPr>
              <w:t>1</w:t>
            </w:r>
            <w:r>
              <w:rPr>
                <w:sz w:val="21"/>
                <w:szCs w:val="21"/>
                <w:highlight w:val="none"/>
              </w:rPr>
              <w:t>条破碎筛分生产线，在破碎、筛分环节及落料点除尘设施采用1台离线脉冲布袋除尘器，除尘风量为</w:t>
            </w:r>
            <w:r>
              <w:rPr>
                <w:rFonts w:hint="eastAsia"/>
                <w:bCs/>
                <w:sz w:val="21"/>
                <w:szCs w:val="21"/>
                <w:highlight w:val="none"/>
              </w:rPr>
              <w:t>65</w:t>
            </w:r>
            <w:r>
              <w:rPr>
                <w:bCs/>
                <w:sz w:val="21"/>
                <w:szCs w:val="21"/>
                <w:highlight w:val="none"/>
              </w:rPr>
              <w:t>000m</w:t>
            </w:r>
            <w:r>
              <w:rPr>
                <w:bCs/>
                <w:sz w:val="21"/>
                <w:szCs w:val="21"/>
                <w:highlight w:val="none"/>
                <w:vertAlign w:val="superscript"/>
              </w:rPr>
              <w:t>3</w:t>
            </w:r>
            <w:r>
              <w:rPr>
                <w:bCs/>
                <w:sz w:val="21"/>
                <w:szCs w:val="21"/>
                <w:highlight w:val="none"/>
              </w:rPr>
              <w:t>/h</w:t>
            </w:r>
            <w:r>
              <w:rPr>
                <w:sz w:val="21"/>
                <w:szCs w:val="21"/>
                <w:highlight w:val="none"/>
              </w:rPr>
              <w:t>，集气罩尺寸以及管道直径满足彻底解决生产设备粉尘无组织外溢需要。</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噪声</w:t>
            </w:r>
          </w:p>
          <w:p>
            <w:pPr>
              <w:spacing w:line="240" w:lineRule="auto"/>
              <w:ind w:firstLine="0" w:firstLineChars="0"/>
              <w:jc w:val="center"/>
              <w:rPr>
                <w:rFonts w:eastAsia="Times New Roman"/>
                <w:sz w:val="21"/>
                <w:szCs w:val="21"/>
                <w:highlight w:val="none"/>
              </w:rPr>
            </w:pPr>
            <w:r>
              <w:rPr>
                <w:sz w:val="21"/>
                <w:szCs w:val="21"/>
                <w:highlight w:val="none"/>
              </w:rPr>
              <w:t>控制</w:t>
            </w: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破碎机、振动筛、球磨机等噪声振动较大的生产设备，机座采用基础减震措施，加装減震器，并采取相应降噪措施，噪声排放达到工矿企业厂界噪声排放标准。</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本项目生产设备等均加装了基础减</w:t>
            </w:r>
            <w:r>
              <w:rPr>
                <w:rFonts w:hint="eastAsia"/>
                <w:sz w:val="21"/>
                <w:szCs w:val="21"/>
                <w:highlight w:val="none"/>
              </w:rPr>
              <w:t>振</w:t>
            </w:r>
            <w:r>
              <w:rPr>
                <w:sz w:val="21"/>
                <w:szCs w:val="21"/>
                <w:highlight w:val="none"/>
              </w:rPr>
              <w:t>垫，置于封闭彩钢车间内，综合降噪2</w:t>
            </w:r>
            <w:r>
              <w:rPr>
                <w:rFonts w:hint="eastAsia"/>
                <w:sz w:val="21"/>
                <w:szCs w:val="21"/>
                <w:highlight w:val="none"/>
              </w:rPr>
              <w:t>0</w:t>
            </w:r>
            <w:r>
              <w:rPr>
                <w:sz w:val="21"/>
                <w:szCs w:val="21"/>
                <w:highlight w:val="none"/>
              </w:rPr>
              <w:t>dB（A）以上，项目厂界的噪声满足《工业企业厂界环境噪声排放标准》（GB12348-2008）2类标准。</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视频</w:t>
            </w:r>
          </w:p>
          <w:p>
            <w:pPr>
              <w:spacing w:line="240" w:lineRule="auto"/>
              <w:ind w:firstLine="0" w:firstLineChars="0"/>
              <w:jc w:val="center"/>
              <w:rPr>
                <w:rFonts w:eastAsia="Times New Roman"/>
                <w:sz w:val="21"/>
                <w:szCs w:val="21"/>
                <w:highlight w:val="none"/>
              </w:rPr>
            </w:pPr>
            <w:r>
              <w:rPr>
                <w:sz w:val="21"/>
                <w:szCs w:val="21"/>
                <w:highlight w:val="none"/>
              </w:rPr>
              <w:t>监控</w:t>
            </w: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生产作业区按要求设置视频监控，并与唐山市</w:t>
            </w:r>
            <w:r>
              <w:rPr>
                <w:rFonts w:hint="eastAsia"/>
                <w:sz w:val="21"/>
                <w:szCs w:val="21"/>
                <w:highlight w:val="none"/>
              </w:rPr>
              <w:t>生态环境局</w:t>
            </w:r>
            <w:r>
              <w:rPr>
                <w:sz w:val="21"/>
                <w:szCs w:val="21"/>
                <w:highlight w:val="none"/>
              </w:rPr>
              <w:t>遵化市分局联网，实现24小时视频监控。对发现的超标排放、无组织粉尘、扬尘污染问题，按照相关法律法规子以从严处罚。</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本项目在成品库门口及库房内、生产车间内、布袋除尘器、厂区道路设置视频监控，并与唐山市</w:t>
            </w:r>
            <w:r>
              <w:rPr>
                <w:rFonts w:hint="eastAsia"/>
                <w:sz w:val="21"/>
                <w:szCs w:val="21"/>
                <w:highlight w:val="none"/>
              </w:rPr>
              <w:t>生态</w:t>
            </w:r>
            <w:r>
              <w:rPr>
                <w:sz w:val="21"/>
                <w:szCs w:val="21"/>
                <w:highlight w:val="none"/>
              </w:rPr>
              <w:t>环境局遵化市分局联网，实现24小时视频监控。</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排放</w:t>
            </w:r>
          </w:p>
          <w:p>
            <w:pPr>
              <w:spacing w:line="240" w:lineRule="auto"/>
              <w:ind w:firstLine="0" w:firstLineChars="0"/>
              <w:jc w:val="center"/>
              <w:rPr>
                <w:rFonts w:eastAsia="Times New Roman"/>
                <w:sz w:val="21"/>
                <w:szCs w:val="21"/>
                <w:highlight w:val="none"/>
              </w:rPr>
            </w:pPr>
            <w:r>
              <w:rPr>
                <w:sz w:val="21"/>
                <w:szCs w:val="21"/>
                <w:highlight w:val="none"/>
              </w:rPr>
              <w:t>限值</w:t>
            </w:r>
          </w:p>
        </w:tc>
        <w:tc>
          <w:tcPr>
            <w:tcW w:w="6177" w:type="dxa"/>
            <w:tcBorders>
              <w:tl2br w:val="nil"/>
              <w:tr2bl w:val="nil"/>
            </w:tcBorders>
            <w:vAlign w:val="center"/>
          </w:tcPr>
          <w:p>
            <w:pPr>
              <w:spacing w:line="240" w:lineRule="auto"/>
              <w:ind w:firstLine="0" w:firstLineChars="0"/>
              <w:jc w:val="both"/>
              <w:rPr>
                <w:sz w:val="21"/>
                <w:szCs w:val="21"/>
                <w:highlight w:val="none"/>
              </w:rPr>
            </w:pPr>
            <w:r>
              <w:rPr>
                <w:sz w:val="21"/>
                <w:szCs w:val="21"/>
                <w:highlight w:val="none"/>
              </w:rPr>
              <w:t>按照环境保护部发布的《铁矿采选工业污染物排放标准》（GB28661-2012），执行表5新建企业大气污染物排放限值，选矿厂的矿石运输、转载、矿仓、破碎等生产工序或设施颗粒物最高允许排放限值为20mg/m</w:t>
            </w:r>
            <w:r>
              <w:rPr>
                <w:sz w:val="21"/>
                <w:szCs w:val="21"/>
                <w:highlight w:val="none"/>
                <w:vertAlign w:val="superscript"/>
              </w:rPr>
              <w:t>3</w:t>
            </w:r>
            <w:r>
              <w:rPr>
                <w:sz w:val="21"/>
                <w:szCs w:val="21"/>
                <w:highlight w:val="none"/>
              </w:rPr>
              <w:t>，选矿厂、尾矿库等作业场所颗粒物无组织排放限值为1.0mg/m</w:t>
            </w:r>
            <w:r>
              <w:rPr>
                <w:sz w:val="21"/>
                <w:szCs w:val="21"/>
                <w:highlight w:val="none"/>
                <w:vertAlign w:val="superscript"/>
              </w:rPr>
              <w:t>3</w:t>
            </w:r>
            <w:r>
              <w:rPr>
                <w:sz w:val="21"/>
                <w:szCs w:val="21"/>
                <w:highlight w:val="none"/>
              </w:rPr>
              <w:t xml:space="preserve"> (厂界外10米处)。</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采取相应措施后颗粒物排放满足《铁矿采选工业污染物排放标准》（GB28661-2012）表6新建企业大气污染物特别排放限值，选矿厂的矿石运输、转载、矿仓、破碎等生产工序或设施颗粒物最高允许排放限值为10mg/m</w:t>
            </w:r>
            <w:r>
              <w:rPr>
                <w:sz w:val="21"/>
                <w:szCs w:val="21"/>
                <w:highlight w:val="none"/>
                <w:vertAlign w:val="superscript"/>
              </w:rPr>
              <w:t>3</w:t>
            </w:r>
            <w:r>
              <w:rPr>
                <w:sz w:val="21"/>
                <w:szCs w:val="21"/>
                <w:highlight w:val="none"/>
              </w:rPr>
              <w:t>，选矿厂、尾矿库等作业场所颗粒物无组织排放限值为1.0mg/m</w:t>
            </w:r>
            <w:r>
              <w:rPr>
                <w:sz w:val="21"/>
                <w:szCs w:val="21"/>
                <w:highlight w:val="none"/>
                <w:vertAlign w:val="superscript"/>
              </w:rPr>
              <w:t>3</w:t>
            </w:r>
            <w:r>
              <w:rPr>
                <w:sz w:val="21"/>
                <w:szCs w:val="21"/>
                <w:highlight w:val="none"/>
              </w:rPr>
              <w:t>（厂界外10米处）。</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规范</w:t>
            </w:r>
          </w:p>
          <w:p>
            <w:pPr>
              <w:spacing w:line="240" w:lineRule="auto"/>
              <w:ind w:firstLine="0" w:firstLineChars="0"/>
              <w:jc w:val="center"/>
              <w:rPr>
                <w:sz w:val="21"/>
                <w:szCs w:val="21"/>
                <w:highlight w:val="none"/>
              </w:rPr>
            </w:pPr>
            <w:r>
              <w:rPr>
                <w:sz w:val="21"/>
                <w:szCs w:val="21"/>
                <w:highlight w:val="none"/>
              </w:rPr>
              <w:t>管理</w:t>
            </w: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设置专职环保管理人员，管理人员要熟悉环保业务，具备企业日常环境管理经验。</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设有专职环保管理人员，熟悉环保业务，具备相关管理经验。</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vMerge w:val="continue"/>
            <w:tcBorders>
              <w:tl2br w:val="nil"/>
              <w:tr2bl w:val="nil"/>
            </w:tcBorders>
            <w:vAlign w:val="center"/>
          </w:tcPr>
          <w:p>
            <w:pPr>
              <w:spacing w:line="240" w:lineRule="auto"/>
              <w:ind w:firstLine="0" w:firstLineChars="0"/>
              <w:rPr>
                <w:sz w:val="21"/>
                <w:szCs w:val="21"/>
                <w:highlight w:val="none"/>
              </w:rPr>
            </w:pP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建立企业环境管理制度、严格岗位管理及排污口规范化管理，建立健全运行管理制度，明确岗位环保职责和日常环保行为规范、建立和落实环保岗位考核制度。</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制定企业环境管理制度，明确了岗位环保职责和日常环保行为规范、建立和落实环保岗位考核制度。</w:t>
            </w:r>
          </w:p>
        </w:tc>
        <w:tc>
          <w:tcPr>
            <w:tcW w:w="822"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vMerge w:val="continue"/>
            <w:tcBorders>
              <w:tl2br w:val="nil"/>
              <w:tr2bl w:val="nil"/>
            </w:tcBorders>
            <w:vAlign w:val="center"/>
          </w:tcPr>
          <w:p>
            <w:pPr>
              <w:spacing w:line="240" w:lineRule="auto"/>
              <w:ind w:firstLine="0" w:firstLineChars="0"/>
              <w:rPr>
                <w:sz w:val="21"/>
                <w:szCs w:val="21"/>
                <w:highlight w:val="none"/>
              </w:rPr>
            </w:pPr>
          </w:p>
        </w:tc>
        <w:tc>
          <w:tcPr>
            <w:tcW w:w="617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制定和落实生产设备设施和污染防治设施运行维护和管理制度，建立环保设施运行台账，确保各项设备设施稳定、正常运行。</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制定《环保管理制度》、《环保岗位考核制度》、《环保设备管理制度》、《污染防治设施运行管理制度》，建立环保设施运行台账，保证各项设备设施稳定、正常运行。</w:t>
            </w:r>
          </w:p>
        </w:tc>
        <w:tc>
          <w:tcPr>
            <w:tcW w:w="822"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vMerge w:val="continue"/>
            <w:tcBorders>
              <w:tl2br w:val="nil"/>
              <w:tr2bl w:val="nil"/>
            </w:tcBorders>
            <w:vAlign w:val="center"/>
          </w:tcPr>
          <w:p>
            <w:pPr>
              <w:spacing w:line="240" w:lineRule="auto"/>
              <w:ind w:firstLine="0" w:firstLineChars="0"/>
              <w:rPr>
                <w:sz w:val="21"/>
                <w:szCs w:val="21"/>
                <w:highlight w:val="none"/>
              </w:rPr>
            </w:pP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落实环境污染报告制度、环境巡查制度、环保事故管理制度。</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落实环境污染报告制度、环境巡查制度、环保事故管理制度。</w:t>
            </w:r>
          </w:p>
        </w:tc>
        <w:tc>
          <w:tcPr>
            <w:tcW w:w="822"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场区及道路硬化绿化</w:t>
            </w: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配套采矿至公路路网、铁选矿厂区运输通道及成品库房至公路路网道路的硬化、绿化，路面宽度6米，水泥混凝土厚度不低于0.3米，路基宽度6.5米（按照田间道路的标准执行），要在合理位置安装自动洗车设备。两侧要参照三级公路绿化标准进行绿化，每侧需栽植两行胸径不低于10厘米的绿化树木，株距5米，并保证整体绿化效果。每座选矿必须配备一台清扫车和一台洒水车，生产期间，道路路面不间断清扫保洁、洒水抑尘，保持路面整洁、湿润不起尘，有效防止运输环节扬尘污染，同时车辆拉货上路时不允许沥水。两家以上铁选矿共用的运输道路，其硬化、绿化、清扫洒水工作，由所在乡镇政府组织协调，相关企业共同出资解决。</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建设配套原料及产品运输道路（均为村外乡间道路，水泥硬化），路面宽度6m，水泥混凝土厚度不低于0.3m，路基宽度6.5m，在</w:t>
            </w:r>
            <w:r>
              <w:rPr>
                <w:rFonts w:hint="eastAsia"/>
                <w:bCs/>
                <w:sz w:val="21"/>
                <w:szCs w:val="21"/>
                <w:highlight w:val="none"/>
              </w:rPr>
              <w:t>厂区门口、成品库</w:t>
            </w:r>
            <w:r>
              <w:rPr>
                <w:rFonts w:hint="eastAsia"/>
                <w:sz w:val="21"/>
                <w:szCs w:val="21"/>
                <w:highlight w:val="none"/>
              </w:rPr>
              <w:t>、尾矿</w:t>
            </w:r>
            <w:r>
              <w:rPr>
                <w:rFonts w:hint="eastAsia"/>
                <w:bCs/>
                <w:sz w:val="21"/>
                <w:szCs w:val="21"/>
                <w:highlight w:val="none"/>
              </w:rPr>
              <w:t>库</w:t>
            </w:r>
            <w:r>
              <w:rPr>
                <w:rFonts w:hint="eastAsia"/>
                <w:sz w:val="21"/>
                <w:szCs w:val="21"/>
                <w:highlight w:val="none"/>
              </w:rPr>
              <w:t>出入口</w:t>
            </w:r>
            <w:r>
              <w:rPr>
                <w:sz w:val="21"/>
                <w:szCs w:val="21"/>
                <w:highlight w:val="none"/>
              </w:rPr>
              <w:t>安装自动洗车设备。道路两侧按照三级公路绿化标准进行绿化。</w:t>
            </w:r>
          </w:p>
          <w:p>
            <w:pPr>
              <w:spacing w:line="240" w:lineRule="auto"/>
              <w:ind w:firstLine="0" w:firstLineChars="0"/>
              <w:rPr>
                <w:sz w:val="21"/>
                <w:szCs w:val="21"/>
                <w:highlight w:val="none"/>
              </w:rPr>
            </w:pPr>
            <w:r>
              <w:rPr>
                <w:sz w:val="21"/>
                <w:szCs w:val="21"/>
                <w:highlight w:val="none"/>
              </w:rPr>
              <w:t>厂区内配备清扫车和洒水车，生产期间，保证道路路面不间断清扫保洁、洒水抑尘，保持路面整洁、湿润不起尘，有效防止运输环节扬尘污染，同时车辆拉货上路时不允许沥水。</w:t>
            </w:r>
          </w:p>
          <w:p>
            <w:pPr>
              <w:spacing w:line="240" w:lineRule="auto"/>
              <w:ind w:firstLine="0" w:firstLineChars="0"/>
              <w:jc w:val="both"/>
              <w:rPr>
                <w:sz w:val="21"/>
                <w:szCs w:val="21"/>
                <w:highlight w:val="none"/>
              </w:rPr>
            </w:pPr>
            <w:r>
              <w:rPr>
                <w:sz w:val="21"/>
                <w:szCs w:val="21"/>
                <w:highlight w:val="none"/>
              </w:rPr>
              <w:t>企业厂区外运输道路的绿化、硬化、清扫、洒水工作，由本企业出资解决。</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生产</w:t>
            </w:r>
          </w:p>
          <w:p>
            <w:pPr>
              <w:spacing w:line="240" w:lineRule="auto"/>
              <w:ind w:firstLine="0" w:firstLineChars="0"/>
              <w:jc w:val="center"/>
              <w:rPr>
                <w:sz w:val="21"/>
                <w:szCs w:val="21"/>
                <w:highlight w:val="none"/>
              </w:rPr>
            </w:pPr>
            <w:r>
              <w:rPr>
                <w:sz w:val="21"/>
                <w:szCs w:val="21"/>
                <w:highlight w:val="none"/>
              </w:rPr>
              <w:t>规模</w:t>
            </w: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粗选年处理原矿能力不得低于15万吨，精选年处理铁粉能力不得低于20万吨。</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本项目</w:t>
            </w:r>
            <w:r>
              <w:rPr>
                <w:rFonts w:hint="eastAsia"/>
                <w:sz w:val="21"/>
                <w:szCs w:val="21"/>
                <w:highlight w:val="none"/>
              </w:rPr>
              <w:t>实施后全厂</w:t>
            </w:r>
            <w:r>
              <w:rPr>
                <w:sz w:val="21"/>
                <w:szCs w:val="21"/>
                <w:highlight w:val="none"/>
              </w:rPr>
              <w:t>年处理铁矿石（原矿）</w:t>
            </w:r>
            <w:r>
              <w:rPr>
                <w:rFonts w:hint="eastAsia"/>
                <w:sz w:val="21"/>
                <w:szCs w:val="21"/>
                <w:highlight w:val="none"/>
              </w:rPr>
              <w:t>60</w:t>
            </w:r>
            <w:r>
              <w:rPr>
                <w:sz w:val="21"/>
                <w:szCs w:val="21"/>
                <w:highlight w:val="none"/>
              </w:rPr>
              <w:t>万吨</w:t>
            </w:r>
            <w:r>
              <w:rPr>
                <w:rFonts w:hint="eastAsia"/>
                <w:sz w:val="21"/>
                <w:szCs w:val="21"/>
                <w:highlight w:val="none"/>
              </w:rPr>
              <w:t>，</w:t>
            </w:r>
            <w:r>
              <w:rPr>
                <w:sz w:val="21"/>
                <w:szCs w:val="21"/>
                <w:highlight w:val="none"/>
              </w:rPr>
              <w:t>精选年处理铁粉能力</w:t>
            </w:r>
            <w:r>
              <w:rPr>
                <w:rFonts w:hint="eastAsia"/>
                <w:sz w:val="21"/>
                <w:szCs w:val="21"/>
                <w:highlight w:val="none"/>
              </w:rPr>
              <w:t>120</w:t>
            </w:r>
            <w:r>
              <w:rPr>
                <w:sz w:val="21"/>
                <w:szCs w:val="21"/>
                <w:highlight w:val="none"/>
              </w:rPr>
              <w:t>万吨。</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无入河排污口</w:t>
            </w: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对于临河建设的选矿企业均不得设置入河排污口，生产过程中产生的污水必须排入低于地面的尾矿库，并定期进行清理；建设沉砂池及净水池，提高水循环利用率。</w:t>
            </w:r>
          </w:p>
        </w:tc>
        <w:tc>
          <w:tcPr>
            <w:tcW w:w="6305"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本项目废水全部循环利用或综合利用，不外排，不设入河排污口；本项目采用尾矿干排工艺，不建设尾矿库</w:t>
            </w:r>
            <w:r>
              <w:rPr>
                <w:sz w:val="21"/>
                <w:szCs w:val="21"/>
                <w:highlight w:val="none"/>
              </w:rPr>
              <w:t>。</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符合河库安全保护距离</w:t>
            </w: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水库安全保护距离为淹没线以外500米；重点河道黎河、沙河、淋河、魏进河为河提外坡脚以外100米，其中尾矿库距离河道不低于150米；一般性河道为50米，其中尾矿库距离不能低于100米；支流及排水沟渠为20米，其中尾矿库距离不能低于50米。河库安全保护范围内不再新设铁选矿。对保护距离范围内已有的铁选矿，实施绿化隔离，在河提与选矿间建立绿化隔离带，其中重点保护区域在河堤外绿化厚度不低于30米、一般性河道河堤外绿化厚度不低于20米、支流及其他河流河堤外绿化厚度不低于10米，种植要求乔木与灌木相结合。</w:t>
            </w:r>
          </w:p>
        </w:tc>
        <w:tc>
          <w:tcPr>
            <w:tcW w:w="6305"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项目周边500米内无河流水库等，符合安全距离要求。</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6177" w:type="dxa"/>
            <w:tcBorders>
              <w:tl2br w:val="nil"/>
              <w:tr2bl w:val="nil"/>
            </w:tcBorders>
            <w:vAlign w:val="center"/>
          </w:tcPr>
          <w:p>
            <w:pPr>
              <w:spacing w:line="240" w:lineRule="auto"/>
              <w:ind w:firstLine="0" w:firstLineChars="0"/>
              <w:rPr>
                <w:sz w:val="21"/>
                <w:szCs w:val="21"/>
                <w:highlight w:val="none"/>
              </w:rPr>
            </w:pPr>
            <w:r>
              <w:rPr>
                <w:sz w:val="21"/>
                <w:szCs w:val="21"/>
                <w:highlight w:val="none"/>
              </w:rPr>
              <w:t>旅游景区、景点周边或通往景区的旅游线路两侧有碍观瞻的铁选矿，合理设置景观墙或景观带消除观瞻影响。</w:t>
            </w:r>
          </w:p>
        </w:tc>
        <w:tc>
          <w:tcPr>
            <w:tcW w:w="6305"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项目不在旅游景区、景点周边或通往景区的旅游线路两侧。</w:t>
            </w:r>
          </w:p>
        </w:tc>
        <w:tc>
          <w:tcPr>
            <w:tcW w:w="82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符合</w:t>
            </w:r>
          </w:p>
        </w:tc>
      </w:tr>
    </w:tbl>
    <w:p>
      <w:pPr>
        <w:ind w:firstLine="0" w:firstLineChars="0"/>
        <w:jc w:val="both"/>
        <w:rPr>
          <w:b/>
          <w:highlight w:val="none"/>
        </w:rPr>
      </w:pPr>
    </w:p>
    <w:p>
      <w:pPr>
        <w:ind w:firstLine="480"/>
        <w:jc w:val="center"/>
        <w:rPr>
          <w:sz w:val="24"/>
          <w:szCs w:val="24"/>
          <w:highlight w:val="none"/>
        </w:rPr>
      </w:pPr>
    </w:p>
    <w:p>
      <w:pPr>
        <w:ind w:firstLine="480"/>
        <w:jc w:val="center"/>
        <w:rPr>
          <w:sz w:val="24"/>
          <w:szCs w:val="24"/>
          <w:highlight w:val="none"/>
        </w:rPr>
        <w:sectPr>
          <w:pgSz w:w="16838" w:h="11906" w:orient="landscape"/>
          <w:pgMar w:top="1800" w:right="1440" w:bottom="1800" w:left="1440" w:header="851" w:footer="992" w:gutter="0"/>
          <w:cols w:space="720" w:num="1"/>
          <w:docGrid w:linePitch="381" w:charSpace="0"/>
        </w:sectPr>
      </w:pPr>
    </w:p>
    <w:p>
      <w:pPr>
        <w:pStyle w:val="3"/>
        <w:rPr>
          <w:rFonts w:eastAsiaTheme="minorEastAsia"/>
          <w:b/>
          <w:highlight w:val="none"/>
        </w:rPr>
      </w:pPr>
      <w:r>
        <w:rPr>
          <w:rFonts w:eastAsiaTheme="minorEastAsia"/>
          <w:b/>
          <w:highlight w:val="none"/>
        </w:rPr>
        <w:t>2.</w:t>
      </w:r>
      <w:r>
        <w:rPr>
          <w:rFonts w:hint="eastAsia" w:eastAsiaTheme="minorEastAsia"/>
          <w:b/>
          <w:highlight w:val="none"/>
        </w:rPr>
        <w:t>5</w:t>
      </w:r>
      <w:r>
        <w:rPr>
          <w:rFonts w:eastAsiaTheme="minorEastAsia"/>
          <w:b/>
          <w:highlight w:val="none"/>
        </w:rPr>
        <w:t>.1.</w:t>
      </w:r>
      <w:r>
        <w:rPr>
          <w:rFonts w:hint="eastAsia" w:eastAsiaTheme="minorEastAsia"/>
          <w:b/>
          <w:highlight w:val="none"/>
        </w:rPr>
        <w:t>3</w:t>
      </w:r>
      <w:r>
        <w:rPr>
          <w:rFonts w:eastAsiaTheme="minorEastAsia"/>
          <w:b/>
          <w:highlight w:val="none"/>
        </w:rPr>
        <w:t>与“三线一单”符合性分析</w:t>
      </w:r>
    </w:p>
    <w:p>
      <w:pPr>
        <w:ind w:firstLine="480"/>
        <w:textAlignment w:val="auto"/>
        <w:rPr>
          <w:kern w:val="2"/>
          <w:sz w:val="24"/>
          <w:szCs w:val="24"/>
          <w:highlight w:val="none"/>
        </w:rPr>
      </w:pPr>
      <w:r>
        <w:rPr>
          <w:kern w:val="2"/>
          <w:sz w:val="24"/>
          <w:szCs w:val="24"/>
          <w:highlight w:val="none"/>
        </w:rPr>
        <w:t>根据《关于以改善环境质量为核心加强环境影响评价管理的通知》（环环评[2016]150号），要求以生态保护红线、环境质量底线、资源利用上线和环境准入负面清单（以下简称“三线一单”）为手段，强化空间、总量和准入环境管理。本项目建设与上述要求的符合性分析如下：</w:t>
      </w:r>
    </w:p>
    <w:p>
      <w:pPr>
        <w:ind w:firstLine="480"/>
        <w:textAlignment w:val="auto"/>
        <w:rPr>
          <w:kern w:val="2"/>
          <w:sz w:val="24"/>
          <w:szCs w:val="24"/>
          <w:highlight w:val="none"/>
        </w:rPr>
      </w:pPr>
      <w:r>
        <w:rPr>
          <w:rFonts w:hint="eastAsia"/>
          <w:kern w:val="2"/>
          <w:sz w:val="24"/>
          <w:szCs w:val="24"/>
          <w:highlight w:val="none"/>
        </w:rPr>
        <w:t>（1）</w:t>
      </w:r>
      <w:r>
        <w:rPr>
          <w:kern w:val="2"/>
          <w:sz w:val="24"/>
          <w:szCs w:val="24"/>
          <w:highlight w:val="none"/>
        </w:rPr>
        <w:t>生态保护红线</w:t>
      </w:r>
    </w:p>
    <w:p>
      <w:pPr>
        <w:ind w:firstLine="480"/>
        <w:textAlignment w:val="auto"/>
        <w:rPr>
          <w:kern w:val="2"/>
          <w:sz w:val="24"/>
          <w:szCs w:val="24"/>
          <w:highlight w:val="none"/>
        </w:rPr>
      </w:pPr>
      <w:r>
        <w:rPr>
          <w:kern w:val="2"/>
          <w:sz w:val="24"/>
          <w:szCs w:val="24"/>
          <w:highlight w:val="none"/>
        </w:rPr>
        <w:t>生态保护红线包括重点生态功能区保护红线、生态敏感脆弱区保护红线和禁止开发区保护红线。根据经河北省政府审定的《河北省生态保护红线划定方案》，本项目位于</w:t>
      </w:r>
      <w:r>
        <w:rPr>
          <w:sz w:val="24"/>
          <w:highlight w:val="none"/>
        </w:rPr>
        <w:t>遵化市</w:t>
      </w:r>
      <w:r>
        <w:rPr>
          <w:rFonts w:hint="eastAsia"/>
          <w:sz w:val="24"/>
          <w:highlight w:val="none"/>
        </w:rPr>
        <w:t>新店子镇马店子村</w:t>
      </w:r>
      <w:r>
        <w:rPr>
          <w:rFonts w:hint="eastAsia"/>
          <w:kern w:val="2"/>
          <w:sz w:val="24"/>
          <w:szCs w:val="24"/>
          <w:highlight w:val="none"/>
        </w:rPr>
        <w:t>，</w:t>
      </w:r>
      <w:r>
        <w:rPr>
          <w:kern w:val="2"/>
          <w:sz w:val="24"/>
          <w:szCs w:val="24"/>
          <w:highlight w:val="none"/>
        </w:rPr>
        <w:t>不在生态保护红线区内。</w:t>
      </w:r>
    </w:p>
    <w:p>
      <w:pPr>
        <w:tabs>
          <w:tab w:val="left" w:pos="689"/>
        </w:tabs>
        <w:ind w:firstLine="480"/>
        <w:rPr>
          <w:kern w:val="2"/>
          <w:sz w:val="24"/>
          <w:szCs w:val="24"/>
          <w:highlight w:val="none"/>
        </w:rPr>
      </w:pPr>
      <w:r>
        <w:rPr>
          <w:rFonts w:hint="eastAsia"/>
          <w:kern w:val="2"/>
          <w:sz w:val="24"/>
          <w:szCs w:val="24"/>
          <w:highlight w:val="none"/>
        </w:rPr>
        <w:t>（2）</w:t>
      </w:r>
      <w:r>
        <w:rPr>
          <w:kern w:val="2"/>
          <w:sz w:val="24"/>
          <w:szCs w:val="24"/>
          <w:highlight w:val="none"/>
        </w:rPr>
        <w:t>环境质量底线</w:t>
      </w:r>
    </w:p>
    <w:p>
      <w:pPr>
        <w:snapToGrid w:val="0"/>
        <w:ind w:firstLine="480"/>
        <w:jc w:val="both"/>
        <w:rPr>
          <w:sz w:val="24"/>
          <w:szCs w:val="24"/>
          <w:highlight w:val="none"/>
        </w:rPr>
      </w:pPr>
      <w:r>
        <w:rPr>
          <w:rFonts w:hint="eastAsia"/>
          <w:sz w:val="24"/>
          <w:szCs w:val="24"/>
          <w:highlight w:val="none"/>
        </w:rPr>
        <w:t>①环境空气：</w:t>
      </w:r>
      <w:r>
        <w:rPr>
          <w:sz w:val="24"/>
          <w:szCs w:val="24"/>
          <w:highlight w:val="none"/>
        </w:rPr>
        <w:t>项目区域大气环境为二类区，根据环境质量现状监测报告及遵化市环境空气质量数据，SO</w:t>
      </w:r>
      <w:r>
        <w:rPr>
          <w:sz w:val="24"/>
          <w:szCs w:val="24"/>
          <w:highlight w:val="none"/>
          <w:vertAlign w:val="subscript"/>
        </w:rPr>
        <w:t>2</w:t>
      </w:r>
      <w:r>
        <w:rPr>
          <w:sz w:val="24"/>
          <w:szCs w:val="24"/>
          <w:highlight w:val="none"/>
        </w:rPr>
        <w:t>、NO</w:t>
      </w:r>
      <w:r>
        <w:rPr>
          <w:sz w:val="24"/>
          <w:szCs w:val="24"/>
          <w:highlight w:val="none"/>
          <w:vertAlign w:val="subscript"/>
        </w:rPr>
        <w:t>2</w:t>
      </w:r>
      <w:r>
        <w:rPr>
          <w:sz w:val="24"/>
          <w:szCs w:val="24"/>
          <w:highlight w:val="none"/>
        </w:rPr>
        <w:t>、CO1h浓度及日均浓度满足《环境空气质量标准》（GB3095-2012）二级标准要求。O</w:t>
      </w:r>
      <w:r>
        <w:rPr>
          <w:sz w:val="24"/>
          <w:szCs w:val="24"/>
          <w:highlight w:val="none"/>
          <w:vertAlign w:val="subscript"/>
        </w:rPr>
        <w:t>3</w:t>
      </w:r>
      <w:r>
        <w:rPr>
          <w:sz w:val="24"/>
          <w:szCs w:val="24"/>
          <w:highlight w:val="none"/>
        </w:rPr>
        <w:t>1h浓度及8h浓度满足《环境空气质量标准》（GB3095-2012）二级标准要求。PM</w:t>
      </w:r>
      <w:r>
        <w:rPr>
          <w:sz w:val="24"/>
          <w:szCs w:val="24"/>
          <w:highlight w:val="none"/>
          <w:vertAlign w:val="subscript"/>
        </w:rPr>
        <w:t>2.5</w:t>
      </w:r>
      <w:r>
        <w:rPr>
          <w:sz w:val="24"/>
          <w:szCs w:val="24"/>
          <w:highlight w:val="none"/>
        </w:rPr>
        <w:t>日均浓度满足《环境空气质量标准》（GB3095-2012）二级标准要求。PM</w:t>
      </w:r>
      <w:r>
        <w:rPr>
          <w:sz w:val="24"/>
          <w:szCs w:val="24"/>
          <w:highlight w:val="none"/>
          <w:vertAlign w:val="subscript"/>
        </w:rPr>
        <w:t>10</w:t>
      </w:r>
      <w:r>
        <w:rPr>
          <w:sz w:val="24"/>
          <w:szCs w:val="24"/>
          <w:highlight w:val="none"/>
        </w:rPr>
        <w:t>日均浓度超标。本项目经通过采取相应的治理措施后，废气排放浓度满足《铁矿采选工业污染物排放标准》（GB28661-2012）表6大气污染物特别排放限值要求；厂界无组织颗粒物满足表7大气污染物无组织排放浓度限值。该项目主要污染物—颗粒物污染排放总量需进行区域削减，其削减方案由当地环保管理部门在区域削减的基础上给出，并通过交易获得。该项目为允许类项目，根据“增一减二”原则</w:t>
      </w:r>
      <w:r>
        <w:rPr>
          <w:rFonts w:hint="eastAsia"/>
          <w:sz w:val="24"/>
          <w:szCs w:val="24"/>
          <w:highlight w:val="none"/>
        </w:rPr>
        <w:t>进行</w:t>
      </w:r>
      <w:r>
        <w:rPr>
          <w:sz w:val="24"/>
          <w:szCs w:val="24"/>
          <w:highlight w:val="none"/>
        </w:rPr>
        <w:t>调剂。因此，当项目投产后，不会对周边区域大气环境造成明显不利影响。</w:t>
      </w:r>
    </w:p>
    <w:p>
      <w:pPr>
        <w:snapToGrid w:val="0"/>
        <w:ind w:firstLine="480"/>
        <w:jc w:val="both"/>
        <w:rPr>
          <w:sz w:val="24"/>
          <w:szCs w:val="24"/>
          <w:highlight w:val="none"/>
        </w:rPr>
      </w:pPr>
      <w:r>
        <w:rPr>
          <w:rFonts w:hint="eastAsia"/>
          <w:sz w:val="24"/>
          <w:szCs w:val="24"/>
          <w:highlight w:val="none"/>
        </w:rPr>
        <w:t>②水环境：本项目生产废水经处理后循环使用，生活废水泼洒抑尘，洗车废水经沉淀后循环使用。项目生产生活废水不外排，不会对区域地表水环境产生影响。</w:t>
      </w:r>
    </w:p>
    <w:p>
      <w:pPr>
        <w:snapToGrid w:val="0"/>
        <w:ind w:firstLine="480"/>
        <w:jc w:val="both"/>
        <w:rPr>
          <w:sz w:val="24"/>
          <w:szCs w:val="24"/>
          <w:highlight w:val="none"/>
        </w:rPr>
      </w:pPr>
      <w:r>
        <w:rPr>
          <w:rFonts w:hint="eastAsia"/>
          <w:sz w:val="24"/>
          <w:szCs w:val="24"/>
          <w:highlight w:val="none"/>
        </w:rPr>
        <w:t>③声环境：项目所在区域声环境执行《声环境质量标准》（GB3096-2008）2类标准，根据环境质量现状监测报告，项目所在区域满足环境质量标准要求。项目主要噪声源优先选用低噪声设备，并置于车间内，设备采用基础减振措施、加装減振器等措施，根据预测结果，厂界噪声贡献值满足《工业企业厂界环境噪声排放标准》(GB13248-2008)2类标准要求，不会改变厂界现有功能要求。</w:t>
      </w:r>
    </w:p>
    <w:p>
      <w:pPr>
        <w:snapToGrid w:val="0"/>
        <w:ind w:firstLine="480"/>
        <w:jc w:val="both"/>
        <w:rPr>
          <w:sz w:val="24"/>
          <w:szCs w:val="24"/>
          <w:highlight w:val="none"/>
        </w:rPr>
      </w:pPr>
      <w:r>
        <w:rPr>
          <w:rFonts w:hint="eastAsia"/>
          <w:sz w:val="24"/>
          <w:szCs w:val="24"/>
          <w:highlight w:val="none"/>
        </w:rPr>
        <w:t>（3）资源利用上线</w:t>
      </w:r>
    </w:p>
    <w:p>
      <w:pPr>
        <w:ind w:firstLine="480"/>
        <w:rPr>
          <w:sz w:val="24"/>
          <w:szCs w:val="24"/>
          <w:highlight w:val="none"/>
        </w:rPr>
      </w:pPr>
      <w:r>
        <w:rPr>
          <w:rFonts w:hint="eastAsia"/>
          <w:sz w:val="24"/>
          <w:szCs w:val="24"/>
          <w:highlight w:val="none"/>
        </w:rPr>
        <w:t>本项目建设生产过程中，主要利用的资源是铁矿石，水，电能。项目原料铁矿石主要来源于</w:t>
      </w:r>
      <w:r>
        <w:rPr>
          <w:sz w:val="24"/>
          <w:szCs w:val="24"/>
          <w:highlight w:val="none"/>
        </w:rPr>
        <w:t>遵化市</w:t>
      </w:r>
      <w:r>
        <w:rPr>
          <w:rFonts w:hint="eastAsia"/>
          <w:sz w:val="24"/>
          <w:szCs w:val="24"/>
          <w:highlight w:val="none"/>
        </w:rPr>
        <w:t>本地矿场，原料供应有保障。项目用水为地下水，根据《河北省人民政府关于公布地下水超采区、禁止开采区和限制开采区范围的通知》（冀政字〔2022〕59号），项目所在地不属于超采、禁采和限采范围内，项目所在区地下水资源丰富，水资源供应有保障。项目供电由当地变电站供电，电供应有保障。</w:t>
      </w:r>
    </w:p>
    <w:p>
      <w:pPr>
        <w:snapToGrid w:val="0"/>
        <w:ind w:firstLine="480"/>
        <w:jc w:val="both"/>
        <w:rPr>
          <w:sz w:val="24"/>
          <w:szCs w:val="24"/>
          <w:highlight w:val="none"/>
        </w:rPr>
      </w:pPr>
      <w:r>
        <w:rPr>
          <w:rFonts w:hint="eastAsia"/>
          <w:sz w:val="24"/>
          <w:szCs w:val="24"/>
          <w:highlight w:val="none"/>
        </w:rPr>
        <w:t>（4）环境准入负面清单</w:t>
      </w:r>
    </w:p>
    <w:p>
      <w:pPr>
        <w:ind w:firstLine="480"/>
        <w:jc w:val="both"/>
        <w:rPr>
          <w:sz w:val="24"/>
          <w:highlight w:val="none"/>
        </w:rPr>
      </w:pPr>
      <w:r>
        <w:rPr>
          <w:rFonts w:hint="eastAsia"/>
          <w:sz w:val="24"/>
          <w:szCs w:val="24"/>
          <w:highlight w:val="none"/>
          <w:lang w:val="zh-CN"/>
        </w:rPr>
        <w:t>本项目生产规模为年处理</w:t>
      </w:r>
      <w:r>
        <w:rPr>
          <w:rFonts w:hint="eastAsia"/>
          <w:sz w:val="24"/>
          <w:szCs w:val="24"/>
          <w:highlight w:val="none"/>
        </w:rPr>
        <w:t>60</w:t>
      </w:r>
      <w:r>
        <w:rPr>
          <w:rFonts w:hint="eastAsia"/>
          <w:sz w:val="24"/>
          <w:szCs w:val="24"/>
          <w:highlight w:val="none"/>
          <w:lang w:val="zh-CN"/>
        </w:rPr>
        <w:t>万吨铁矿石、</w:t>
      </w:r>
      <w:r>
        <w:rPr>
          <w:rFonts w:hint="eastAsia"/>
          <w:sz w:val="24"/>
          <w:szCs w:val="24"/>
          <w:highlight w:val="none"/>
        </w:rPr>
        <w:t>110万吨粗精矿</w:t>
      </w:r>
      <w:r>
        <w:rPr>
          <w:rFonts w:hint="eastAsia"/>
          <w:sz w:val="24"/>
          <w:szCs w:val="24"/>
          <w:highlight w:val="none"/>
          <w:lang w:val="zh-CN"/>
        </w:rPr>
        <w:t>，不属于《产业结构调整指导目录（201</w:t>
      </w:r>
      <w:r>
        <w:rPr>
          <w:rFonts w:hint="eastAsia"/>
          <w:sz w:val="24"/>
          <w:szCs w:val="24"/>
          <w:highlight w:val="none"/>
        </w:rPr>
        <w:t>9</w:t>
      </w:r>
      <w:r>
        <w:rPr>
          <w:rFonts w:hint="eastAsia"/>
          <w:sz w:val="24"/>
          <w:szCs w:val="24"/>
          <w:highlight w:val="none"/>
          <w:lang w:val="zh-CN"/>
        </w:rPr>
        <w:t>年本）（国家发改委</w:t>
      </w:r>
      <w:r>
        <w:rPr>
          <w:rFonts w:hint="eastAsia"/>
          <w:sz w:val="24"/>
          <w:szCs w:val="24"/>
          <w:highlight w:val="none"/>
        </w:rPr>
        <w:t>第29</w:t>
      </w:r>
      <w:r>
        <w:rPr>
          <w:rFonts w:hint="eastAsia"/>
          <w:sz w:val="24"/>
          <w:szCs w:val="24"/>
          <w:highlight w:val="none"/>
          <w:lang w:val="zh-CN"/>
        </w:rPr>
        <w:t>号令）禁止或限制类项目，属于允许建设类项目；亦不属于《河北省人民政府办公厅关于印发河北省新增限制和淘汰类产业目录的通知》（冀政办发[2015]7号）中所规定的禁止和限制建设的工程。本项目建设方案符合《遵化市铁选矿综合治理工作实施方案》的要求（粗选年处理原矿能力不得低于15万吨，精选年处理铁粉能力不得低于20万吨），符合环境准入负面清单有关的要求。</w:t>
      </w:r>
    </w:p>
    <w:p>
      <w:pPr>
        <w:ind w:firstLine="480"/>
        <w:rPr>
          <w:sz w:val="24"/>
          <w:szCs w:val="24"/>
          <w:highlight w:val="none"/>
          <w:lang w:val="zh-CN"/>
        </w:rPr>
      </w:pPr>
      <w:r>
        <w:rPr>
          <w:rFonts w:hint="eastAsia"/>
          <w:sz w:val="24"/>
          <w:szCs w:val="24"/>
          <w:highlight w:val="none"/>
          <w:lang w:val="zh-CN"/>
        </w:rPr>
        <w:t>综上所述，本项目位于</w:t>
      </w:r>
      <w:r>
        <w:rPr>
          <w:sz w:val="24"/>
          <w:szCs w:val="24"/>
          <w:highlight w:val="none"/>
        </w:rPr>
        <w:t>遵化市</w:t>
      </w:r>
      <w:r>
        <w:rPr>
          <w:rFonts w:hint="eastAsia"/>
          <w:sz w:val="24"/>
          <w:szCs w:val="24"/>
          <w:highlight w:val="none"/>
        </w:rPr>
        <w:t>新店子镇马店子村</w:t>
      </w:r>
      <w:r>
        <w:rPr>
          <w:sz w:val="24"/>
          <w:szCs w:val="24"/>
          <w:highlight w:val="none"/>
        </w:rPr>
        <w:t>，</w:t>
      </w:r>
      <w:r>
        <w:rPr>
          <w:rFonts w:hint="eastAsia"/>
          <w:sz w:val="24"/>
          <w:szCs w:val="24"/>
          <w:highlight w:val="none"/>
          <w:lang w:val="zh-CN"/>
        </w:rPr>
        <w:t>项目建设符合</w:t>
      </w:r>
      <w:bookmarkStart w:id="128" w:name="_Hlk7389985"/>
      <w:r>
        <w:rPr>
          <w:rFonts w:hint="eastAsia"/>
          <w:sz w:val="24"/>
          <w:szCs w:val="24"/>
          <w:highlight w:val="none"/>
          <w:lang w:val="zh-CN"/>
        </w:rPr>
        <w:t>《产业结构调整指导目录（201</w:t>
      </w:r>
      <w:r>
        <w:rPr>
          <w:rFonts w:hint="eastAsia"/>
          <w:sz w:val="24"/>
          <w:szCs w:val="24"/>
          <w:highlight w:val="none"/>
        </w:rPr>
        <w:t>9</w:t>
      </w:r>
      <w:r>
        <w:rPr>
          <w:rFonts w:hint="eastAsia"/>
          <w:sz w:val="24"/>
          <w:szCs w:val="24"/>
          <w:highlight w:val="none"/>
          <w:lang w:val="zh-CN"/>
        </w:rPr>
        <w:t>年本）》、《河北省新增限制和淘汰类产业目录（2015年版）》（冀政办发［2015］57号）、</w:t>
      </w:r>
      <w:bookmarkEnd w:id="128"/>
      <w:r>
        <w:rPr>
          <w:rFonts w:hint="eastAsia"/>
          <w:sz w:val="24"/>
          <w:szCs w:val="24"/>
          <w:highlight w:val="none"/>
          <w:lang w:val="zh-CN"/>
        </w:rPr>
        <w:t>河北省生态保护红线规划、环境质量底线、资源利用上线、环境准入负面清单的要求。</w:t>
      </w:r>
    </w:p>
    <w:p>
      <w:pPr>
        <w:pStyle w:val="3"/>
        <w:rPr>
          <w:rFonts w:eastAsiaTheme="minorEastAsia"/>
          <w:b/>
          <w:highlight w:val="none"/>
        </w:rPr>
      </w:pPr>
      <w:r>
        <w:rPr>
          <w:rFonts w:hint="eastAsia" w:eastAsiaTheme="minorEastAsia"/>
          <w:b/>
          <w:highlight w:val="none"/>
        </w:rPr>
        <w:t>2.5.1.4</w:t>
      </w:r>
      <w:r>
        <w:rPr>
          <w:rFonts w:eastAsiaTheme="minorEastAsia"/>
          <w:b/>
          <w:highlight w:val="none"/>
        </w:rPr>
        <w:t xml:space="preserve"> 《关于实施“三线一单”生态环境分区管控的意见》（唐政字〔2021〕48号）符合性分析</w:t>
      </w:r>
    </w:p>
    <w:p>
      <w:pPr>
        <w:ind w:firstLine="480"/>
        <w:jc w:val="both"/>
        <w:rPr>
          <w:sz w:val="24"/>
          <w:szCs w:val="24"/>
          <w:highlight w:val="none"/>
          <w:lang w:val="zh-CN"/>
        </w:rPr>
      </w:pPr>
      <w:r>
        <w:rPr>
          <w:sz w:val="24"/>
          <w:szCs w:val="24"/>
          <w:highlight w:val="none"/>
          <w:lang w:val="zh-CN"/>
        </w:rPr>
        <w:t>本项目位于</w:t>
      </w:r>
      <w:r>
        <w:rPr>
          <w:sz w:val="24"/>
          <w:szCs w:val="24"/>
          <w:highlight w:val="none"/>
        </w:rPr>
        <w:t>遵化市</w:t>
      </w:r>
      <w:r>
        <w:rPr>
          <w:rFonts w:hint="eastAsia"/>
          <w:sz w:val="24"/>
          <w:szCs w:val="24"/>
          <w:highlight w:val="none"/>
        </w:rPr>
        <w:t>新店子镇马店子村</w:t>
      </w:r>
      <w:r>
        <w:rPr>
          <w:sz w:val="24"/>
          <w:szCs w:val="24"/>
          <w:highlight w:val="none"/>
          <w:lang w:val="zh-CN"/>
        </w:rPr>
        <w:t>，属于</w:t>
      </w:r>
      <w:r>
        <w:rPr>
          <w:rFonts w:hint="eastAsia"/>
          <w:sz w:val="24"/>
          <w:szCs w:val="24"/>
          <w:highlight w:val="none"/>
        </w:rPr>
        <w:t>文件划定的优先</w:t>
      </w:r>
      <w:r>
        <w:rPr>
          <w:sz w:val="24"/>
          <w:szCs w:val="24"/>
          <w:highlight w:val="none"/>
          <w:lang w:val="zh-CN"/>
        </w:rPr>
        <w:t>管控单元范畴，与</w:t>
      </w:r>
      <w:r>
        <w:rPr>
          <w:rFonts w:hint="eastAsia"/>
          <w:sz w:val="24"/>
          <w:szCs w:val="24"/>
          <w:highlight w:val="none"/>
        </w:rPr>
        <w:t>优先</w:t>
      </w:r>
      <w:r>
        <w:rPr>
          <w:sz w:val="24"/>
          <w:szCs w:val="24"/>
          <w:highlight w:val="none"/>
          <w:lang w:val="zh-CN"/>
        </w:rPr>
        <w:t>管控单元符合性分析情况见表</w:t>
      </w:r>
      <w:r>
        <w:rPr>
          <w:rFonts w:hint="eastAsia"/>
          <w:sz w:val="24"/>
          <w:szCs w:val="24"/>
          <w:highlight w:val="none"/>
        </w:rPr>
        <w:t>2.5-2</w:t>
      </w:r>
      <w:r>
        <w:rPr>
          <w:sz w:val="24"/>
          <w:szCs w:val="24"/>
          <w:highlight w:val="none"/>
          <w:lang w:val="zh-CN"/>
        </w:rPr>
        <w:t>。</w:t>
      </w:r>
    </w:p>
    <w:p>
      <w:pPr>
        <w:spacing w:line="240" w:lineRule="auto"/>
        <w:ind w:firstLine="0" w:firstLineChars="0"/>
        <w:jc w:val="center"/>
        <w:rPr>
          <w:rFonts w:eastAsia="黑体"/>
          <w:bCs/>
          <w:sz w:val="21"/>
          <w:szCs w:val="21"/>
          <w:highlight w:val="none"/>
        </w:rPr>
      </w:pPr>
      <w:r>
        <w:rPr>
          <w:rFonts w:eastAsia="黑体"/>
          <w:bCs/>
          <w:sz w:val="21"/>
          <w:szCs w:val="21"/>
          <w:highlight w:val="none"/>
        </w:rPr>
        <w:t>表</w:t>
      </w:r>
      <w:r>
        <w:rPr>
          <w:rFonts w:hint="eastAsia" w:eastAsia="黑体"/>
          <w:bCs/>
          <w:sz w:val="21"/>
          <w:szCs w:val="21"/>
          <w:highlight w:val="none"/>
        </w:rPr>
        <w:t>2.5-2</w:t>
      </w:r>
      <w:r>
        <w:rPr>
          <w:rFonts w:eastAsia="黑体"/>
          <w:bCs/>
          <w:sz w:val="21"/>
          <w:szCs w:val="21"/>
          <w:highlight w:val="none"/>
        </w:rPr>
        <w:t xml:space="preserve"> 与《关于实施“三线一单”生态环境分区管控的意见》符合性分析一览表</w:t>
      </w:r>
    </w:p>
    <w:tbl>
      <w:tblPr>
        <w:tblStyle w:val="56"/>
        <w:tblW w:w="852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732"/>
        <w:gridCol w:w="747"/>
        <w:gridCol w:w="3089"/>
        <w:gridCol w:w="2026"/>
        <w:gridCol w:w="12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12" w:type="dxa"/>
            <w:gridSpan w:val="4"/>
            <w:vAlign w:val="center"/>
          </w:tcPr>
          <w:p>
            <w:pPr>
              <w:pStyle w:val="417"/>
              <w:spacing w:line="240" w:lineRule="auto"/>
              <w:rPr>
                <w:highlight w:val="none"/>
              </w:rPr>
            </w:pPr>
            <w:r>
              <w:rPr>
                <w:highlight w:val="none"/>
              </w:rPr>
              <w:t>《关于实施“三线一单”生态环境分区管控的意见》</w:t>
            </w:r>
          </w:p>
          <w:p>
            <w:pPr>
              <w:pStyle w:val="417"/>
              <w:spacing w:line="240" w:lineRule="auto"/>
              <w:rPr>
                <w:highlight w:val="none"/>
              </w:rPr>
            </w:pPr>
            <w:r>
              <w:rPr>
                <w:highlight w:val="none"/>
              </w:rPr>
              <w:t>（唐政字〔2021〕48号）</w:t>
            </w:r>
          </w:p>
        </w:tc>
        <w:tc>
          <w:tcPr>
            <w:tcW w:w="2026" w:type="dxa"/>
            <w:vMerge w:val="restart"/>
            <w:vAlign w:val="center"/>
          </w:tcPr>
          <w:p>
            <w:pPr>
              <w:pStyle w:val="417"/>
              <w:spacing w:line="240" w:lineRule="auto"/>
              <w:rPr>
                <w:highlight w:val="none"/>
              </w:rPr>
            </w:pPr>
            <w:r>
              <w:rPr>
                <w:highlight w:val="none"/>
              </w:rPr>
              <w:t>本项目情况</w:t>
            </w:r>
          </w:p>
        </w:tc>
        <w:tc>
          <w:tcPr>
            <w:tcW w:w="1288" w:type="dxa"/>
            <w:vMerge w:val="restart"/>
            <w:vAlign w:val="center"/>
          </w:tcPr>
          <w:p>
            <w:pPr>
              <w:pStyle w:val="417"/>
              <w:spacing w:line="240" w:lineRule="auto"/>
              <w:rPr>
                <w:highlight w:val="none"/>
              </w:rPr>
            </w:pPr>
            <w:r>
              <w:rPr>
                <w:highlight w:val="none"/>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4" w:type="dxa"/>
            <w:vAlign w:val="center"/>
          </w:tcPr>
          <w:p>
            <w:pPr>
              <w:pStyle w:val="417"/>
              <w:spacing w:line="240" w:lineRule="auto"/>
              <w:rPr>
                <w:highlight w:val="none"/>
              </w:rPr>
            </w:pPr>
            <w:r>
              <w:rPr>
                <w:highlight w:val="none"/>
              </w:rPr>
              <w:t>乡镇</w:t>
            </w:r>
          </w:p>
        </w:tc>
        <w:tc>
          <w:tcPr>
            <w:tcW w:w="732" w:type="dxa"/>
            <w:vAlign w:val="center"/>
          </w:tcPr>
          <w:p>
            <w:pPr>
              <w:pStyle w:val="417"/>
              <w:spacing w:line="240" w:lineRule="auto"/>
              <w:rPr>
                <w:highlight w:val="none"/>
              </w:rPr>
            </w:pPr>
            <w:r>
              <w:rPr>
                <w:highlight w:val="none"/>
              </w:rPr>
              <w:t>单元类别</w:t>
            </w:r>
          </w:p>
        </w:tc>
        <w:tc>
          <w:tcPr>
            <w:tcW w:w="747" w:type="dxa"/>
            <w:vAlign w:val="center"/>
          </w:tcPr>
          <w:p>
            <w:pPr>
              <w:pStyle w:val="417"/>
              <w:spacing w:line="240" w:lineRule="auto"/>
              <w:rPr>
                <w:highlight w:val="none"/>
              </w:rPr>
            </w:pPr>
            <w:r>
              <w:rPr>
                <w:highlight w:val="none"/>
              </w:rPr>
              <w:t>维度</w:t>
            </w:r>
          </w:p>
        </w:tc>
        <w:tc>
          <w:tcPr>
            <w:tcW w:w="3089" w:type="dxa"/>
            <w:vAlign w:val="center"/>
          </w:tcPr>
          <w:p>
            <w:pPr>
              <w:pStyle w:val="417"/>
              <w:spacing w:line="240" w:lineRule="auto"/>
              <w:rPr>
                <w:highlight w:val="none"/>
              </w:rPr>
            </w:pPr>
            <w:r>
              <w:rPr>
                <w:highlight w:val="none"/>
              </w:rPr>
              <w:t>管控措施</w:t>
            </w:r>
          </w:p>
        </w:tc>
        <w:tc>
          <w:tcPr>
            <w:tcW w:w="2026" w:type="dxa"/>
            <w:vMerge w:val="continue"/>
            <w:vAlign w:val="center"/>
          </w:tcPr>
          <w:p>
            <w:pPr>
              <w:pStyle w:val="417"/>
              <w:spacing w:line="240" w:lineRule="auto"/>
              <w:rPr>
                <w:highlight w:val="none"/>
              </w:rPr>
            </w:pPr>
          </w:p>
        </w:tc>
        <w:tc>
          <w:tcPr>
            <w:tcW w:w="1288" w:type="dxa"/>
            <w:vMerge w:val="continue"/>
            <w:vAlign w:val="center"/>
          </w:tcPr>
          <w:p>
            <w:pPr>
              <w:pStyle w:val="417"/>
              <w:spacing w:line="240" w:lineRule="auto"/>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dxa"/>
            <w:vMerge w:val="restart"/>
            <w:vAlign w:val="center"/>
          </w:tcPr>
          <w:p>
            <w:pPr>
              <w:pStyle w:val="417"/>
              <w:spacing w:line="240" w:lineRule="auto"/>
              <w:rPr>
                <w:highlight w:val="none"/>
              </w:rPr>
            </w:pPr>
            <w:r>
              <w:rPr>
                <w:rFonts w:hint="eastAsia"/>
                <w:highlight w:val="none"/>
              </w:rPr>
              <w:t>建明</w:t>
            </w:r>
            <w:r>
              <w:rPr>
                <w:highlight w:val="none"/>
              </w:rPr>
              <w:t>镇</w:t>
            </w:r>
          </w:p>
        </w:tc>
        <w:tc>
          <w:tcPr>
            <w:tcW w:w="732" w:type="dxa"/>
            <w:vMerge w:val="restart"/>
            <w:vAlign w:val="center"/>
          </w:tcPr>
          <w:p>
            <w:pPr>
              <w:pStyle w:val="417"/>
              <w:spacing w:line="240" w:lineRule="auto"/>
              <w:rPr>
                <w:highlight w:val="none"/>
              </w:rPr>
            </w:pPr>
            <w:r>
              <w:rPr>
                <w:rFonts w:hint="eastAsia"/>
                <w:highlight w:val="none"/>
              </w:rPr>
              <w:t>优先</w:t>
            </w:r>
            <w:r>
              <w:rPr>
                <w:highlight w:val="none"/>
              </w:rPr>
              <w:t>管控单元</w:t>
            </w:r>
          </w:p>
        </w:tc>
        <w:tc>
          <w:tcPr>
            <w:tcW w:w="747" w:type="dxa"/>
            <w:vMerge w:val="restart"/>
            <w:vAlign w:val="center"/>
          </w:tcPr>
          <w:p>
            <w:pPr>
              <w:pStyle w:val="417"/>
              <w:spacing w:line="240" w:lineRule="auto"/>
              <w:rPr>
                <w:highlight w:val="none"/>
              </w:rPr>
            </w:pPr>
            <w:r>
              <w:rPr>
                <w:highlight w:val="none"/>
              </w:rPr>
              <w:t>空间布局约束</w:t>
            </w:r>
          </w:p>
        </w:tc>
        <w:tc>
          <w:tcPr>
            <w:tcW w:w="3089" w:type="dxa"/>
            <w:vAlign w:val="center"/>
          </w:tcPr>
          <w:p>
            <w:pPr>
              <w:pStyle w:val="417"/>
              <w:spacing w:line="240" w:lineRule="auto"/>
              <w:rPr>
                <w:highlight w:val="none"/>
              </w:rPr>
            </w:pPr>
            <w:r>
              <w:rPr>
                <w:highlight w:val="none"/>
              </w:rPr>
              <w:t>燕山水源涵养、生物多样性维护生态保护红线区执行全市生态环境空间总体管控要求中生态保护红线的管控要求。</w:t>
            </w:r>
          </w:p>
        </w:tc>
        <w:tc>
          <w:tcPr>
            <w:tcW w:w="2026" w:type="dxa"/>
            <w:vAlign w:val="center"/>
          </w:tcPr>
          <w:p>
            <w:pPr>
              <w:pStyle w:val="417"/>
              <w:spacing w:line="240" w:lineRule="auto"/>
              <w:rPr>
                <w:highlight w:val="none"/>
              </w:rPr>
            </w:pPr>
            <w:r>
              <w:rPr>
                <w:highlight w:val="none"/>
              </w:rPr>
              <w:t>本项目</w:t>
            </w:r>
            <w:r>
              <w:rPr>
                <w:rFonts w:hint="eastAsia"/>
                <w:highlight w:val="none"/>
              </w:rPr>
              <w:t>不在生态保护红线范围内</w:t>
            </w:r>
            <w:r>
              <w:rPr>
                <w:highlight w:val="none"/>
              </w:rPr>
              <w:t>。</w:t>
            </w:r>
          </w:p>
        </w:tc>
        <w:tc>
          <w:tcPr>
            <w:tcW w:w="1288" w:type="dxa"/>
            <w:vAlign w:val="center"/>
          </w:tcPr>
          <w:p>
            <w:pPr>
              <w:pStyle w:val="417"/>
              <w:spacing w:line="240" w:lineRule="auto"/>
              <w:rPr>
                <w:highlight w:val="none"/>
              </w:rPr>
            </w:pPr>
            <w:r>
              <w:rPr>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4" w:type="dxa"/>
            <w:vMerge w:val="continue"/>
            <w:vAlign w:val="center"/>
          </w:tcPr>
          <w:p>
            <w:pPr>
              <w:pStyle w:val="417"/>
              <w:spacing w:line="240" w:lineRule="auto"/>
              <w:rPr>
                <w:highlight w:val="none"/>
              </w:rPr>
            </w:pPr>
          </w:p>
        </w:tc>
        <w:tc>
          <w:tcPr>
            <w:tcW w:w="732" w:type="dxa"/>
            <w:vMerge w:val="continue"/>
            <w:vAlign w:val="center"/>
          </w:tcPr>
          <w:p>
            <w:pPr>
              <w:pStyle w:val="417"/>
              <w:spacing w:line="240" w:lineRule="auto"/>
              <w:rPr>
                <w:highlight w:val="none"/>
              </w:rPr>
            </w:pPr>
          </w:p>
        </w:tc>
        <w:tc>
          <w:tcPr>
            <w:tcW w:w="747" w:type="dxa"/>
            <w:vMerge w:val="continue"/>
            <w:vAlign w:val="center"/>
          </w:tcPr>
          <w:p>
            <w:pPr>
              <w:pStyle w:val="417"/>
              <w:spacing w:line="240" w:lineRule="auto"/>
              <w:rPr>
                <w:highlight w:val="none"/>
              </w:rPr>
            </w:pPr>
          </w:p>
        </w:tc>
        <w:tc>
          <w:tcPr>
            <w:tcW w:w="3089" w:type="dxa"/>
            <w:vAlign w:val="center"/>
          </w:tcPr>
          <w:p>
            <w:pPr>
              <w:pStyle w:val="417"/>
              <w:spacing w:line="240" w:lineRule="auto"/>
              <w:rPr>
                <w:highlight w:val="none"/>
              </w:rPr>
            </w:pPr>
            <w:r>
              <w:rPr>
                <w:highlight w:val="none"/>
              </w:rPr>
              <w:t>遵化市教厂水源地执行全市生态环境空间总体管控要求的各类保护地中饮用水水源地的相关管控要求。</w:t>
            </w:r>
          </w:p>
        </w:tc>
        <w:tc>
          <w:tcPr>
            <w:tcW w:w="2026" w:type="dxa"/>
            <w:vAlign w:val="center"/>
          </w:tcPr>
          <w:p>
            <w:pPr>
              <w:pStyle w:val="417"/>
              <w:spacing w:line="240" w:lineRule="auto"/>
              <w:rPr>
                <w:highlight w:val="none"/>
              </w:rPr>
            </w:pPr>
            <w:r>
              <w:rPr>
                <w:highlight w:val="none"/>
              </w:rPr>
              <w:t>本项目</w:t>
            </w:r>
            <w:r>
              <w:rPr>
                <w:rFonts w:hint="eastAsia"/>
                <w:highlight w:val="none"/>
              </w:rPr>
              <w:t>不在</w:t>
            </w:r>
            <w:r>
              <w:rPr>
                <w:highlight w:val="none"/>
              </w:rPr>
              <w:t>遵化市教厂水源地</w:t>
            </w:r>
            <w:r>
              <w:rPr>
                <w:rFonts w:hint="eastAsia"/>
                <w:highlight w:val="none"/>
              </w:rPr>
              <w:t>保护范围内</w:t>
            </w:r>
            <w:r>
              <w:rPr>
                <w:highlight w:val="none"/>
              </w:rPr>
              <w:t>。</w:t>
            </w:r>
          </w:p>
        </w:tc>
        <w:tc>
          <w:tcPr>
            <w:tcW w:w="1288" w:type="dxa"/>
            <w:vAlign w:val="center"/>
          </w:tcPr>
          <w:p>
            <w:pPr>
              <w:pStyle w:val="417"/>
              <w:spacing w:line="240" w:lineRule="auto"/>
              <w:rPr>
                <w:highlight w:val="none"/>
              </w:rPr>
            </w:pPr>
            <w:r>
              <w:rPr>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dxa"/>
            <w:vMerge w:val="continue"/>
            <w:vAlign w:val="center"/>
          </w:tcPr>
          <w:p>
            <w:pPr>
              <w:pStyle w:val="417"/>
              <w:spacing w:line="240" w:lineRule="auto"/>
              <w:rPr>
                <w:highlight w:val="none"/>
              </w:rPr>
            </w:pPr>
          </w:p>
        </w:tc>
        <w:tc>
          <w:tcPr>
            <w:tcW w:w="732" w:type="dxa"/>
            <w:vMerge w:val="continue"/>
            <w:vAlign w:val="center"/>
          </w:tcPr>
          <w:p>
            <w:pPr>
              <w:pStyle w:val="417"/>
              <w:spacing w:line="240" w:lineRule="auto"/>
              <w:rPr>
                <w:highlight w:val="none"/>
              </w:rPr>
            </w:pPr>
          </w:p>
        </w:tc>
        <w:tc>
          <w:tcPr>
            <w:tcW w:w="747" w:type="dxa"/>
            <w:vMerge w:val="continue"/>
            <w:vAlign w:val="center"/>
          </w:tcPr>
          <w:p>
            <w:pPr>
              <w:pStyle w:val="417"/>
              <w:spacing w:line="240" w:lineRule="auto"/>
              <w:rPr>
                <w:highlight w:val="none"/>
              </w:rPr>
            </w:pPr>
          </w:p>
        </w:tc>
        <w:tc>
          <w:tcPr>
            <w:tcW w:w="3089" w:type="dxa"/>
            <w:vAlign w:val="center"/>
          </w:tcPr>
          <w:p>
            <w:pPr>
              <w:pStyle w:val="417"/>
              <w:spacing w:line="240" w:lineRule="auto"/>
              <w:rPr>
                <w:highlight w:val="none"/>
              </w:rPr>
            </w:pPr>
            <w:r>
              <w:rPr>
                <w:highlight w:val="none"/>
              </w:rPr>
              <w:t>区域内严格控制高污染、高环境风险产业进入，提高环境风险管控、监测预警和应急处理要求。全面清退河道及湖库水域网箱养殖业，严格限制养殖规模并实现污染物零排放，水源地保护区及河道两岸 500m 范围内禁止发展规模化畜禽养殖业。禁止违规采矿、毁林开荒等破坏水源涵养林的活动，受损山体开展水源涵养林建设。</w:t>
            </w:r>
          </w:p>
        </w:tc>
        <w:tc>
          <w:tcPr>
            <w:tcW w:w="2026" w:type="dxa"/>
            <w:vAlign w:val="center"/>
          </w:tcPr>
          <w:p>
            <w:pPr>
              <w:pStyle w:val="417"/>
              <w:spacing w:line="240" w:lineRule="auto"/>
              <w:rPr>
                <w:highlight w:val="none"/>
              </w:rPr>
            </w:pPr>
            <w:r>
              <w:rPr>
                <w:highlight w:val="none"/>
              </w:rPr>
              <w:t>本项目</w:t>
            </w:r>
            <w:r>
              <w:rPr>
                <w:rFonts w:hint="eastAsia"/>
                <w:highlight w:val="none"/>
              </w:rPr>
              <w:t>不涉及养殖</w:t>
            </w:r>
            <w:r>
              <w:rPr>
                <w:highlight w:val="none"/>
              </w:rPr>
              <w:t>，</w:t>
            </w:r>
            <w:r>
              <w:rPr>
                <w:rFonts w:hint="eastAsia"/>
                <w:highlight w:val="none"/>
              </w:rPr>
              <w:t>不进行</w:t>
            </w:r>
            <w:r>
              <w:rPr>
                <w:highlight w:val="none"/>
              </w:rPr>
              <w:t>违规采矿、毁林开荒等破坏水源涵养林的活动。</w:t>
            </w:r>
          </w:p>
        </w:tc>
        <w:tc>
          <w:tcPr>
            <w:tcW w:w="1288" w:type="dxa"/>
            <w:vAlign w:val="center"/>
          </w:tcPr>
          <w:p>
            <w:pPr>
              <w:pStyle w:val="417"/>
              <w:spacing w:line="240" w:lineRule="auto"/>
              <w:rPr>
                <w:highlight w:val="none"/>
              </w:rPr>
            </w:pPr>
            <w:r>
              <w:rPr>
                <w:highlight w:val="none"/>
              </w:rPr>
              <w:t>符合</w:t>
            </w:r>
          </w:p>
        </w:tc>
      </w:tr>
    </w:tbl>
    <w:p>
      <w:pPr>
        <w:pStyle w:val="3"/>
        <w:rPr>
          <w:rFonts w:eastAsiaTheme="minorEastAsia"/>
          <w:b/>
          <w:highlight w:val="none"/>
        </w:rPr>
      </w:pPr>
      <w:r>
        <w:rPr>
          <w:rFonts w:hint="eastAsia" w:eastAsiaTheme="minorEastAsia"/>
          <w:b/>
          <w:highlight w:val="none"/>
        </w:rPr>
        <w:t>2.5.1</w:t>
      </w:r>
      <w:r>
        <w:rPr>
          <w:rFonts w:eastAsiaTheme="minorEastAsia"/>
          <w:b/>
          <w:highlight w:val="none"/>
        </w:rPr>
        <w:t>.</w:t>
      </w:r>
      <w:r>
        <w:rPr>
          <w:rFonts w:hint="eastAsia" w:eastAsiaTheme="minorEastAsia"/>
          <w:b/>
          <w:highlight w:val="none"/>
        </w:rPr>
        <w:t>5</w:t>
      </w:r>
      <w:r>
        <w:rPr>
          <w:rFonts w:eastAsiaTheme="minorEastAsia"/>
          <w:b/>
          <w:highlight w:val="none"/>
        </w:rPr>
        <w:t xml:space="preserve"> </w:t>
      </w:r>
      <w:r>
        <w:rPr>
          <w:rFonts w:hint="eastAsia" w:eastAsiaTheme="minorEastAsia"/>
          <w:b/>
          <w:highlight w:val="none"/>
        </w:rPr>
        <w:t>《河北省十一个行业重污染天气应急减排措施制定技术指南（试行）》</w:t>
      </w:r>
    </w:p>
    <w:p>
      <w:pPr>
        <w:pStyle w:val="244"/>
        <w:ind w:firstLine="480"/>
        <w:rPr>
          <w:rFonts w:cs="Times New Roman"/>
          <w:highlight w:val="none"/>
          <w:lang w:bidi="ar"/>
        </w:rPr>
      </w:pPr>
      <w:r>
        <w:rPr>
          <w:rFonts w:hint="eastAsia" w:cs="Times New Roman"/>
          <w:highlight w:val="none"/>
          <w:lang w:bidi="ar"/>
        </w:rPr>
        <w:t>本项目与《河北省十一个行业重污染天气应急减排措施制定技术指南（试行）》矿石采选与加工行业绩效分级指标符合性分析情况见下表。</w:t>
      </w:r>
    </w:p>
    <w:p>
      <w:pPr>
        <w:spacing w:line="240" w:lineRule="auto"/>
        <w:ind w:firstLine="0" w:firstLineChars="0"/>
        <w:jc w:val="center"/>
        <w:rPr>
          <w:rFonts w:eastAsia="黑体"/>
          <w:bCs/>
          <w:sz w:val="21"/>
          <w:szCs w:val="21"/>
          <w:highlight w:val="none"/>
        </w:rPr>
      </w:pPr>
      <w:r>
        <w:rPr>
          <w:rFonts w:eastAsia="黑体"/>
          <w:bCs/>
          <w:sz w:val="21"/>
          <w:szCs w:val="21"/>
          <w:highlight w:val="none"/>
        </w:rPr>
        <w:t>表</w:t>
      </w:r>
      <w:r>
        <w:rPr>
          <w:rFonts w:hint="eastAsia" w:eastAsia="黑体"/>
          <w:bCs/>
          <w:sz w:val="21"/>
          <w:szCs w:val="21"/>
          <w:highlight w:val="none"/>
        </w:rPr>
        <w:t>2.5-3</w:t>
      </w:r>
      <w:r>
        <w:rPr>
          <w:rFonts w:eastAsia="黑体"/>
          <w:bCs/>
          <w:sz w:val="21"/>
          <w:szCs w:val="21"/>
          <w:highlight w:val="none"/>
        </w:rPr>
        <w:t xml:space="preserve"> 与</w:t>
      </w:r>
      <w:r>
        <w:rPr>
          <w:rFonts w:hint="eastAsia" w:eastAsia="黑体"/>
          <w:bCs/>
          <w:sz w:val="21"/>
          <w:szCs w:val="21"/>
          <w:highlight w:val="none"/>
        </w:rPr>
        <w:t>黑色金属矿采选与加工行业绩效引领性指标相关分析</w:t>
      </w:r>
    </w:p>
    <w:tbl>
      <w:tblPr>
        <w:tblStyle w:val="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3702"/>
        <w:gridCol w:w="2532"/>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引领性指标</w:t>
            </w:r>
          </w:p>
        </w:tc>
        <w:tc>
          <w:tcPr>
            <w:tcW w:w="2170" w:type="pct"/>
            <w:vAlign w:val="center"/>
          </w:tcPr>
          <w:p>
            <w:pPr>
              <w:pStyle w:val="417"/>
              <w:spacing w:line="240" w:lineRule="auto"/>
              <w:rPr>
                <w:highlight w:val="none"/>
              </w:rPr>
            </w:pPr>
            <w:r>
              <w:rPr>
                <w:rFonts w:hint="eastAsia"/>
                <w:highlight w:val="none"/>
              </w:rPr>
              <w:t>黑色金属矿采选采选与加工</w:t>
            </w:r>
          </w:p>
        </w:tc>
        <w:tc>
          <w:tcPr>
            <w:tcW w:w="1484" w:type="pct"/>
            <w:vAlign w:val="center"/>
          </w:tcPr>
          <w:p>
            <w:pPr>
              <w:pStyle w:val="417"/>
              <w:spacing w:line="240" w:lineRule="auto"/>
              <w:rPr>
                <w:highlight w:val="none"/>
              </w:rPr>
            </w:pPr>
            <w:r>
              <w:rPr>
                <w:rFonts w:hint="eastAsia"/>
                <w:highlight w:val="none"/>
              </w:rPr>
              <w:t>本项目情况</w:t>
            </w:r>
          </w:p>
        </w:tc>
        <w:tc>
          <w:tcPr>
            <w:tcW w:w="643" w:type="pct"/>
            <w:vAlign w:val="center"/>
          </w:tcPr>
          <w:p>
            <w:pPr>
              <w:pStyle w:val="417"/>
              <w:spacing w:line="240" w:lineRule="auto"/>
              <w:rPr>
                <w:highlight w:val="none"/>
              </w:rPr>
            </w:pPr>
            <w:r>
              <w:rPr>
                <w:rFonts w:hint="eastAsia"/>
                <w:highlight w:val="none"/>
              </w:rPr>
              <w:t>分析判定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装备水平</w:t>
            </w:r>
          </w:p>
        </w:tc>
        <w:tc>
          <w:tcPr>
            <w:tcW w:w="2170" w:type="pct"/>
            <w:vAlign w:val="center"/>
          </w:tcPr>
          <w:p>
            <w:pPr>
              <w:pStyle w:val="417"/>
              <w:spacing w:line="240" w:lineRule="auto"/>
              <w:jc w:val="left"/>
              <w:rPr>
                <w:highlight w:val="none"/>
              </w:rPr>
            </w:pPr>
            <w:r>
              <w:rPr>
                <w:rFonts w:hint="eastAsia"/>
                <w:highlight w:val="none"/>
              </w:rPr>
              <w:t>粗破破碎机等效处理能力不小于PE1200*1500mm</w:t>
            </w:r>
          </w:p>
        </w:tc>
        <w:tc>
          <w:tcPr>
            <w:tcW w:w="1484" w:type="pct"/>
            <w:vAlign w:val="center"/>
          </w:tcPr>
          <w:p>
            <w:pPr>
              <w:pStyle w:val="417"/>
              <w:spacing w:line="240" w:lineRule="auto"/>
              <w:jc w:val="left"/>
              <w:rPr>
                <w:highlight w:val="none"/>
              </w:rPr>
            </w:pPr>
            <w:r>
              <w:rPr>
                <w:rFonts w:hint="eastAsia"/>
                <w:highlight w:val="none"/>
              </w:rPr>
              <w:t>粗破破碎机等效处理能力不小于PE1200*1500mm</w:t>
            </w:r>
          </w:p>
        </w:tc>
        <w:tc>
          <w:tcPr>
            <w:tcW w:w="643" w:type="pct"/>
            <w:vAlign w:val="center"/>
          </w:tcPr>
          <w:p>
            <w:pPr>
              <w:pStyle w:val="417"/>
              <w:spacing w:line="240" w:lineRule="auto"/>
              <w:rPr>
                <w:highlight w:val="none"/>
              </w:rPr>
            </w:pPr>
            <w:r>
              <w:rPr>
                <w:rFonts w:hint="eastAsia"/>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能源类型</w:t>
            </w:r>
          </w:p>
        </w:tc>
        <w:tc>
          <w:tcPr>
            <w:tcW w:w="2170" w:type="pct"/>
            <w:vAlign w:val="center"/>
          </w:tcPr>
          <w:p>
            <w:pPr>
              <w:pStyle w:val="417"/>
              <w:spacing w:line="240" w:lineRule="auto"/>
              <w:jc w:val="left"/>
              <w:rPr>
                <w:highlight w:val="none"/>
              </w:rPr>
            </w:pPr>
            <w:r>
              <w:rPr>
                <w:rFonts w:hint="eastAsia"/>
                <w:highlight w:val="none"/>
              </w:rPr>
              <w:t>生产工业锅炉采用电、天然气、净化后煤气等能源</w:t>
            </w:r>
          </w:p>
        </w:tc>
        <w:tc>
          <w:tcPr>
            <w:tcW w:w="1484" w:type="pct"/>
            <w:vAlign w:val="center"/>
          </w:tcPr>
          <w:p>
            <w:pPr>
              <w:pStyle w:val="417"/>
              <w:spacing w:line="240" w:lineRule="auto"/>
              <w:jc w:val="left"/>
              <w:rPr>
                <w:highlight w:val="none"/>
              </w:rPr>
            </w:pPr>
            <w:r>
              <w:rPr>
                <w:rFonts w:hint="eastAsia"/>
                <w:highlight w:val="none"/>
              </w:rPr>
              <w:t>不涉及</w:t>
            </w:r>
          </w:p>
        </w:tc>
        <w:tc>
          <w:tcPr>
            <w:tcW w:w="643" w:type="pct"/>
            <w:vAlign w:val="center"/>
          </w:tcPr>
          <w:p>
            <w:pPr>
              <w:pStyle w:val="417"/>
              <w:spacing w:line="240" w:lineRule="auto"/>
              <w:rPr>
                <w:highlight w:val="none"/>
              </w:rPr>
            </w:pPr>
            <w:r>
              <w:rPr>
                <w:rFonts w:hint="eastAsia"/>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污染治理技术</w:t>
            </w:r>
          </w:p>
        </w:tc>
        <w:tc>
          <w:tcPr>
            <w:tcW w:w="2170" w:type="pct"/>
            <w:vAlign w:val="center"/>
          </w:tcPr>
          <w:p>
            <w:pPr>
              <w:pStyle w:val="417"/>
              <w:spacing w:line="240" w:lineRule="auto"/>
              <w:jc w:val="left"/>
              <w:rPr>
                <w:highlight w:val="none"/>
              </w:rPr>
            </w:pPr>
            <w:r>
              <w:rPr>
                <w:rFonts w:hint="eastAsia"/>
                <w:highlight w:val="none"/>
              </w:rPr>
              <w:t>除尘采用覆膜滤袋、滤筒等高效除尘技术（设计除尘效率不低于99%）</w:t>
            </w:r>
          </w:p>
        </w:tc>
        <w:tc>
          <w:tcPr>
            <w:tcW w:w="1484" w:type="pct"/>
            <w:vAlign w:val="center"/>
          </w:tcPr>
          <w:p>
            <w:pPr>
              <w:pStyle w:val="417"/>
              <w:spacing w:line="240" w:lineRule="auto"/>
              <w:jc w:val="left"/>
              <w:rPr>
                <w:highlight w:val="none"/>
              </w:rPr>
            </w:pPr>
            <w:r>
              <w:rPr>
                <w:rFonts w:hint="eastAsia"/>
                <w:highlight w:val="none"/>
              </w:rPr>
              <w:t>除尘采用覆膜滤袋（设计除尘效率不低于99%）</w:t>
            </w:r>
          </w:p>
        </w:tc>
        <w:tc>
          <w:tcPr>
            <w:tcW w:w="643" w:type="pct"/>
            <w:vAlign w:val="center"/>
          </w:tcPr>
          <w:p>
            <w:pPr>
              <w:pStyle w:val="417"/>
              <w:spacing w:line="240" w:lineRule="auto"/>
              <w:rPr>
                <w:highlight w:val="none"/>
              </w:rPr>
            </w:pPr>
            <w:r>
              <w:rPr>
                <w:rFonts w:hint="eastAsia"/>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无组织排放管控</w:t>
            </w:r>
          </w:p>
        </w:tc>
        <w:tc>
          <w:tcPr>
            <w:tcW w:w="2170" w:type="pct"/>
            <w:vAlign w:val="center"/>
          </w:tcPr>
          <w:p>
            <w:pPr>
              <w:pStyle w:val="417"/>
              <w:spacing w:line="240" w:lineRule="auto"/>
              <w:jc w:val="left"/>
              <w:rPr>
                <w:highlight w:val="none"/>
              </w:rPr>
            </w:pPr>
            <w:r>
              <w:rPr>
                <w:rFonts w:hint="eastAsia"/>
                <w:highlight w:val="none"/>
              </w:rPr>
              <w:t>（1）破碎、筛分、干选、辊磨等设备全部置于封闭厂房内。</w:t>
            </w:r>
          </w:p>
          <w:p>
            <w:pPr>
              <w:pStyle w:val="417"/>
              <w:spacing w:line="240" w:lineRule="auto"/>
              <w:jc w:val="left"/>
              <w:rPr>
                <w:highlight w:val="none"/>
              </w:rPr>
            </w:pPr>
            <w:r>
              <w:rPr>
                <w:rFonts w:hint="eastAsia"/>
                <w:highlight w:val="none"/>
              </w:rPr>
              <w:t>（2）除尘器出灰口应采取密闭措施，除尘灰不得直接卸落到地面；除尘灰采取袋装、罐装等密闭措施收集、存放和运输；</w:t>
            </w:r>
          </w:p>
          <w:p>
            <w:pPr>
              <w:pStyle w:val="417"/>
              <w:spacing w:line="240" w:lineRule="auto"/>
              <w:jc w:val="left"/>
              <w:rPr>
                <w:highlight w:val="none"/>
              </w:rPr>
            </w:pPr>
            <w:r>
              <w:rPr>
                <w:rFonts w:hint="eastAsia"/>
                <w:highlight w:val="none"/>
              </w:rPr>
              <w:t>（3）车间环境整洁，地面、墙面及设备顶部无明显积尘，车间无可见粉尘；原辅材料及产品分区有序摆放。</w:t>
            </w:r>
          </w:p>
          <w:p>
            <w:pPr>
              <w:pStyle w:val="417"/>
              <w:spacing w:line="240" w:lineRule="auto"/>
              <w:jc w:val="left"/>
              <w:rPr>
                <w:highlight w:val="none"/>
              </w:rPr>
            </w:pPr>
            <w:r>
              <w:rPr>
                <w:rFonts w:hint="eastAsia"/>
                <w:highlight w:val="none"/>
              </w:rPr>
              <w:t>（4）物料储存：储存铁精粉等易产生扬尘的粉状或者粒状物料的，应当采取入棚、入仓的</w:t>
            </w:r>
          </w:p>
          <w:p>
            <w:pPr>
              <w:pStyle w:val="417"/>
              <w:spacing w:line="240" w:lineRule="auto"/>
              <w:jc w:val="left"/>
              <w:rPr>
                <w:highlight w:val="none"/>
              </w:rPr>
            </w:pPr>
            <w:r>
              <w:rPr>
                <w:rFonts w:hint="eastAsia"/>
                <w:highlight w:val="none"/>
              </w:rPr>
              <w:t>方式封闭储存。</w:t>
            </w:r>
          </w:p>
          <w:p>
            <w:pPr>
              <w:pStyle w:val="417"/>
              <w:spacing w:line="240" w:lineRule="auto"/>
              <w:jc w:val="left"/>
              <w:rPr>
                <w:highlight w:val="none"/>
              </w:rPr>
            </w:pPr>
            <w:r>
              <w:rPr>
                <w:rFonts w:hint="eastAsia"/>
                <w:highlight w:val="none"/>
              </w:rPr>
              <w:t>（5）物料运输：厂区内永久道路应硬化，保持清洁，湿式清扫，路面无明显可见积尘；其它道路</w:t>
            </w:r>
          </w:p>
          <w:p>
            <w:pPr>
              <w:pStyle w:val="417"/>
              <w:spacing w:line="240" w:lineRule="auto"/>
              <w:jc w:val="left"/>
              <w:rPr>
                <w:highlight w:val="none"/>
              </w:rPr>
            </w:pPr>
            <w:r>
              <w:rPr>
                <w:rFonts w:hint="eastAsia"/>
                <w:highlight w:val="none"/>
              </w:rPr>
              <w:t>平整压实，并采取定期洒水清扫等抑尘措施。</w:t>
            </w:r>
          </w:p>
          <w:p>
            <w:pPr>
              <w:pStyle w:val="417"/>
              <w:spacing w:line="240" w:lineRule="auto"/>
              <w:jc w:val="left"/>
              <w:rPr>
                <w:highlight w:val="none"/>
              </w:rPr>
            </w:pPr>
            <w:r>
              <w:rPr>
                <w:rFonts w:hint="eastAsia"/>
                <w:highlight w:val="none"/>
              </w:rPr>
              <w:t>洗车平台：料场出口处（厂区出入口）安装运输车辆侧向全覆盖式强制喷淋清洗设施，地面</w:t>
            </w:r>
          </w:p>
          <w:p>
            <w:pPr>
              <w:pStyle w:val="417"/>
              <w:spacing w:line="240" w:lineRule="auto"/>
              <w:jc w:val="left"/>
              <w:rPr>
                <w:highlight w:val="none"/>
              </w:rPr>
            </w:pPr>
            <w:r>
              <w:rPr>
                <w:rFonts w:hint="eastAsia"/>
                <w:highlight w:val="none"/>
              </w:rPr>
              <w:t>至少设置一排花式喷射喷头。喷淋设施应充分考虑冷冻期结冰问题，合理优化地面基础设计，洗车平台应低于地面（呈斜坡状）；清洗完成后车辆应在洗车槽内短暂停留，避免因车身带水过多造成道路湿滑和冬季积水结冰等安全隐患；冲洗介质可使用温水、添加防冻物质等有效防冻措施；冲洗水循环利用，不外排。</w:t>
            </w:r>
          </w:p>
        </w:tc>
        <w:tc>
          <w:tcPr>
            <w:tcW w:w="1484" w:type="pct"/>
            <w:vAlign w:val="center"/>
          </w:tcPr>
          <w:p>
            <w:pPr>
              <w:pStyle w:val="417"/>
              <w:spacing w:line="240" w:lineRule="auto"/>
              <w:jc w:val="left"/>
              <w:rPr>
                <w:highlight w:val="none"/>
              </w:rPr>
            </w:pPr>
            <w:r>
              <w:rPr>
                <w:rFonts w:hint="eastAsia"/>
                <w:highlight w:val="none"/>
              </w:rPr>
              <w:t>本项目破碎、筛分、干选、辊磨等设备全部布置于封闭生产车间内；除尘器灰仓底部设水箱，除尘灰卸至水箱内，由渣浆泵打入球磨机回用于生产；厂区物料全部堆存于封闭库房内，不露天堆存，车间定期清扫可保持环境整洁；厂区配备洒水车、湿扫车定期对厂区进行清扫；厂区出入口、成品库门口设有洗车平台，配备全覆盖式强制喷淋清洗设施，洗车废水沉淀处理后循环利用不外排。</w:t>
            </w:r>
          </w:p>
        </w:tc>
        <w:tc>
          <w:tcPr>
            <w:tcW w:w="643" w:type="pct"/>
            <w:vAlign w:val="center"/>
          </w:tcPr>
          <w:p>
            <w:pPr>
              <w:pStyle w:val="417"/>
              <w:spacing w:line="240" w:lineRule="auto"/>
              <w:rPr>
                <w:highlight w:val="none"/>
              </w:rPr>
            </w:pPr>
            <w:r>
              <w:rPr>
                <w:rFonts w:hint="eastAsia"/>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排放限值</w:t>
            </w:r>
          </w:p>
        </w:tc>
        <w:tc>
          <w:tcPr>
            <w:tcW w:w="2170" w:type="pct"/>
            <w:vAlign w:val="center"/>
          </w:tcPr>
          <w:p>
            <w:pPr>
              <w:pStyle w:val="417"/>
              <w:spacing w:line="240" w:lineRule="auto"/>
              <w:jc w:val="left"/>
              <w:rPr>
                <w:highlight w:val="none"/>
              </w:rPr>
            </w:pPr>
            <w:r>
              <w:rPr>
                <w:highlight w:val="none"/>
              </w:rPr>
              <w:t>颗粒物有组织排放浓度不超过10mg/m</w:t>
            </w:r>
            <w:r>
              <w:rPr>
                <w:highlight w:val="none"/>
                <w:vertAlign w:val="superscript"/>
              </w:rPr>
              <w:t>3</w:t>
            </w:r>
            <w:r>
              <w:rPr>
                <w:highlight w:val="none"/>
              </w:rPr>
              <w:t>；颗粒无组织排放浓度不高于1mg/m</w:t>
            </w:r>
            <w:r>
              <w:rPr>
                <w:highlight w:val="none"/>
                <w:vertAlign w:val="superscript"/>
              </w:rPr>
              <w:t>3</w:t>
            </w:r>
            <w:r>
              <w:rPr>
                <w:highlight w:val="none"/>
              </w:rPr>
              <w:t>；</w:t>
            </w:r>
          </w:p>
        </w:tc>
        <w:tc>
          <w:tcPr>
            <w:tcW w:w="1484" w:type="pct"/>
            <w:vAlign w:val="center"/>
          </w:tcPr>
          <w:p>
            <w:pPr>
              <w:pStyle w:val="417"/>
              <w:spacing w:line="240" w:lineRule="auto"/>
              <w:jc w:val="left"/>
              <w:rPr>
                <w:highlight w:val="none"/>
              </w:rPr>
            </w:pPr>
            <w:r>
              <w:rPr>
                <w:highlight w:val="none"/>
              </w:rPr>
              <w:t>颗粒物有组织排放浓度不超过10mg/m</w:t>
            </w:r>
            <w:r>
              <w:rPr>
                <w:highlight w:val="none"/>
                <w:vertAlign w:val="superscript"/>
              </w:rPr>
              <w:t>3</w:t>
            </w:r>
            <w:r>
              <w:rPr>
                <w:highlight w:val="none"/>
              </w:rPr>
              <w:t>；颗粒无组织排放浓度不高于1mg/m</w:t>
            </w:r>
            <w:r>
              <w:rPr>
                <w:highlight w:val="none"/>
                <w:vertAlign w:val="superscript"/>
              </w:rPr>
              <w:t>3</w:t>
            </w:r>
          </w:p>
        </w:tc>
        <w:tc>
          <w:tcPr>
            <w:tcW w:w="643" w:type="pct"/>
            <w:vAlign w:val="center"/>
          </w:tcPr>
          <w:p>
            <w:pPr>
              <w:pStyle w:val="417"/>
              <w:spacing w:line="240" w:lineRule="auto"/>
              <w:rPr>
                <w:highlight w:val="none"/>
              </w:rPr>
            </w:pPr>
            <w:r>
              <w:rPr>
                <w:rFonts w:hint="eastAsia"/>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监测监控水平</w:t>
            </w:r>
          </w:p>
        </w:tc>
        <w:tc>
          <w:tcPr>
            <w:tcW w:w="2170" w:type="pct"/>
            <w:vAlign w:val="center"/>
          </w:tcPr>
          <w:p>
            <w:pPr>
              <w:pStyle w:val="417"/>
              <w:spacing w:line="240" w:lineRule="auto"/>
              <w:jc w:val="left"/>
              <w:rPr>
                <w:highlight w:val="none"/>
              </w:rPr>
            </w:pPr>
            <w:r>
              <w:rPr>
                <w:rFonts w:hint="eastAsia"/>
                <w:highlight w:val="none"/>
              </w:rPr>
              <w:t>生产加工区破碎筛分车间附近布设空气质量监测微站，监测PM</w:t>
            </w:r>
            <w:r>
              <w:rPr>
                <w:rFonts w:hint="eastAsia"/>
                <w:highlight w:val="none"/>
                <w:vertAlign w:val="subscript"/>
              </w:rPr>
              <w:t>10</w:t>
            </w:r>
            <w:r>
              <w:rPr>
                <w:rFonts w:hint="eastAsia"/>
                <w:highlight w:val="none"/>
              </w:rPr>
              <w:t>；污染治理设施安装分表计电设施；料场出入口安装高清视频监控设施，视频监控系统数据保存6 个月以上；</w:t>
            </w:r>
          </w:p>
        </w:tc>
        <w:tc>
          <w:tcPr>
            <w:tcW w:w="1484" w:type="pct"/>
            <w:vAlign w:val="center"/>
          </w:tcPr>
          <w:p>
            <w:pPr>
              <w:pStyle w:val="417"/>
              <w:spacing w:line="240" w:lineRule="auto"/>
              <w:jc w:val="left"/>
              <w:rPr>
                <w:highlight w:val="none"/>
              </w:rPr>
            </w:pPr>
            <w:r>
              <w:rPr>
                <w:rFonts w:hint="eastAsia"/>
                <w:highlight w:val="none"/>
              </w:rPr>
              <w:t>本项目设有空气质量监测微站；污染治理设施安装分表计电设施；各生产车间、库房出入口安有高清视频监控设施，视频监控系统数据保存6 个月以上；</w:t>
            </w:r>
          </w:p>
        </w:tc>
        <w:tc>
          <w:tcPr>
            <w:tcW w:w="643" w:type="pct"/>
            <w:vAlign w:val="center"/>
          </w:tcPr>
          <w:p>
            <w:pPr>
              <w:pStyle w:val="417"/>
              <w:spacing w:line="240" w:lineRule="auto"/>
              <w:rPr>
                <w:highlight w:val="none"/>
              </w:rPr>
            </w:pPr>
            <w:r>
              <w:rPr>
                <w:rFonts w:hint="eastAsia"/>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运输方式</w:t>
            </w:r>
          </w:p>
        </w:tc>
        <w:tc>
          <w:tcPr>
            <w:tcW w:w="2170" w:type="pct"/>
            <w:vAlign w:val="center"/>
          </w:tcPr>
          <w:p>
            <w:pPr>
              <w:pStyle w:val="417"/>
              <w:spacing w:line="240" w:lineRule="auto"/>
              <w:jc w:val="left"/>
              <w:rPr>
                <w:highlight w:val="none"/>
              </w:rPr>
            </w:pPr>
            <w:r>
              <w:rPr>
                <w:rFonts w:hint="eastAsia"/>
                <w:highlight w:val="none"/>
              </w:rPr>
              <w:t>物料公路运输全部使用达到国五及以上排放标准重型载货车辆（含燃气）或新能源车辆；厂内运输车辆全部达到国五及以上排放标准（含燃气)或使用新能源车辆</w:t>
            </w:r>
          </w:p>
        </w:tc>
        <w:tc>
          <w:tcPr>
            <w:tcW w:w="1484" w:type="pct"/>
            <w:vAlign w:val="center"/>
          </w:tcPr>
          <w:p>
            <w:pPr>
              <w:pStyle w:val="417"/>
              <w:spacing w:line="240" w:lineRule="auto"/>
              <w:jc w:val="left"/>
              <w:rPr>
                <w:highlight w:val="none"/>
              </w:rPr>
            </w:pPr>
            <w:r>
              <w:rPr>
                <w:rFonts w:hint="eastAsia"/>
                <w:highlight w:val="none"/>
              </w:rPr>
              <w:t>本项目物料运输全部使用达到国五及以上排放标准重型载货车辆</w:t>
            </w:r>
          </w:p>
        </w:tc>
        <w:tc>
          <w:tcPr>
            <w:tcW w:w="643" w:type="pct"/>
            <w:vAlign w:val="center"/>
          </w:tcPr>
          <w:p>
            <w:pPr>
              <w:pStyle w:val="417"/>
              <w:spacing w:line="240" w:lineRule="auto"/>
              <w:rPr>
                <w:highlight w:val="none"/>
              </w:rPr>
            </w:pPr>
            <w:r>
              <w:rPr>
                <w:rFonts w:hint="eastAsia"/>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417"/>
              <w:spacing w:line="240" w:lineRule="auto"/>
              <w:rPr>
                <w:highlight w:val="none"/>
              </w:rPr>
            </w:pPr>
            <w:r>
              <w:rPr>
                <w:rFonts w:hint="eastAsia"/>
                <w:highlight w:val="none"/>
              </w:rPr>
              <w:t>运输监管</w:t>
            </w:r>
          </w:p>
        </w:tc>
        <w:tc>
          <w:tcPr>
            <w:tcW w:w="2170" w:type="pct"/>
            <w:vAlign w:val="center"/>
          </w:tcPr>
          <w:p>
            <w:pPr>
              <w:pStyle w:val="417"/>
              <w:spacing w:line="240" w:lineRule="auto"/>
              <w:jc w:val="left"/>
              <w:rPr>
                <w:highlight w:val="none"/>
              </w:rPr>
            </w:pPr>
            <w:r>
              <w:rPr>
                <w:rFonts w:hint="eastAsia"/>
                <w:highlight w:val="none"/>
              </w:rPr>
              <w:t>参照《重污染天气重点行业移动源应急管理技术指南》建立门禁系统和电子台账</w:t>
            </w:r>
          </w:p>
        </w:tc>
        <w:tc>
          <w:tcPr>
            <w:tcW w:w="1484" w:type="pct"/>
            <w:vAlign w:val="center"/>
          </w:tcPr>
          <w:p>
            <w:pPr>
              <w:pStyle w:val="417"/>
              <w:spacing w:line="240" w:lineRule="auto"/>
              <w:jc w:val="left"/>
              <w:rPr>
                <w:highlight w:val="none"/>
              </w:rPr>
            </w:pPr>
            <w:r>
              <w:rPr>
                <w:rFonts w:hint="eastAsia"/>
                <w:highlight w:val="none"/>
              </w:rPr>
              <w:t>根据《重污染天气重点行业移动源应急管理技术指南》建立门禁系统和电子台账</w:t>
            </w:r>
          </w:p>
        </w:tc>
        <w:tc>
          <w:tcPr>
            <w:tcW w:w="643" w:type="pct"/>
            <w:vAlign w:val="center"/>
          </w:tcPr>
          <w:p>
            <w:pPr>
              <w:pStyle w:val="417"/>
              <w:spacing w:line="240" w:lineRule="auto"/>
              <w:rPr>
                <w:highlight w:val="none"/>
              </w:rPr>
            </w:pPr>
            <w:r>
              <w:rPr>
                <w:rFonts w:hint="eastAsia"/>
                <w:highlight w:val="none"/>
              </w:rPr>
              <w:t>满足</w:t>
            </w:r>
          </w:p>
        </w:tc>
      </w:tr>
    </w:tbl>
    <w:p>
      <w:pPr>
        <w:ind w:firstLine="480"/>
        <w:rPr>
          <w:sz w:val="24"/>
          <w:szCs w:val="24"/>
          <w:highlight w:val="none"/>
          <w:lang w:bidi="ar"/>
        </w:rPr>
      </w:pPr>
      <w:r>
        <w:rPr>
          <w:rFonts w:hint="eastAsia"/>
          <w:sz w:val="24"/>
          <w:szCs w:val="24"/>
          <w:highlight w:val="none"/>
          <w:lang w:bidi="ar"/>
        </w:rPr>
        <w:t>综上所述，遵化恒新矿业有限公司属于引领性企业，黄色预警期间：鼓励企业结合实际，自主采取减排措施；红色预警期间：停止矿石破碎等涉气工序作业。</w:t>
      </w:r>
    </w:p>
    <w:p>
      <w:pPr>
        <w:pStyle w:val="3"/>
        <w:rPr>
          <w:rFonts w:eastAsiaTheme="minorEastAsia"/>
          <w:b/>
          <w:highlight w:val="none"/>
        </w:rPr>
      </w:pPr>
      <w:r>
        <w:rPr>
          <w:rFonts w:hint="eastAsia" w:eastAsiaTheme="minorEastAsia"/>
          <w:b/>
          <w:highlight w:val="none"/>
        </w:rPr>
        <w:t>2.5.1.6</w:t>
      </w:r>
      <w:r>
        <w:rPr>
          <w:rFonts w:eastAsiaTheme="minorEastAsia"/>
          <w:b/>
          <w:highlight w:val="none"/>
        </w:rPr>
        <w:t xml:space="preserve"> </w:t>
      </w:r>
      <w:r>
        <w:rPr>
          <w:rFonts w:hint="eastAsia" w:eastAsiaTheme="minorEastAsia"/>
          <w:b/>
          <w:highlight w:val="none"/>
        </w:rPr>
        <w:t>与</w:t>
      </w:r>
      <w:r>
        <w:rPr>
          <w:rFonts w:eastAsiaTheme="minorEastAsia"/>
          <w:b/>
          <w:highlight w:val="none"/>
        </w:rPr>
        <w:t>《煤场、料场、渣场扬尘污染控制技术规范》（DB13/T2352-2016）</w:t>
      </w:r>
      <w:r>
        <w:rPr>
          <w:rFonts w:hint="eastAsia" w:eastAsiaTheme="minorEastAsia"/>
          <w:b/>
          <w:highlight w:val="none"/>
        </w:rPr>
        <w:t>符合性</w:t>
      </w:r>
      <w:r>
        <w:rPr>
          <w:rFonts w:eastAsiaTheme="minorEastAsia"/>
          <w:b/>
          <w:highlight w:val="none"/>
        </w:rPr>
        <w:t>分析</w:t>
      </w:r>
    </w:p>
    <w:p>
      <w:pPr>
        <w:pStyle w:val="244"/>
        <w:spacing w:after="120" w:afterLines="50"/>
        <w:ind w:firstLine="480"/>
        <w:rPr>
          <w:rFonts w:cs="Times New Roman"/>
          <w:highlight w:val="none"/>
        </w:rPr>
      </w:pPr>
      <w:r>
        <w:rPr>
          <w:rFonts w:hint="eastAsia" w:cs="Times New Roman"/>
          <w:highlight w:val="none"/>
        </w:rPr>
        <w:t>本项目与</w:t>
      </w:r>
      <w:r>
        <w:rPr>
          <w:rFonts w:cs="Times New Roman"/>
          <w:highlight w:val="none"/>
        </w:rPr>
        <w:t>《煤场、料场、渣场扬尘污染控制技术规范》（DB13/T2352-2016）</w:t>
      </w:r>
      <w:r>
        <w:rPr>
          <w:rFonts w:hint="eastAsia" w:cs="Times New Roman"/>
          <w:highlight w:val="none"/>
        </w:rPr>
        <w:t>对物料运输、装卸、存储相关要求符合性分析见下表。</w:t>
      </w:r>
    </w:p>
    <w:p>
      <w:pPr>
        <w:spacing w:line="240" w:lineRule="auto"/>
        <w:ind w:firstLine="0" w:firstLineChars="0"/>
        <w:jc w:val="center"/>
        <w:rPr>
          <w:rFonts w:eastAsia="黑体"/>
          <w:bCs/>
          <w:sz w:val="21"/>
          <w:szCs w:val="21"/>
          <w:highlight w:val="none"/>
        </w:rPr>
      </w:pPr>
      <w:r>
        <w:rPr>
          <w:rFonts w:eastAsia="黑体"/>
          <w:bCs/>
          <w:sz w:val="21"/>
          <w:szCs w:val="21"/>
          <w:highlight w:val="none"/>
        </w:rPr>
        <w:t>表</w:t>
      </w:r>
      <w:r>
        <w:rPr>
          <w:rFonts w:hint="eastAsia" w:eastAsia="黑体"/>
          <w:bCs/>
          <w:sz w:val="21"/>
          <w:szCs w:val="21"/>
          <w:highlight w:val="none"/>
        </w:rPr>
        <w:t>2.5-4</w:t>
      </w:r>
      <w:r>
        <w:rPr>
          <w:rFonts w:eastAsia="黑体"/>
          <w:bCs/>
          <w:sz w:val="21"/>
          <w:szCs w:val="21"/>
          <w:highlight w:val="none"/>
        </w:rPr>
        <w:t>与《煤场、料场、渣场扬尘污染控制技术规范》（DB13/T2352-2016）</w:t>
      </w:r>
      <w:r>
        <w:rPr>
          <w:rFonts w:hint="eastAsia" w:eastAsia="黑体"/>
          <w:bCs/>
          <w:sz w:val="21"/>
          <w:szCs w:val="21"/>
          <w:highlight w:val="none"/>
        </w:rPr>
        <w:t>相关要求符合性分析</w:t>
      </w:r>
    </w:p>
    <w:tbl>
      <w:tblPr>
        <w:tblStyle w:val="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4897"/>
        <w:gridCol w:w="2301"/>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17"/>
              <w:spacing w:line="240" w:lineRule="auto"/>
              <w:jc w:val="left"/>
              <w:rPr>
                <w:highlight w:val="none"/>
              </w:rPr>
            </w:pPr>
            <w:r>
              <w:rPr>
                <w:rFonts w:hint="eastAsia"/>
                <w:highlight w:val="none"/>
              </w:rPr>
              <w:t>项目</w:t>
            </w:r>
          </w:p>
        </w:tc>
        <w:tc>
          <w:tcPr>
            <w:tcW w:w="2871" w:type="pct"/>
            <w:vAlign w:val="center"/>
          </w:tcPr>
          <w:p>
            <w:pPr>
              <w:pStyle w:val="417"/>
              <w:spacing w:line="240" w:lineRule="auto"/>
              <w:jc w:val="left"/>
              <w:rPr>
                <w:highlight w:val="none"/>
              </w:rPr>
            </w:pPr>
            <w:r>
              <w:rPr>
                <w:rFonts w:hint="eastAsia"/>
                <w:highlight w:val="none"/>
              </w:rPr>
              <w:t>技术要求</w:t>
            </w:r>
          </w:p>
        </w:tc>
        <w:tc>
          <w:tcPr>
            <w:tcW w:w="1349" w:type="pct"/>
            <w:vAlign w:val="center"/>
          </w:tcPr>
          <w:p>
            <w:pPr>
              <w:pStyle w:val="417"/>
              <w:spacing w:line="240" w:lineRule="auto"/>
              <w:jc w:val="left"/>
              <w:rPr>
                <w:highlight w:val="none"/>
              </w:rPr>
            </w:pPr>
            <w:r>
              <w:rPr>
                <w:rFonts w:hint="eastAsia"/>
                <w:highlight w:val="none"/>
              </w:rPr>
              <w:t>本项目情况</w:t>
            </w:r>
          </w:p>
        </w:tc>
        <w:tc>
          <w:tcPr>
            <w:tcW w:w="0" w:type="auto"/>
            <w:vAlign w:val="center"/>
          </w:tcPr>
          <w:p>
            <w:pPr>
              <w:pStyle w:val="417"/>
              <w:spacing w:line="240" w:lineRule="auto"/>
              <w:jc w:val="left"/>
              <w:rPr>
                <w:highlight w:val="none"/>
              </w:rPr>
            </w:pPr>
            <w:r>
              <w:rPr>
                <w:rFonts w:hint="eastAsia"/>
                <w:highlight w:val="none"/>
              </w:rPr>
              <w:t>分析判定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Merge w:val="restart"/>
            <w:vAlign w:val="center"/>
          </w:tcPr>
          <w:p>
            <w:pPr>
              <w:pStyle w:val="417"/>
              <w:spacing w:line="240" w:lineRule="auto"/>
              <w:jc w:val="left"/>
              <w:rPr>
                <w:highlight w:val="none"/>
              </w:rPr>
            </w:pPr>
            <w:r>
              <w:rPr>
                <w:rFonts w:hint="eastAsia"/>
                <w:highlight w:val="none"/>
              </w:rPr>
              <w:t>物料运输</w:t>
            </w:r>
          </w:p>
          <w:p>
            <w:pPr>
              <w:pStyle w:val="417"/>
              <w:spacing w:line="240" w:lineRule="auto"/>
              <w:jc w:val="left"/>
              <w:rPr>
                <w:highlight w:val="none"/>
              </w:rPr>
            </w:pPr>
            <w:r>
              <w:rPr>
                <w:rFonts w:hint="eastAsia"/>
                <w:highlight w:val="none"/>
              </w:rPr>
              <w:t>装卸</w:t>
            </w:r>
          </w:p>
        </w:tc>
        <w:tc>
          <w:tcPr>
            <w:tcW w:w="2871" w:type="pct"/>
            <w:vAlign w:val="center"/>
          </w:tcPr>
          <w:p>
            <w:pPr>
              <w:pStyle w:val="417"/>
              <w:spacing w:line="240" w:lineRule="auto"/>
              <w:jc w:val="left"/>
              <w:rPr>
                <w:highlight w:val="none"/>
              </w:rPr>
            </w:pPr>
            <w:r>
              <w:rPr>
                <w:rFonts w:hint="eastAsia"/>
                <w:highlight w:val="none"/>
              </w:rPr>
              <w:t>块状物料运输车辆装载高度最高点不得超过车辆槽帮上沿40cm，两侧边缘应当低于槽帮上缘10cm。车斗应用苫布覆盖，苫布边缘至少要遮住槽帮上沿以下15cm。物料转运时转运设施应采取密闭措施，转运站和落料点配套抽风收尘装置。</w:t>
            </w:r>
          </w:p>
        </w:tc>
        <w:tc>
          <w:tcPr>
            <w:tcW w:w="1349" w:type="pct"/>
            <w:vAlign w:val="center"/>
          </w:tcPr>
          <w:p>
            <w:pPr>
              <w:pStyle w:val="417"/>
              <w:spacing w:line="240" w:lineRule="auto"/>
              <w:jc w:val="left"/>
              <w:rPr>
                <w:highlight w:val="none"/>
              </w:rPr>
            </w:pPr>
            <w:r>
              <w:rPr>
                <w:rFonts w:hint="eastAsia"/>
                <w:highlight w:val="none"/>
              </w:rPr>
              <w:t>本项目矿石运输车辆装载高度最高点不超过车辆槽帮上沿40cm，两侧边缘低于槽帮上缘10cm。物料进厂后通过全封闭皮带机转运，落料点设集气罩收集废气</w:t>
            </w:r>
          </w:p>
        </w:tc>
        <w:tc>
          <w:tcPr>
            <w:tcW w:w="0" w:type="auto"/>
            <w:vAlign w:val="center"/>
          </w:tcPr>
          <w:p>
            <w:pPr>
              <w:pStyle w:val="417"/>
              <w:spacing w:line="240" w:lineRule="auto"/>
              <w:jc w:val="left"/>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Merge w:val="continue"/>
            <w:vAlign w:val="center"/>
          </w:tcPr>
          <w:p>
            <w:pPr>
              <w:pStyle w:val="417"/>
              <w:spacing w:line="240" w:lineRule="auto"/>
              <w:jc w:val="left"/>
              <w:rPr>
                <w:highlight w:val="none"/>
              </w:rPr>
            </w:pPr>
          </w:p>
        </w:tc>
        <w:tc>
          <w:tcPr>
            <w:tcW w:w="2871" w:type="pct"/>
            <w:vAlign w:val="center"/>
          </w:tcPr>
          <w:p>
            <w:pPr>
              <w:pStyle w:val="417"/>
              <w:spacing w:line="240" w:lineRule="auto"/>
              <w:jc w:val="left"/>
              <w:rPr>
                <w:highlight w:val="none"/>
              </w:rPr>
            </w:pPr>
            <w:r>
              <w:rPr>
                <w:rFonts w:hint="eastAsia"/>
                <w:highlight w:val="none"/>
              </w:rPr>
              <w:t>应设置洗车平台，完善排水设施，防止泥土粘带。运输车辆在料场出口内侧设置洗车平台，车辆驶离料场前，应在洗车平台清洗轮胎及车身，不得带泥上路。洗车平台四周应设置防溢座、废水导流渠、废水收集池、沉砂池及其它防治设施，收集洗车以及降水过程中产生的废水和泥浆。</w:t>
            </w:r>
          </w:p>
        </w:tc>
        <w:tc>
          <w:tcPr>
            <w:tcW w:w="1349" w:type="pct"/>
            <w:vAlign w:val="center"/>
          </w:tcPr>
          <w:p>
            <w:pPr>
              <w:pStyle w:val="417"/>
              <w:spacing w:line="240" w:lineRule="auto"/>
              <w:jc w:val="left"/>
              <w:rPr>
                <w:highlight w:val="none"/>
              </w:rPr>
            </w:pPr>
            <w:r>
              <w:rPr>
                <w:rFonts w:hint="eastAsia"/>
                <w:highlight w:val="none"/>
              </w:rPr>
              <w:t>厂区出入口、成品库门口设有洗车平台，配备全覆盖式强制喷淋清洗设施，洗车废水沉淀处理后循环利用不外排。</w:t>
            </w:r>
          </w:p>
        </w:tc>
        <w:tc>
          <w:tcPr>
            <w:tcW w:w="0" w:type="auto"/>
            <w:vAlign w:val="center"/>
          </w:tcPr>
          <w:p>
            <w:pPr>
              <w:pStyle w:val="417"/>
              <w:spacing w:line="240" w:lineRule="auto"/>
              <w:jc w:val="left"/>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Merge w:val="continue"/>
            <w:vAlign w:val="center"/>
          </w:tcPr>
          <w:p>
            <w:pPr>
              <w:pStyle w:val="417"/>
              <w:spacing w:line="240" w:lineRule="auto"/>
              <w:jc w:val="left"/>
              <w:rPr>
                <w:highlight w:val="none"/>
              </w:rPr>
            </w:pPr>
          </w:p>
        </w:tc>
        <w:tc>
          <w:tcPr>
            <w:tcW w:w="2871" w:type="pct"/>
            <w:vAlign w:val="center"/>
          </w:tcPr>
          <w:p>
            <w:pPr>
              <w:pStyle w:val="417"/>
              <w:spacing w:line="240" w:lineRule="auto"/>
              <w:jc w:val="left"/>
              <w:rPr>
                <w:highlight w:val="none"/>
              </w:rPr>
            </w:pPr>
            <w:r>
              <w:rPr>
                <w:rFonts w:hint="eastAsia"/>
                <w:highlight w:val="none"/>
              </w:rPr>
              <w:t>露天装卸物料应当采取洒水、喷淋等抑尘措施，密闭输送物料应在装卸处配备吸尘、喷淋等设施。</w:t>
            </w:r>
          </w:p>
        </w:tc>
        <w:tc>
          <w:tcPr>
            <w:tcW w:w="1349" w:type="pct"/>
            <w:vAlign w:val="center"/>
          </w:tcPr>
          <w:p>
            <w:pPr>
              <w:pStyle w:val="417"/>
              <w:spacing w:line="240" w:lineRule="auto"/>
              <w:jc w:val="left"/>
              <w:rPr>
                <w:highlight w:val="none"/>
              </w:rPr>
            </w:pPr>
            <w:r>
              <w:rPr>
                <w:rFonts w:hint="eastAsia"/>
                <w:highlight w:val="none"/>
              </w:rPr>
              <w:t>本项目不露天装卸物料</w:t>
            </w:r>
          </w:p>
        </w:tc>
        <w:tc>
          <w:tcPr>
            <w:tcW w:w="0" w:type="auto"/>
            <w:vAlign w:val="center"/>
          </w:tcPr>
          <w:p>
            <w:pPr>
              <w:pStyle w:val="417"/>
              <w:spacing w:line="240" w:lineRule="auto"/>
              <w:jc w:val="left"/>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17"/>
              <w:spacing w:line="240" w:lineRule="auto"/>
              <w:jc w:val="left"/>
              <w:rPr>
                <w:highlight w:val="none"/>
              </w:rPr>
            </w:pPr>
            <w:r>
              <w:rPr>
                <w:rFonts w:hint="eastAsia"/>
                <w:highlight w:val="none"/>
              </w:rPr>
              <w:t>物料存储</w:t>
            </w:r>
          </w:p>
        </w:tc>
        <w:tc>
          <w:tcPr>
            <w:tcW w:w="2871" w:type="pct"/>
            <w:vAlign w:val="center"/>
          </w:tcPr>
          <w:p>
            <w:pPr>
              <w:pStyle w:val="417"/>
              <w:spacing w:line="240" w:lineRule="auto"/>
              <w:jc w:val="left"/>
              <w:rPr>
                <w:highlight w:val="none"/>
              </w:rPr>
            </w:pPr>
            <w:r>
              <w:rPr>
                <w:rFonts w:hint="eastAsia"/>
                <w:highlight w:val="none"/>
              </w:rPr>
              <w:t>粉状物料储存可采用入棚、入仓储存，棚内设有喷淋装置，在物料装卸时洒水降尘，棚内应设置横向防雨天窗，也可采用防风抑尘网+喷淋装置进行储存。</w:t>
            </w:r>
          </w:p>
        </w:tc>
        <w:tc>
          <w:tcPr>
            <w:tcW w:w="1349" w:type="pct"/>
            <w:vAlign w:val="center"/>
          </w:tcPr>
          <w:p>
            <w:pPr>
              <w:pStyle w:val="417"/>
              <w:spacing w:line="240" w:lineRule="auto"/>
              <w:jc w:val="left"/>
              <w:rPr>
                <w:highlight w:val="none"/>
              </w:rPr>
            </w:pPr>
            <w:r>
              <w:rPr>
                <w:rFonts w:hint="eastAsia"/>
                <w:highlight w:val="none"/>
              </w:rPr>
              <w:t>厂区物料全部堆存于封闭库房内，不露天堆存</w:t>
            </w:r>
          </w:p>
        </w:tc>
        <w:tc>
          <w:tcPr>
            <w:tcW w:w="0" w:type="auto"/>
            <w:vAlign w:val="center"/>
          </w:tcPr>
          <w:p>
            <w:pPr>
              <w:pStyle w:val="417"/>
              <w:spacing w:line="240" w:lineRule="auto"/>
              <w:jc w:val="left"/>
              <w:rPr>
                <w:highlight w:val="none"/>
              </w:rPr>
            </w:pPr>
            <w:r>
              <w:rPr>
                <w:rFonts w:hint="eastAsia"/>
                <w:highlight w:val="none"/>
              </w:rPr>
              <w:t>符合</w:t>
            </w:r>
          </w:p>
        </w:tc>
      </w:tr>
    </w:tbl>
    <w:p>
      <w:pPr>
        <w:pStyle w:val="6"/>
        <w:numPr>
          <w:ilvl w:val="2"/>
          <w:numId w:val="1"/>
        </w:numPr>
        <w:rPr>
          <w:szCs w:val="28"/>
          <w:highlight w:val="none"/>
        </w:rPr>
      </w:pPr>
      <w:r>
        <w:rPr>
          <w:szCs w:val="28"/>
          <w:highlight w:val="none"/>
        </w:rPr>
        <w:t>规划符合性分析</w:t>
      </w:r>
    </w:p>
    <w:p>
      <w:pPr>
        <w:pStyle w:val="3"/>
        <w:rPr>
          <w:rFonts w:eastAsiaTheme="minorEastAsia"/>
          <w:b/>
          <w:highlight w:val="none"/>
        </w:rPr>
      </w:pPr>
      <w:r>
        <w:rPr>
          <w:rFonts w:eastAsiaTheme="minorEastAsia"/>
          <w:b/>
          <w:highlight w:val="none"/>
        </w:rPr>
        <w:t>2.</w:t>
      </w:r>
      <w:r>
        <w:rPr>
          <w:rFonts w:hint="eastAsia" w:eastAsiaTheme="minorEastAsia"/>
          <w:b/>
          <w:highlight w:val="none"/>
        </w:rPr>
        <w:t>5</w:t>
      </w:r>
      <w:r>
        <w:rPr>
          <w:rFonts w:eastAsiaTheme="minorEastAsia"/>
          <w:b/>
          <w:highlight w:val="none"/>
        </w:rPr>
        <w:t>.</w:t>
      </w:r>
      <w:r>
        <w:rPr>
          <w:rFonts w:hint="eastAsia" w:eastAsiaTheme="minorEastAsia"/>
          <w:b/>
          <w:highlight w:val="none"/>
        </w:rPr>
        <w:t>2</w:t>
      </w:r>
      <w:r>
        <w:rPr>
          <w:rFonts w:eastAsiaTheme="minorEastAsia"/>
          <w:b/>
          <w:highlight w:val="none"/>
        </w:rPr>
        <w:t>.1河北省主体功能区规划</w:t>
      </w:r>
    </w:p>
    <w:p>
      <w:pPr>
        <w:ind w:firstLine="480"/>
        <w:jc w:val="both"/>
        <w:rPr>
          <w:sz w:val="24"/>
          <w:szCs w:val="24"/>
          <w:highlight w:val="none"/>
        </w:rPr>
      </w:pPr>
      <w:r>
        <w:rPr>
          <w:sz w:val="24"/>
          <w:szCs w:val="24"/>
          <w:highlight w:val="none"/>
        </w:rPr>
        <w:t>对照《河北省主体功能区规划》，项目所在地遵化市地处该规划所指的“燕山山前平原地区”，属于该规划中附一“河北省优化、重点开发、限制开发区域名录中”的优化开发区域。该区是中国现代工业的摇篮，冀东北地区综合交通枢纽，煤炭、铁矿石等资源密集区，是京津冀区域内经济比较发达、城市化水平较高的区域。区域功能定位为“中国北方经济中心区的重要组成部分，我国开放合作的新高地，京津冀区域现代工业密集区、高新技术成果转化和先进装备制造业基地，河北省新型工业化基地。”生态建设和环境保护中：“高起点规划建设南湖城市生态中心区治理采煤塌陷区、尾矿库和废石场，恢复矿山生态。加快重污染企业搬迁，深入开展空气污染综合整治，加强水、噪声、固体废弃物等污染治理”。</w:t>
      </w:r>
    </w:p>
    <w:p>
      <w:pPr>
        <w:ind w:firstLine="480"/>
        <w:jc w:val="both"/>
        <w:rPr>
          <w:sz w:val="24"/>
          <w:szCs w:val="24"/>
          <w:highlight w:val="none"/>
        </w:rPr>
      </w:pPr>
      <w:r>
        <w:rPr>
          <w:sz w:val="24"/>
          <w:szCs w:val="24"/>
          <w:highlight w:val="none"/>
        </w:rPr>
        <w:t>项目选址位于遵化市</w:t>
      </w:r>
      <w:r>
        <w:rPr>
          <w:rFonts w:hint="eastAsia"/>
          <w:sz w:val="24"/>
          <w:szCs w:val="24"/>
          <w:highlight w:val="none"/>
        </w:rPr>
        <w:t>新店子镇马店子村</w:t>
      </w:r>
      <w:r>
        <w:rPr>
          <w:sz w:val="24"/>
          <w:szCs w:val="24"/>
          <w:highlight w:val="none"/>
        </w:rPr>
        <w:t>，属于《河北省主体功能区规划》中的优化开发区域（见图2.</w:t>
      </w:r>
      <w:r>
        <w:rPr>
          <w:rFonts w:hint="eastAsia"/>
          <w:sz w:val="24"/>
          <w:szCs w:val="24"/>
          <w:highlight w:val="none"/>
        </w:rPr>
        <w:t>5</w:t>
      </w:r>
      <w:r>
        <w:rPr>
          <w:sz w:val="24"/>
          <w:szCs w:val="24"/>
          <w:highlight w:val="none"/>
        </w:rPr>
        <w:t>-</w:t>
      </w:r>
      <w:r>
        <w:rPr>
          <w:rFonts w:hint="eastAsia"/>
          <w:sz w:val="24"/>
          <w:szCs w:val="24"/>
          <w:highlight w:val="none"/>
        </w:rPr>
        <w:t>2</w:t>
      </w:r>
      <w:r>
        <w:rPr>
          <w:sz w:val="24"/>
          <w:szCs w:val="24"/>
          <w:highlight w:val="none"/>
        </w:rPr>
        <w:t>），符合该规划中生态建设和环境保护中“深入开展空气污染综合整治，加强水、噪声、固体废弃物等污染治理”。</w:t>
      </w:r>
    </w:p>
    <w:p>
      <w:pPr>
        <w:ind w:firstLine="0" w:firstLineChars="0"/>
        <w:rPr>
          <w:sz w:val="23"/>
          <w:szCs w:val="23"/>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3892550</wp:posOffset>
                </wp:positionH>
                <wp:positionV relativeFrom="paragraph">
                  <wp:posOffset>2734945</wp:posOffset>
                </wp:positionV>
                <wp:extent cx="75565" cy="75565"/>
                <wp:effectExtent l="4445" t="4445" r="15240" b="15240"/>
                <wp:wrapNone/>
                <wp:docPr id="121" name="矩形 3"/>
                <wp:cNvGraphicFramePr/>
                <a:graphic xmlns:a="http://schemas.openxmlformats.org/drawingml/2006/main">
                  <a:graphicData uri="http://schemas.microsoft.com/office/word/2010/wordprocessingShape">
                    <wps:wsp>
                      <wps:cNvSpPr/>
                      <wps:spPr>
                        <a:xfrm>
                          <a:off x="0" y="0"/>
                          <a:ext cx="75565" cy="75565"/>
                        </a:xfrm>
                        <a:prstGeom prst="rect">
                          <a:avLst/>
                        </a:prstGeom>
                        <a:solidFill>
                          <a:srgbClr val="FFFF00"/>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3" o:spid="_x0000_s1026" o:spt="1" style="position:absolute;left:0pt;margin-left:306.5pt;margin-top:215.35pt;height:5.95pt;width:5.95pt;z-index:251662336;mso-width-relative:page;mso-height-relative:page;" fillcolor="#FFFF00" filled="t" stroked="t" coordsize="21600,21600" o:gfxdata="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pw3LbbAAAACwEAAA8AAAAAAAAAAQAgAAAAIgAAAGRycy9k&#10;b3ducmV2LnhtbFBLAQIUABQAAAAIAIdO4kAfMBh8/wEAACgEAAAOAAAAAAAAAAEAIAAAACoBAABk&#10;cnMvZTJvRG9jLnhtbFBLBQYAAAAABgAGAFkBAACbBQAAAAA=&#10;">
                <v:fill on="t" focussize="0,0"/>
                <v:stroke color="#000000" joinstyle="miter"/>
                <v:imagedata o:title=""/>
                <o:lock v:ext="edit" aspectratio="f"/>
                <v:textbox>
                  <w:txbxContent>
                    <w:p>
                      <w:pPr>
                        <w:jc w:val="center"/>
                      </w:pPr>
                    </w:p>
                  </w:txbxContent>
                </v:textbox>
              </v:rect>
            </w:pict>
          </mc:Fallback>
        </mc:AlternateContent>
      </w:r>
      <w:r>
        <w:rPr>
          <w:highlight w:val="none"/>
        </w:rPr>
        <mc:AlternateContent>
          <mc:Choice Requires="wps">
            <w:drawing>
              <wp:anchor distT="0" distB="0" distL="114300" distR="114300" simplePos="0" relativeHeight="251663360" behindDoc="0" locked="0" layoutInCell="1" allowOverlap="1">
                <wp:simplePos x="0" y="0"/>
                <wp:positionH relativeFrom="column">
                  <wp:posOffset>2709545</wp:posOffset>
                </wp:positionH>
                <wp:positionV relativeFrom="paragraph">
                  <wp:posOffset>3381375</wp:posOffset>
                </wp:positionV>
                <wp:extent cx="1104900" cy="398145"/>
                <wp:effectExtent l="4445" t="840740" r="90805" b="18415"/>
                <wp:wrapNone/>
                <wp:docPr id="122" name="自选图形 4"/>
                <wp:cNvGraphicFramePr/>
                <a:graphic xmlns:a="http://schemas.openxmlformats.org/drawingml/2006/main">
                  <a:graphicData uri="http://schemas.microsoft.com/office/word/2010/wordprocessingShape">
                    <wps:wsp>
                      <wps:cNvSpPr/>
                      <wps:spPr>
                        <a:xfrm rot="10800000">
                          <a:off x="0" y="0"/>
                          <a:ext cx="1104900" cy="398145"/>
                        </a:xfrm>
                        <a:prstGeom prst="wedgeRoundRectCallout">
                          <a:avLst>
                            <a:gd name="adj1" fmla="val -56843"/>
                            <a:gd name="adj2" fmla="val 253250"/>
                            <a:gd name="adj3" fmla="val 16667"/>
                          </a:avLst>
                        </a:prstGeom>
                        <a:solidFill>
                          <a:srgbClr val="FFFFFF">
                            <a:alpha val="32941"/>
                          </a:srgbClr>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b/>
                                <w:sz w:val="24"/>
                              </w:rPr>
                            </w:pPr>
                            <w:r>
                              <w:rPr>
                                <w:rFonts w:hint="eastAsia"/>
                                <w:b/>
                                <w:sz w:val="24"/>
                              </w:rPr>
                              <w:t>项目位置</w:t>
                            </w:r>
                          </w:p>
                        </w:txbxContent>
                      </wps:txbx>
                      <wps:bodyPr upright="1"/>
                    </wps:wsp>
                  </a:graphicData>
                </a:graphic>
              </wp:anchor>
            </w:drawing>
          </mc:Choice>
          <mc:Fallback>
            <w:pict>
              <v:shape id="自选图形 4" o:spid="_x0000_s1026" o:spt="62" type="#_x0000_t62" style="position:absolute;left:0pt;margin-left:213.35pt;margin-top:266.25pt;height:31.35pt;width:87pt;rotation:11796480f;z-index:251663360;mso-width-relative:page;mso-height-relative:page;" fillcolor="#FFFFFF" filled="t" stroked="t" coordsize="21600,21600" o:gfxdata="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EWl6m2QAAAAsBAAAPAAAAAAAAAAEAIAAAACIAAABkcnMvZG93bnJldi54bWxQ&#10;SwECFAAUAAAACACHTuJA8sFfmWgCAADpBAAADgAAAAAAAAABACAAAAAoAQAAZHJzL2Uyb0RvYy54&#10;bWxQSwUGAAAAAAYABgBZAQAAAgYAAAAA&#10;" adj="-1478,65502,14400">
                <v:fill on="t" opacity="21588f" focussize="0,0"/>
                <v:stroke color="#000000" joinstyle="miter"/>
                <v:imagedata o:title=""/>
                <o:lock v:ext="edit" aspectratio="f"/>
                <v:textbox>
                  <w:txbxContent>
                    <w:p>
                      <w:pPr>
                        <w:spacing w:line="240" w:lineRule="auto"/>
                        <w:ind w:firstLine="0" w:firstLineChars="0"/>
                        <w:jc w:val="center"/>
                        <w:rPr>
                          <w:b/>
                          <w:sz w:val="24"/>
                        </w:rPr>
                      </w:pPr>
                      <w:r>
                        <w:rPr>
                          <w:rFonts w:hint="eastAsia"/>
                          <w:b/>
                          <w:sz w:val="24"/>
                        </w:rPr>
                        <w:t>项目位置</w:t>
                      </w:r>
                    </w:p>
                  </w:txbxContent>
                </v:textbox>
              </v:shape>
            </w:pict>
          </mc:Fallback>
        </mc:AlternateContent>
      </w:r>
      <w:r>
        <w:rPr>
          <w:sz w:val="23"/>
          <w:szCs w:val="23"/>
          <w:highlight w:val="none"/>
        </w:rPr>
        <w:drawing>
          <wp:inline distT="0" distB="0" distL="0" distR="0">
            <wp:extent cx="5326380" cy="6690360"/>
            <wp:effectExtent l="0" t="0" r="7620" b="15240"/>
            <wp:docPr id="123" name="图片 3" descr="微信图片_2018080616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 descr="微信图片_20180806162619"/>
                    <pic:cNvPicPr>
                      <a:picLocks noChangeAspect="1" noChangeArrowheads="1"/>
                    </pic:cNvPicPr>
                  </pic:nvPicPr>
                  <pic:blipFill>
                    <a:blip r:embed="rId30" cstate="print"/>
                    <a:srcRect t="5646"/>
                    <a:stretch>
                      <a:fillRect/>
                    </a:stretch>
                  </pic:blipFill>
                  <pic:spPr>
                    <a:xfrm>
                      <a:off x="0" y="0"/>
                      <a:ext cx="5326380" cy="6690360"/>
                    </a:xfrm>
                    <a:prstGeom prst="rect">
                      <a:avLst/>
                    </a:prstGeom>
                    <a:noFill/>
                    <a:ln w="9525">
                      <a:noFill/>
                      <a:miter lim="800000"/>
                      <a:headEnd/>
                      <a:tailEnd/>
                    </a:ln>
                  </pic:spPr>
                </pic:pic>
              </a:graphicData>
            </a:graphic>
          </wp:inline>
        </w:drawing>
      </w:r>
    </w:p>
    <w:p>
      <w:pPr>
        <w:spacing w:line="240" w:lineRule="auto"/>
        <w:ind w:left="425" w:firstLine="1890" w:firstLineChars="900"/>
        <w:textAlignment w:val="auto"/>
        <w:rPr>
          <w:rFonts w:eastAsia="黑体"/>
          <w:kern w:val="2"/>
          <w:sz w:val="21"/>
          <w:szCs w:val="21"/>
          <w:highlight w:val="none"/>
        </w:rPr>
      </w:pPr>
      <w:r>
        <w:rPr>
          <w:rFonts w:eastAsia="黑体"/>
          <w:kern w:val="2"/>
          <w:sz w:val="21"/>
          <w:szCs w:val="21"/>
          <w:highlight w:val="none"/>
        </w:rPr>
        <w:t>图2.</w:t>
      </w:r>
      <w:r>
        <w:rPr>
          <w:rFonts w:hint="eastAsia" w:eastAsia="黑体"/>
          <w:kern w:val="2"/>
          <w:sz w:val="21"/>
          <w:szCs w:val="21"/>
          <w:highlight w:val="none"/>
        </w:rPr>
        <w:t>5</w:t>
      </w:r>
      <w:r>
        <w:rPr>
          <w:rFonts w:eastAsia="黑体"/>
          <w:kern w:val="2"/>
          <w:sz w:val="21"/>
          <w:szCs w:val="21"/>
          <w:highlight w:val="none"/>
        </w:rPr>
        <w:t>-</w:t>
      </w:r>
      <w:r>
        <w:rPr>
          <w:rFonts w:hint="eastAsia" w:eastAsia="黑体"/>
          <w:kern w:val="2"/>
          <w:sz w:val="21"/>
          <w:szCs w:val="21"/>
          <w:highlight w:val="none"/>
        </w:rPr>
        <w:t>2</w:t>
      </w:r>
      <w:r>
        <w:rPr>
          <w:rFonts w:eastAsia="黑体"/>
          <w:kern w:val="2"/>
          <w:sz w:val="21"/>
          <w:szCs w:val="21"/>
          <w:highlight w:val="none"/>
        </w:rPr>
        <w:t xml:space="preserve">    河北省主体功能区规划图</w:t>
      </w:r>
    </w:p>
    <w:p>
      <w:pPr>
        <w:pStyle w:val="3"/>
        <w:rPr>
          <w:rFonts w:eastAsia="宋体"/>
          <w:b/>
          <w:bCs w:val="0"/>
          <w:highlight w:val="none"/>
        </w:rPr>
      </w:pPr>
      <w:r>
        <w:rPr>
          <w:rFonts w:eastAsiaTheme="minorEastAsia"/>
          <w:b/>
          <w:highlight w:val="none"/>
        </w:rPr>
        <w:t>2.</w:t>
      </w:r>
      <w:r>
        <w:rPr>
          <w:rFonts w:hint="eastAsia" w:eastAsiaTheme="minorEastAsia"/>
          <w:b/>
          <w:highlight w:val="none"/>
        </w:rPr>
        <w:t>5.2</w:t>
      </w:r>
      <w:r>
        <w:rPr>
          <w:rFonts w:eastAsiaTheme="minorEastAsia"/>
          <w:b/>
          <w:highlight w:val="none"/>
        </w:rPr>
        <w:t>.2</w:t>
      </w:r>
      <w:r>
        <w:rPr>
          <w:rFonts w:eastAsia="宋体"/>
          <w:b/>
          <w:bCs w:val="0"/>
          <w:highlight w:val="none"/>
        </w:rPr>
        <w:t>《河北省矿产资源总体规划》（20</w:t>
      </w:r>
      <w:r>
        <w:rPr>
          <w:rFonts w:hint="eastAsia" w:eastAsia="宋体"/>
          <w:b/>
          <w:bCs w:val="0"/>
          <w:highlight w:val="none"/>
        </w:rPr>
        <w:t>21</w:t>
      </w:r>
      <w:r>
        <w:rPr>
          <w:rFonts w:eastAsia="宋体"/>
          <w:b/>
          <w:bCs w:val="0"/>
          <w:highlight w:val="none"/>
        </w:rPr>
        <w:t>-20</w:t>
      </w:r>
      <w:r>
        <w:rPr>
          <w:rFonts w:hint="eastAsia" w:eastAsia="宋体"/>
          <w:b/>
          <w:bCs w:val="0"/>
          <w:highlight w:val="none"/>
        </w:rPr>
        <w:t>25</w:t>
      </w:r>
      <w:r>
        <w:rPr>
          <w:rFonts w:eastAsia="宋体"/>
          <w:b/>
          <w:bCs w:val="0"/>
          <w:highlight w:val="none"/>
        </w:rPr>
        <w:t>年）</w:t>
      </w:r>
    </w:p>
    <w:p>
      <w:pPr>
        <w:ind w:firstLine="480"/>
        <w:jc w:val="both"/>
        <w:rPr>
          <w:sz w:val="24"/>
          <w:szCs w:val="24"/>
          <w:highlight w:val="none"/>
          <w:lang w:val="zh-CN"/>
        </w:rPr>
      </w:pPr>
      <w:r>
        <w:rPr>
          <w:rFonts w:hint="eastAsia"/>
          <w:sz w:val="24"/>
          <w:szCs w:val="24"/>
          <w:highlight w:val="none"/>
          <w:lang w:val="zh-CN"/>
        </w:rPr>
        <w:t>与本项目相关的规划内容包括：</w:t>
      </w:r>
    </w:p>
    <w:p>
      <w:pPr>
        <w:ind w:firstLine="480"/>
        <w:jc w:val="both"/>
        <w:rPr>
          <w:sz w:val="24"/>
          <w:szCs w:val="24"/>
          <w:highlight w:val="none"/>
          <w:lang w:val="zh-CN"/>
        </w:rPr>
      </w:pPr>
      <w:r>
        <w:rPr>
          <w:rFonts w:hint="eastAsia"/>
          <w:sz w:val="24"/>
          <w:szCs w:val="24"/>
          <w:highlight w:val="none"/>
          <w:lang w:val="zh-CN"/>
        </w:rPr>
        <w:t>矿产资源开发保护与利用水平进一步提高。资源利用率保持较高水平，共伴生矿产资源综合利用率得到进一步提升，矿山“三率”水平达标率达到90%，本项目选矿回收率达到</w:t>
      </w:r>
      <w:r>
        <w:rPr>
          <w:rFonts w:hint="eastAsia"/>
          <w:sz w:val="24"/>
          <w:szCs w:val="24"/>
          <w:highlight w:val="none"/>
        </w:rPr>
        <w:t>97</w:t>
      </w:r>
      <w:r>
        <w:rPr>
          <w:rFonts w:hint="eastAsia"/>
          <w:sz w:val="24"/>
          <w:szCs w:val="24"/>
          <w:highlight w:val="none"/>
          <w:lang w:val="zh-CN"/>
        </w:rPr>
        <w:t>%，符合规划指标要求。</w:t>
      </w:r>
    </w:p>
    <w:p>
      <w:pPr>
        <w:pStyle w:val="3"/>
        <w:keepNext w:val="0"/>
        <w:keepLines w:val="0"/>
        <w:spacing w:before="48" w:after="48"/>
        <w:rPr>
          <w:rFonts w:eastAsia="宋体"/>
          <w:b/>
          <w:bCs w:val="0"/>
          <w:highlight w:val="none"/>
        </w:rPr>
      </w:pPr>
      <w:r>
        <w:rPr>
          <w:rFonts w:eastAsia="宋体"/>
          <w:b/>
          <w:bCs w:val="0"/>
          <w:highlight w:val="none"/>
        </w:rPr>
        <w:t>2.5.2.3《唐山市矿产资源总体规划》（20</w:t>
      </w:r>
      <w:r>
        <w:rPr>
          <w:rFonts w:hint="eastAsia" w:eastAsia="宋体"/>
          <w:b/>
          <w:bCs w:val="0"/>
          <w:highlight w:val="none"/>
        </w:rPr>
        <w:t>2</w:t>
      </w:r>
      <w:r>
        <w:rPr>
          <w:rFonts w:eastAsia="宋体"/>
          <w:b/>
          <w:bCs w:val="0"/>
          <w:highlight w:val="none"/>
        </w:rPr>
        <w:t>1-20</w:t>
      </w:r>
      <w:r>
        <w:rPr>
          <w:rFonts w:hint="eastAsia" w:eastAsia="宋体"/>
          <w:b/>
          <w:bCs w:val="0"/>
          <w:highlight w:val="none"/>
        </w:rPr>
        <w:t>2</w:t>
      </w:r>
      <w:r>
        <w:rPr>
          <w:rFonts w:eastAsia="宋体"/>
          <w:b/>
          <w:bCs w:val="0"/>
          <w:highlight w:val="none"/>
        </w:rPr>
        <w:t>5年）</w:t>
      </w:r>
    </w:p>
    <w:p>
      <w:pPr>
        <w:ind w:firstLine="480"/>
        <w:jc w:val="both"/>
        <w:rPr>
          <w:sz w:val="24"/>
          <w:szCs w:val="24"/>
          <w:highlight w:val="none"/>
          <w:lang w:val="zh-CN"/>
        </w:rPr>
      </w:pPr>
      <w:r>
        <w:rPr>
          <w:rFonts w:hint="eastAsia"/>
          <w:sz w:val="24"/>
          <w:szCs w:val="24"/>
          <w:highlight w:val="none"/>
          <w:lang w:val="zh-CN"/>
        </w:rPr>
        <w:t>与本项目选矿活动相关的规划内容包括：</w:t>
      </w:r>
    </w:p>
    <w:p>
      <w:pPr>
        <w:ind w:firstLine="480"/>
        <w:jc w:val="both"/>
        <w:rPr>
          <w:sz w:val="24"/>
          <w:szCs w:val="24"/>
          <w:highlight w:val="none"/>
          <w:lang w:val="zh-CN"/>
        </w:rPr>
      </w:pPr>
      <w:r>
        <w:rPr>
          <w:rFonts w:hint="eastAsia"/>
          <w:sz w:val="24"/>
          <w:szCs w:val="24"/>
          <w:highlight w:val="none"/>
          <w:lang w:val="zh-CN"/>
        </w:rPr>
        <w:t>矿产资源的节约与综合利用，重点在矿产资源“三率”、共伴生矿产综合利用、尾矿和固体废弃物综合利用、低品位矿开发利用四个方面，围绕资源节约与综合利用，发展和推广循环经济。大力推广利用尾矿加工生产建筑材料及制品技术。开发利用效率指标：铁矿选矿回收率85％，尾矿利用率10％以上。</w:t>
      </w:r>
    </w:p>
    <w:p>
      <w:pPr>
        <w:ind w:firstLine="480"/>
        <w:jc w:val="both"/>
        <w:rPr>
          <w:sz w:val="24"/>
          <w:szCs w:val="24"/>
          <w:highlight w:val="none"/>
          <w:lang w:val="zh-CN"/>
        </w:rPr>
      </w:pPr>
      <w:r>
        <w:rPr>
          <w:rFonts w:hint="eastAsia"/>
          <w:sz w:val="24"/>
          <w:szCs w:val="24"/>
          <w:highlight w:val="none"/>
          <w:lang w:val="zh-CN"/>
        </w:rPr>
        <w:t>本项目回收率达到</w:t>
      </w:r>
      <w:r>
        <w:rPr>
          <w:rFonts w:hint="eastAsia"/>
          <w:sz w:val="24"/>
          <w:szCs w:val="24"/>
          <w:highlight w:val="none"/>
        </w:rPr>
        <w:t>97</w:t>
      </w:r>
      <w:r>
        <w:rPr>
          <w:rFonts w:hint="eastAsia"/>
          <w:sz w:val="24"/>
          <w:szCs w:val="24"/>
          <w:highlight w:val="none"/>
          <w:lang w:val="zh-CN"/>
        </w:rPr>
        <w:t>％，尾矿利用率</w:t>
      </w:r>
      <w:r>
        <w:rPr>
          <w:rFonts w:hint="eastAsia"/>
          <w:sz w:val="24"/>
          <w:szCs w:val="24"/>
          <w:highlight w:val="none"/>
        </w:rPr>
        <w:t>100%，</w:t>
      </w:r>
      <w:r>
        <w:rPr>
          <w:rFonts w:hint="eastAsia"/>
          <w:sz w:val="24"/>
          <w:szCs w:val="24"/>
          <w:highlight w:val="none"/>
          <w:lang w:val="zh-CN"/>
        </w:rPr>
        <w:t>尾矿收集后全部作为建筑材料外售，符合规划指标要求和尾矿综合利用要求。</w:t>
      </w:r>
    </w:p>
    <w:p>
      <w:pPr>
        <w:pStyle w:val="3"/>
        <w:rPr>
          <w:rFonts w:eastAsiaTheme="minorEastAsia"/>
          <w:b/>
          <w:highlight w:val="none"/>
        </w:rPr>
      </w:pPr>
      <w:r>
        <w:rPr>
          <w:rFonts w:eastAsiaTheme="minorEastAsia"/>
          <w:b/>
          <w:highlight w:val="none"/>
        </w:rPr>
        <w:t>2.</w:t>
      </w:r>
      <w:r>
        <w:rPr>
          <w:rFonts w:hint="eastAsia" w:eastAsiaTheme="minorEastAsia"/>
          <w:b/>
          <w:highlight w:val="none"/>
        </w:rPr>
        <w:t>5</w:t>
      </w:r>
      <w:r>
        <w:rPr>
          <w:rFonts w:eastAsiaTheme="minorEastAsia"/>
          <w:b/>
          <w:highlight w:val="none"/>
        </w:rPr>
        <w:t>.</w:t>
      </w:r>
      <w:r>
        <w:rPr>
          <w:rFonts w:hint="eastAsia" w:eastAsiaTheme="minorEastAsia"/>
          <w:b/>
          <w:highlight w:val="none"/>
        </w:rPr>
        <w:t>2</w:t>
      </w:r>
      <w:r>
        <w:rPr>
          <w:rFonts w:eastAsiaTheme="minorEastAsia"/>
          <w:b/>
          <w:highlight w:val="none"/>
        </w:rPr>
        <w:t>.</w:t>
      </w:r>
      <w:r>
        <w:rPr>
          <w:rFonts w:hint="eastAsia" w:eastAsiaTheme="minorEastAsia"/>
          <w:b/>
          <w:highlight w:val="none"/>
        </w:rPr>
        <w:t>4</w:t>
      </w:r>
      <w:r>
        <w:rPr>
          <w:rFonts w:eastAsiaTheme="minorEastAsia"/>
          <w:b/>
          <w:highlight w:val="none"/>
        </w:rPr>
        <w:t>与《遵化市城乡总体规划》符合性</w:t>
      </w:r>
    </w:p>
    <w:p>
      <w:pPr>
        <w:ind w:firstLine="480"/>
        <w:jc w:val="both"/>
        <w:rPr>
          <w:sz w:val="24"/>
          <w:szCs w:val="24"/>
          <w:highlight w:val="none"/>
        </w:rPr>
      </w:pPr>
      <w:r>
        <w:rPr>
          <w:sz w:val="24"/>
          <w:szCs w:val="24"/>
          <w:highlight w:val="none"/>
        </w:rPr>
        <w:t>本项目位于遵化市</w:t>
      </w:r>
      <w:r>
        <w:rPr>
          <w:rFonts w:hint="eastAsia"/>
          <w:sz w:val="24"/>
          <w:szCs w:val="24"/>
          <w:highlight w:val="none"/>
        </w:rPr>
        <w:t>新店子镇马店子村</w:t>
      </w:r>
      <w:r>
        <w:rPr>
          <w:sz w:val="24"/>
          <w:szCs w:val="24"/>
          <w:highlight w:val="none"/>
        </w:rPr>
        <w:t>。根据《遵化市城乡总体规划》，本项目用地性质为</w:t>
      </w:r>
      <w:r>
        <w:rPr>
          <w:rFonts w:hint="eastAsia"/>
          <w:sz w:val="24"/>
          <w:szCs w:val="24"/>
          <w:highlight w:val="none"/>
        </w:rPr>
        <w:t>建设用</w:t>
      </w:r>
      <w:r>
        <w:rPr>
          <w:sz w:val="24"/>
          <w:szCs w:val="24"/>
          <w:highlight w:val="none"/>
        </w:rPr>
        <w:t>地，已取得遵化市住房和城乡规划建设局的用地性质说明，符合城乡规划要求。</w:t>
      </w:r>
    </w:p>
    <w:p>
      <w:pPr>
        <w:pStyle w:val="3"/>
        <w:rPr>
          <w:rFonts w:eastAsiaTheme="minorEastAsia"/>
          <w:b/>
          <w:highlight w:val="none"/>
        </w:rPr>
      </w:pPr>
      <w:r>
        <w:rPr>
          <w:rFonts w:eastAsiaTheme="minorEastAsia"/>
          <w:b/>
          <w:highlight w:val="none"/>
        </w:rPr>
        <w:t>2.</w:t>
      </w:r>
      <w:r>
        <w:rPr>
          <w:rFonts w:hint="eastAsia" w:eastAsiaTheme="minorEastAsia"/>
          <w:b/>
          <w:highlight w:val="none"/>
        </w:rPr>
        <w:t>5</w:t>
      </w:r>
      <w:r>
        <w:rPr>
          <w:rFonts w:eastAsiaTheme="minorEastAsia"/>
          <w:b/>
          <w:highlight w:val="none"/>
        </w:rPr>
        <w:t>.</w:t>
      </w:r>
      <w:r>
        <w:rPr>
          <w:rFonts w:hint="eastAsia" w:eastAsiaTheme="minorEastAsia"/>
          <w:b/>
          <w:highlight w:val="none"/>
        </w:rPr>
        <w:t>2</w:t>
      </w:r>
      <w:r>
        <w:rPr>
          <w:rFonts w:eastAsiaTheme="minorEastAsia"/>
          <w:b/>
          <w:highlight w:val="none"/>
        </w:rPr>
        <w:t>.</w:t>
      </w:r>
      <w:r>
        <w:rPr>
          <w:rFonts w:hint="eastAsia" w:eastAsiaTheme="minorEastAsia"/>
          <w:b/>
          <w:highlight w:val="none"/>
        </w:rPr>
        <w:t>5</w:t>
      </w:r>
      <w:r>
        <w:rPr>
          <w:rFonts w:eastAsiaTheme="minorEastAsia"/>
          <w:b/>
          <w:highlight w:val="none"/>
        </w:rPr>
        <w:t>与《遵化市生态市建设规划》的符合性</w:t>
      </w:r>
    </w:p>
    <w:p>
      <w:pPr>
        <w:ind w:firstLine="480"/>
        <w:jc w:val="both"/>
        <w:rPr>
          <w:sz w:val="24"/>
          <w:szCs w:val="24"/>
          <w:highlight w:val="none"/>
        </w:rPr>
      </w:pPr>
      <w:r>
        <w:rPr>
          <w:sz w:val="24"/>
          <w:szCs w:val="24"/>
          <w:highlight w:val="none"/>
        </w:rPr>
        <w:t>根据《遵化市生态市建设规划》，将遵化市全市划分为2个生态功能区4个生态功能亚区，详见表2.</w:t>
      </w:r>
      <w:r>
        <w:rPr>
          <w:rFonts w:hint="eastAsia"/>
          <w:sz w:val="24"/>
          <w:szCs w:val="24"/>
          <w:highlight w:val="none"/>
        </w:rPr>
        <w:t>5</w:t>
      </w:r>
      <w:r>
        <w:rPr>
          <w:sz w:val="24"/>
          <w:szCs w:val="24"/>
          <w:highlight w:val="none"/>
        </w:rPr>
        <w:t>-</w:t>
      </w:r>
      <w:r>
        <w:rPr>
          <w:rFonts w:hint="eastAsia"/>
          <w:sz w:val="24"/>
          <w:szCs w:val="24"/>
          <w:highlight w:val="none"/>
        </w:rPr>
        <w:t>2</w:t>
      </w:r>
      <w:r>
        <w:rPr>
          <w:sz w:val="24"/>
          <w:szCs w:val="24"/>
          <w:highlight w:val="none"/>
        </w:rPr>
        <w:t>。</w:t>
      </w:r>
    </w:p>
    <w:p>
      <w:pPr>
        <w:spacing w:line="240" w:lineRule="auto"/>
        <w:ind w:firstLine="0" w:firstLineChars="0"/>
        <w:jc w:val="center"/>
        <w:textAlignment w:val="auto"/>
        <w:rPr>
          <w:rFonts w:eastAsia="黑体"/>
          <w:kern w:val="2"/>
          <w:sz w:val="21"/>
          <w:szCs w:val="21"/>
          <w:highlight w:val="none"/>
          <w:lang w:val="zh-CN"/>
        </w:rPr>
      </w:pPr>
      <w:r>
        <w:rPr>
          <w:rFonts w:hint="eastAsia" w:eastAsia="黑体"/>
          <w:kern w:val="2"/>
          <w:sz w:val="21"/>
          <w:szCs w:val="21"/>
          <w:highlight w:val="none"/>
          <w:lang w:val="zh-CN"/>
        </w:rPr>
        <w:t>表2</w:t>
      </w:r>
      <w:r>
        <w:rPr>
          <w:rFonts w:eastAsia="黑体"/>
          <w:kern w:val="2"/>
          <w:sz w:val="21"/>
          <w:szCs w:val="21"/>
          <w:highlight w:val="none"/>
          <w:lang w:val="zh-CN"/>
        </w:rPr>
        <w:t>.5-2    遵化市生态功能区划表</w:t>
      </w:r>
    </w:p>
    <w:tbl>
      <w:tblPr>
        <w:tblStyle w:val="56"/>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183"/>
        <w:gridCol w:w="3037"/>
        <w:gridCol w:w="174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50" w:type="dxa"/>
            <w:vAlign w:val="center"/>
          </w:tcPr>
          <w:p>
            <w:pPr>
              <w:pStyle w:val="417"/>
              <w:spacing w:line="240" w:lineRule="auto"/>
              <w:rPr>
                <w:highlight w:val="none"/>
                <w:lang w:val="zh-CN" w:bidi="zh-CN"/>
              </w:rPr>
            </w:pPr>
            <w:r>
              <w:rPr>
                <w:highlight w:val="none"/>
                <w:lang w:val="zh-CN" w:bidi="zh-CN"/>
              </w:rPr>
              <w:t>生态功能区</w:t>
            </w:r>
          </w:p>
        </w:tc>
        <w:tc>
          <w:tcPr>
            <w:tcW w:w="1183" w:type="dxa"/>
            <w:vAlign w:val="center"/>
          </w:tcPr>
          <w:p>
            <w:pPr>
              <w:pStyle w:val="417"/>
              <w:spacing w:line="240" w:lineRule="auto"/>
              <w:rPr>
                <w:highlight w:val="none"/>
                <w:lang w:val="zh-CN" w:bidi="zh-CN"/>
              </w:rPr>
            </w:pPr>
            <w:r>
              <w:rPr>
                <w:highlight w:val="none"/>
                <w:lang w:val="zh-CN" w:bidi="zh-CN"/>
              </w:rPr>
              <w:t>生态功能亚区</w:t>
            </w:r>
          </w:p>
        </w:tc>
        <w:tc>
          <w:tcPr>
            <w:tcW w:w="3037" w:type="dxa"/>
            <w:vAlign w:val="center"/>
          </w:tcPr>
          <w:p>
            <w:pPr>
              <w:pStyle w:val="417"/>
              <w:spacing w:line="240" w:lineRule="auto"/>
              <w:rPr>
                <w:highlight w:val="none"/>
                <w:lang w:val="zh-CN" w:bidi="zh-CN"/>
              </w:rPr>
            </w:pPr>
            <w:r>
              <w:rPr>
                <w:highlight w:val="none"/>
                <w:lang w:val="zh-CN" w:bidi="zh-CN"/>
              </w:rPr>
              <w:t>包含乡镇</w:t>
            </w:r>
          </w:p>
        </w:tc>
        <w:tc>
          <w:tcPr>
            <w:tcW w:w="1744" w:type="dxa"/>
            <w:vAlign w:val="center"/>
          </w:tcPr>
          <w:p>
            <w:pPr>
              <w:pStyle w:val="417"/>
              <w:spacing w:line="240" w:lineRule="auto"/>
              <w:rPr>
                <w:highlight w:val="none"/>
                <w:lang w:val="zh-CN" w:bidi="zh-CN"/>
              </w:rPr>
            </w:pPr>
            <w:r>
              <w:rPr>
                <w:highlight w:val="none"/>
                <w:lang w:val="zh-CN" w:bidi="zh-CN"/>
              </w:rPr>
              <w:t>主导功能</w:t>
            </w:r>
          </w:p>
        </w:tc>
        <w:tc>
          <w:tcPr>
            <w:tcW w:w="992" w:type="dxa"/>
            <w:vAlign w:val="center"/>
          </w:tcPr>
          <w:p>
            <w:pPr>
              <w:pStyle w:val="417"/>
              <w:spacing w:line="240" w:lineRule="auto"/>
              <w:rPr>
                <w:highlight w:val="none"/>
                <w:lang w:val="zh-CN" w:bidi="zh-CN"/>
              </w:rPr>
            </w:pPr>
            <w:r>
              <w:rPr>
                <w:highlight w:val="none"/>
                <w:lang w:val="zh-CN" w:bidi="zh-CN"/>
              </w:rPr>
              <w:t>面积(平方公里)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Merge w:val="restart"/>
            <w:vAlign w:val="center"/>
          </w:tcPr>
          <w:p>
            <w:pPr>
              <w:pStyle w:val="417"/>
              <w:spacing w:line="240" w:lineRule="auto"/>
              <w:rPr>
                <w:highlight w:val="none"/>
                <w:lang w:val="zh-CN" w:bidi="zh-CN"/>
              </w:rPr>
            </w:pPr>
            <w:r>
              <w:rPr>
                <w:highlight w:val="none"/>
                <w:lang w:val="zh-CN" w:bidi="zh-CN"/>
              </w:rPr>
              <w:t>燕山山地南部生态区</w:t>
            </w:r>
          </w:p>
        </w:tc>
        <w:tc>
          <w:tcPr>
            <w:tcW w:w="1183" w:type="dxa"/>
            <w:vAlign w:val="center"/>
          </w:tcPr>
          <w:p>
            <w:pPr>
              <w:pStyle w:val="417"/>
              <w:spacing w:line="240" w:lineRule="auto"/>
              <w:rPr>
                <w:highlight w:val="none"/>
                <w:lang w:val="zh-CN" w:bidi="zh-CN"/>
              </w:rPr>
            </w:pPr>
            <w:r>
              <w:rPr>
                <w:highlight w:val="none"/>
                <w:lang w:val="zh-CN" w:bidi="zh-CN"/>
              </w:rPr>
              <w:t>遵化镇生态型城镇建设区</w:t>
            </w:r>
          </w:p>
        </w:tc>
        <w:tc>
          <w:tcPr>
            <w:tcW w:w="3037" w:type="dxa"/>
            <w:vAlign w:val="center"/>
          </w:tcPr>
          <w:p>
            <w:pPr>
              <w:pStyle w:val="417"/>
              <w:spacing w:line="240" w:lineRule="auto"/>
              <w:rPr>
                <w:highlight w:val="none"/>
                <w:lang w:val="zh-CN" w:bidi="zh-CN"/>
              </w:rPr>
            </w:pPr>
            <w:r>
              <w:rPr>
                <w:highlight w:val="none"/>
                <w:lang w:val="zh-CN" w:bidi="zh-CN"/>
              </w:rPr>
              <w:t>遵化镇</w:t>
            </w:r>
          </w:p>
        </w:tc>
        <w:tc>
          <w:tcPr>
            <w:tcW w:w="1744" w:type="dxa"/>
            <w:vAlign w:val="center"/>
          </w:tcPr>
          <w:p>
            <w:pPr>
              <w:pStyle w:val="417"/>
              <w:spacing w:line="240" w:lineRule="auto"/>
              <w:rPr>
                <w:highlight w:val="none"/>
                <w:lang w:val="zh-CN" w:bidi="zh-CN"/>
              </w:rPr>
            </w:pPr>
            <w:r>
              <w:rPr>
                <w:highlight w:val="none"/>
                <w:lang w:val="zh-CN" w:bidi="zh-CN"/>
              </w:rPr>
              <w:t>城镇建设、水源保护</w:t>
            </w:r>
          </w:p>
        </w:tc>
        <w:tc>
          <w:tcPr>
            <w:tcW w:w="992" w:type="dxa"/>
            <w:vAlign w:val="center"/>
          </w:tcPr>
          <w:p>
            <w:pPr>
              <w:pStyle w:val="417"/>
              <w:spacing w:line="240" w:lineRule="auto"/>
              <w:rPr>
                <w:highlight w:val="none"/>
                <w:lang w:val="zh-CN" w:bidi="zh-CN"/>
              </w:rPr>
            </w:pPr>
            <w:r>
              <w:rPr>
                <w:highlight w:val="none"/>
                <w:lang w:val="zh-CN" w:bidi="zh-CN"/>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Merge w:val="continue"/>
            <w:vAlign w:val="center"/>
          </w:tcPr>
          <w:p>
            <w:pPr>
              <w:pStyle w:val="417"/>
              <w:spacing w:line="240" w:lineRule="auto"/>
              <w:rPr>
                <w:highlight w:val="none"/>
                <w:lang w:val="zh-CN" w:bidi="zh-CN"/>
              </w:rPr>
            </w:pPr>
          </w:p>
        </w:tc>
        <w:tc>
          <w:tcPr>
            <w:tcW w:w="1183" w:type="dxa"/>
            <w:vAlign w:val="center"/>
          </w:tcPr>
          <w:p>
            <w:pPr>
              <w:pStyle w:val="417"/>
              <w:spacing w:line="240" w:lineRule="auto"/>
              <w:rPr>
                <w:highlight w:val="none"/>
                <w:lang w:val="zh-CN" w:bidi="zh-CN"/>
              </w:rPr>
            </w:pPr>
            <w:r>
              <w:rPr>
                <w:highlight w:val="none"/>
                <w:lang w:val="zh-CN" w:bidi="zh-CN"/>
              </w:rPr>
              <w:t>北部山区生态保护、重建区</w:t>
            </w:r>
          </w:p>
        </w:tc>
        <w:tc>
          <w:tcPr>
            <w:tcW w:w="3037" w:type="dxa"/>
            <w:vAlign w:val="center"/>
          </w:tcPr>
          <w:p>
            <w:pPr>
              <w:pStyle w:val="417"/>
              <w:spacing w:line="240" w:lineRule="auto"/>
              <w:rPr>
                <w:highlight w:val="none"/>
                <w:lang w:val="zh-CN" w:bidi="zh-CN"/>
              </w:rPr>
            </w:pPr>
            <w:r>
              <w:rPr>
                <w:highlight w:val="none"/>
                <w:lang w:val="zh-CN" w:bidi="zh-CN"/>
              </w:rPr>
              <w:t>东陵乡、马兰峪镇、汤泉乡、西下营乡、兴旺寨乡、西三里乡、苏家洼镇、侯家寨乡、小厂乡、建明镇</w:t>
            </w:r>
          </w:p>
        </w:tc>
        <w:tc>
          <w:tcPr>
            <w:tcW w:w="1744" w:type="dxa"/>
            <w:vAlign w:val="center"/>
          </w:tcPr>
          <w:p>
            <w:pPr>
              <w:pStyle w:val="417"/>
              <w:spacing w:line="240" w:lineRule="auto"/>
              <w:rPr>
                <w:highlight w:val="none"/>
                <w:lang w:val="zh-CN" w:bidi="zh-CN"/>
              </w:rPr>
            </w:pPr>
            <w:r>
              <w:rPr>
                <w:highlight w:val="none"/>
                <w:lang w:val="zh-CN" w:bidi="zh-CN"/>
              </w:rPr>
              <w:t>水源涵养、水文调蓄、生物多样性保护、生态重建</w:t>
            </w:r>
          </w:p>
        </w:tc>
        <w:tc>
          <w:tcPr>
            <w:tcW w:w="992" w:type="dxa"/>
            <w:vAlign w:val="center"/>
          </w:tcPr>
          <w:p>
            <w:pPr>
              <w:pStyle w:val="417"/>
              <w:spacing w:line="240" w:lineRule="auto"/>
              <w:rPr>
                <w:highlight w:val="none"/>
                <w:lang w:val="zh-CN" w:bidi="zh-CN"/>
              </w:rPr>
            </w:pPr>
            <w:r>
              <w:rPr>
                <w:highlight w:val="none"/>
                <w:lang w:val="zh-CN" w:bidi="zh-CN"/>
              </w:rPr>
              <w:t>556.5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Merge w:val="continue"/>
            <w:vAlign w:val="center"/>
          </w:tcPr>
          <w:p>
            <w:pPr>
              <w:pStyle w:val="417"/>
              <w:spacing w:line="240" w:lineRule="auto"/>
              <w:rPr>
                <w:highlight w:val="none"/>
                <w:lang w:val="zh-CN" w:bidi="zh-CN"/>
              </w:rPr>
            </w:pPr>
          </w:p>
        </w:tc>
        <w:tc>
          <w:tcPr>
            <w:tcW w:w="1183" w:type="dxa"/>
            <w:vAlign w:val="center"/>
          </w:tcPr>
          <w:p>
            <w:pPr>
              <w:pStyle w:val="417"/>
              <w:spacing w:line="240" w:lineRule="auto"/>
              <w:rPr>
                <w:highlight w:val="none"/>
                <w:lang w:val="zh-CN" w:bidi="zh-CN"/>
              </w:rPr>
            </w:pPr>
            <w:r>
              <w:rPr>
                <w:highlight w:val="none"/>
                <w:lang w:val="zh-CN" w:bidi="zh-CN"/>
              </w:rPr>
              <w:t>中部生态农业保育区</w:t>
            </w:r>
          </w:p>
        </w:tc>
        <w:tc>
          <w:tcPr>
            <w:tcW w:w="3037" w:type="dxa"/>
            <w:vAlign w:val="center"/>
          </w:tcPr>
          <w:p>
            <w:pPr>
              <w:pStyle w:val="417"/>
              <w:spacing w:line="240" w:lineRule="auto"/>
              <w:rPr>
                <w:highlight w:val="none"/>
                <w:lang w:val="zh-CN" w:bidi="zh-CN"/>
              </w:rPr>
            </w:pPr>
            <w:r>
              <w:rPr>
                <w:highlight w:val="none"/>
                <w:lang w:val="zh-CN" w:bidi="zh-CN"/>
              </w:rPr>
              <w:t>石门镇、平安城镇、东新庄镇、团瓢庄乡、崔家庄乡、西留村乡、新店子镇、堡子店镇</w:t>
            </w:r>
          </w:p>
        </w:tc>
        <w:tc>
          <w:tcPr>
            <w:tcW w:w="1744" w:type="dxa"/>
            <w:vAlign w:val="center"/>
          </w:tcPr>
          <w:p>
            <w:pPr>
              <w:pStyle w:val="417"/>
              <w:spacing w:line="240" w:lineRule="auto"/>
              <w:rPr>
                <w:highlight w:val="none"/>
                <w:lang w:val="zh-CN" w:bidi="zh-CN"/>
              </w:rPr>
            </w:pPr>
            <w:r>
              <w:rPr>
                <w:highlight w:val="none"/>
                <w:lang w:val="zh-CN" w:bidi="zh-CN"/>
              </w:rPr>
              <w:t>基本农田保护、生态农业示范区</w:t>
            </w:r>
          </w:p>
        </w:tc>
        <w:tc>
          <w:tcPr>
            <w:tcW w:w="992" w:type="dxa"/>
            <w:vAlign w:val="center"/>
          </w:tcPr>
          <w:p>
            <w:pPr>
              <w:pStyle w:val="417"/>
              <w:spacing w:line="240" w:lineRule="auto"/>
              <w:rPr>
                <w:highlight w:val="none"/>
                <w:lang w:val="zh-CN" w:bidi="zh-CN"/>
              </w:rPr>
            </w:pPr>
            <w:r>
              <w:rPr>
                <w:highlight w:val="none"/>
                <w:lang w:val="zh-CN" w:bidi="zh-CN"/>
              </w:rPr>
              <w:t>496.55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pStyle w:val="417"/>
              <w:spacing w:line="240" w:lineRule="auto"/>
              <w:rPr>
                <w:highlight w:val="none"/>
                <w:lang w:val="zh-CN" w:bidi="zh-CN"/>
              </w:rPr>
            </w:pPr>
            <w:r>
              <w:rPr>
                <w:highlight w:val="none"/>
                <w:lang w:val="zh-CN" w:bidi="zh-CN"/>
              </w:rPr>
              <w:t>东南部山区水土保持、水源涵养区</w:t>
            </w:r>
          </w:p>
        </w:tc>
        <w:tc>
          <w:tcPr>
            <w:tcW w:w="1183" w:type="dxa"/>
            <w:vAlign w:val="center"/>
          </w:tcPr>
          <w:p>
            <w:pPr>
              <w:pStyle w:val="417"/>
              <w:spacing w:line="240" w:lineRule="auto"/>
              <w:rPr>
                <w:highlight w:val="none"/>
                <w:lang w:val="zh-CN" w:bidi="zh-CN"/>
              </w:rPr>
            </w:pPr>
            <w:r>
              <w:rPr>
                <w:highlight w:val="none"/>
                <w:lang w:val="zh-CN" w:bidi="zh-CN"/>
              </w:rPr>
              <w:t>－</w:t>
            </w:r>
          </w:p>
        </w:tc>
        <w:tc>
          <w:tcPr>
            <w:tcW w:w="3037" w:type="dxa"/>
            <w:vAlign w:val="center"/>
          </w:tcPr>
          <w:p>
            <w:pPr>
              <w:pStyle w:val="417"/>
              <w:spacing w:line="240" w:lineRule="auto"/>
              <w:rPr>
                <w:highlight w:val="none"/>
                <w:lang w:val="zh-CN" w:bidi="zh-CN"/>
              </w:rPr>
            </w:pPr>
            <w:r>
              <w:rPr>
                <w:highlight w:val="none"/>
                <w:lang w:val="zh-CN" w:bidi="zh-CN"/>
              </w:rPr>
              <w:t>刘备寨乡、地北头镇、东旧寨镇、党峪镇、铁厂镇、娘娘庄乡</w:t>
            </w:r>
          </w:p>
        </w:tc>
        <w:tc>
          <w:tcPr>
            <w:tcW w:w="1744" w:type="dxa"/>
            <w:vAlign w:val="center"/>
          </w:tcPr>
          <w:p>
            <w:pPr>
              <w:pStyle w:val="417"/>
              <w:spacing w:line="240" w:lineRule="auto"/>
              <w:rPr>
                <w:highlight w:val="none"/>
                <w:lang w:val="zh-CN" w:bidi="zh-CN"/>
              </w:rPr>
            </w:pPr>
            <w:r>
              <w:rPr>
                <w:highlight w:val="none"/>
                <w:lang w:val="zh-CN" w:bidi="zh-CN"/>
              </w:rPr>
              <w:t>水土保持、水源涵养、水文调蓄</w:t>
            </w:r>
          </w:p>
        </w:tc>
        <w:tc>
          <w:tcPr>
            <w:tcW w:w="992" w:type="dxa"/>
            <w:vAlign w:val="center"/>
          </w:tcPr>
          <w:p>
            <w:pPr>
              <w:pStyle w:val="417"/>
              <w:spacing w:line="240" w:lineRule="auto"/>
              <w:rPr>
                <w:highlight w:val="none"/>
                <w:lang w:val="zh-CN" w:bidi="zh-CN"/>
              </w:rPr>
            </w:pPr>
            <w:r>
              <w:rPr>
                <w:highlight w:val="none"/>
                <w:lang w:val="zh-CN" w:bidi="zh-CN"/>
              </w:rPr>
              <w:t>431.95</w:t>
            </w:r>
          </w:p>
        </w:tc>
      </w:tr>
    </w:tbl>
    <w:p>
      <w:pPr>
        <w:ind w:firstLine="480"/>
        <w:jc w:val="both"/>
        <w:rPr>
          <w:sz w:val="24"/>
          <w:highlight w:val="none"/>
        </w:rPr>
      </w:pPr>
      <w:r>
        <w:rPr>
          <w:sz w:val="24"/>
          <w:szCs w:val="24"/>
          <w:highlight w:val="none"/>
        </w:rPr>
        <w:t>本项目位于建明镇，属北部山区生态保护、重建区，该区域主导功能为</w:t>
      </w:r>
      <w:r>
        <w:rPr>
          <w:sz w:val="24"/>
          <w:highlight w:val="none"/>
        </w:rPr>
        <w:t>水源涵养、水文调蓄、生物多样性保护、生态重建。</w:t>
      </w:r>
    </w:p>
    <w:p>
      <w:pPr>
        <w:ind w:firstLine="480"/>
        <w:rPr>
          <w:sz w:val="24"/>
          <w:szCs w:val="24"/>
          <w:highlight w:val="none"/>
        </w:rPr>
      </w:pPr>
      <w:r>
        <w:rPr>
          <w:sz w:val="24"/>
          <w:szCs w:val="24"/>
          <w:highlight w:val="none"/>
        </w:rPr>
        <w:t>该区重要生态功能区包括：</w:t>
      </w:r>
    </w:p>
    <w:p>
      <w:pPr>
        <w:ind w:firstLine="480"/>
        <w:rPr>
          <w:sz w:val="24"/>
          <w:szCs w:val="24"/>
          <w:highlight w:val="none"/>
        </w:rPr>
      </w:pPr>
      <w:r>
        <w:rPr>
          <w:sz w:val="24"/>
          <w:szCs w:val="24"/>
          <w:highlight w:val="none"/>
        </w:rPr>
        <w:t>（1）禁止开发区：包括清东陵国家森林公园、古长城遗址、鹫峰山省级森林公园、上关水库地表水源保护区；</w:t>
      </w:r>
    </w:p>
    <w:p>
      <w:pPr>
        <w:ind w:firstLine="480"/>
        <w:rPr>
          <w:sz w:val="24"/>
          <w:szCs w:val="24"/>
          <w:highlight w:val="none"/>
        </w:rPr>
      </w:pPr>
      <w:r>
        <w:rPr>
          <w:sz w:val="24"/>
          <w:szCs w:val="24"/>
          <w:highlight w:val="none"/>
        </w:rPr>
        <w:t>（2）限制开发区：包括汤泉风景名胜区、般若院水库、万佛园等受保护地范围及基本农田保护区；</w:t>
      </w:r>
    </w:p>
    <w:p>
      <w:pPr>
        <w:ind w:firstLine="480"/>
        <w:rPr>
          <w:sz w:val="24"/>
          <w:szCs w:val="24"/>
          <w:highlight w:val="none"/>
        </w:rPr>
      </w:pPr>
      <w:r>
        <w:rPr>
          <w:sz w:val="24"/>
          <w:szCs w:val="24"/>
          <w:highlight w:val="none"/>
        </w:rPr>
        <w:t>（3）优化开发区：小厂乡、建明镇、苏家洼镇及兴旺寨乡内矿山集中开采区；</w:t>
      </w:r>
    </w:p>
    <w:p>
      <w:pPr>
        <w:ind w:firstLine="480"/>
        <w:rPr>
          <w:sz w:val="24"/>
          <w:szCs w:val="24"/>
          <w:highlight w:val="none"/>
        </w:rPr>
      </w:pPr>
      <w:r>
        <w:rPr>
          <w:sz w:val="24"/>
          <w:szCs w:val="24"/>
          <w:highlight w:val="none"/>
        </w:rPr>
        <w:t>除此之外的区域属重点开发区域。</w:t>
      </w:r>
    </w:p>
    <w:p>
      <w:pPr>
        <w:ind w:firstLine="480"/>
        <w:jc w:val="both"/>
        <w:textAlignment w:val="auto"/>
        <w:rPr>
          <w:kern w:val="2"/>
          <w:sz w:val="24"/>
          <w:szCs w:val="24"/>
          <w:highlight w:val="none"/>
        </w:rPr>
      </w:pPr>
      <w:r>
        <w:rPr>
          <w:sz w:val="24"/>
          <w:szCs w:val="24"/>
          <w:highlight w:val="none"/>
        </w:rPr>
        <w:t>根据遵化市土地利用总体规划及遵化市住房和城乡规划建设局出具的用地性质说明，本项目占地类为工业用地，不占用基本农田，不属于该区域中禁止开发区和限制开发区，同时本项目产生的各类固体废物均能得到合理处理，固体废物（尾砂）全部综合利用，符合《遵化市生态市建设规划》。</w:t>
      </w:r>
    </w:p>
    <w:p>
      <w:pPr>
        <w:pStyle w:val="6"/>
        <w:numPr>
          <w:ilvl w:val="2"/>
          <w:numId w:val="1"/>
        </w:numPr>
        <w:rPr>
          <w:szCs w:val="28"/>
          <w:highlight w:val="none"/>
        </w:rPr>
      </w:pPr>
      <w:bookmarkStart w:id="129" w:name="_Toc4734"/>
      <w:bookmarkStart w:id="130" w:name="_Toc521591750"/>
      <w:r>
        <w:rPr>
          <w:szCs w:val="28"/>
          <w:highlight w:val="none"/>
        </w:rPr>
        <w:t>环境功能区划</w:t>
      </w:r>
      <w:bookmarkEnd w:id="129"/>
      <w:bookmarkEnd w:id="130"/>
    </w:p>
    <w:p>
      <w:pPr>
        <w:ind w:left="425" w:firstLine="0" w:firstLineChars="0"/>
        <w:jc w:val="both"/>
        <w:rPr>
          <w:sz w:val="24"/>
          <w:szCs w:val="24"/>
          <w:highlight w:val="none"/>
        </w:rPr>
      </w:pPr>
      <w:r>
        <w:rPr>
          <w:sz w:val="24"/>
          <w:szCs w:val="24"/>
          <w:highlight w:val="none"/>
        </w:rPr>
        <w:t>（1）环境空气功能区划分</w:t>
      </w:r>
    </w:p>
    <w:p>
      <w:pPr>
        <w:ind w:firstLine="480"/>
        <w:jc w:val="both"/>
        <w:rPr>
          <w:sz w:val="24"/>
          <w:szCs w:val="24"/>
          <w:highlight w:val="none"/>
        </w:rPr>
      </w:pPr>
      <w:r>
        <w:rPr>
          <w:sz w:val="24"/>
          <w:szCs w:val="24"/>
          <w:highlight w:val="none"/>
        </w:rPr>
        <w:t>根据《环境空气质量标准》（GB3095-2012）中环境空气质量功能分类规定：“二类区为城镇规划中确定的居住区、商业交通居民混合区，文化区、一般工业区和农林地区”，结合本区域的具体情况，本区属于二类区，环境空气执行二级标准。</w:t>
      </w:r>
    </w:p>
    <w:p>
      <w:pPr>
        <w:ind w:firstLine="480"/>
        <w:jc w:val="both"/>
        <w:rPr>
          <w:sz w:val="24"/>
          <w:szCs w:val="24"/>
          <w:highlight w:val="none"/>
        </w:rPr>
      </w:pPr>
      <w:r>
        <w:rPr>
          <w:sz w:val="24"/>
          <w:szCs w:val="24"/>
          <w:highlight w:val="none"/>
        </w:rPr>
        <w:t>（2）地表水环境功能区划</w:t>
      </w:r>
    </w:p>
    <w:p>
      <w:pPr>
        <w:ind w:firstLine="480"/>
        <w:jc w:val="both"/>
        <w:rPr>
          <w:sz w:val="24"/>
          <w:szCs w:val="24"/>
          <w:highlight w:val="none"/>
        </w:rPr>
      </w:pPr>
      <w:r>
        <w:rPr>
          <w:sz w:val="24"/>
          <w:szCs w:val="24"/>
          <w:highlight w:val="none"/>
        </w:rPr>
        <w:t>根据《遵化市水环境功能区划》，黎河、沙河、淋河是遵化境内的三条主要河流，执行《地表水环境质量标准》（GB3838-2002）III类标准。距离本项目最近的地表水体为黎河</w:t>
      </w:r>
      <w:r>
        <w:rPr>
          <w:rFonts w:hint="eastAsia"/>
          <w:sz w:val="24"/>
          <w:szCs w:val="24"/>
          <w:highlight w:val="none"/>
        </w:rPr>
        <w:t>，</w:t>
      </w:r>
      <w:r>
        <w:rPr>
          <w:sz w:val="24"/>
          <w:szCs w:val="24"/>
          <w:highlight w:val="none"/>
        </w:rPr>
        <w:t>执行《地表水环境质量标准》（GB3838-2002）III类标准。</w:t>
      </w:r>
    </w:p>
    <w:p>
      <w:pPr>
        <w:ind w:firstLine="480"/>
        <w:jc w:val="both"/>
        <w:rPr>
          <w:sz w:val="24"/>
          <w:szCs w:val="24"/>
          <w:highlight w:val="none"/>
        </w:rPr>
      </w:pPr>
      <w:r>
        <w:rPr>
          <w:sz w:val="24"/>
          <w:szCs w:val="24"/>
          <w:highlight w:val="none"/>
        </w:rPr>
        <w:t>（3）地下水环境功能区划</w:t>
      </w:r>
    </w:p>
    <w:p>
      <w:pPr>
        <w:ind w:firstLine="480"/>
        <w:jc w:val="both"/>
        <w:rPr>
          <w:sz w:val="24"/>
          <w:szCs w:val="24"/>
          <w:highlight w:val="none"/>
        </w:rPr>
      </w:pPr>
      <w:r>
        <w:rPr>
          <w:sz w:val="24"/>
          <w:szCs w:val="24"/>
          <w:highlight w:val="none"/>
        </w:rPr>
        <w:t>根据《地下水质量标准》（GB/T14848-2017)中地下水的分类要求：“以人体健康基准值为依据，主要适用于集中式生活饮用水水源及工、农业用水”，本项目所在区域地下水执行III类标准。</w:t>
      </w:r>
    </w:p>
    <w:p>
      <w:pPr>
        <w:ind w:firstLine="480"/>
        <w:jc w:val="both"/>
        <w:rPr>
          <w:sz w:val="24"/>
          <w:szCs w:val="24"/>
          <w:highlight w:val="none"/>
        </w:rPr>
      </w:pPr>
      <w:r>
        <w:rPr>
          <w:sz w:val="24"/>
          <w:szCs w:val="24"/>
          <w:highlight w:val="none"/>
        </w:rPr>
        <w:t>（4）声环境功能区划</w:t>
      </w:r>
    </w:p>
    <w:p>
      <w:pPr>
        <w:ind w:firstLine="480"/>
        <w:jc w:val="both"/>
        <w:rPr>
          <w:sz w:val="24"/>
          <w:szCs w:val="24"/>
          <w:highlight w:val="none"/>
        </w:rPr>
      </w:pPr>
      <w:r>
        <w:rPr>
          <w:sz w:val="24"/>
          <w:szCs w:val="24"/>
          <w:highlight w:val="none"/>
        </w:rPr>
        <w:t>根据《声环境质量标准》（GB3096-2008）的规定，</w:t>
      </w:r>
      <w:r>
        <w:rPr>
          <w:rFonts w:hint="eastAsia"/>
          <w:sz w:val="24"/>
          <w:szCs w:val="24"/>
          <w:highlight w:val="none"/>
        </w:rPr>
        <w:t>本项目所在区</w:t>
      </w:r>
      <w:r>
        <w:rPr>
          <w:sz w:val="24"/>
          <w:szCs w:val="24"/>
          <w:highlight w:val="none"/>
        </w:rPr>
        <w:t>环境噪声执行2类标准限值。</w:t>
      </w:r>
    </w:p>
    <w:p>
      <w:pPr>
        <w:ind w:firstLine="480"/>
        <w:jc w:val="both"/>
        <w:rPr>
          <w:sz w:val="24"/>
          <w:szCs w:val="24"/>
          <w:highlight w:val="none"/>
          <w:lang w:val="zh-CN"/>
        </w:rPr>
      </w:pPr>
      <w:r>
        <w:rPr>
          <w:sz w:val="24"/>
          <w:szCs w:val="24"/>
          <w:highlight w:val="none"/>
          <w:lang w:val="zh-CN"/>
        </w:rPr>
        <w:t>本项目环境功能区划见</w:t>
      </w:r>
      <w:r>
        <w:rPr>
          <w:rFonts w:hint="eastAsia"/>
          <w:sz w:val="24"/>
          <w:szCs w:val="24"/>
          <w:highlight w:val="none"/>
          <w:lang w:val="zh-CN"/>
        </w:rPr>
        <w:t>表2</w:t>
      </w:r>
      <w:r>
        <w:rPr>
          <w:sz w:val="24"/>
          <w:szCs w:val="24"/>
          <w:highlight w:val="none"/>
          <w:lang w:val="zh-CN"/>
        </w:rPr>
        <w:t>.5-3。</w:t>
      </w:r>
    </w:p>
    <w:p>
      <w:pPr>
        <w:spacing w:line="240" w:lineRule="auto"/>
        <w:ind w:firstLine="0" w:firstLineChars="0"/>
        <w:jc w:val="center"/>
        <w:textAlignment w:val="auto"/>
        <w:rPr>
          <w:rFonts w:eastAsia="黑体"/>
          <w:kern w:val="2"/>
          <w:sz w:val="21"/>
          <w:szCs w:val="21"/>
          <w:highlight w:val="none"/>
          <w:lang w:val="zh-CN"/>
        </w:rPr>
      </w:pPr>
      <w:bookmarkStart w:id="131" w:name="_Ref6875239"/>
      <w:r>
        <w:rPr>
          <w:rFonts w:eastAsia="黑体"/>
          <w:kern w:val="2"/>
          <w:sz w:val="21"/>
          <w:szCs w:val="21"/>
          <w:highlight w:val="none"/>
          <w:lang w:val="zh-CN"/>
        </w:rPr>
        <w:t xml:space="preserve">表 </w:t>
      </w:r>
      <w:bookmarkEnd w:id="131"/>
      <w:r>
        <w:rPr>
          <w:rFonts w:eastAsia="黑体"/>
          <w:kern w:val="2"/>
          <w:sz w:val="21"/>
          <w:szCs w:val="21"/>
          <w:highlight w:val="none"/>
          <w:lang w:val="zh-CN"/>
        </w:rPr>
        <w:t>2.5-3   环境功能区划一览表</w:t>
      </w:r>
    </w:p>
    <w:tbl>
      <w:tblPr>
        <w:tblStyle w:val="56"/>
        <w:tblW w:w="8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4162"/>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081" w:type="dxa"/>
            <w:vAlign w:val="center"/>
          </w:tcPr>
          <w:p>
            <w:pPr>
              <w:pStyle w:val="417"/>
              <w:spacing w:line="240" w:lineRule="auto"/>
              <w:rPr>
                <w:highlight w:val="none"/>
                <w:lang w:val="zh-CN" w:bidi="zh-CN"/>
              </w:rPr>
            </w:pPr>
            <w:r>
              <w:rPr>
                <w:highlight w:val="none"/>
                <w:lang w:val="zh-CN" w:bidi="zh-CN"/>
              </w:rPr>
              <w:t>序号</w:t>
            </w:r>
          </w:p>
        </w:tc>
        <w:tc>
          <w:tcPr>
            <w:tcW w:w="4162" w:type="dxa"/>
            <w:vAlign w:val="center"/>
          </w:tcPr>
          <w:p>
            <w:pPr>
              <w:pStyle w:val="417"/>
              <w:spacing w:line="240" w:lineRule="auto"/>
              <w:rPr>
                <w:highlight w:val="none"/>
                <w:lang w:val="zh-CN" w:bidi="zh-CN"/>
              </w:rPr>
            </w:pPr>
            <w:r>
              <w:rPr>
                <w:highlight w:val="none"/>
                <w:lang w:val="zh-CN" w:bidi="zh-CN"/>
              </w:rPr>
              <w:t>环境要素</w:t>
            </w:r>
          </w:p>
        </w:tc>
        <w:tc>
          <w:tcPr>
            <w:tcW w:w="2081" w:type="dxa"/>
            <w:vAlign w:val="center"/>
          </w:tcPr>
          <w:p>
            <w:pPr>
              <w:pStyle w:val="417"/>
              <w:spacing w:line="240" w:lineRule="auto"/>
              <w:rPr>
                <w:highlight w:val="none"/>
                <w:lang w:val="zh-CN" w:bidi="zh-CN"/>
              </w:rPr>
            </w:pPr>
            <w:r>
              <w:rPr>
                <w:highlight w:val="none"/>
                <w:lang w:val="zh-CN" w:bidi="zh-CN"/>
              </w:rPr>
              <w:t>环境区划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081" w:type="dxa"/>
            <w:vAlign w:val="center"/>
          </w:tcPr>
          <w:p>
            <w:pPr>
              <w:pStyle w:val="417"/>
              <w:spacing w:line="240" w:lineRule="auto"/>
              <w:rPr>
                <w:highlight w:val="none"/>
                <w:lang w:val="zh-CN" w:bidi="zh-CN"/>
              </w:rPr>
            </w:pPr>
            <w:r>
              <w:rPr>
                <w:highlight w:val="none"/>
                <w:lang w:val="zh-CN" w:bidi="zh-CN"/>
              </w:rPr>
              <w:t>1</w:t>
            </w:r>
          </w:p>
        </w:tc>
        <w:tc>
          <w:tcPr>
            <w:tcW w:w="4162" w:type="dxa"/>
            <w:vAlign w:val="center"/>
          </w:tcPr>
          <w:p>
            <w:pPr>
              <w:pStyle w:val="417"/>
              <w:spacing w:line="240" w:lineRule="auto"/>
              <w:rPr>
                <w:highlight w:val="none"/>
                <w:lang w:val="zh-CN" w:bidi="zh-CN"/>
              </w:rPr>
            </w:pPr>
            <w:r>
              <w:rPr>
                <w:highlight w:val="none"/>
                <w:lang w:val="zh-CN" w:bidi="zh-CN"/>
              </w:rPr>
              <w:t>环境空气</w:t>
            </w:r>
          </w:p>
        </w:tc>
        <w:tc>
          <w:tcPr>
            <w:tcW w:w="2081" w:type="dxa"/>
            <w:vAlign w:val="center"/>
          </w:tcPr>
          <w:p>
            <w:pPr>
              <w:pStyle w:val="417"/>
              <w:spacing w:line="240" w:lineRule="auto"/>
              <w:rPr>
                <w:highlight w:val="none"/>
                <w:lang w:val="zh-CN" w:bidi="zh-CN"/>
              </w:rPr>
            </w:pPr>
            <w:r>
              <w:rPr>
                <w:highlight w:val="none"/>
                <w:lang w:val="zh-CN" w:bidi="zh-CN"/>
              </w:rPr>
              <w:t>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081" w:type="dxa"/>
            <w:vAlign w:val="center"/>
          </w:tcPr>
          <w:p>
            <w:pPr>
              <w:pStyle w:val="417"/>
              <w:spacing w:line="240" w:lineRule="auto"/>
              <w:rPr>
                <w:highlight w:val="none"/>
                <w:lang w:val="zh-CN" w:bidi="zh-CN"/>
              </w:rPr>
            </w:pPr>
            <w:r>
              <w:rPr>
                <w:highlight w:val="none"/>
                <w:lang w:val="zh-CN" w:bidi="zh-CN"/>
              </w:rPr>
              <w:t>2</w:t>
            </w:r>
          </w:p>
        </w:tc>
        <w:tc>
          <w:tcPr>
            <w:tcW w:w="4162" w:type="dxa"/>
            <w:vAlign w:val="center"/>
          </w:tcPr>
          <w:p>
            <w:pPr>
              <w:pStyle w:val="417"/>
              <w:spacing w:line="240" w:lineRule="auto"/>
              <w:rPr>
                <w:highlight w:val="none"/>
                <w:lang w:val="zh-CN" w:bidi="zh-CN"/>
              </w:rPr>
            </w:pPr>
            <w:r>
              <w:rPr>
                <w:highlight w:val="none"/>
                <w:lang w:val="zh-CN" w:bidi="zh-CN"/>
              </w:rPr>
              <w:t>地下水</w:t>
            </w:r>
          </w:p>
        </w:tc>
        <w:tc>
          <w:tcPr>
            <w:tcW w:w="2081" w:type="dxa"/>
            <w:vAlign w:val="center"/>
          </w:tcPr>
          <w:p>
            <w:pPr>
              <w:pStyle w:val="417"/>
              <w:spacing w:line="240" w:lineRule="auto"/>
              <w:rPr>
                <w:highlight w:val="none"/>
                <w:lang w:val="zh-CN" w:bidi="zh-CN"/>
              </w:rPr>
            </w:pPr>
            <w:r>
              <w:rPr>
                <w:highlight w:val="none"/>
                <w:lang w:val="zh-CN" w:bidi="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081" w:type="dxa"/>
            <w:vAlign w:val="center"/>
          </w:tcPr>
          <w:p>
            <w:pPr>
              <w:pStyle w:val="417"/>
              <w:spacing w:line="240" w:lineRule="auto"/>
              <w:rPr>
                <w:highlight w:val="none"/>
                <w:lang w:val="zh-CN" w:bidi="zh-CN"/>
              </w:rPr>
            </w:pPr>
            <w:r>
              <w:rPr>
                <w:highlight w:val="none"/>
                <w:lang w:val="zh-CN" w:bidi="zh-CN"/>
              </w:rPr>
              <w:t>3</w:t>
            </w:r>
          </w:p>
        </w:tc>
        <w:tc>
          <w:tcPr>
            <w:tcW w:w="4162" w:type="dxa"/>
            <w:vAlign w:val="center"/>
          </w:tcPr>
          <w:p>
            <w:pPr>
              <w:pStyle w:val="417"/>
              <w:spacing w:line="240" w:lineRule="auto"/>
              <w:rPr>
                <w:highlight w:val="none"/>
                <w:lang w:bidi="zh-CN"/>
              </w:rPr>
            </w:pPr>
            <w:r>
              <w:rPr>
                <w:highlight w:val="none"/>
                <w:lang w:bidi="zh-CN"/>
              </w:rPr>
              <w:t>地表水</w:t>
            </w:r>
          </w:p>
        </w:tc>
        <w:tc>
          <w:tcPr>
            <w:tcW w:w="2081" w:type="dxa"/>
            <w:vAlign w:val="center"/>
          </w:tcPr>
          <w:p>
            <w:pPr>
              <w:pStyle w:val="417"/>
              <w:spacing w:line="240" w:lineRule="auto"/>
              <w:rPr>
                <w:highlight w:val="none"/>
                <w:lang w:val="zh-CN" w:bidi="zh-CN"/>
              </w:rPr>
            </w:pPr>
            <w:r>
              <w:rPr>
                <w:highlight w:val="none"/>
                <w:lang w:bidi="zh-CN"/>
              </w:rPr>
              <w:t>Ⅲ</w:t>
            </w:r>
            <w:r>
              <w:rPr>
                <w:highlight w:val="none"/>
                <w:lang w:val="zh-CN" w:bidi="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081" w:type="dxa"/>
            <w:vAlign w:val="center"/>
          </w:tcPr>
          <w:p>
            <w:pPr>
              <w:pStyle w:val="417"/>
              <w:spacing w:line="240" w:lineRule="auto"/>
              <w:rPr>
                <w:highlight w:val="none"/>
                <w:lang w:bidi="zh-CN"/>
              </w:rPr>
            </w:pPr>
            <w:r>
              <w:rPr>
                <w:highlight w:val="none"/>
                <w:lang w:bidi="zh-CN"/>
              </w:rPr>
              <w:t>4</w:t>
            </w:r>
          </w:p>
        </w:tc>
        <w:tc>
          <w:tcPr>
            <w:tcW w:w="4162" w:type="dxa"/>
            <w:vAlign w:val="center"/>
          </w:tcPr>
          <w:p>
            <w:pPr>
              <w:pStyle w:val="417"/>
              <w:spacing w:line="240" w:lineRule="auto"/>
              <w:rPr>
                <w:highlight w:val="none"/>
                <w:lang w:val="zh-CN" w:bidi="zh-CN"/>
              </w:rPr>
            </w:pPr>
            <w:r>
              <w:rPr>
                <w:highlight w:val="none"/>
                <w:lang w:val="zh-CN" w:bidi="zh-CN"/>
              </w:rPr>
              <w:t>声环境</w:t>
            </w:r>
          </w:p>
        </w:tc>
        <w:tc>
          <w:tcPr>
            <w:tcW w:w="2081" w:type="dxa"/>
            <w:vAlign w:val="center"/>
          </w:tcPr>
          <w:p>
            <w:pPr>
              <w:pStyle w:val="417"/>
              <w:spacing w:line="240" w:lineRule="auto"/>
              <w:rPr>
                <w:highlight w:val="none"/>
                <w:lang w:val="zh-CN" w:bidi="zh-CN"/>
              </w:rPr>
            </w:pPr>
            <w:r>
              <w:rPr>
                <w:highlight w:val="none"/>
                <w:lang w:val="zh-CN" w:bidi="zh-CN"/>
              </w:rPr>
              <w:t>2类</w:t>
            </w:r>
          </w:p>
        </w:tc>
      </w:tr>
    </w:tbl>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132" w:name="_Toc12991"/>
      <w:bookmarkStart w:id="133" w:name="_Toc8045544"/>
      <w:bookmarkStart w:id="134" w:name="_Toc8650367"/>
      <w:bookmarkStart w:id="135" w:name="_Toc32101"/>
      <w:bookmarkStart w:id="136" w:name="_Toc13216530"/>
      <w:bookmarkStart w:id="137" w:name="_Toc20835"/>
      <w:r>
        <w:rPr>
          <w:rFonts w:hint="eastAsia" w:ascii="Times New Roman" w:hAnsi="Times New Roman" w:eastAsia="宋体"/>
          <w:bCs w:val="0"/>
          <w:snapToGrid w:val="0"/>
          <w:kern w:val="0"/>
          <w:sz w:val="28"/>
          <w:szCs w:val="28"/>
          <w:highlight w:val="none"/>
        </w:rPr>
        <w:t>评价内容和评价重点</w:t>
      </w:r>
      <w:bookmarkEnd w:id="132"/>
      <w:bookmarkEnd w:id="133"/>
      <w:bookmarkEnd w:id="134"/>
      <w:bookmarkEnd w:id="135"/>
      <w:bookmarkEnd w:id="136"/>
      <w:bookmarkEnd w:id="137"/>
    </w:p>
    <w:p>
      <w:pPr>
        <w:pStyle w:val="6"/>
        <w:numPr>
          <w:ilvl w:val="2"/>
          <w:numId w:val="1"/>
        </w:numPr>
        <w:rPr>
          <w:szCs w:val="28"/>
          <w:highlight w:val="none"/>
        </w:rPr>
      </w:pPr>
      <w:r>
        <w:rPr>
          <w:szCs w:val="28"/>
          <w:highlight w:val="none"/>
        </w:rPr>
        <w:t>评价内容</w:t>
      </w:r>
    </w:p>
    <w:p>
      <w:pPr>
        <w:ind w:firstLine="480"/>
        <w:jc w:val="both"/>
        <w:rPr>
          <w:sz w:val="24"/>
          <w:szCs w:val="24"/>
          <w:highlight w:val="none"/>
          <w:lang w:val="zh-CN"/>
        </w:rPr>
      </w:pPr>
      <w:r>
        <w:rPr>
          <w:sz w:val="24"/>
          <w:szCs w:val="24"/>
          <w:highlight w:val="none"/>
          <w:lang w:val="zh-CN"/>
        </w:rPr>
        <w:t>本次评价内容主要包括：</w:t>
      </w:r>
      <w:bookmarkStart w:id="138" w:name="_Hlk6738365"/>
      <w:r>
        <w:rPr>
          <w:sz w:val="24"/>
          <w:szCs w:val="24"/>
          <w:highlight w:val="none"/>
          <w:lang w:val="zh-CN"/>
        </w:rPr>
        <w:t>概述、总则、建设项目工程分析、环境现状调查与评价、环境影响预测与评价、环境保护措施及其可行性论证、环境影响经济损益分析、环境管理与监测计划、环境影响评价结论</w:t>
      </w:r>
      <w:bookmarkEnd w:id="138"/>
      <w:r>
        <w:rPr>
          <w:sz w:val="24"/>
          <w:szCs w:val="24"/>
          <w:highlight w:val="none"/>
          <w:lang w:val="zh-CN"/>
        </w:rPr>
        <w:t>等</w:t>
      </w:r>
      <w:r>
        <w:rPr>
          <w:rFonts w:hint="eastAsia"/>
          <w:sz w:val="24"/>
          <w:szCs w:val="24"/>
          <w:highlight w:val="none"/>
          <w:lang w:val="zh-CN"/>
        </w:rPr>
        <w:t>。</w:t>
      </w:r>
    </w:p>
    <w:p>
      <w:pPr>
        <w:pStyle w:val="6"/>
        <w:keepNext w:val="0"/>
        <w:keepLines w:val="0"/>
        <w:numPr>
          <w:ilvl w:val="2"/>
          <w:numId w:val="1"/>
        </w:numPr>
        <w:rPr>
          <w:szCs w:val="28"/>
          <w:highlight w:val="none"/>
        </w:rPr>
      </w:pPr>
      <w:r>
        <w:rPr>
          <w:szCs w:val="28"/>
          <w:highlight w:val="none"/>
        </w:rPr>
        <w:t>评价重点</w:t>
      </w:r>
    </w:p>
    <w:p>
      <w:pPr>
        <w:ind w:firstLine="482" w:firstLineChars="0"/>
        <w:jc w:val="both"/>
        <w:rPr>
          <w:sz w:val="24"/>
          <w:szCs w:val="24"/>
          <w:highlight w:val="none"/>
        </w:rPr>
      </w:pPr>
      <w:r>
        <w:rPr>
          <w:sz w:val="24"/>
          <w:szCs w:val="24"/>
          <w:highlight w:val="none"/>
          <w:lang w:val="zh-CN"/>
        </w:rPr>
        <w:t>结合本项目的排污特点和周围环境状况，确定本次评价工作重点为：建设项目工程分析、大气环境影响评价、声环境影响评价、环保措施可行性论证</w:t>
      </w:r>
      <w:r>
        <w:rPr>
          <w:rFonts w:hint="eastAsia"/>
          <w:sz w:val="24"/>
          <w:szCs w:val="24"/>
          <w:highlight w:val="none"/>
          <w:lang w:val="zh-CN"/>
        </w:rPr>
        <w:t>。</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139" w:name="_Toc28023"/>
      <w:bookmarkStart w:id="140" w:name="_Toc477175414"/>
      <w:bookmarkStart w:id="141" w:name="_Toc499651401"/>
      <w:bookmarkStart w:id="142" w:name="_Toc524284663"/>
      <w:bookmarkStart w:id="143" w:name="_Toc13121"/>
      <w:bookmarkStart w:id="144" w:name="_Toc521591751"/>
      <w:bookmarkStart w:id="145" w:name="_Toc503218100"/>
      <w:bookmarkStart w:id="146" w:name="_Toc8065"/>
      <w:bookmarkStart w:id="147" w:name="_Toc27875"/>
      <w:r>
        <w:rPr>
          <w:rFonts w:hint="eastAsia" w:ascii="Times New Roman" w:hAnsi="Times New Roman" w:eastAsia="宋体"/>
          <w:bCs w:val="0"/>
          <w:snapToGrid w:val="0"/>
          <w:kern w:val="0"/>
          <w:sz w:val="28"/>
          <w:szCs w:val="28"/>
          <w:highlight w:val="none"/>
        </w:rPr>
        <w:t>评价标准</w:t>
      </w:r>
      <w:bookmarkEnd w:id="139"/>
    </w:p>
    <w:p>
      <w:pPr>
        <w:pStyle w:val="6"/>
        <w:numPr>
          <w:ilvl w:val="2"/>
          <w:numId w:val="1"/>
        </w:numPr>
        <w:rPr>
          <w:szCs w:val="28"/>
          <w:highlight w:val="none"/>
        </w:rPr>
      </w:pPr>
      <w:r>
        <w:rPr>
          <w:szCs w:val="28"/>
          <w:highlight w:val="none"/>
        </w:rPr>
        <w:t>环境质量标准</w:t>
      </w:r>
    </w:p>
    <w:p>
      <w:pPr>
        <w:pStyle w:val="3"/>
        <w:numPr>
          <w:ilvl w:val="3"/>
          <w:numId w:val="1"/>
        </w:numPr>
        <w:ind w:left="709" w:hanging="709"/>
        <w:rPr>
          <w:rFonts w:eastAsia="宋体"/>
          <w:b/>
          <w:highlight w:val="none"/>
        </w:rPr>
      </w:pPr>
      <w:r>
        <w:rPr>
          <w:rFonts w:eastAsia="宋体"/>
          <w:b/>
          <w:highlight w:val="none"/>
        </w:rPr>
        <w:t>环境空气</w:t>
      </w:r>
    </w:p>
    <w:p>
      <w:pPr>
        <w:pStyle w:val="173"/>
        <w:spacing w:before="0" w:after="0" w:line="360" w:lineRule="auto"/>
        <w:ind w:firstLine="480"/>
        <w:rPr>
          <w:highlight w:val="none"/>
        </w:rPr>
      </w:pPr>
      <w:r>
        <w:rPr>
          <w:highlight w:val="none"/>
        </w:rPr>
        <w:t>本项目所在区域环境空气质量功能区为二类区，环境空气执行《环境空气质量标准》（GB3095-2012）中二级标准。具体标准限值见表2.</w:t>
      </w:r>
      <w:r>
        <w:rPr>
          <w:rFonts w:hint="eastAsia"/>
          <w:highlight w:val="none"/>
        </w:rPr>
        <w:t>7</w:t>
      </w:r>
      <w:r>
        <w:rPr>
          <w:highlight w:val="none"/>
        </w:rPr>
        <w:t>-1。</w:t>
      </w:r>
    </w:p>
    <w:p>
      <w:pPr>
        <w:pStyle w:val="173"/>
        <w:spacing w:before="0" w:after="0" w:line="240" w:lineRule="auto"/>
        <w:ind w:firstLine="0" w:firstLineChars="0"/>
        <w:jc w:val="center"/>
        <w:rPr>
          <w:rFonts w:eastAsia="黑体"/>
          <w:highlight w:val="none"/>
        </w:rPr>
      </w:pPr>
      <w:r>
        <w:rPr>
          <w:rFonts w:eastAsia="黑体"/>
          <w:sz w:val="21"/>
          <w:szCs w:val="21"/>
          <w:highlight w:val="none"/>
        </w:rPr>
        <w:t>表2.</w:t>
      </w:r>
      <w:r>
        <w:rPr>
          <w:rFonts w:hint="eastAsia" w:eastAsia="黑体"/>
          <w:sz w:val="21"/>
          <w:szCs w:val="21"/>
          <w:highlight w:val="none"/>
        </w:rPr>
        <w:t>7</w:t>
      </w:r>
      <w:r>
        <w:rPr>
          <w:rFonts w:eastAsia="黑体"/>
          <w:sz w:val="21"/>
          <w:szCs w:val="21"/>
          <w:highlight w:val="none"/>
        </w:rPr>
        <w:t>-1    环境空气质量标准</w:t>
      </w:r>
    </w:p>
    <w:tbl>
      <w:tblPr>
        <w:tblStyle w:val="56"/>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28" w:type="dxa"/>
          <w:bottom w:w="0" w:type="dxa"/>
          <w:right w:w="28" w:type="dxa"/>
        </w:tblCellMar>
      </w:tblPr>
      <w:tblGrid>
        <w:gridCol w:w="2296"/>
        <w:gridCol w:w="1891"/>
        <w:gridCol w:w="1315"/>
        <w:gridCol w:w="80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污染物名称</w:t>
            </w:r>
          </w:p>
        </w:tc>
        <w:tc>
          <w:tcPr>
            <w:tcW w:w="3206" w:type="dxa"/>
            <w:gridSpan w:val="2"/>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标准值</w:t>
            </w:r>
          </w:p>
        </w:tc>
        <w:tc>
          <w:tcPr>
            <w:tcW w:w="806"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单位</w:t>
            </w:r>
          </w:p>
        </w:tc>
        <w:tc>
          <w:tcPr>
            <w:tcW w:w="2054"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restart"/>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SO</w:t>
            </w:r>
            <w:r>
              <w:rPr>
                <w:kern w:val="2"/>
                <w:sz w:val="21"/>
                <w:szCs w:val="21"/>
                <w:highlight w:val="none"/>
                <w:vertAlign w:val="subscript"/>
              </w:rPr>
              <w:t>2</w:t>
            </w:r>
          </w:p>
        </w:tc>
        <w:tc>
          <w:tcPr>
            <w:tcW w:w="1891"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24小时平均</w:t>
            </w:r>
          </w:p>
        </w:tc>
        <w:tc>
          <w:tcPr>
            <w:tcW w:w="1315"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150</w:t>
            </w:r>
          </w:p>
        </w:tc>
        <w:tc>
          <w:tcPr>
            <w:tcW w:w="806" w:type="dxa"/>
            <w:vMerge w:val="restart"/>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ug/m</w:t>
            </w:r>
            <w:r>
              <w:rPr>
                <w:kern w:val="2"/>
                <w:sz w:val="21"/>
                <w:szCs w:val="21"/>
                <w:highlight w:val="none"/>
                <w:vertAlign w:val="superscript"/>
              </w:rPr>
              <w:t>3</w:t>
            </w:r>
          </w:p>
        </w:tc>
        <w:tc>
          <w:tcPr>
            <w:tcW w:w="2054" w:type="dxa"/>
            <w:vMerge w:val="restart"/>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《环境空气质量标准》</w:t>
            </w:r>
          </w:p>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continue"/>
            <w:tcBorders>
              <w:tl2br w:val="nil"/>
              <w:tr2bl w:val="nil"/>
            </w:tcBorders>
            <w:vAlign w:val="center"/>
          </w:tcPr>
          <w:p>
            <w:pPr>
              <w:ind w:firstLine="0" w:firstLineChars="0"/>
              <w:jc w:val="center"/>
              <w:rPr>
                <w:kern w:val="2"/>
                <w:sz w:val="21"/>
                <w:szCs w:val="21"/>
                <w:highlight w:val="none"/>
              </w:rPr>
            </w:pPr>
          </w:p>
        </w:tc>
        <w:tc>
          <w:tcPr>
            <w:tcW w:w="1891"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1小时平均</w:t>
            </w:r>
          </w:p>
        </w:tc>
        <w:tc>
          <w:tcPr>
            <w:tcW w:w="1315"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500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PM</w:t>
            </w:r>
            <w:r>
              <w:rPr>
                <w:kern w:val="2"/>
                <w:sz w:val="21"/>
                <w:szCs w:val="21"/>
                <w:highlight w:val="none"/>
                <w:vertAlign w:val="subscript"/>
              </w:rPr>
              <w:t>10</w:t>
            </w:r>
          </w:p>
        </w:tc>
        <w:tc>
          <w:tcPr>
            <w:tcW w:w="1891"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24小时平均</w:t>
            </w:r>
          </w:p>
        </w:tc>
        <w:tc>
          <w:tcPr>
            <w:tcW w:w="1315"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150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restart"/>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NO</w:t>
            </w:r>
            <w:r>
              <w:rPr>
                <w:kern w:val="2"/>
                <w:sz w:val="21"/>
                <w:szCs w:val="21"/>
                <w:highlight w:val="none"/>
                <w:vertAlign w:val="subscript"/>
              </w:rPr>
              <w:t>2</w:t>
            </w:r>
          </w:p>
        </w:tc>
        <w:tc>
          <w:tcPr>
            <w:tcW w:w="1891"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24小时平均</w:t>
            </w:r>
          </w:p>
        </w:tc>
        <w:tc>
          <w:tcPr>
            <w:tcW w:w="1315"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80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continue"/>
            <w:tcBorders>
              <w:tl2br w:val="nil"/>
              <w:tr2bl w:val="nil"/>
            </w:tcBorders>
            <w:vAlign w:val="center"/>
          </w:tcPr>
          <w:p>
            <w:pPr>
              <w:ind w:firstLine="0" w:firstLineChars="0"/>
              <w:jc w:val="center"/>
              <w:rPr>
                <w:kern w:val="2"/>
                <w:sz w:val="21"/>
                <w:szCs w:val="21"/>
                <w:highlight w:val="none"/>
              </w:rPr>
            </w:pPr>
          </w:p>
        </w:tc>
        <w:tc>
          <w:tcPr>
            <w:tcW w:w="1891"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1小时平均</w:t>
            </w:r>
          </w:p>
        </w:tc>
        <w:tc>
          <w:tcPr>
            <w:tcW w:w="1315" w:type="dxa"/>
            <w:tcBorders>
              <w:tl2br w:val="nil"/>
              <w:tr2bl w:val="nil"/>
            </w:tcBorders>
            <w:vAlign w:val="center"/>
          </w:tcPr>
          <w:p>
            <w:pPr>
              <w:adjustRightInd w:val="0"/>
              <w:spacing w:line="240" w:lineRule="atLeast"/>
              <w:ind w:firstLine="0" w:firstLineChars="0"/>
              <w:jc w:val="center"/>
              <w:textAlignment w:val="baseline"/>
              <w:rPr>
                <w:kern w:val="2"/>
                <w:sz w:val="21"/>
                <w:szCs w:val="21"/>
                <w:highlight w:val="none"/>
              </w:rPr>
            </w:pPr>
            <w:r>
              <w:rPr>
                <w:kern w:val="2"/>
                <w:sz w:val="21"/>
                <w:szCs w:val="21"/>
                <w:highlight w:val="none"/>
              </w:rPr>
              <w:t>200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PM</w:t>
            </w:r>
            <w:r>
              <w:rPr>
                <w:spacing w:val="-10"/>
                <w:kern w:val="2"/>
                <w:sz w:val="21"/>
                <w:szCs w:val="21"/>
                <w:highlight w:val="none"/>
                <w:vertAlign w:val="subscript"/>
              </w:rPr>
              <w:t>2.5</w:t>
            </w:r>
          </w:p>
        </w:tc>
        <w:tc>
          <w:tcPr>
            <w:tcW w:w="1891"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24小时平均</w:t>
            </w:r>
          </w:p>
        </w:tc>
        <w:tc>
          <w:tcPr>
            <w:tcW w:w="1315"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75</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restart"/>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O</w:t>
            </w:r>
            <w:r>
              <w:rPr>
                <w:spacing w:val="-10"/>
                <w:kern w:val="2"/>
                <w:sz w:val="21"/>
                <w:szCs w:val="21"/>
                <w:highlight w:val="none"/>
                <w:vertAlign w:val="subscript"/>
              </w:rPr>
              <w:t>3</w:t>
            </w:r>
          </w:p>
        </w:tc>
        <w:tc>
          <w:tcPr>
            <w:tcW w:w="1891"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日最大8小时平均</w:t>
            </w:r>
          </w:p>
        </w:tc>
        <w:tc>
          <w:tcPr>
            <w:tcW w:w="1315"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160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continue"/>
            <w:tcBorders>
              <w:tl2br w:val="nil"/>
              <w:tr2bl w:val="nil"/>
            </w:tcBorders>
            <w:vAlign w:val="center"/>
          </w:tcPr>
          <w:p>
            <w:pPr>
              <w:ind w:firstLine="0" w:firstLineChars="0"/>
              <w:jc w:val="center"/>
              <w:rPr>
                <w:kern w:val="2"/>
                <w:sz w:val="21"/>
                <w:szCs w:val="21"/>
                <w:highlight w:val="none"/>
              </w:rPr>
            </w:pPr>
          </w:p>
        </w:tc>
        <w:tc>
          <w:tcPr>
            <w:tcW w:w="1891"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小时平均</w:t>
            </w:r>
          </w:p>
        </w:tc>
        <w:tc>
          <w:tcPr>
            <w:tcW w:w="1315"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200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restart"/>
            <w:tcBorders>
              <w:tl2br w:val="nil"/>
              <w:tr2bl w:val="nil"/>
            </w:tcBorders>
            <w:vAlign w:val="center"/>
          </w:tcPr>
          <w:p>
            <w:pPr>
              <w:ind w:firstLine="0" w:firstLineChars="0"/>
              <w:jc w:val="center"/>
              <w:rPr>
                <w:kern w:val="2"/>
                <w:sz w:val="21"/>
                <w:szCs w:val="21"/>
                <w:highlight w:val="none"/>
              </w:rPr>
            </w:pPr>
            <w:r>
              <w:rPr>
                <w:kern w:val="2"/>
                <w:sz w:val="21"/>
                <w:szCs w:val="21"/>
                <w:highlight w:val="none"/>
              </w:rPr>
              <w:t>TSP</w:t>
            </w:r>
          </w:p>
        </w:tc>
        <w:tc>
          <w:tcPr>
            <w:tcW w:w="1891" w:type="dxa"/>
            <w:tcBorders>
              <w:tl2br w:val="nil"/>
              <w:tr2bl w:val="nil"/>
            </w:tcBorders>
            <w:vAlign w:val="center"/>
          </w:tcPr>
          <w:p>
            <w:pPr>
              <w:autoSpaceDE w:val="0"/>
              <w:autoSpaceDN w:val="0"/>
              <w:adjustRightInd w:val="0"/>
              <w:snapToGrid w:val="0"/>
              <w:spacing w:line="0" w:lineRule="atLeast"/>
              <w:ind w:firstLine="0" w:firstLineChars="0"/>
              <w:jc w:val="center"/>
              <w:rPr>
                <w:spacing w:val="-10"/>
                <w:kern w:val="2"/>
                <w:sz w:val="21"/>
                <w:szCs w:val="21"/>
                <w:highlight w:val="none"/>
              </w:rPr>
            </w:pPr>
            <w:r>
              <w:rPr>
                <w:spacing w:val="-10"/>
                <w:kern w:val="2"/>
                <w:sz w:val="21"/>
                <w:szCs w:val="21"/>
                <w:highlight w:val="none"/>
              </w:rPr>
              <w:t>年平均</w:t>
            </w:r>
          </w:p>
        </w:tc>
        <w:tc>
          <w:tcPr>
            <w:tcW w:w="1315" w:type="dxa"/>
            <w:tcBorders>
              <w:tl2br w:val="nil"/>
              <w:tr2bl w:val="nil"/>
            </w:tcBorders>
            <w:vAlign w:val="center"/>
          </w:tcPr>
          <w:p>
            <w:pPr>
              <w:autoSpaceDE w:val="0"/>
              <w:autoSpaceDN w:val="0"/>
              <w:adjustRightInd w:val="0"/>
              <w:snapToGrid w:val="0"/>
              <w:spacing w:line="0" w:lineRule="atLeast"/>
              <w:ind w:firstLine="0" w:firstLineChars="0"/>
              <w:jc w:val="center"/>
              <w:rPr>
                <w:spacing w:val="-10"/>
                <w:kern w:val="2"/>
                <w:sz w:val="21"/>
                <w:szCs w:val="21"/>
                <w:highlight w:val="none"/>
              </w:rPr>
            </w:pPr>
            <w:r>
              <w:rPr>
                <w:spacing w:val="-10"/>
                <w:kern w:val="2"/>
                <w:sz w:val="21"/>
                <w:szCs w:val="21"/>
                <w:highlight w:val="none"/>
              </w:rPr>
              <w:t>200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continue"/>
            <w:tcBorders>
              <w:tl2br w:val="nil"/>
              <w:tr2bl w:val="nil"/>
            </w:tcBorders>
            <w:vAlign w:val="center"/>
          </w:tcPr>
          <w:p>
            <w:pPr>
              <w:ind w:firstLine="0" w:firstLineChars="0"/>
              <w:jc w:val="center"/>
              <w:rPr>
                <w:kern w:val="2"/>
                <w:sz w:val="21"/>
                <w:szCs w:val="21"/>
                <w:highlight w:val="none"/>
              </w:rPr>
            </w:pPr>
          </w:p>
        </w:tc>
        <w:tc>
          <w:tcPr>
            <w:tcW w:w="1891" w:type="dxa"/>
            <w:tcBorders>
              <w:tl2br w:val="nil"/>
              <w:tr2bl w:val="nil"/>
            </w:tcBorders>
            <w:vAlign w:val="center"/>
          </w:tcPr>
          <w:p>
            <w:pPr>
              <w:autoSpaceDE w:val="0"/>
              <w:autoSpaceDN w:val="0"/>
              <w:adjustRightInd w:val="0"/>
              <w:snapToGrid w:val="0"/>
              <w:spacing w:line="0" w:lineRule="atLeast"/>
              <w:ind w:firstLine="0" w:firstLineChars="0"/>
              <w:jc w:val="center"/>
              <w:rPr>
                <w:spacing w:val="-10"/>
                <w:kern w:val="2"/>
                <w:sz w:val="21"/>
                <w:szCs w:val="21"/>
                <w:highlight w:val="none"/>
              </w:rPr>
            </w:pPr>
            <w:r>
              <w:rPr>
                <w:spacing w:val="-10"/>
                <w:kern w:val="2"/>
                <w:sz w:val="21"/>
                <w:szCs w:val="21"/>
                <w:highlight w:val="none"/>
              </w:rPr>
              <w:t>24小时平均</w:t>
            </w:r>
          </w:p>
        </w:tc>
        <w:tc>
          <w:tcPr>
            <w:tcW w:w="1315" w:type="dxa"/>
            <w:tcBorders>
              <w:tl2br w:val="nil"/>
              <w:tr2bl w:val="nil"/>
            </w:tcBorders>
            <w:vAlign w:val="center"/>
          </w:tcPr>
          <w:p>
            <w:pPr>
              <w:autoSpaceDE w:val="0"/>
              <w:autoSpaceDN w:val="0"/>
              <w:adjustRightInd w:val="0"/>
              <w:snapToGrid w:val="0"/>
              <w:spacing w:line="0" w:lineRule="atLeast"/>
              <w:ind w:firstLine="0" w:firstLineChars="0"/>
              <w:jc w:val="center"/>
              <w:rPr>
                <w:spacing w:val="-10"/>
                <w:kern w:val="2"/>
                <w:sz w:val="21"/>
                <w:szCs w:val="21"/>
                <w:highlight w:val="none"/>
              </w:rPr>
            </w:pPr>
            <w:r>
              <w:rPr>
                <w:spacing w:val="-10"/>
                <w:kern w:val="2"/>
                <w:sz w:val="21"/>
                <w:szCs w:val="21"/>
                <w:highlight w:val="none"/>
              </w:rPr>
              <w:t>300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restart"/>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CO</w:t>
            </w:r>
          </w:p>
        </w:tc>
        <w:tc>
          <w:tcPr>
            <w:tcW w:w="1891"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24小时</w:t>
            </w:r>
          </w:p>
        </w:tc>
        <w:tc>
          <w:tcPr>
            <w:tcW w:w="1315"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4</w:t>
            </w:r>
          </w:p>
        </w:tc>
        <w:tc>
          <w:tcPr>
            <w:tcW w:w="806" w:type="dxa"/>
            <w:vMerge w:val="restart"/>
            <w:tcBorders>
              <w:tl2br w:val="nil"/>
              <w:tr2bl w:val="nil"/>
            </w:tcBorders>
            <w:vAlign w:val="center"/>
          </w:tcPr>
          <w:p>
            <w:pPr>
              <w:ind w:firstLine="0" w:firstLineChars="0"/>
              <w:jc w:val="center"/>
              <w:rPr>
                <w:kern w:val="2"/>
                <w:sz w:val="21"/>
                <w:szCs w:val="21"/>
                <w:highlight w:val="none"/>
              </w:rPr>
            </w:pPr>
            <w:r>
              <w:rPr>
                <w:spacing w:val="-10"/>
                <w:kern w:val="2"/>
                <w:sz w:val="21"/>
                <w:szCs w:val="21"/>
                <w:highlight w:val="none"/>
              </w:rPr>
              <w:t>mg/m</w:t>
            </w:r>
            <w:r>
              <w:rPr>
                <w:spacing w:val="-10"/>
                <w:kern w:val="2"/>
                <w:sz w:val="21"/>
                <w:szCs w:val="21"/>
                <w:highlight w:val="none"/>
                <w:vertAlign w:val="superscript"/>
              </w:rPr>
              <w:t>3</w:t>
            </w:r>
          </w:p>
        </w:tc>
        <w:tc>
          <w:tcPr>
            <w:tcW w:w="2054" w:type="dxa"/>
            <w:vMerge w:val="continue"/>
            <w:tcBorders>
              <w:tl2br w:val="nil"/>
              <w:tr2bl w:val="nil"/>
            </w:tcBorders>
            <w:vAlign w:val="center"/>
          </w:tcPr>
          <w:p>
            <w:pPr>
              <w:ind w:firstLine="0" w:firstLineChars="0"/>
              <w:rPr>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28" w:type="dxa"/>
            <w:bottom w:w="0" w:type="dxa"/>
            <w:right w:w="28" w:type="dxa"/>
          </w:tblCellMar>
        </w:tblPrEx>
        <w:trPr>
          <w:trHeight w:val="283" w:hRule="atLeast"/>
          <w:jc w:val="center"/>
        </w:trPr>
        <w:tc>
          <w:tcPr>
            <w:tcW w:w="2296" w:type="dxa"/>
            <w:vMerge w:val="continue"/>
            <w:tcBorders>
              <w:tl2br w:val="nil"/>
              <w:tr2bl w:val="nil"/>
            </w:tcBorders>
            <w:vAlign w:val="center"/>
          </w:tcPr>
          <w:p>
            <w:pPr>
              <w:ind w:firstLine="0" w:firstLineChars="0"/>
              <w:jc w:val="center"/>
              <w:rPr>
                <w:kern w:val="2"/>
                <w:sz w:val="21"/>
                <w:szCs w:val="21"/>
                <w:highlight w:val="none"/>
              </w:rPr>
            </w:pPr>
          </w:p>
        </w:tc>
        <w:tc>
          <w:tcPr>
            <w:tcW w:w="1891"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1小时平均</w:t>
            </w:r>
          </w:p>
        </w:tc>
        <w:tc>
          <w:tcPr>
            <w:tcW w:w="1315" w:type="dxa"/>
            <w:tcBorders>
              <w:tl2br w:val="nil"/>
              <w:tr2bl w:val="nil"/>
            </w:tcBorders>
            <w:vAlign w:val="center"/>
          </w:tcPr>
          <w:p>
            <w:pPr>
              <w:autoSpaceDE w:val="0"/>
              <w:autoSpaceDN w:val="0"/>
              <w:adjustRightInd w:val="0"/>
              <w:snapToGrid w:val="0"/>
              <w:spacing w:line="0" w:lineRule="atLeast"/>
              <w:ind w:firstLine="0" w:firstLineChars="0"/>
              <w:jc w:val="center"/>
              <w:rPr>
                <w:kern w:val="2"/>
                <w:sz w:val="21"/>
                <w:szCs w:val="21"/>
                <w:highlight w:val="none"/>
              </w:rPr>
            </w:pPr>
            <w:r>
              <w:rPr>
                <w:spacing w:val="-10"/>
                <w:kern w:val="2"/>
                <w:sz w:val="21"/>
                <w:szCs w:val="21"/>
                <w:highlight w:val="none"/>
              </w:rPr>
              <w:t>10</w:t>
            </w:r>
          </w:p>
        </w:tc>
        <w:tc>
          <w:tcPr>
            <w:tcW w:w="806" w:type="dxa"/>
            <w:vMerge w:val="continue"/>
            <w:tcBorders>
              <w:tl2br w:val="nil"/>
              <w:tr2bl w:val="nil"/>
            </w:tcBorders>
            <w:vAlign w:val="center"/>
          </w:tcPr>
          <w:p>
            <w:pPr>
              <w:ind w:firstLine="0" w:firstLineChars="0"/>
              <w:rPr>
                <w:kern w:val="2"/>
                <w:sz w:val="21"/>
                <w:szCs w:val="21"/>
                <w:highlight w:val="none"/>
              </w:rPr>
            </w:pPr>
          </w:p>
        </w:tc>
        <w:tc>
          <w:tcPr>
            <w:tcW w:w="2054" w:type="dxa"/>
            <w:vMerge w:val="continue"/>
            <w:tcBorders>
              <w:tl2br w:val="nil"/>
              <w:tr2bl w:val="nil"/>
            </w:tcBorders>
            <w:vAlign w:val="center"/>
          </w:tcPr>
          <w:p>
            <w:pPr>
              <w:ind w:firstLine="0" w:firstLineChars="0"/>
              <w:rPr>
                <w:kern w:val="2"/>
                <w:sz w:val="21"/>
                <w:szCs w:val="21"/>
                <w:highlight w:val="none"/>
              </w:rPr>
            </w:pPr>
          </w:p>
        </w:tc>
      </w:tr>
    </w:tbl>
    <w:p>
      <w:pPr>
        <w:pStyle w:val="3"/>
        <w:numPr>
          <w:ilvl w:val="3"/>
          <w:numId w:val="1"/>
        </w:numPr>
        <w:ind w:left="709" w:hanging="709"/>
        <w:rPr>
          <w:rFonts w:eastAsia="宋体"/>
          <w:b/>
          <w:highlight w:val="none"/>
        </w:rPr>
      </w:pPr>
      <w:r>
        <w:rPr>
          <w:rFonts w:eastAsia="宋体"/>
          <w:b/>
          <w:highlight w:val="none"/>
        </w:rPr>
        <w:t>地表水</w:t>
      </w:r>
    </w:p>
    <w:p>
      <w:pPr>
        <w:pStyle w:val="173"/>
        <w:spacing w:before="0" w:after="0" w:line="360" w:lineRule="auto"/>
        <w:ind w:firstLine="480"/>
        <w:rPr>
          <w:highlight w:val="none"/>
        </w:rPr>
      </w:pPr>
      <w:r>
        <w:rPr>
          <w:rFonts w:hint="eastAsia"/>
          <w:highlight w:val="none"/>
        </w:rPr>
        <w:t>地表水环境：</w:t>
      </w:r>
      <w:r>
        <w:rPr>
          <w:highlight w:val="none"/>
        </w:rPr>
        <w:t>根据《遵化市水环境功能区划》，黎河、沙河、淋河是遵化境内的三条主要河流，其主要水体功能为饮用水源，执行《地表水环境质量标准》（GB3838-2002）III类标准。距离本项目最近的地表水体为黎河，参照执行《地表水环境质量标准》（GB3838-2002）III类标准。具体标准限值见表2.</w:t>
      </w:r>
      <w:r>
        <w:rPr>
          <w:rFonts w:hint="eastAsia"/>
          <w:highlight w:val="none"/>
        </w:rPr>
        <w:t>7</w:t>
      </w:r>
      <w:r>
        <w:rPr>
          <w:highlight w:val="none"/>
        </w:rPr>
        <w:t>-2。</w:t>
      </w:r>
    </w:p>
    <w:p>
      <w:pPr>
        <w:adjustRightInd w:val="0"/>
        <w:spacing w:line="240" w:lineRule="auto"/>
        <w:ind w:firstLine="420"/>
        <w:jc w:val="center"/>
        <w:rPr>
          <w:rFonts w:eastAsia="黑体"/>
          <w:sz w:val="21"/>
          <w:szCs w:val="21"/>
          <w:highlight w:val="none"/>
        </w:rPr>
      </w:pPr>
      <w:r>
        <w:rPr>
          <w:rFonts w:eastAsia="黑体"/>
          <w:sz w:val="21"/>
          <w:szCs w:val="21"/>
          <w:highlight w:val="none"/>
        </w:rPr>
        <w:t>表2.</w:t>
      </w:r>
      <w:r>
        <w:rPr>
          <w:rFonts w:hint="eastAsia" w:eastAsia="黑体"/>
          <w:sz w:val="21"/>
          <w:szCs w:val="21"/>
          <w:highlight w:val="none"/>
        </w:rPr>
        <w:t>7</w:t>
      </w:r>
      <w:r>
        <w:rPr>
          <w:rFonts w:eastAsia="黑体"/>
          <w:sz w:val="21"/>
          <w:szCs w:val="21"/>
          <w:highlight w:val="none"/>
        </w:rPr>
        <w:t>-2    地表水环境质量标准</w:t>
      </w:r>
    </w:p>
    <w:tbl>
      <w:tblPr>
        <w:tblStyle w:val="5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623"/>
        <w:gridCol w:w="1461"/>
        <w:gridCol w:w="1663"/>
        <w:gridCol w:w="1207"/>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restart"/>
            <w:tcBorders>
              <w:tl2br w:val="nil"/>
              <w:tr2bl w:val="nil"/>
            </w:tcBorders>
            <w:vAlign w:val="center"/>
          </w:tcPr>
          <w:p>
            <w:pPr>
              <w:spacing w:line="240" w:lineRule="auto"/>
              <w:ind w:firstLine="149" w:firstLineChars="71"/>
              <w:jc w:val="center"/>
              <w:rPr>
                <w:sz w:val="21"/>
                <w:szCs w:val="21"/>
                <w:highlight w:val="none"/>
              </w:rPr>
            </w:pPr>
            <w:r>
              <w:rPr>
                <w:sz w:val="21"/>
                <w:szCs w:val="21"/>
                <w:highlight w:val="none"/>
              </w:rPr>
              <w:t>标准号</w:t>
            </w:r>
          </w:p>
        </w:tc>
        <w:tc>
          <w:tcPr>
            <w:tcW w:w="1623"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标准名称</w:t>
            </w:r>
          </w:p>
        </w:tc>
        <w:tc>
          <w:tcPr>
            <w:tcW w:w="146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标准级别</w:t>
            </w:r>
          </w:p>
        </w:tc>
        <w:tc>
          <w:tcPr>
            <w:tcW w:w="1663"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评价因子</w:t>
            </w:r>
          </w:p>
        </w:tc>
        <w:tc>
          <w:tcPr>
            <w:tcW w:w="2068" w:type="dxa"/>
            <w:gridSpan w:val="2"/>
            <w:tcBorders>
              <w:tl2br w:val="nil"/>
              <w:tr2bl w:val="nil"/>
            </w:tcBorders>
            <w:vAlign w:val="center"/>
          </w:tcPr>
          <w:p>
            <w:pPr>
              <w:spacing w:line="240" w:lineRule="auto"/>
              <w:ind w:firstLine="420"/>
              <w:jc w:val="center"/>
              <w:rPr>
                <w:sz w:val="21"/>
                <w:szCs w:val="21"/>
                <w:highlight w:val="none"/>
              </w:rPr>
            </w:pPr>
            <w:r>
              <w:rPr>
                <w:sz w:val="21"/>
                <w:szCs w:val="21"/>
                <w:highlight w:val="none"/>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vMerge w:val="continue"/>
            <w:tcBorders>
              <w:tl2br w:val="nil"/>
              <w:tr2bl w:val="nil"/>
            </w:tcBorders>
            <w:vAlign w:val="center"/>
          </w:tcPr>
          <w:p>
            <w:pPr>
              <w:spacing w:line="240" w:lineRule="auto"/>
              <w:ind w:firstLine="420"/>
              <w:jc w:val="center"/>
              <w:rPr>
                <w:sz w:val="21"/>
                <w:szCs w:val="21"/>
                <w:highlight w:val="none"/>
              </w:rPr>
            </w:pP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数值</w:t>
            </w:r>
          </w:p>
        </w:tc>
        <w:tc>
          <w:tcPr>
            <w:tcW w:w="86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GB3838-2002</w:t>
            </w:r>
          </w:p>
        </w:tc>
        <w:tc>
          <w:tcPr>
            <w:tcW w:w="1623"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地表水环境质量标准</w:t>
            </w:r>
          </w:p>
        </w:tc>
        <w:tc>
          <w:tcPr>
            <w:tcW w:w="146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Ⅲ类</w:t>
            </w: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pH</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6-9</w:t>
            </w:r>
          </w:p>
        </w:tc>
        <w:tc>
          <w:tcPr>
            <w:tcW w:w="86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623"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6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溶解氧</w:t>
            </w:r>
          </w:p>
        </w:tc>
        <w:tc>
          <w:tcPr>
            <w:tcW w:w="1207" w:type="dxa"/>
            <w:tcBorders>
              <w:tl2br w:val="nil"/>
              <w:tr2bl w:val="nil"/>
            </w:tcBorders>
            <w:vAlign w:val="center"/>
          </w:tcPr>
          <w:p>
            <w:pPr>
              <w:spacing w:line="240" w:lineRule="auto"/>
              <w:ind w:firstLine="0" w:firstLineChars="0"/>
              <w:jc w:val="center"/>
              <w:rPr>
                <w:sz w:val="21"/>
                <w:szCs w:val="21"/>
                <w:highlight w:val="none"/>
              </w:rPr>
            </w:pPr>
            <w:r>
              <w:rPr>
                <w:rFonts w:eastAsia="等线"/>
                <w:sz w:val="21"/>
                <w:szCs w:val="21"/>
                <w:highlight w:val="none"/>
              </w:rPr>
              <w:t>≥</w:t>
            </w:r>
            <w:r>
              <w:rPr>
                <w:sz w:val="21"/>
                <w:szCs w:val="21"/>
                <w:highlight w:val="none"/>
              </w:rPr>
              <w:t>5</w:t>
            </w:r>
          </w:p>
        </w:tc>
        <w:tc>
          <w:tcPr>
            <w:tcW w:w="861" w:type="dxa"/>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COD</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≤20</w:t>
            </w:r>
          </w:p>
        </w:tc>
        <w:tc>
          <w:tcPr>
            <w:tcW w:w="86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BOD</w:t>
            </w:r>
            <w:r>
              <w:rPr>
                <w:sz w:val="21"/>
                <w:szCs w:val="21"/>
                <w:highlight w:val="none"/>
                <w:vertAlign w:val="subscript"/>
              </w:rPr>
              <w:t>5</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≤4</w:t>
            </w:r>
          </w:p>
        </w:tc>
        <w:tc>
          <w:tcPr>
            <w:tcW w:w="86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氨氮</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石油类</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≤0.05</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硫化物</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≤0.2</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锌</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汞</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≤0.0001</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镉</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≤0.005</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六价铬</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≤0.05</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铅</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≤0.05</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707" w:type="dxa"/>
            <w:vMerge w:val="continue"/>
            <w:tcBorders>
              <w:tl2br w:val="nil"/>
              <w:tr2bl w:val="nil"/>
            </w:tcBorders>
            <w:vAlign w:val="center"/>
          </w:tcPr>
          <w:p>
            <w:pPr>
              <w:spacing w:line="240" w:lineRule="auto"/>
              <w:ind w:firstLine="420"/>
              <w:jc w:val="center"/>
              <w:rPr>
                <w:sz w:val="21"/>
                <w:szCs w:val="21"/>
                <w:highlight w:val="none"/>
              </w:rPr>
            </w:pPr>
          </w:p>
        </w:tc>
        <w:tc>
          <w:tcPr>
            <w:tcW w:w="1623" w:type="dxa"/>
            <w:vMerge w:val="continue"/>
            <w:tcBorders>
              <w:tl2br w:val="nil"/>
              <w:tr2bl w:val="nil"/>
            </w:tcBorders>
            <w:vAlign w:val="center"/>
          </w:tcPr>
          <w:p>
            <w:pPr>
              <w:spacing w:line="240" w:lineRule="auto"/>
              <w:ind w:firstLine="420"/>
              <w:jc w:val="center"/>
              <w:rPr>
                <w:sz w:val="21"/>
                <w:szCs w:val="21"/>
                <w:highlight w:val="none"/>
              </w:rPr>
            </w:pPr>
          </w:p>
        </w:tc>
        <w:tc>
          <w:tcPr>
            <w:tcW w:w="1461" w:type="dxa"/>
            <w:vMerge w:val="continue"/>
            <w:tcBorders>
              <w:tl2br w:val="nil"/>
              <w:tr2bl w:val="nil"/>
            </w:tcBorders>
            <w:vAlign w:val="center"/>
          </w:tcPr>
          <w:p>
            <w:pPr>
              <w:spacing w:line="240" w:lineRule="auto"/>
              <w:ind w:firstLine="420"/>
              <w:jc w:val="center"/>
              <w:rPr>
                <w:sz w:val="21"/>
                <w:szCs w:val="21"/>
                <w:highlight w:val="none"/>
              </w:rPr>
            </w:pPr>
          </w:p>
        </w:tc>
        <w:tc>
          <w:tcPr>
            <w:tcW w:w="166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铜</w:t>
            </w:r>
          </w:p>
        </w:tc>
        <w:tc>
          <w:tcPr>
            <w:tcW w:w="120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w:t>
            </w:r>
          </w:p>
        </w:tc>
        <w:tc>
          <w:tcPr>
            <w:tcW w:w="861" w:type="dxa"/>
            <w:vMerge w:val="continue"/>
            <w:tcBorders>
              <w:tl2br w:val="nil"/>
              <w:tr2bl w:val="nil"/>
            </w:tcBorders>
            <w:vAlign w:val="center"/>
          </w:tcPr>
          <w:p>
            <w:pPr>
              <w:spacing w:line="240" w:lineRule="auto"/>
              <w:ind w:firstLine="420"/>
              <w:jc w:val="center"/>
              <w:rPr>
                <w:sz w:val="21"/>
                <w:szCs w:val="21"/>
                <w:highlight w:val="none"/>
              </w:rPr>
            </w:pPr>
          </w:p>
        </w:tc>
      </w:tr>
    </w:tbl>
    <w:p>
      <w:pPr>
        <w:pStyle w:val="3"/>
        <w:numPr>
          <w:ilvl w:val="3"/>
          <w:numId w:val="1"/>
        </w:numPr>
        <w:ind w:left="709" w:hanging="709"/>
        <w:rPr>
          <w:rFonts w:eastAsia="宋体"/>
          <w:b/>
          <w:highlight w:val="none"/>
        </w:rPr>
      </w:pPr>
      <w:r>
        <w:rPr>
          <w:rFonts w:eastAsia="宋体"/>
          <w:b/>
          <w:highlight w:val="none"/>
        </w:rPr>
        <w:t>地下水</w:t>
      </w:r>
    </w:p>
    <w:p>
      <w:pPr>
        <w:ind w:firstLine="480"/>
        <w:jc w:val="both"/>
        <w:rPr>
          <w:sz w:val="24"/>
          <w:szCs w:val="24"/>
          <w:highlight w:val="none"/>
        </w:rPr>
      </w:pPr>
      <w:r>
        <w:rPr>
          <w:sz w:val="24"/>
          <w:szCs w:val="24"/>
          <w:highlight w:val="none"/>
        </w:rPr>
        <w:t>本项目所在区域地下水环境执行《地下水质量标准》（GB/T14848-2017）中Ⅲ类标准，石油类参照《地表水环境质量标准》（GB3838-2002）III类标准，具体标准值见表2.</w:t>
      </w:r>
      <w:r>
        <w:rPr>
          <w:rFonts w:hint="eastAsia"/>
          <w:sz w:val="24"/>
          <w:szCs w:val="24"/>
          <w:highlight w:val="none"/>
        </w:rPr>
        <w:t>7</w:t>
      </w:r>
      <w:r>
        <w:rPr>
          <w:sz w:val="24"/>
          <w:szCs w:val="24"/>
          <w:highlight w:val="none"/>
        </w:rPr>
        <w:t>-3。</w:t>
      </w:r>
    </w:p>
    <w:p>
      <w:pPr>
        <w:adjustRightInd w:val="0"/>
        <w:spacing w:line="240" w:lineRule="auto"/>
        <w:ind w:firstLine="420"/>
        <w:jc w:val="center"/>
        <w:rPr>
          <w:rFonts w:eastAsia="黑体"/>
          <w:sz w:val="21"/>
          <w:szCs w:val="21"/>
          <w:highlight w:val="none"/>
        </w:rPr>
      </w:pPr>
      <w:r>
        <w:rPr>
          <w:rFonts w:eastAsia="黑体"/>
          <w:sz w:val="21"/>
          <w:szCs w:val="21"/>
          <w:highlight w:val="none"/>
        </w:rPr>
        <w:t>表2.</w:t>
      </w:r>
      <w:r>
        <w:rPr>
          <w:rFonts w:hint="eastAsia" w:eastAsia="黑体"/>
          <w:sz w:val="21"/>
          <w:szCs w:val="21"/>
          <w:highlight w:val="none"/>
        </w:rPr>
        <w:t>7</w:t>
      </w:r>
      <w:r>
        <w:rPr>
          <w:rFonts w:eastAsia="黑体"/>
          <w:sz w:val="21"/>
          <w:szCs w:val="21"/>
          <w:highlight w:val="none"/>
        </w:rPr>
        <w:t>-3</w:t>
      </w:r>
      <w:r>
        <w:rPr>
          <w:rFonts w:hint="eastAsia" w:eastAsia="黑体"/>
          <w:sz w:val="21"/>
          <w:szCs w:val="21"/>
          <w:highlight w:val="none"/>
        </w:rPr>
        <w:t xml:space="preserve">   </w:t>
      </w:r>
      <w:r>
        <w:rPr>
          <w:rFonts w:eastAsia="黑体"/>
          <w:sz w:val="21"/>
          <w:szCs w:val="21"/>
          <w:highlight w:val="none"/>
        </w:rPr>
        <w:t>地下水质量标准</w:t>
      </w:r>
    </w:p>
    <w:tbl>
      <w:tblPr>
        <w:tblStyle w:val="5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007"/>
        <w:gridCol w:w="501"/>
        <w:gridCol w:w="1514"/>
        <w:gridCol w:w="811"/>
        <w:gridCol w:w="671"/>
        <w:gridCol w:w="1532"/>
        <w:gridCol w:w="804"/>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80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标准号</w:t>
            </w:r>
          </w:p>
        </w:tc>
        <w:tc>
          <w:tcPr>
            <w:tcW w:w="1007"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标准名称</w:t>
            </w:r>
          </w:p>
        </w:tc>
        <w:tc>
          <w:tcPr>
            <w:tcW w:w="50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类别</w:t>
            </w:r>
          </w:p>
        </w:tc>
        <w:tc>
          <w:tcPr>
            <w:tcW w:w="1514"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污染物</w:t>
            </w:r>
          </w:p>
        </w:tc>
        <w:tc>
          <w:tcPr>
            <w:tcW w:w="1482"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标准值</w:t>
            </w:r>
          </w:p>
        </w:tc>
        <w:tc>
          <w:tcPr>
            <w:tcW w:w="1532"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污染物</w:t>
            </w:r>
          </w:p>
        </w:tc>
        <w:tc>
          <w:tcPr>
            <w:tcW w:w="1685"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数值</w:t>
            </w:r>
          </w:p>
        </w:tc>
        <w:tc>
          <w:tcPr>
            <w:tcW w:w="67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单位</w:t>
            </w:r>
          </w:p>
        </w:tc>
        <w:tc>
          <w:tcPr>
            <w:tcW w:w="153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数值</w:t>
            </w:r>
          </w:p>
        </w:tc>
        <w:tc>
          <w:tcPr>
            <w:tcW w:w="88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80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GB/T</w:t>
            </w:r>
          </w:p>
          <w:p>
            <w:pPr>
              <w:spacing w:line="240" w:lineRule="auto"/>
              <w:ind w:firstLine="0" w:firstLineChars="0"/>
              <w:jc w:val="center"/>
              <w:rPr>
                <w:sz w:val="21"/>
                <w:szCs w:val="21"/>
                <w:highlight w:val="none"/>
              </w:rPr>
            </w:pPr>
            <w:r>
              <w:rPr>
                <w:sz w:val="21"/>
                <w:szCs w:val="21"/>
                <w:highlight w:val="none"/>
              </w:rPr>
              <w:t>14848</w:t>
            </w:r>
          </w:p>
          <w:p>
            <w:pPr>
              <w:spacing w:line="240" w:lineRule="auto"/>
              <w:ind w:firstLine="0" w:firstLineChars="0"/>
              <w:jc w:val="center"/>
              <w:rPr>
                <w:sz w:val="21"/>
                <w:szCs w:val="21"/>
                <w:highlight w:val="none"/>
              </w:rPr>
            </w:pPr>
            <w:r>
              <w:rPr>
                <w:sz w:val="21"/>
                <w:szCs w:val="21"/>
                <w:highlight w:val="none"/>
              </w:rPr>
              <w:t>-2017</w:t>
            </w:r>
          </w:p>
        </w:tc>
        <w:tc>
          <w:tcPr>
            <w:tcW w:w="1007"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地下</w:t>
            </w:r>
          </w:p>
          <w:p>
            <w:pPr>
              <w:spacing w:line="240" w:lineRule="auto"/>
              <w:ind w:firstLine="0" w:firstLineChars="0"/>
              <w:jc w:val="center"/>
              <w:rPr>
                <w:sz w:val="21"/>
                <w:szCs w:val="21"/>
                <w:highlight w:val="none"/>
              </w:rPr>
            </w:pPr>
            <w:r>
              <w:rPr>
                <w:sz w:val="21"/>
                <w:szCs w:val="21"/>
                <w:highlight w:val="none"/>
              </w:rPr>
              <w:t>水</w:t>
            </w:r>
          </w:p>
          <w:p>
            <w:pPr>
              <w:spacing w:line="240" w:lineRule="auto"/>
              <w:ind w:firstLine="0" w:firstLineChars="0"/>
              <w:jc w:val="center"/>
              <w:rPr>
                <w:sz w:val="21"/>
                <w:szCs w:val="21"/>
                <w:highlight w:val="none"/>
              </w:rPr>
            </w:pPr>
            <w:r>
              <w:rPr>
                <w:sz w:val="21"/>
                <w:szCs w:val="21"/>
                <w:highlight w:val="none"/>
              </w:rPr>
              <w:t>质量</w:t>
            </w:r>
          </w:p>
          <w:p>
            <w:pPr>
              <w:spacing w:line="240" w:lineRule="auto"/>
              <w:ind w:firstLine="0" w:firstLineChars="0"/>
              <w:jc w:val="center"/>
              <w:rPr>
                <w:sz w:val="21"/>
                <w:szCs w:val="21"/>
                <w:highlight w:val="none"/>
              </w:rPr>
            </w:pPr>
            <w:r>
              <w:rPr>
                <w:sz w:val="21"/>
                <w:szCs w:val="21"/>
                <w:highlight w:val="none"/>
              </w:rPr>
              <w:t>标准</w:t>
            </w:r>
          </w:p>
        </w:tc>
        <w:tc>
          <w:tcPr>
            <w:tcW w:w="50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Ⅲ类</w:t>
            </w: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pH</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6.5-8.5</w:t>
            </w:r>
          </w:p>
        </w:tc>
        <w:tc>
          <w:tcPr>
            <w:tcW w:w="67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硫化物</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≤0.02</w:t>
            </w:r>
          </w:p>
        </w:tc>
        <w:tc>
          <w:tcPr>
            <w:tcW w:w="88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总硬度</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≤450</w:t>
            </w:r>
          </w:p>
        </w:tc>
        <w:tc>
          <w:tcPr>
            <w:tcW w:w="671"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mg/L</w:t>
            </w: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铜</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硫酸盐</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≤250</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锌</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挥发性酚类</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≤0.002</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汞</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≤0.001</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硝酸盐</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≤20</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砷</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≤0.01</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亚硝酸盐</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≤1.00</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镉</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≤0.005</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耗氧量</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≤3.0</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铅</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≤0.01</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氨氮</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≤0.5</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铁</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≤0.3</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铬（六价）</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≤0.05</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锰</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≤0.1</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溶解性总固体</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≤1000</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石油类</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≤0.05</w:t>
            </w:r>
          </w:p>
        </w:tc>
        <w:tc>
          <w:tcPr>
            <w:tcW w:w="881"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氯化物</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≤250</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总大肠菌群数</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≤3.0</w:t>
            </w:r>
          </w:p>
        </w:tc>
        <w:tc>
          <w:tcPr>
            <w:tcW w:w="88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氰化物</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≤0.05</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细菌总数</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≤100</w:t>
            </w:r>
          </w:p>
        </w:tc>
        <w:tc>
          <w:tcPr>
            <w:tcW w:w="88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个/mL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8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0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50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1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氟化物</w:t>
            </w:r>
          </w:p>
        </w:tc>
        <w:tc>
          <w:tcPr>
            <w:tcW w:w="81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w:t>
            </w:r>
          </w:p>
        </w:tc>
        <w:tc>
          <w:tcPr>
            <w:tcW w:w="671"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5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80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88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r>
    </w:tbl>
    <w:p>
      <w:pPr>
        <w:pStyle w:val="3"/>
        <w:numPr>
          <w:ilvl w:val="3"/>
          <w:numId w:val="1"/>
        </w:numPr>
        <w:ind w:left="709" w:hanging="709"/>
        <w:rPr>
          <w:rFonts w:eastAsia="宋体"/>
          <w:b/>
          <w:highlight w:val="none"/>
        </w:rPr>
      </w:pPr>
      <w:r>
        <w:rPr>
          <w:rFonts w:eastAsia="宋体"/>
          <w:b/>
          <w:highlight w:val="none"/>
        </w:rPr>
        <w:t>声环境</w:t>
      </w:r>
    </w:p>
    <w:p>
      <w:pPr>
        <w:ind w:firstLine="480"/>
        <w:rPr>
          <w:highlight w:val="none"/>
        </w:rPr>
      </w:pPr>
      <w:r>
        <w:rPr>
          <w:sz w:val="24"/>
          <w:szCs w:val="24"/>
          <w:highlight w:val="none"/>
        </w:rPr>
        <w:t>本项目所在地噪声环境功能区划为2类，声环境执行《声环境质量标准》（GB3096-2008）2类标准，具体见表2.</w:t>
      </w:r>
      <w:r>
        <w:rPr>
          <w:rFonts w:hint="eastAsia"/>
          <w:sz w:val="24"/>
          <w:szCs w:val="24"/>
          <w:highlight w:val="none"/>
        </w:rPr>
        <w:t>7</w:t>
      </w:r>
      <w:r>
        <w:rPr>
          <w:sz w:val="24"/>
          <w:szCs w:val="24"/>
          <w:highlight w:val="none"/>
        </w:rPr>
        <w:t>-4。</w:t>
      </w:r>
    </w:p>
    <w:p>
      <w:pPr>
        <w:spacing w:line="240" w:lineRule="auto"/>
        <w:ind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7</w:t>
      </w:r>
      <w:r>
        <w:rPr>
          <w:rFonts w:eastAsia="黑体"/>
          <w:kern w:val="2"/>
          <w:sz w:val="21"/>
          <w:szCs w:val="21"/>
          <w:highlight w:val="none"/>
        </w:rPr>
        <w:t>-4    声环境质量标准</w:t>
      </w:r>
    </w:p>
    <w:tbl>
      <w:tblPr>
        <w:tblStyle w:val="56"/>
        <w:tblW w:w="836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2121"/>
        <w:gridCol w:w="1298"/>
        <w:gridCol w:w="2433"/>
        <w:gridCol w:w="25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83" w:hRule="atLeast"/>
          <w:jc w:val="center"/>
        </w:trPr>
        <w:tc>
          <w:tcPr>
            <w:tcW w:w="2121" w:type="dxa"/>
            <w:tcBorders>
              <w:tl2br w:val="nil"/>
              <w:tr2bl w:val="nil"/>
            </w:tcBorders>
            <w:vAlign w:val="center"/>
          </w:tcPr>
          <w:p>
            <w:pPr>
              <w:spacing w:line="240" w:lineRule="auto"/>
              <w:ind w:firstLine="0" w:firstLineChars="0"/>
              <w:jc w:val="center"/>
              <w:rPr>
                <w:kern w:val="2"/>
                <w:sz w:val="21"/>
                <w:szCs w:val="21"/>
                <w:highlight w:val="none"/>
              </w:rPr>
            </w:pPr>
            <w:r>
              <w:rPr>
                <w:kern w:val="2"/>
                <w:sz w:val="21"/>
                <w:szCs w:val="21"/>
                <w:highlight w:val="none"/>
              </w:rPr>
              <w:t>声环境功能区划类别</w:t>
            </w:r>
          </w:p>
        </w:tc>
        <w:tc>
          <w:tcPr>
            <w:tcW w:w="3731" w:type="dxa"/>
            <w:gridSpan w:val="2"/>
            <w:tcBorders>
              <w:tl2br w:val="nil"/>
              <w:tr2bl w:val="nil"/>
            </w:tcBorders>
            <w:vAlign w:val="center"/>
          </w:tcPr>
          <w:p>
            <w:pPr>
              <w:adjustRightInd w:val="0"/>
              <w:spacing w:line="240" w:lineRule="auto"/>
              <w:ind w:firstLine="0" w:firstLineChars="0"/>
              <w:jc w:val="center"/>
              <w:textAlignment w:val="baseline"/>
              <w:rPr>
                <w:kern w:val="2"/>
                <w:sz w:val="21"/>
                <w:szCs w:val="21"/>
                <w:highlight w:val="none"/>
              </w:rPr>
            </w:pPr>
            <w:r>
              <w:rPr>
                <w:kern w:val="2"/>
                <w:sz w:val="21"/>
                <w:szCs w:val="21"/>
                <w:highlight w:val="none"/>
              </w:rPr>
              <w:t>时段</w:t>
            </w:r>
          </w:p>
        </w:tc>
        <w:tc>
          <w:tcPr>
            <w:tcW w:w="2510" w:type="dxa"/>
            <w:tcBorders>
              <w:tl2br w:val="nil"/>
              <w:tr2bl w:val="nil"/>
            </w:tcBorders>
            <w:vAlign w:val="center"/>
          </w:tcPr>
          <w:p>
            <w:pPr>
              <w:spacing w:line="240" w:lineRule="auto"/>
              <w:ind w:firstLine="0" w:firstLineChars="0"/>
              <w:jc w:val="center"/>
              <w:rPr>
                <w:kern w:val="2"/>
                <w:sz w:val="21"/>
                <w:szCs w:val="21"/>
                <w:highlight w:val="none"/>
              </w:rPr>
            </w:pPr>
            <w:r>
              <w:rPr>
                <w:kern w:val="2"/>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83" w:hRule="atLeast"/>
          <w:jc w:val="center"/>
        </w:trPr>
        <w:tc>
          <w:tcPr>
            <w:tcW w:w="2121" w:type="dxa"/>
            <w:vMerge w:val="restart"/>
            <w:tcBorders>
              <w:tl2br w:val="nil"/>
              <w:tr2bl w:val="nil"/>
            </w:tcBorders>
            <w:vAlign w:val="center"/>
          </w:tcPr>
          <w:p>
            <w:pPr>
              <w:spacing w:line="240" w:lineRule="auto"/>
              <w:ind w:firstLine="0" w:firstLineChars="0"/>
              <w:jc w:val="center"/>
              <w:rPr>
                <w:kern w:val="2"/>
                <w:sz w:val="21"/>
                <w:szCs w:val="21"/>
                <w:highlight w:val="none"/>
              </w:rPr>
            </w:pPr>
            <w:r>
              <w:rPr>
                <w:kern w:val="2"/>
                <w:sz w:val="21"/>
                <w:szCs w:val="21"/>
                <w:highlight w:val="none"/>
              </w:rPr>
              <w:t>2类</w:t>
            </w:r>
          </w:p>
        </w:tc>
        <w:tc>
          <w:tcPr>
            <w:tcW w:w="1298" w:type="dxa"/>
            <w:tcBorders>
              <w:tl2br w:val="nil"/>
              <w:tr2bl w:val="nil"/>
            </w:tcBorders>
            <w:vAlign w:val="center"/>
          </w:tcPr>
          <w:p>
            <w:pPr>
              <w:spacing w:line="240" w:lineRule="auto"/>
              <w:ind w:firstLine="0" w:firstLineChars="0"/>
              <w:jc w:val="center"/>
              <w:rPr>
                <w:kern w:val="2"/>
                <w:sz w:val="21"/>
                <w:szCs w:val="21"/>
                <w:highlight w:val="none"/>
              </w:rPr>
            </w:pPr>
            <w:r>
              <w:rPr>
                <w:kern w:val="2"/>
                <w:sz w:val="21"/>
                <w:szCs w:val="21"/>
                <w:highlight w:val="none"/>
              </w:rPr>
              <w:t>昼间</w:t>
            </w:r>
          </w:p>
        </w:tc>
        <w:tc>
          <w:tcPr>
            <w:tcW w:w="2433" w:type="dxa"/>
            <w:tcBorders>
              <w:tl2br w:val="nil"/>
              <w:tr2bl w:val="nil"/>
            </w:tcBorders>
            <w:vAlign w:val="center"/>
          </w:tcPr>
          <w:p>
            <w:pPr>
              <w:adjustRightInd w:val="0"/>
              <w:spacing w:line="240" w:lineRule="auto"/>
              <w:ind w:firstLine="0" w:firstLineChars="0"/>
              <w:jc w:val="center"/>
              <w:textAlignment w:val="baseline"/>
              <w:rPr>
                <w:kern w:val="2"/>
                <w:sz w:val="21"/>
                <w:szCs w:val="21"/>
                <w:highlight w:val="none"/>
              </w:rPr>
            </w:pPr>
            <w:r>
              <w:rPr>
                <w:kern w:val="2"/>
                <w:sz w:val="21"/>
                <w:szCs w:val="21"/>
                <w:highlight w:val="none"/>
              </w:rPr>
              <w:t>夜间</w:t>
            </w:r>
          </w:p>
        </w:tc>
        <w:tc>
          <w:tcPr>
            <w:tcW w:w="2510" w:type="dxa"/>
            <w:vMerge w:val="restart"/>
            <w:tcBorders>
              <w:tl2br w:val="nil"/>
              <w:tr2bl w:val="nil"/>
            </w:tcBorders>
            <w:vAlign w:val="center"/>
          </w:tcPr>
          <w:p>
            <w:pPr>
              <w:spacing w:line="240" w:lineRule="auto"/>
              <w:ind w:firstLine="0" w:firstLineChars="0"/>
              <w:jc w:val="center"/>
              <w:rPr>
                <w:kern w:val="2"/>
                <w:sz w:val="21"/>
                <w:szCs w:val="21"/>
                <w:highlight w:val="none"/>
              </w:rPr>
            </w:pPr>
            <w:r>
              <w:rPr>
                <w:kern w:val="2"/>
                <w:sz w:val="21"/>
                <w:szCs w:val="21"/>
                <w:highlight w:val="none"/>
              </w:rPr>
              <w:t>《声环境质量标准》（GB3096—2008）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83" w:hRule="atLeast"/>
          <w:jc w:val="center"/>
        </w:trPr>
        <w:tc>
          <w:tcPr>
            <w:tcW w:w="2121" w:type="dxa"/>
            <w:vMerge w:val="continue"/>
            <w:tcBorders>
              <w:tl2br w:val="nil"/>
              <w:tr2bl w:val="nil"/>
            </w:tcBorders>
            <w:vAlign w:val="center"/>
          </w:tcPr>
          <w:p>
            <w:pPr>
              <w:spacing w:line="240" w:lineRule="auto"/>
              <w:ind w:firstLine="0" w:firstLineChars="0"/>
              <w:rPr>
                <w:kern w:val="2"/>
                <w:sz w:val="21"/>
                <w:szCs w:val="21"/>
                <w:highlight w:val="none"/>
              </w:rPr>
            </w:pPr>
          </w:p>
        </w:tc>
        <w:tc>
          <w:tcPr>
            <w:tcW w:w="1298" w:type="dxa"/>
            <w:tcBorders>
              <w:tl2br w:val="nil"/>
              <w:tr2bl w:val="nil"/>
            </w:tcBorders>
            <w:vAlign w:val="center"/>
          </w:tcPr>
          <w:p>
            <w:pPr>
              <w:spacing w:line="240" w:lineRule="auto"/>
              <w:ind w:firstLine="0" w:firstLineChars="0"/>
              <w:jc w:val="center"/>
              <w:rPr>
                <w:kern w:val="2"/>
                <w:sz w:val="21"/>
                <w:szCs w:val="21"/>
                <w:highlight w:val="none"/>
              </w:rPr>
            </w:pPr>
            <w:r>
              <w:rPr>
                <w:kern w:val="2"/>
                <w:sz w:val="21"/>
                <w:szCs w:val="21"/>
                <w:highlight w:val="none"/>
              </w:rPr>
              <w:t>60</w:t>
            </w:r>
          </w:p>
        </w:tc>
        <w:tc>
          <w:tcPr>
            <w:tcW w:w="2433" w:type="dxa"/>
            <w:tcBorders>
              <w:tl2br w:val="nil"/>
              <w:tr2bl w:val="nil"/>
            </w:tcBorders>
            <w:vAlign w:val="center"/>
          </w:tcPr>
          <w:p>
            <w:pPr>
              <w:adjustRightInd w:val="0"/>
              <w:spacing w:line="240" w:lineRule="auto"/>
              <w:ind w:firstLine="0" w:firstLineChars="0"/>
              <w:jc w:val="center"/>
              <w:textAlignment w:val="baseline"/>
              <w:rPr>
                <w:kern w:val="2"/>
                <w:sz w:val="21"/>
                <w:szCs w:val="21"/>
                <w:highlight w:val="none"/>
              </w:rPr>
            </w:pPr>
            <w:r>
              <w:rPr>
                <w:kern w:val="2"/>
                <w:sz w:val="21"/>
                <w:szCs w:val="21"/>
                <w:highlight w:val="none"/>
              </w:rPr>
              <w:t>50</w:t>
            </w:r>
          </w:p>
        </w:tc>
        <w:tc>
          <w:tcPr>
            <w:tcW w:w="2510" w:type="dxa"/>
            <w:vMerge w:val="continue"/>
            <w:tcBorders>
              <w:tl2br w:val="nil"/>
              <w:tr2bl w:val="nil"/>
            </w:tcBorders>
            <w:vAlign w:val="center"/>
          </w:tcPr>
          <w:p>
            <w:pPr>
              <w:spacing w:line="240" w:lineRule="auto"/>
              <w:ind w:firstLine="0" w:firstLineChars="0"/>
              <w:rPr>
                <w:kern w:val="2"/>
                <w:sz w:val="21"/>
                <w:szCs w:val="21"/>
                <w:highlight w:val="none"/>
              </w:rPr>
            </w:pPr>
          </w:p>
        </w:tc>
      </w:tr>
    </w:tbl>
    <w:p>
      <w:pPr>
        <w:pStyle w:val="3"/>
        <w:numPr>
          <w:ilvl w:val="3"/>
          <w:numId w:val="1"/>
        </w:numPr>
        <w:ind w:left="709" w:hanging="709"/>
        <w:rPr>
          <w:rFonts w:eastAsia="宋体"/>
          <w:b/>
          <w:highlight w:val="none"/>
        </w:rPr>
      </w:pPr>
      <w:r>
        <w:rPr>
          <w:rFonts w:hint="eastAsia" w:eastAsia="宋体"/>
          <w:b/>
          <w:highlight w:val="none"/>
        </w:rPr>
        <w:t>土壤环境</w:t>
      </w:r>
    </w:p>
    <w:p>
      <w:pPr>
        <w:ind w:firstLine="480"/>
        <w:rPr>
          <w:sz w:val="24"/>
          <w:szCs w:val="24"/>
          <w:highlight w:val="none"/>
        </w:rPr>
      </w:pPr>
      <w:r>
        <w:rPr>
          <w:rFonts w:hint="eastAsia"/>
          <w:sz w:val="24"/>
          <w:szCs w:val="24"/>
          <w:highlight w:val="none"/>
        </w:rPr>
        <w:t>项目场地监测点执行《土壤环境质量 建设用地土壤污染风险管控标准（试行）》(GB36600-2018)表1第二类用地筛选值和《土壤环境质量 农用地土壤污染风险管控标准（试行）》（GB15618-2018），详见表2.7-5和表2.7-6。</w:t>
      </w:r>
    </w:p>
    <w:p>
      <w:pPr>
        <w:spacing w:line="240" w:lineRule="auto"/>
        <w:ind w:firstLineChars="0"/>
        <w:jc w:val="center"/>
        <w:textAlignment w:val="auto"/>
        <w:rPr>
          <w:rFonts w:eastAsia="黑体"/>
          <w:kern w:val="2"/>
          <w:sz w:val="21"/>
          <w:szCs w:val="21"/>
          <w:highlight w:val="none"/>
        </w:rPr>
      </w:pPr>
      <w:bookmarkStart w:id="148" w:name="_Ref14077803"/>
      <w:r>
        <w:rPr>
          <w:rFonts w:hint="eastAsia" w:eastAsia="黑体"/>
          <w:kern w:val="2"/>
          <w:sz w:val="21"/>
          <w:szCs w:val="21"/>
          <w:highlight w:val="none"/>
        </w:rPr>
        <w:t xml:space="preserve">表2.7-5 </w:t>
      </w:r>
      <w:bookmarkEnd w:id="148"/>
      <w:r>
        <w:rPr>
          <w:rFonts w:eastAsia="黑体"/>
          <w:kern w:val="2"/>
          <w:sz w:val="21"/>
          <w:szCs w:val="21"/>
          <w:highlight w:val="none"/>
        </w:rPr>
        <w:t xml:space="preserve">   </w:t>
      </w:r>
      <w:r>
        <w:rPr>
          <w:rFonts w:hint="eastAsia" w:eastAsia="黑体"/>
          <w:kern w:val="2"/>
          <w:sz w:val="21"/>
          <w:szCs w:val="21"/>
          <w:highlight w:val="none"/>
        </w:rPr>
        <w:t>土壤环境质量标准</w:t>
      </w:r>
    </w:p>
    <w:tbl>
      <w:tblPr>
        <w:tblStyle w:val="5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940"/>
        <w:gridCol w:w="1585"/>
        <w:gridCol w:w="1588"/>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shd w:val="clear" w:color="auto" w:fill="auto"/>
          </w:tcPr>
          <w:p>
            <w:pPr>
              <w:pStyle w:val="168"/>
              <w:rPr>
                <w:sz w:val="20"/>
                <w:highlight w:val="none"/>
                <w:lang w:bidi="zh-CN"/>
              </w:rPr>
            </w:pPr>
            <w:r>
              <w:rPr>
                <w:sz w:val="20"/>
                <w:highlight w:val="none"/>
                <w:lang w:bidi="zh-CN"/>
              </w:rPr>
              <w:t>标准号</w:t>
            </w:r>
          </w:p>
        </w:tc>
        <w:tc>
          <w:tcPr>
            <w:tcW w:w="1940" w:type="dxa"/>
            <w:shd w:val="clear" w:color="auto" w:fill="auto"/>
          </w:tcPr>
          <w:p>
            <w:pPr>
              <w:pStyle w:val="168"/>
              <w:rPr>
                <w:sz w:val="20"/>
                <w:highlight w:val="none"/>
                <w:lang w:bidi="zh-CN"/>
              </w:rPr>
            </w:pPr>
            <w:r>
              <w:rPr>
                <w:sz w:val="20"/>
                <w:highlight w:val="none"/>
                <w:lang w:bidi="zh-CN"/>
              </w:rPr>
              <w:t>污染物名称</w:t>
            </w:r>
          </w:p>
        </w:tc>
        <w:tc>
          <w:tcPr>
            <w:tcW w:w="1585" w:type="dxa"/>
            <w:shd w:val="clear" w:color="auto" w:fill="auto"/>
          </w:tcPr>
          <w:p>
            <w:pPr>
              <w:pStyle w:val="168"/>
              <w:rPr>
                <w:sz w:val="20"/>
                <w:highlight w:val="none"/>
                <w:lang w:bidi="zh-CN"/>
              </w:rPr>
            </w:pPr>
            <w:r>
              <w:rPr>
                <w:sz w:val="20"/>
                <w:highlight w:val="none"/>
                <w:lang w:bidi="zh-CN"/>
              </w:rPr>
              <w:t>筛选值</w:t>
            </w:r>
          </w:p>
        </w:tc>
        <w:tc>
          <w:tcPr>
            <w:tcW w:w="1588" w:type="dxa"/>
            <w:shd w:val="clear" w:color="auto" w:fill="auto"/>
          </w:tcPr>
          <w:p>
            <w:pPr>
              <w:pStyle w:val="168"/>
              <w:rPr>
                <w:sz w:val="20"/>
                <w:highlight w:val="none"/>
                <w:lang w:bidi="zh-CN"/>
              </w:rPr>
            </w:pPr>
            <w:r>
              <w:rPr>
                <w:sz w:val="20"/>
                <w:highlight w:val="none"/>
                <w:lang w:bidi="zh-CN"/>
              </w:rPr>
              <w:t>单位</w:t>
            </w:r>
          </w:p>
        </w:tc>
        <w:tc>
          <w:tcPr>
            <w:tcW w:w="1876" w:type="dxa"/>
            <w:shd w:val="clear" w:color="auto" w:fill="auto"/>
          </w:tcPr>
          <w:p>
            <w:pPr>
              <w:pStyle w:val="168"/>
              <w:rPr>
                <w:sz w:val="20"/>
                <w:highlight w:val="none"/>
                <w:lang w:bidi="zh-CN"/>
              </w:rPr>
            </w:pPr>
            <w:r>
              <w:rPr>
                <w:sz w:val="20"/>
                <w:highlight w:val="none"/>
                <w:lang w:bidi="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539" w:type="dxa"/>
            <w:vMerge w:val="restart"/>
            <w:shd w:val="clear" w:color="auto" w:fill="auto"/>
            <w:vAlign w:val="center"/>
          </w:tcPr>
          <w:p>
            <w:pPr>
              <w:pStyle w:val="168"/>
              <w:rPr>
                <w:sz w:val="20"/>
                <w:highlight w:val="none"/>
                <w:lang w:bidi="zh-CN"/>
              </w:rPr>
            </w:pPr>
            <w:r>
              <w:rPr>
                <w:sz w:val="20"/>
                <w:highlight w:val="none"/>
                <w:lang w:bidi="zh-CN"/>
              </w:rPr>
              <w:t>GB36600-2018</w:t>
            </w:r>
          </w:p>
        </w:tc>
        <w:tc>
          <w:tcPr>
            <w:tcW w:w="1940" w:type="dxa"/>
            <w:shd w:val="clear" w:color="auto" w:fill="auto"/>
            <w:vAlign w:val="center"/>
          </w:tcPr>
          <w:p>
            <w:pPr>
              <w:pStyle w:val="168"/>
              <w:rPr>
                <w:sz w:val="20"/>
                <w:highlight w:val="none"/>
                <w:lang w:bidi="zh-CN"/>
              </w:rPr>
            </w:pPr>
            <w:r>
              <w:rPr>
                <w:rFonts w:hint="eastAsia"/>
                <w:sz w:val="20"/>
                <w:highlight w:val="none"/>
                <w:lang w:bidi="zh-CN"/>
              </w:rPr>
              <w:t>砷</w:t>
            </w:r>
          </w:p>
        </w:tc>
        <w:tc>
          <w:tcPr>
            <w:tcW w:w="1585" w:type="dxa"/>
            <w:shd w:val="clear" w:color="auto" w:fill="auto"/>
            <w:vAlign w:val="center"/>
          </w:tcPr>
          <w:p>
            <w:pPr>
              <w:pStyle w:val="168"/>
              <w:rPr>
                <w:sz w:val="20"/>
                <w:highlight w:val="none"/>
                <w:lang w:bidi="zh-CN"/>
              </w:rPr>
            </w:pPr>
            <w:r>
              <w:rPr>
                <w:rFonts w:hint="eastAsia"/>
                <w:sz w:val="20"/>
                <w:highlight w:val="none"/>
                <w:lang w:bidi="zh-CN"/>
              </w:rPr>
              <w:t>6</w:t>
            </w:r>
            <w:r>
              <w:rPr>
                <w:sz w:val="20"/>
                <w:highlight w:val="none"/>
                <w:lang w:bidi="zh-CN"/>
              </w:rPr>
              <w:t>0</w:t>
            </w:r>
          </w:p>
        </w:tc>
        <w:tc>
          <w:tcPr>
            <w:tcW w:w="1588" w:type="dxa"/>
            <w:vMerge w:val="restart"/>
            <w:shd w:val="clear" w:color="auto" w:fill="auto"/>
            <w:vAlign w:val="center"/>
          </w:tcPr>
          <w:p>
            <w:pPr>
              <w:pStyle w:val="168"/>
              <w:rPr>
                <w:sz w:val="20"/>
                <w:highlight w:val="none"/>
                <w:lang w:bidi="zh-CN"/>
              </w:rPr>
            </w:pPr>
            <w:r>
              <w:rPr>
                <w:sz w:val="20"/>
                <w:highlight w:val="none"/>
                <w:lang w:bidi="zh-CN"/>
              </w:rPr>
              <w:t>mg/kg</w:t>
            </w:r>
          </w:p>
        </w:tc>
        <w:tc>
          <w:tcPr>
            <w:tcW w:w="1876" w:type="dxa"/>
            <w:vMerge w:val="restart"/>
            <w:shd w:val="clear" w:color="auto" w:fill="auto"/>
            <w:vAlign w:val="center"/>
          </w:tcPr>
          <w:p>
            <w:pPr>
              <w:pStyle w:val="168"/>
              <w:rPr>
                <w:sz w:val="20"/>
                <w:highlight w:val="none"/>
                <w:lang w:bidi="zh-CN"/>
              </w:rPr>
            </w:pPr>
            <w:r>
              <w:rPr>
                <w:sz w:val="20"/>
                <w:highlight w:val="none"/>
                <w:lang w:bidi="zh-CN"/>
              </w:rPr>
              <w:t>《土壤环境质量</w:t>
            </w:r>
            <w:r>
              <w:rPr>
                <w:rFonts w:hint="eastAsia"/>
                <w:sz w:val="20"/>
                <w:highlight w:val="none"/>
                <w:lang w:bidi="zh-CN"/>
              </w:rPr>
              <w:t xml:space="preserve"> </w:t>
            </w:r>
            <w:r>
              <w:rPr>
                <w:sz w:val="20"/>
                <w:highlight w:val="none"/>
                <w:lang w:bidi="zh-CN"/>
              </w:rPr>
              <w:t>建设用地土壤污染风险管控标准（试行）》(GB36600-2018)表1及第二类用地筛选值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rFonts w:hint="eastAsia"/>
                <w:sz w:val="20"/>
                <w:highlight w:val="none"/>
                <w:lang w:bidi="zh-CN"/>
              </w:rPr>
              <w:t>镉</w:t>
            </w:r>
          </w:p>
        </w:tc>
        <w:tc>
          <w:tcPr>
            <w:tcW w:w="1585" w:type="dxa"/>
            <w:shd w:val="clear" w:color="auto" w:fill="auto"/>
          </w:tcPr>
          <w:p>
            <w:pPr>
              <w:pStyle w:val="168"/>
              <w:rPr>
                <w:sz w:val="20"/>
                <w:highlight w:val="none"/>
                <w:lang w:bidi="zh-CN"/>
              </w:rPr>
            </w:pPr>
            <w:r>
              <w:rPr>
                <w:rFonts w:hint="eastAsia"/>
                <w:sz w:val="20"/>
                <w:highlight w:val="none"/>
                <w:lang w:bidi="zh-CN"/>
              </w:rPr>
              <w:t>6</w:t>
            </w:r>
            <w:r>
              <w:rPr>
                <w:sz w:val="20"/>
                <w:highlight w:val="none"/>
                <w:lang w:bidi="zh-CN"/>
              </w:rPr>
              <w:t>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rFonts w:hint="eastAsia"/>
                <w:sz w:val="20"/>
                <w:highlight w:val="none"/>
                <w:lang w:bidi="zh-CN"/>
              </w:rPr>
              <w:t>铬（六价）</w:t>
            </w:r>
          </w:p>
        </w:tc>
        <w:tc>
          <w:tcPr>
            <w:tcW w:w="1585" w:type="dxa"/>
            <w:shd w:val="clear" w:color="auto" w:fill="auto"/>
          </w:tcPr>
          <w:p>
            <w:pPr>
              <w:pStyle w:val="168"/>
              <w:rPr>
                <w:sz w:val="20"/>
                <w:highlight w:val="none"/>
                <w:lang w:bidi="zh-CN"/>
              </w:rPr>
            </w:pPr>
            <w:r>
              <w:rPr>
                <w:rFonts w:hint="eastAsia"/>
                <w:sz w:val="20"/>
                <w:highlight w:val="none"/>
                <w:lang w:bidi="zh-CN"/>
              </w:rPr>
              <w:t>5</w:t>
            </w:r>
            <w:r>
              <w:rPr>
                <w:sz w:val="20"/>
                <w:highlight w:val="none"/>
                <w:lang w:bidi="zh-CN"/>
              </w:rPr>
              <w:t>.7</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vAlign w:val="center"/>
          </w:tcPr>
          <w:p>
            <w:pPr>
              <w:pStyle w:val="168"/>
              <w:rPr>
                <w:sz w:val="20"/>
                <w:highlight w:val="none"/>
                <w:lang w:bidi="zh-CN"/>
              </w:rPr>
            </w:pPr>
          </w:p>
        </w:tc>
        <w:tc>
          <w:tcPr>
            <w:tcW w:w="1940" w:type="dxa"/>
            <w:shd w:val="clear" w:color="auto" w:fill="auto"/>
            <w:vAlign w:val="center"/>
          </w:tcPr>
          <w:p>
            <w:pPr>
              <w:pStyle w:val="168"/>
              <w:rPr>
                <w:sz w:val="20"/>
                <w:highlight w:val="none"/>
                <w:lang w:bidi="zh-CN"/>
              </w:rPr>
            </w:pPr>
            <w:r>
              <w:rPr>
                <w:sz w:val="20"/>
                <w:highlight w:val="none"/>
                <w:lang w:bidi="zh-CN"/>
              </w:rPr>
              <w:t>铜</w:t>
            </w:r>
          </w:p>
        </w:tc>
        <w:tc>
          <w:tcPr>
            <w:tcW w:w="1585" w:type="dxa"/>
            <w:shd w:val="clear" w:color="auto" w:fill="auto"/>
            <w:vAlign w:val="center"/>
          </w:tcPr>
          <w:p>
            <w:pPr>
              <w:pStyle w:val="168"/>
              <w:rPr>
                <w:sz w:val="20"/>
                <w:highlight w:val="none"/>
                <w:lang w:bidi="zh-CN"/>
              </w:rPr>
            </w:pPr>
            <w:r>
              <w:rPr>
                <w:sz w:val="20"/>
                <w:highlight w:val="none"/>
                <w:lang w:bidi="zh-CN"/>
              </w:rPr>
              <w:t>18000</w:t>
            </w:r>
          </w:p>
        </w:tc>
        <w:tc>
          <w:tcPr>
            <w:tcW w:w="1588" w:type="dxa"/>
            <w:vMerge w:val="continue"/>
            <w:shd w:val="clear" w:color="auto" w:fill="auto"/>
            <w:vAlign w:val="center"/>
          </w:tcPr>
          <w:p>
            <w:pPr>
              <w:pStyle w:val="168"/>
              <w:rPr>
                <w:sz w:val="20"/>
                <w:highlight w:val="none"/>
                <w:lang w:bidi="zh-CN"/>
              </w:rPr>
            </w:pPr>
          </w:p>
        </w:tc>
        <w:tc>
          <w:tcPr>
            <w:tcW w:w="1876" w:type="dxa"/>
            <w:vMerge w:val="continue"/>
            <w:shd w:val="clear" w:color="auto" w:fill="auto"/>
            <w:vAlign w:val="center"/>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铅</w:t>
            </w:r>
          </w:p>
        </w:tc>
        <w:tc>
          <w:tcPr>
            <w:tcW w:w="1585" w:type="dxa"/>
            <w:shd w:val="clear" w:color="auto" w:fill="auto"/>
          </w:tcPr>
          <w:p>
            <w:pPr>
              <w:pStyle w:val="168"/>
              <w:rPr>
                <w:sz w:val="20"/>
                <w:highlight w:val="none"/>
                <w:lang w:bidi="zh-CN"/>
              </w:rPr>
            </w:pPr>
            <w:r>
              <w:rPr>
                <w:sz w:val="20"/>
                <w:highlight w:val="none"/>
                <w:lang w:bidi="zh-CN"/>
              </w:rPr>
              <w:t>800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汞</w:t>
            </w:r>
          </w:p>
        </w:tc>
        <w:tc>
          <w:tcPr>
            <w:tcW w:w="1585" w:type="dxa"/>
            <w:shd w:val="clear" w:color="auto" w:fill="auto"/>
          </w:tcPr>
          <w:p>
            <w:pPr>
              <w:pStyle w:val="168"/>
              <w:rPr>
                <w:sz w:val="20"/>
                <w:highlight w:val="none"/>
                <w:lang w:bidi="zh-CN"/>
              </w:rPr>
            </w:pPr>
            <w:r>
              <w:rPr>
                <w:sz w:val="20"/>
                <w:highlight w:val="none"/>
                <w:lang w:bidi="zh-CN"/>
              </w:rPr>
              <w:t>38</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镍</w:t>
            </w:r>
          </w:p>
        </w:tc>
        <w:tc>
          <w:tcPr>
            <w:tcW w:w="1585" w:type="dxa"/>
            <w:shd w:val="clear" w:color="auto" w:fill="auto"/>
          </w:tcPr>
          <w:p>
            <w:pPr>
              <w:pStyle w:val="168"/>
              <w:rPr>
                <w:sz w:val="20"/>
                <w:highlight w:val="none"/>
                <w:lang w:bidi="zh-CN"/>
              </w:rPr>
            </w:pPr>
            <w:r>
              <w:rPr>
                <w:sz w:val="20"/>
                <w:highlight w:val="none"/>
                <w:lang w:bidi="zh-CN"/>
              </w:rPr>
              <w:t>900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四氯化碳</w:t>
            </w:r>
          </w:p>
        </w:tc>
        <w:tc>
          <w:tcPr>
            <w:tcW w:w="1585" w:type="dxa"/>
            <w:shd w:val="clear" w:color="auto" w:fill="auto"/>
          </w:tcPr>
          <w:p>
            <w:pPr>
              <w:pStyle w:val="168"/>
              <w:rPr>
                <w:sz w:val="20"/>
                <w:highlight w:val="none"/>
                <w:lang w:bidi="zh-CN"/>
              </w:rPr>
            </w:pPr>
            <w:r>
              <w:rPr>
                <w:sz w:val="20"/>
                <w:highlight w:val="none"/>
                <w:lang w:bidi="zh-CN"/>
              </w:rPr>
              <w:t>2.8</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氯仿</w:t>
            </w:r>
          </w:p>
        </w:tc>
        <w:tc>
          <w:tcPr>
            <w:tcW w:w="1585" w:type="dxa"/>
            <w:shd w:val="clear" w:color="auto" w:fill="auto"/>
          </w:tcPr>
          <w:p>
            <w:pPr>
              <w:pStyle w:val="168"/>
              <w:rPr>
                <w:sz w:val="20"/>
                <w:highlight w:val="none"/>
                <w:lang w:bidi="zh-CN"/>
              </w:rPr>
            </w:pPr>
            <w:r>
              <w:rPr>
                <w:sz w:val="20"/>
                <w:highlight w:val="none"/>
                <w:lang w:bidi="zh-CN"/>
              </w:rPr>
              <w:t>0.9</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氯甲烷</w:t>
            </w:r>
          </w:p>
        </w:tc>
        <w:tc>
          <w:tcPr>
            <w:tcW w:w="1585" w:type="dxa"/>
            <w:shd w:val="clear" w:color="auto" w:fill="auto"/>
          </w:tcPr>
          <w:p>
            <w:pPr>
              <w:pStyle w:val="168"/>
              <w:rPr>
                <w:sz w:val="20"/>
                <w:highlight w:val="none"/>
                <w:lang w:bidi="zh-CN"/>
              </w:rPr>
            </w:pPr>
            <w:r>
              <w:rPr>
                <w:sz w:val="20"/>
                <w:highlight w:val="none"/>
                <w:lang w:bidi="zh-CN"/>
              </w:rPr>
              <w:t>37</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1,1-二氯乙烷</w:t>
            </w:r>
          </w:p>
        </w:tc>
        <w:tc>
          <w:tcPr>
            <w:tcW w:w="1585" w:type="dxa"/>
            <w:shd w:val="clear" w:color="auto" w:fill="auto"/>
          </w:tcPr>
          <w:p>
            <w:pPr>
              <w:pStyle w:val="168"/>
              <w:rPr>
                <w:sz w:val="20"/>
                <w:highlight w:val="none"/>
                <w:lang w:bidi="zh-CN"/>
              </w:rPr>
            </w:pPr>
            <w:r>
              <w:rPr>
                <w:sz w:val="20"/>
                <w:highlight w:val="none"/>
                <w:lang w:bidi="zh-CN"/>
              </w:rPr>
              <w:t>9</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1,2-二氯乙烷</w:t>
            </w:r>
          </w:p>
        </w:tc>
        <w:tc>
          <w:tcPr>
            <w:tcW w:w="1585" w:type="dxa"/>
            <w:shd w:val="clear" w:color="auto" w:fill="auto"/>
          </w:tcPr>
          <w:p>
            <w:pPr>
              <w:pStyle w:val="168"/>
              <w:rPr>
                <w:sz w:val="20"/>
                <w:highlight w:val="none"/>
                <w:lang w:bidi="zh-CN"/>
              </w:rPr>
            </w:pPr>
            <w:r>
              <w:rPr>
                <w:sz w:val="20"/>
                <w:highlight w:val="none"/>
                <w:lang w:bidi="zh-CN"/>
              </w:rPr>
              <w:t>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1,1-二氯乙烯</w:t>
            </w:r>
          </w:p>
        </w:tc>
        <w:tc>
          <w:tcPr>
            <w:tcW w:w="1585" w:type="dxa"/>
            <w:shd w:val="clear" w:color="auto" w:fill="auto"/>
          </w:tcPr>
          <w:p>
            <w:pPr>
              <w:pStyle w:val="168"/>
              <w:rPr>
                <w:sz w:val="20"/>
                <w:highlight w:val="none"/>
                <w:lang w:bidi="zh-CN"/>
              </w:rPr>
            </w:pPr>
            <w:r>
              <w:rPr>
                <w:sz w:val="20"/>
                <w:highlight w:val="none"/>
                <w:lang w:bidi="zh-CN"/>
              </w:rPr>
              <w:t>66</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顺式-1,2-二氯乙烯</w:t>
            </w:r>
          </w:p>
        </w:tc>
        <w:tc>
          <w:tcPr>
            <w:tcW w:w="1585" w:type="dxa"/>
            <w:shd w:val="clear" w:color="auto" w:fill="auto"/>
          </w:tcPr>
          <w:p>
            <w:pPr>
              <w:pStyle w:val="168"/>
              <w:rPr>
                <w:sz w:val="20"/>
                <w:highlight w:val="none"/>
                <w:lang w:bidi="zh-CN"/>
              </w:rPr>
            </w:pPr>
            <w:r>
              <w:rPr>
                <w:sz w:val="20"/>
                <w:highlight w:val="none"/>
                <w:lang w:bidi="zh-CN"/>
              </w:rPr>
              <w:t>596</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反式-1,2-二氯乙烯</w:t>
            </w:r>
          </w:p>
        </w:tc>
        <w:tc>
          <w:tcPr>
            <w:tcW w:w="1585" w:type="dxa"/>
            <w:shd w:val="clear" w:color="auto" w:fill="auto"/>
          </w:tcPr>
          <w:p>
            <w:pPr>
              <w:pStyle w:val="168"/>
              <w:rPr>
                <w:sz w:val="20"/>
                <w:highlight w:val="none"/>
                <w:lang w:bidi="zh-CN"/>
              </w:rPr>
            </w:pPr>
            <w:r>
              <w:rPr>
                <w:sz w:val="20"/>
                <w:highlight w:val="none"/>
                <w:lang w:bidi="zh-CN"/>
              </w:rPr>
              <w:t>54</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二氯甲烷</w:t>
            </w:r>
          </w:p>
        </w:tc>
        <w:tc>
          <w:tcPr>
            <w:tcW w:w="1585" w:type="dxa"/>
            <w:shd w:val="clear" w:color="auto" w:fill="auto"/>
          </w:tcPr>
          <w:p>
            <w:pPr>
              <w:pStyle w:val="168"/>
              <w:rPr>
                <w:sz w:val="20"/>
                <w:highlight w:val="none"/>
                <w:lang w:bidi="zh-CN"/>
              </w:rPr>
            </w:pPr>
            <w:r>
              <w:rPr>
                <w:sz w:val="20"/>
                <w:highlight w:val="none"/>
                <w:lang w:bidi="zh-CN"/>
              </w:rPr>
              <w:t>616</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1,2-二氯丙烷</w:t>
            </w:r>
          </w:p>
        </w:tc>
        <w:tc>
          <w:tcPr>
            <w:tcW w:w="1585" w:type="dxa"/>
            <w:shd w:val="clear" w:color="auto" w:fill="auto"/>
          </w:tcPr>
          <w:p>
            <w:pPr>
              <w:pStyle w:val="168"/>
              <w:rPr>
                <w:sz w:val="20"/>
                <w:highlight w:val="none"/>
                <w:lang w:bidi="zh-CN"/>
              </w:rPr>
            </w:pPr>
            <w:r>
              <w:rPr>
                <w:sz w:val="20"/>
                <w:highlight w:val="none"/>
                <w:lang w:bidi="zh-CN"/>
              </w:rPr>
              <w:t>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1,1,1,2-四氯乙烷</w:t>
            </w:r>
          </w:p>
        </w:tc>
        <w:tc>
          <w:tcPr>
            <w:tcW w:w="1585" w:type="dxa"/>
            <w:shd w:val="clear" w:color="auto" w:fill="auto"/>
          </w:tcPr>
          <w:p>
            <w:pPr>
              <w:pStyle w:val="168"/>
              <w:rPr>
                <w:sz w:val="20"/>
                <w:highlight w:val="none"/>
                <w:lang w:bidi="zh-CN"/>
              </w:rPr>
            </w:pPr>
            <w:r>
              <w:rPr>
                <w:sz w:val="20"/>
                <w:highlight w:val="none"/>
                <w:lang w:bidi="zh-CN"/>
              </w:rPr>
              <w:t>10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1,1,2,2-四氯乙烷</w:t>
            </w:r>
          </w:p>
        </w:tc>
        <w:tc>
          <w:tcPr>
            <w:tcW w:w="1585" w:type="dxa"/>
            <w:shd w:val="clear" w:color="auto" w:fill="auto"/>
          </w:tcPr>
          <w:p>
            <w:pPr>
              <w:pStyle w:val="168"/>
              <w:rPr>
                <w:sz w:val="20"/>
                <w:highlight w:val="none"/>
                <w:lang w:bidi="zh-CN"/>
              </w:rPr>
            </w:pPr>
            <w:r>
              <w:rPr>
                <w:sz w:val="20"/>
                <w:highlight w:val="none"/>
                <w:lang w:bidi="zh-CN"/>
              </w:rPr>
              <w:t>6.8</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四氯乙烯</w:t>
            </w:r>
          </w:p>
        </w:tc>
        <w:tc>
          <w:tcPr>
            <w:tcW w:w="1585" w:type="dxa"/>
            <w:shd w:val="clear" w:color="auto" w:fill="auto"/>
          </w:tcPr>
          <w:p>
            <w:pPr>
              <w:pStyle w:val="168"/>
              <w:rPr>
                <w:sz w:val="20"/>
                <w:highlight w:val="none"/>
                <w:lang w:bidi="zh-CN"/>
              </w:rPr>
            </w:pPr>
            <w:r>
              <w:rPr>
                <w:sz w:val="20"/>
                <w:highlight w:val="none"/>
                <w:lang w:bidi="zh-CN"/>
              </w:rPr>
              <w:t>53</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1,1,1-三氯乙烷</w:t>
            </w:r>
          </w:p>
        </w:tc>
        <w:tc>
          <w:tcPr>
            <w:tcW w:w="1585" w:type="dxa"/>
            <w:shd w:val="clear" w:color="auto" w:fill="auto"/>
          </w:tcPr>
          <w:p>
            <w:pPr>
              <w:pStyle w:val="168"/>
              <w:rPr>
                <w:sz w:val="20"/>
                <w:highlight w:val="none"/>
                <w:lang w:bidi="zh-CN"/>
              </w:rPr>
            </w:pPr>
            <w:r>
              <w:rPr>
                <w:sz w:val="20"/>
                <w:highlight w:val="none"/>
                <w:lang w:bidi="zh-CN"/>
              </w:rPr>
              <w:t>840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1,1,2-三氯乙烷</w:t>
            </w:r>
          </w:p>
        </w:tc>
        <w:tc>
          <w:tcPr>
            <w:tcW w:w="1585" w:type="dxa"/>
            <w:shd w:val="clear" w:color="auto" w:fill="auto"/>
          </w:tcPr>
          <w:p>
            <w:pPr>
              <w:pStyle w:val="168"/>
              <w:rPr>
                <w:sz w:val="20"/>
                <w:highlight w:val="none"/>
                <w:lang w:bidi="zh-CN"/>
              </w:rPr>
            </w:pPr>
            <w:r>
              <w:rPr>
                <w:sz w:val="20"/>
                <w:highlight w:val="none"/>
                <w:lang w:bidi="zh-CN"/>
              </w:rPr>
              <w:t>2.8</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lang w:bidi="zh-CN"/>
              </w:rPr>
            </w:pPr>
          </w:p>
        </w:tc>
        <w:tc>
          <w:tcPr>
            <w:tcW w:w="1940" w:type="dxa"/>
            <w:shd w:val="clear" w:color="auto" w:fill="auto"/>
          </w:tcPr>
          <w:p>
            <w:pPr>
              <w:pStyle w:val="168"/>
              <w:rPr>
                <w:sz w:val="20"/>
                <w:highlight w:val="none"/>
                <w:lang w:bidi="zh-CN"/>
              </w:rPr>
            </w:pPr>
            <w:r>
              <w:rPr>
                <w:sz w:val="20"/>
                <w:highlight w:val="none"/>
                <w:lang w:bidi="zh-CN"/>
              </w:rPr>
              <w:t>三氯乙烯</w:t>
            </w:r>
          </w:p>
        </w:tc>
        <w:tc>
          <w:tcPr>
            <w:tcW w:w="1585" w:type="dxa"/>
            <w:shd w:val="clear" w:color="auto" w:fill="auto"/>
          </w:tcPr>
          <w:p>
            <w:pPr>
              <w:pStyle w:val="168"/>
              <w:rPr>
                <w:sz w:val="20"/>
                <w:highlight w:val="none"/>
                <w:lang w:bidi="zh-CN"/>
              </w:rPr>
            </w:pPr>
            <w:r>
              <w:rPr>
                <w:sz w:val="20"/>
                <w:highlight w:val="none"/>
                <w:lang w:bidi="zh-CN"/>
              </w:rPr>
              <w:t>2.8</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1,2,3-三氯丙烷</w:t>
            </w:r>
          </w:p>
        </w:tc>
        <w:tc>
          <w:tcPr>
            <w:tcW w:w="1585" w:type="dxa"/>
            <w:shd w:val="clear" w:color="auto" w:fill="auto"/>
          </w:tcPr>
          <w:p>
            <w:pPr>
              <w:pStyle w:val="168"/>
              <w:rPr>
                <w:sz w:val="20"/>
                <w:highlight w:val="none"/>
                <w:lang w:bidi="zh-CN"/>
              </w:rPr>
            </w:pPr>
            <w:r>
              <w:rPr>
                <w:sz w:val="20"/>
                <w:highlight w:val="none"/>
                <w:lang w:bidi="zh-CN"/>
              </w:rPr>
              <w:t>0.5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氯乙烯</w:t>
            </w:r>
          </w:p>
        </w:tc>
        <w:tc>
          <w:tcPr>
            <w:tcW w:w="1585" w:type="dxa"/>
            <w:shd w:val="clear" w:color="auto" w:fill="auto"/>
          </w:tcPr>
          <w:p>
            <w:pPr>
              <w:pStyle w:val="168"/>
              <w:rPr>
                <w:sz w:val="20"/>
                <w:highlight w:val="none"/>
                <w:lang w:bidi="zh-CN"/>
              </w:rPr>
            </w:pPr>
            <w:r>
              <w:rPr>
                <w:sz w:val="20"/>
                <w:highlight w:val="none"/>
                <w:lang w:bidi="zh-CN"/>
              </w:rPr>
              <w:t>0.43</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苯</w:t>
            </w:r>
          </w:p>
        </w:tc>
        <w:tc>
          <w:tcPr>
            <w:tcW w:w="1585" w:type="dxa"/>
            <w:shd w:val="clear" w:color="auto" w:fill="auto"/>
          </w:tcPr>
          <w:p>
            <w:pPr>
              <w:pStyle w:val="168"/>
              <w:rPr>
                <w:sz w:val="20"/>
                <w:highlight w:val="none"/>
                <w:lang w:bidi="zh-CN"/>
              </w:rPr>
            </w:pPr>
            <w:r>
              <w:rPr>
                <w:sz w:val="20"/>
                <w:highlight w:val="none"/>
                <w:lang w:bidi="zh-CN"/>
              </w:rPr>
              <w:t>4</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氯苯</w:t>
            </w:r>
          </w:p>
        </w:tc>
        <w:tc>
          <w:tcPr>
            <w:tcW w:w="1585" w:type="dxa"/>
            <w:shd w:val="clear" w:color="auto" w:fill="auto"/>
          </w:tcPr>
          <w:p>
            <w:pPr>
              <w:pStyle w:val="168"/>
              <w:rPr>
                <w:sz w:val="20"/>
                <w:highlight w:val="none"/>
                <w:lang w:bidi="zh-CN"/>
              </w:rPr>
            </w:pPr>
            <w:r>
              <w:rPr>
                <w:sz w:val="20"/>
                <w:highlight w:val="none"/>
                <w:lang w:bidi="zh-CN"/>
              </w:rPr>
              <w:t>270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1,2-二氯苯</w:t>
            </w:r>
          </w:p>
        </w:tc>
        <w:tc>
          <w:tcPr>
            <w:tcW w:w="1585" w:type="dxa"/>
            <w:shd w:val="clear" w:color="auto" w:fill="auto"/>
          </w:tcPr>
          <w:p>
            <w:pPr>
              <w:pStyle w:val="168"/>
              <w:rPr>
                <w:sz w:val="20"/>
                <w:highlight w:val="none"/>
                <w:lang w:bidi="zh-CN"/>
              </w:rPr>
            </w:pPr>
            <w:r>
              <w:rPr>
                <w:sz w:val="20"/>
                <w:highlight w:val="none"/>
                <w:lang w:bidi="zh-CN"/>
              </w:rPr>
              <w:t>560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1,4-二氯苯</w:t>
            </w:r>
          </w:p>
        </w:tc>
        <w:tc>
          <w:tcPr>
            <w:tcW w:w="1585" w:type="dxa"/>
            <w:shd w:val="clear" w:color="auto" w:fill="auto"/>
          </w:tcPr>
          <w:p>
            <w:pPr>
              <w:pStyle w:val="168"/>
              <w:rPr>
                <w:sz w:val="20"/>
                <w:highlight w:val="none"/>
                <w:lang w:bidi="zh-CN"/>
              </w:rPr>
            </w:pPr>
            <w:r>
              <w:rPr>
                <w:sz w:val="20"/>
                <w:highlight w:val="none"/>
                <w:lang w:bidi="zh-CN"/>
              </w:rPr>
              <w:t>20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乙苯</w:t>
            </w:r>
          </w:p>
        </w:tc>
        <w:tc>
          <w:tcPr>
            <w:tcW w:w="1585" w:type="dxa"/>
            <w:shd w:val="clear" w:color="auto" w:fill="auto"/>
          </w:tcPr>
          <w:p>
            <w:pPr>
              <w:pStyle w:val="168"/>
              <w:rPr>
                <w:sz w:val="20"/>
                <w:highlight w:val="none"/>
                <w:lang w:bidi="zh-CN"/>
              </w:rPr>
            </w:pPr>
            <w:r>
              <w:rPr>
                <w:sz w:val="20"/>
                <w:highlight w:val="none"/>
                <w:lang w:bidi="zh-CN"/>
              </w:rPr>
              <w:t>28</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苯乙烯</w:t>
            </w:r>
          </w:p>
        </w:tc>
        <w:tc>
          <w:tcPr>
            <w:tcW w:w="1585" w:type="dxa"/>
            <w:shd w:val="clear" w:color="auto" w:fill="auto"/>
          </w:tcPr>
          <w:p>
            <w:pPr>
              <w:pStyle w:val="168"/>
              <w:rPr>
                <w:sz w:val="20"/>
                <w:highlight w:val="none"/>
                <w:lang w:bidi="zh-CN"/>
              </w:rPr>
            </w:pPr>
            <w:r>
              <w:rPr>
                <w:sz w:val="20"/>
                <w:highlight w:val="none"/>
                <w:lang w:bidi="zh-CN"/>
              </w:rPr>
              <w:t>1290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甲苯</w:t>
            </w:r>
          </w:p>
        </w:tc>
        <w:tc>
          <w:tcPr>
            <w:tcW w:w="1585" w:type="dxa"/>
            <w:shd w:val="clear" w:color="auto" w:fill="auto"/>
          </w:tcPr>
          <w:p>
            <w:pPr>
              <w:pStyle w:val="168"/>
              <w:rPr>
                <w:sz w:val="20"/>
                <w:highlight w:val="none"/>
                <w:lang w:bidi="zh-CN"/>
              </w:rPr>
            </w:pPr>
            <w:r>
              <w:rPr>
                <w:sz w:val="20"/>
                <w:highlight w:val="none"/>
                <w:lang w:bidi="zh-CN"/>
              </w:rPr>
              <w:t>1200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间,对-二甲苯</w:t>
            </w:r>
          </w:p>
        </w:tc>
        <w:tc>
          <w:tcPr>
            <w:tcW w:w="1585" w:type="dxa"/>
            <w:shd w:val="clear" w:color="auto" w:fill="auto"/>
          </w:tcPr>
          <w:p>
            <w:pPr>
              <w:pStyle w:val="168"/>
              <w:rPr>
                <w:sz w:val="20"/>
                <w:highlight w:val="none"/>
                <w:lang w:bidi="zh-CN"/>
              </w:rPr>
            </w:pPr>
            <w:r>
              <w:rPr>
                <w:sz w:val="20"/>
                <w:highlight w:val="none"/>
                <w:lang w:bidi="zh-CN"/>
              </w:rPr>
              <w:t>570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邻-二甲苯</w:t>
            </w:r>
          </w:p>
        </w:tc>
        <w:tc>
          <w:tcPr>
            <w:tcW w:w="1585" w:type="dxa"/>
            <w:shd w:val="clear" w:color="auto" w:fill="auto"/>
          </w:tcPr>
          <w:p>
            <w:pPr>
              <w:pStyle w:val="168"/>
              <w:rPr>
                <w:sz w:val="20"/>
                <w:highlight w:val="none"/>
                <w:lang w:bidi="zh-CN"/>
              </w:rPr>
            </w:pPr>
            <w:r>
              <w:rPr>
                <w:sz w:val="20"/>
                <w:highlight w:val="none"/>
                <w:lang w:bidi="zh-CN"/>
              </w:rPr>
              <w:t>640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硝基苯</w:t>
            </w:r>
          </w:p>
        </w:tc>
        <w:tc>
          <w:tcPr>
            <w:tcW w:w="1585" w:type="dxa"/>
            <w:shd w:val="clear" w:color="auto" w:fill="auto"/>
          </w:tcPr>
          <w:p>
            <w:pPr>
              <w:pStyle w:val="168"/>
              <w:rPr>
                <w:sz w:val="20"/>
                <w:highlight w:val="none"/>
                <w:lang w:bidi="zh-CN"/>
              </w:rPr>
            </w:pPr>
            <w:r>
              <w:rPr>
                <w:sz w:val="20"/>
                <w:highlight w:val="none"/>
                <w:lang w:bidi="zh-CN"/>
              </w:rPr>
              <w:t>76</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苯胺</w:t>
            </w:r>
          </w:p>
        </w:tc>
        <w:tc>
          <w:tcPr>
            <w:tcW w:w="1585" w:type="dxa"/>
            <w:shd w:val="clear" w:color="auto" w:fill="auto"/>
          </w:tcPr>
          <w:p>
            <w:pPr>
              <w:pStyle w:val="168"/>
              <w:rPr>
                <w:sz w:val="20"/>
                <w:highlight w:val="none"/>
                <w:lang w:bidi="zh-CN"/>
              </w:rPr>
            </w:pPr>
            <w:r>
              <w:rPr>
                <w:sz w:val="20"/>
                <w:highlight w:val="none"/>
                <w:lang w:bidi="zh-CN"/>
              </w:rPr>
              <w:t>260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2-氯酚</w:t>
            </w:r>
          </w:p>
        </w:tc>
        <w:tc>
          <w:tcPr>
            <w:tcW w:w="1585" w:type="dxa"/>
            <w:shd w:val="clear" w:color="auto" w:fill="auto"/>
          </w:tcPr>
          <w:p>
            <w:pPr>
              <w:pStyle w:val="168"/>
              <w:rPr>
                <w:sz w:val="20"/>
                <w:highlight w:val="none"/>
                <w:lang w:bidi="zh-CN"/>
              </w:rPr>
            </w:pPr>
            <w:r>
              <w:rPr>
                <w:sz w:val="20"/>
                <w:highlight w:val="none"/>
                <w:lang w:bidi="zh-CN"/>
              </w:rPr>
              <w:t>2256</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苯并[a]蒽</w:t>
            </w:r>
          </w:p>
        </w:tc>
        <w:tc>
          <w:tcPr>
            <w:tcW w:w="1585" w:type="dxa"/>
            <w:shd w:val="clear" w:color="auto" w:fill="auto"/>
          </w:tcPr>
          <w:p>
            <w:pPr>
              <w:pStyle w:val="168"/>
              <w:rPr>
                <w:sz w:val="20"/>
                <w:highlight w:val="none"/>
                <w:lang w:bidi="zh-CN"/>
              </w:rPr>
            </w:pPr>
            <w:r>
              <w:rPr>
                <w:sz w:val="20"/>
                <w:highlight w:val="none"/>
                <w:lang w:bidi="zh-CN"/>
              </w:rPr>
              <w:t>15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苯并[a]芘</w:t>
            </w:r>
          </w:p>
        </w:tc>
        <w:tc>
          <w:tcPr>
            <w:tcW w:w="1585" w:type="dxa"/>
            <w:shd w:val="clear" w:color="auto" w:fill="auto"/>
          </w:tcPr>
          <w:p>
            <w:pPr>
              <w:pStyle w:val="168"/>
              <w:rPr>
                <w:sz w:val="20"/>
                <w:highlight w:val="none"/>
                <w:lang w:bidi="zh-CN"/>
              </w:rPr>
            </w:pPr>
            <w:r>
              <w:rPr>
                <w:sz w:val="20"/>
                <w:highlight w:val="none"/>
                <w:lang w:bidi="zh-CN"/>
              </w:rPr>
              <w:t>1.5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苯并[b]荧蒽</w:t>
            </w:r>
          </w:p>
        </w:tc>
        <w:tc>
          <w:tcPr>
            <w:tcW w:w="1585" w:type="dxa"/>
            <w:shd w:val="clear" w:color="auto" w:fill="auto"/>
          </w:tcPr>
          <w:p>
            <w:pPr>
              <w:pStyle w:val="168"/>
              <w:rPr>
                <w:sz w:val="20"/>
                <w:highlight w:val="none"/>
                <w:lang w:bidi="zh-CN"/>
              </w:rPr>
            </w:pPr>
            <w:r>
              <w:rPr>
                <w:sz w:val="20"/>
                <w:highlight w:val="none"/>
                <w:lang w:bidi="zh-CN"/>
              </w:rPr>
              <w:t>15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苯并[k]荧蒽</w:t>
            </w:r>
          </w:p>
        </w:tc>
        <w:tc>
          <w:tcPr>
            <w:tcW w:w="1585" w:type="dxa"/>
            <w:shd w:val="clear" w:color="auto" w:fill="auto"/>
          </w:tcPr>
          <w:p>
            <w:pPr>
              <w:pStyle w:val="168"/>
              <w:rPr>
                <w:sz w:val="20"/>
                <w:highlight w:val="none"/>
                <w:lang w:bidi="zh-CN"/>
              </w:rPr>
            </w:pPr>
            <w:r>
              <w:rPr>
                <w:sz w:val="20"/>
                <w:highlight w:val="none"/>
                <w:lang w:bidi="zh-CN"/>
              </w:rPr>
              <w:t>151</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䓛</w:t>
            </w:r>
          </w:p>
        </w:tc>
        <w:tc>
          <w:tcPr>
            <w:tcW w:w="1585" w:type="dxa"/>
            <w:shd w:val="clear" w:color="auto" w:fill="auto"/>
          </w:tcPr>
          <w:p>
            <w:pPr>
              <w:pStyle w:val="168"/>
              <w:rPr>
                <w:sz w:val="20"/>
                <w:highlight w:val="none"/>
                <w:lang w:bidi="zh-CN"/>
              </w:rPr>
            </w:pPr>
            <w:r>
              <w:rPr>
                <w:sz w:val="20"/>
                <w:highlight w:val="none"/>
                <w:lang w:bidi="zh-CN"/>
              </w:rPr>
              <w:t>1293</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二苯并[a，h]蒽</w:t>
            </w:r>
          </w:p>
        </w:tc>
        <w:tc>
          <w:tcPr>
            <w:tcW w:w="1585" w:type="dxa"/>
            <w:shd w:val="clear" w:color="auto" w:fill="auto"/>
          </w:tcPr>
          <w:p>
            <w:pPr>
              <w:pStyle w:val="168"/>
              <w:rPr>
                <w:sz w:val="20"/>
                <w:highlight w:val="none"/>
                <w:lang w:bidi="zh-CN"/>
              </w:rPr>
            </w:pPr>
            <w:r>
              <w:rPr>
                <w:sz w:val="20"/>
                <w:highlight w:val="none"/>
                <w:lang w:bidi="zh-CN"/>
              </w:rPr>
              <w:t>1.5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168"/>
              <w:rPr>
                <w:sz w:val="20"/>
                <w:highlight w:val="none"/>
              </w:rPr>
            </w:pPr>
          </w:p>
        </w:tc>
        <w:tc>
          <w:tcPr>
            <w:tcW w:w="1940" w:type="dxa"/>
            <w:shd w:val="clear" w:color="auto" w:fill="auto"/>
          </w:tcPr>
          <w:p>
            <w:pPr>
              <w:pStyle w:val="168"/>
              <w:rPr>
                <w:sz w:val="20"/>
                <w:highlight w:val="none"/>
                <w:lang w:bidi="zh-CN"/>
              </w:rPr>
            </w:pPr>
            <w:r>
              <w:rPr>
                <w:sz w:val="20"/>
                <w:highlight w:val="none"/>
                <w:lang w:bidi="zh-CN"/>
              </w:rPr>
              <w:t>茚并[1,2,3-cd]芘</w:t>
            </w:r>
          </w:p>
        </w:tc>
        <w:tc>
          <w:tcPr>
            <w:tcW w:w="1585" w:type="dxa"/>
            <w:shd w:val="clear" w:color="auto" w:fill="auto"/>
          </w:tcPr>
          <w:p>
            <w:pPr>
              <w:pStyle w:val="168"/>
              <w:rPr>
                <w:sz w:val="20"/>
                <w:highlight w:val="none"/>
                <w:lang w:bidi="zh-CN"/>
              </w:rPr>
            </w:pPr>
            <w:r>
              <w:rPr>
                <w:sz w:val="20"/>
                <w:highlight w:val="none"/>
                <w:lang w:bidi="zh-CN"/>
              </w:rPr>
              <w:t>15</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539" w:type="dxa"/>
            <w:vMerge w:val="continue"/>
            <w:shd w:val="clear" w:color="auto" w:fill="auto"/>
          </w:tcPr>
          <w:p>
            <w:pPr>
              <w:pStyle w:val="168"/>
              <w:rPr>
                <w:sz w:val="20"/>
                <w:highlight w:val="none"/>
              </w:rPr>
            </w:pPr>
          </w:p>
        </w:tc>
        <w:tc>
          <w:tcPr>
            <w:tcW w:w="1940" w:type="dxa"/>
            <w:shd w:val="clear" w:color="auto" w:fill="auto"/>
            <w:vAlign w:val="center"/>
          </w:tcPr>
          <w:p>
            <w:pPr>
              <w:pStyle w:val="168"/>
              <w:rPr>
                <w:sz w:val="20"/>
                <w:highlight w:val="none"/>
                <w:lang w:bidi="zh-CN"/>
              </w:rPr>
            </w:pPr>
            <w:r>
              <w:rPr>
                <w:sz w:val="20"/>
                <w:highlight w:val="none"/>
                <w:lang w:bidi="zh-CN"/>
              </w:rPr>
              <w:t>萘</w:t>
            </w:r>
          </w:p>
        </w:tc>
        <w:tc>
          <w:tcPr>
            <w:tcW w:w="1585" w:type="dxa"/>
            <w:shd w:val="clear" w:color="auto" w:fill="auto"/>
            <w:vAlign w:val="center"/>
          </w:tcPr>
          <w:p>
            <w:pPr>
              <w:pStyle w:val="168"/>
              <w:rPr>
                <w:sz w:val="20"/>
                <w:highlight w:val="none"/>
                <w:lang w:bidi="zh-CN"/>
              </w:rPr>
            </w:pPr>
            <w:r>
              <w:rPr>
                <w:sz w:val="20"/>
                <w:highlight w:val="none"/>
                <w:lang w:bidi="zh-CN"/>
              </w:rPr>
              <w:t>70</w:t>
            </w:r>
          </w:p>
        </w:tc>
        <w:tc>
          <w:tcPr>
            <w:tcW w:w="1588" w:type="dxa"/>
            <w:vMerge w:val="continue"/>
            <w:shd w:val="clear" w:color="auto" w:fill="auto"/>
          </w:tcPr>
          <w:p>
            <w:pPr>
              <w:pStyle w:val="168"/>
              <w:rPr>
                <w:sz w:val="20"/>
                <w:highlight w:val="none"/>
                <w:lang w:bidi="zh-CN"/>
              </w:rPr>
            </w:pPr>
          </w:p>
        </w:tc>
        <w:tc>
          <w:tcPr>
            <w:tcW w:w="1876" w:type="dxa"/>
            <w:vMerge w:val="continue"/>
            <w:shd w:val="clear" w:color="auto" w:fill="auto"/>
          </w:tcPr>
          <w:p>
            <w:pPr>
              <w:pStyle w:val="168"/>
              <w:rPr>
                <w:sz w:val="20"/>
                <w:highlight w:val="none"/>
                <w:lang w:bidi="zh-CN"/>
              </w:rPr>
            </w:pPr>
          </w:p>
        </w:tc>
      </w:tr>
    </w:tbl>
    <w:p>
      <w:pPr>
        <w:spacing w:line="240" w:lineRule="auto"/>
        <w:ind w:firstLineChars="0"/>
        <w:jc w:val="center"/>
        <w:textAlignment w:val="auto"/>
        <w:rPr>
          <w:rFonts w:eastAsia="黑体"/>
          <w:kern w:val="2"/>
          <w:sz w:val="21"/>
          <w:szCs w:val="21"/>
          <w:highlight w:val="none"/>
        </w:rPr>
      </w:pPr>
      <w:r>
        <w:rPr>
          <w:rFonts w:hint="eastAsia" w:eastAsia="黑体"/>
          <w:kern w:val="2"/>
          <w:sz w:val="21"/>
          <w:szCs w:val="21"/>
          <w:highlight w:val="none"/>
        </w:rPr>
        <w:t>表 2.7–6   农用地土壤污染风险筛选值（基本项目）</w:t>
      </w:r>
    </w:p>
    <w:tbl>
      <w:tblPr>
        <w:tblStyle w:val="5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775"/>
        <w:gridCol w:w="1211"/>
        <w:gridCol w:w="1468"/>
        <w:gridCol w:w="1480"/>
        <w:gridCol w:w="1480"/>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417"/>
              <w:spacing w:line="240" w:lineRule="auto"/>
              <w:rPr>
                <w:highlight w:val="none"/>
                <w:lang w:bidi="zh-CN"/>
              </w:rPr>
            </w:pPr>
            <w:r>
              <w:rPr>
                <w:rFonts w:hint="eastAsia"/>
                <w:highlight w:val="none"/>
                <w:lang w:bidi="zh-CN"/>
              </w:rPr>
              <w:t>序号</w:t>
            </w:r>
          </w:p>
        </w:tc>
        <w:tc>
          <w:tcPr>
            <w:tcW w:w="1986" w:type="dxa"/>
            <w:gridSpan w:val="2"/>
            <w:vMerge w:val="restart"/>
            <w:shd w:val="clear" w:color="auto" w:fill="auto"/>
            <w:vAlign w:val="center"/>
          </w:tcPr>
          <w:p>
            <w:pPr>
              <w:pStyle w:val="417"/>
              <w:spacing w:line="240" w:lineRule="auto"/>
              <w:rPr>
                <w:highlight w:val="none"/>
                <w:lang w:bidi="zh-CN"/>
              </w:rPr>
            </w:pPr>
            <w:r>
              <w:rPr>
                <w:rFonts w:hint="eastAsia"/>
                <w:highlight w:val="none"/>
                <w:lang w:bidi="zh-CN"/>
              </w:rPr>
              <w:t>污染物项目</w:t>
            </w:r>
          </w:p>
        </w:tc>
        <w:tc>
          <w:tcPr>
            <w:tcW w:w="5702" w:type="dxa"/>
            <w:gridSpan w:val="4"/>
            <w:shd w:val="clear" w:color="auto" w:fill="auto"/>
            <w:vAlign w:val="center"/>
          </w:tcPr>
          <w:p>
            <w:pPr>
              <w:pStyle w:val="417"/>
              <w:spacing w:line="240" w:lineRule="auto"/>
              <w:rPr>
                <w:highlight w:val="none"/>
                <w:lang w:bidi="zh-CN"/>
              </w:rPr>
            </w:pPr>
            <w:r>
              <w:rPr>
                <w:rFonts w:hint="eastAsia"/>
                <w:highlight w:val="none"/>
                <w:lang w:bidi="zh-CN"/>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417"/>
              <w:spacing w:line="240" w:lineRule="auto"/>
              <w:rPr>
                <w:highlight w:val="none"/>
                <w:lang w:bidi="zh-CN"/>
              </w:rPr>
            </w:pPr>
          </w:p>
        </w:tc>
        <w:tc>
          <w:tcPr>
            <w:tcW w:w="1986" w:type="dxa"/>
            <w:gridSpan w:val="2"/>
            <w:vMerge w:val="continue"/>
            <w:shd w:val="clear" w:color="auto" w:fill="auto"/>
            <w:vAlign w:val="center"/>
          </w:tcPr>
          <w:p>
            <w:pPr>
              <w:pStyle w:val="417"/>
              <w:spacing w:line="240" w:lineRule="auto"/>
              <w:rPr>
                <w:highlight w:val="none"/>
                <w:lang w:bidi="zh-CN"/>
              </w:rPr>
            </w:pP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pH≤5.5</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5.5≤pH≤6.5</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6.5≤pH≤7.5</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pH＞7.5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417"/>
              <w:spacing w:line="240" w:lineRule="auto"/>
              <w:rPr>
                <w:highlight w:val="none"/>
                <w:lang w:bidi="zh-CN"/>
              </w:rPr>
            </w:pPr>
            <w:r>
              <w:rPr>
                <w:rFonts w:hint="eastAsia"/>
                <w:highlight w:val="none"/>
                <w:lang w:bidi="zh-CN"/>
              </w:rPr>
              <w:t>1</w:t>
            </w:r>
          </w:p>
        </w:tc>
        <w:tc>
          <w:tcPr>
            <w:tcW w:w="775" w:type="dxa"/>
            <w:vMerge w:val="restart"/>
            <w:shd w:val="clear" w:color="auto" w:fill="auto"/>
            <w:vAlign w:val="center"/>
          </w:tcPr>
          <w:p>
            <w:pPr>
              <w:pStyle w:val="417"/>
              <w:spacing w:line="240" w:lineRule="auto"/>
              <w:rPr>
                <w:highlight w:val="none"/>
                <w:lang w:bidi="zh-CN"/>
              </w:rPr>
            </w:pPr>
            <w:r>
              <w:rPr>
                <w:rFonts w:hint="eastAsia"/>
                <w:highlight w:val="none"/>
                <w:lang w:bidi="zh-CN"/>
              </w:rPr>
              <w:t>镉</w:t>
            </w: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水田</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0.3</w:t>
            </w:r>
          </w:p>
        </w:tc>
        <w:tc>
          <w:tcPr>
            <w:tcW w:w="1480" w:type="dxa"/>
            <w:shd w:val="clear" w:color="auto" w:fill="auto"/>
            <w:vAlign w:val="center"/>
          </w:tcPr>
          <w:p>
            <w:pPr>
              <w:pStyle w:val="417"/>
              <w:spacing w:line="240" w:lineRule="auto"/>
              <w:jc w:val="left"/>
              <w:rPr>
                <w:highlight w:val="none"/>
                <w:lang w:bidi="zh-CN"/>
              </w:rPr>
            </w:pPr>
            <w:r>
              <w:rPr>
                <w:rFonts w:hint="eastAsia"/>
                <w:highlight w:val="none"/>
                <w:lang w:bidi="zh-CN"/>
              </w:rPr>
              <w:t>0.4</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0.6</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417"/>
              <w:spacing w:line="240" w:lineRule="auto"/>
              <w:rPr>
                <w:highlight w:val="none"/>
                <w:lang w:bidi="zh-CN"/>
              </w:rPr>
            </w:pPr>
          </w:p>
        </w:tc>
        <w:tc>
          <w:tcPr>
            <w:tcW w:w="775" w:type="dxa"/>
            <w:vMerge w:val="continue"/>
            <w:shd w:val="clear" w:color="auto" w:fill="auto"/>
            <w:vAlign w:val="center"/>
          </w:tcPr>
          <w:p>
            <w:pPr>
              <w:pStyle w:val="417"/>
              <w:spacing w:line="240" w:lineRule="auto"/>
              <w:rPr>
                <w:highlight w:val="none"/>
                <w:lang w:bidi="zh-CN"/>
              </w:rPr>
            </w:pP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0.3</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0.3</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0.3</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417"/>
              <w:spacing w:line="240" w:lineRule="auto"/>
              <w:rPr>
                <w:highlight w:val="none"/>
                <w:lang w:bidi="zh-CN"/>
              </w:rPr>
            </w:pPr>
            <w:r>
              <w:rPr>
                <w:rFonts w:hint="eastAsia"/>
                <w:highlight w:val="none"/>
                <w:lang w:bidi="zh-CN"/>
              </w:rPr>
              <w:t>2</w:t>
            </w:r>
          </w:p>
        </w:tc>
        <w:tc>
          <w:tcPr>
            <w:tcW w:w="775" w:type="dxa"/>
            <w:vMerge w:val="restart"/>
            <w:shd w:val="clear" w:color="auto" w:fill="auto"/>
            <w:vAlign w:val="center"/>
          </w:tcPr>
          <w:p>
            <w:pPr>
              <w:pStyle w:val="417"/>
              <w:spacing w:line="240" w:lineRule="auto"/>
              <w:rPr>
                <w:highlight w:val="none"/>
                <w:lang w:bidi="zh-CN"/>
              </w:rPr>
            </w:pPr>
            <w:r>
              <w:rPr>
                <w:rFonts w:hint="eastAsia"/>
                <w:highlight w:val="none"/>
                <w:lang w:bidi="zh-CN"/>
              </w:rPr>
              <w:t>汞</w:t>
            </w: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水田</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0.5</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0.5</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0.6</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417"/>
              <w:spacing w:line="240" w:lineRule="auto"/>
              <w:rPr>
                <w:highlight w:val="none"/>
                <w:lang w:bidi="zh-CN"/>
              </w:rPr>
            </w:pPr>
          </w:p>
        </w:tc>
        <w:tc>
          <w:tcPr>
            <w:tcW w:w="775" w:type="dxa"/>
            <w:vMerge w:val="continue"/>
            <w:shd w:val="clear" w:color="auto" w:fill="auto"/>
            <w:vAlign w:val="center"/>
          </w:tcPr>
          <w:p>
            <w:pPr>
              <w:pStyle w:val="417"/>
              <w:spacing w:line="240" w:lineRule="auto"/>
              <w:rPr>
                <w:highlight w:val="none"/>
                <w:lang w:bidi="zh-CN"/>
              </w:rPr>
            </w:pP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1.3</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1.8</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2.4</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417"/>
              <w:spacing w:line="240" w:lineRule="auto"/>
              <w:rPr>
                <w:highlight w:val="none"/>
                <w:lang w:bidi="zh-CN"/>
              </w:rPr>
            </w:pPr>
            <w:r>
              <w:rPr>
                <w:rFonts w:hint="eastAsia"/>
                <w:highlight w:val="none"/>
                <w:lang w:bidi="zh-CN"/>
              </w:rPr>
              <w:t>3</w:t>
            </w:r>
          </w:p>
        </w:tc>
        <w:tc>
          <w:tcPr>
            <w:tcW w:w="775" w:type="dxa"/>
            <w:vMerge w:val="restart"/>
            <w:shd w:val="clear" w:color="auto" w:fill="auto"/>
            <w:vAlign w:val="center"/>
          </w:tcPr>
          <w:p>
            <w:pPr>
              <w:pStyle w:val="417"/>
              <w:spacing w:line="240" w:lineRule="auto"/>
              <w:rPr>
                <w:highlight w:val="none"/>
                <w:lang w:bidi="zh-CN"/>
              </w:rPr>
            </w:pPr>
            <w:r>
              <w:rPr>
                <w:rFonts w:hint="eastAsia"/>
                <w:highlight w:val="none"/>
                <w:lang w:bidi="zh-CN"/>
              </w:rPr>
              <w:t>砷</w:t>
            </w: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水田</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30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30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25</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417"/>
              <w:spacing w:line="240" w:lineRule="auto"/>
              <w:rPr>
                <w:highlight w:val="none"/>
                <w:lang w:bidi="zh-CN"/>
              </w:rPr>
            </w:pPr>
          </w:p>
        </w:tc>
        <w:tc>
          <w:tcPr>
            <w:tcW w:w="775" w:type="dxa"/>
            <w:vMerge w:val="continue"/>
            <w:shd w:val="clear" w:color="auto" w:fill="auto"/>
            <w:vAlign w:val="center"/>
          </w:tcPr>
          <w:p>
            <w:pPr>
              <w:pStyle w:val="417"/>
              <w:spacing w:line="240" w:lineRule="auto"/>
              <w:rPr>
                <w:highlight w:val="none"/>
                <w:lang w:bidi="zh-CN"/>
              </w:rPr>
            </w:pP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40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40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30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417"/>
              <w:spacing w:line="240" w:lineRule="auto"/>
              <w:rPr>
                <w:highlight w:val="none"/>
                <w:lang w:bidi="zh-CN"/>
              </w:rPr>
            </w:pPr>
            <w:r>
              <w:rPr>
                <w:rFonts w:hint="eastAsia"/>
                <w:highlight w:val="none"/>
                <w:lang w:bidi="zh-CN"/>
              </w:rPr>
              <w:t>4</w:t>
            </w:r>
          </w:p>
        </w:tc>
        <w:tc>
          <w:tcPr>
            <w:tcW w:w="775" w:type="dxa"/>
            <w:vMerge w:val="restart"/>
            <w:shd w:val="clear" w:color="auto" w:fill="auto"/>
            <w:vAlign w:val="center"/>
          </w:tcPr>
          <w:p>
            <w:pPr>
              <w:pStyle w:val="417"/>
              <w:spacing w:line="240" w:lineRule="auto"/>
              <w:rPr>
                <w:highlight w:val="none"/>
                <w:lang w:bidi="zh-CN"/>
              </w:rPr>
            </w:pPr>
            <w:r>
              <w:rPr>
                <w:rFonts w:hint="eastAsia"/>
                <w:highlight w:val="none"/>
                <w:lang w:bidi="zh-CN"/>
              </w:rPr>
              <w:t>铅</w:t>
            </w: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水田</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80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100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140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417"/>
              <w:spacing w:line="240" w:lineRule="auto"/>
              <w:rPr>
                <w:highlight w:val="none"/>
                <w:lang w:bidi="zh-CN"/>
              </w:rPr>
            </w:pPr>
          </w:p>
        </w:tc>
        <w:tc>
          <w:tcPr>
            <w:tcW w:w="775" w:type="dxa"/>
            <w:vMerge w:val="continue"/>
            <w:shd w:val="clear" w:color="auto" w:fill="auto"/>
            <w:vAlign w:val="center"/>
          </w:tcPr>
          <w:p>
            <w:pPr>
              <w:pStyle w:val="417"/>
              <w:spacing w:line="240" w:lineRule="auto"/>
              <w:rPr>
                <w:highlight w:val="none"/>
                <w:lang w:bidi="zh-CN"/>
              </w:rPr>
            </w:pP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70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90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120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417"/>
              <w:spacing w:line="240" w:lineRule="auto"/>
              <w:rPr>
                <w:highlight w:val="none"/>
                <w:lang w:bidi="zh-CN"/>
              </w:rPr>
            </w:pPr>
            <w:r>
              <w:rPr>
                <w:rFonts w:hint="eastAsia"/>
                <w:highlight w:val="none"/>
                <w:lang w:bidi="zh-CN"/>
              </w:rPr>
              <w:t>5</w:t>
            </w:r>
          </w:p>
        </w:tc>
        <w:tc>
          <w:tcPr>
            <w:tcW w:w="775" w:type="dxa"/>
            <w:vMerge w:val="restart"/>
            <w:shd w:val="clear" w:color="auto" w:fill="auto"/>
            <w:vAlign w:val="center"/>
          </w:tcPr>
          <w:p>
            <w:pPr>
              <w:pStyle w:val="417"/>
              <w:spacing w:line="240" w:lineRule="auto"/>
              <w:rPr>
                <w:highlight w:val="none"/>
                <w:lang w:bidi="zh-CN"/>
              </w:rPr>
            </w:pPr>
            <w:r>
              <w:rPr>
                <w:rFonts w:hint="eastAsia"/>
                <w:highlight w:val="none"/>
                <w:lang w:bidi="zh-CN"/>
              </w:rPr>
              <w:t>铬</w:t>
            </w: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水田</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250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250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300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417"/>
              <w:spacing w:line="240" w:lineRule="auto"/>
              <w:rPr>
                <w:highlight w:val="none"/>
                <w:lang w:bidi="zh-CN"/>
              </w:rPr>
            </w:pPr>
          </w:p>
        </w:tc>
        <w:tc>
          <w:tcPr>
            <w:tcW w:w="775" w:type="dxa"/>
            <w:vMerge w:val="continue"/>
            <w:shd w:val="clear" w:color="auto" w:fill="auto"/>
            <w:vAlign w:val="center"/>
          </w:tcPr>
          <w:p>
            <w:pPr>
              <w:pStyle w:val="417"/>
              <w:spacing w:line="240" w:lineRule="auto"/>
              <w:rPr>
                <w:highlight w:val="none"/>
                <w:lang w:bidi="zh-CN"/>
              </w:rPr>
            </w:pP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150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150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200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417"/>
              <w:spacing w:line="240" w:lineRule="auto"/>
              <w:rPr>
                <w:highlight w:val="none"/>
                <w:lang w:bidi="zh-CN"/>
              </w:rPr>
            </w:pPr>
            <w:r>
              <w:rPr>
                <w:rFonts w:hint="eastAsia"/>
                <w:highlight w:val="none"/>
                <w:lang w:bidi="zh-CN"/>
              </w:rPr>
              <w:t>6</w:t>
            </w:r>
          </w:p>
        </w:tc>
        <w:tc>
          <w:tcPr>
            <w:tcW w:w="775" w:type="dxa"/>
            <w:vMerge w:val="restart"/>
            <w:shd w:val="clear" w:color="auto" w:fill="auto"/>
            <w:vAlign w:val="center"/>
          </w:tcPr>
          <w:p>
            <w:pPr>
              <w:pStyle w:val="417"/>
              <w:spacing w:line="240" w:lineRule="auto"/>
              <w:rPr>
                <w:highlight w:val="none"/>
                <w:lang w:bidi="zh-CN"/>
              </w:rPr>
            </w:pPr>
            <w:r>
              <w:rPr>
                <w:rFonts w:hint="eastAsia"/>
                <w:highlight w:val="none"/>
                <w:lang w:bidi="zh-CN"/>
              </w:rPr>
              <w:t>铜</w:t>
            </w: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果园</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150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150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200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417"/>
              <w:spacing w:line="240" w:lineRule="auto"/>
              <w:rPr>
                <w:highlight w:val="none"/>
                <w:lang w:bidi="zh-CN"/>
              </w:rPr>
            </w:pPr>
          </w:p>
        </w:tc>
        <w:tc>
          <w:tcPr>
            <w:tcW w:w="775" w:type="dxa"/>
            <w:vMerge w:val="continue"/>
            <w:shd w:val="clear" w:color="auto" w:fill="auto"/>
            <w:vAlign w:val="center"/>
          </w:tcPr>
          <w:p>
            <w:pPr>
              <w:pStyle w:val="417"/>
              <w:spacing w:line="240" w:lineRule="auto"/>
              <w:rPr>
                <w:highlight w:val="none"/>
                <w:lang w:bidi="zh-CN"/>
              </w:rPr>
            </w:pPr>
          </w:p>
        </w:tc>
        <w:tc>
          <w:tcPr>
            <w:tcW w:w="1211" w:type="dxa"/>
            <w:shd w:val="clear" w:color="auto" w:fill="auto"/>
            <w:vAlign w:val="center"/>
          </w:tcPr>
          <w:p>
            <w:pPr>
              <w:pStyle w:val="417"/>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50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50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100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pStyle w:val="417"/>
              <w:spacing w:line="240" w:lineRule="auto"/>
              <w:rPr>
                <w:highlight w:val="none"/>
                <w:lang w:bidi="zh-CN"/>
              </w:rPr>
            </w:pPr>
            <w:r>
              <w:rPr>
                <w:rFonts w:hint="eastAsia"/>
                <w:highlight w:val="none"/>
                <w:lang w:bidi="zh-CN"/>
              </w:rPr>
              <w:t>7</w:t>
            </w:r>
          </w:p>
        </w:tc>
        <w:tc>
          <w:tcPr>
            <w:tcW w:w="1986" w:type="dxa"/>
            <w:gridSpan w:val="2"/>
            <w:shd w:val="clear" w:color="auto" w:fill="auto"/>
            <w:vAlign w:val="center"/>
          </w:tcPr>
          <w:p>
            <w:pPr>
              <w:pStyle w:val="417"/>
              <w:spacing w:line="240" w:lineRule="auto"/>
              <w:rPr>
                <w:highlight w:val="none"/>
                <w:lang w:bidi="zh-CN"/>
              </w:rPr>
            </w:pPr>
            <w:r>
              <w:rPr>
                <w:rFonts w:hint="eastAsia"/>
                <w:highlight w:val="none"/>
                <w:lang w:bidi="zh-CN"/>
              </w:rPr>
              <w:t>镍</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60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70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100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pStyle w:val="417"/>
              <w:spacing w:line="240" w:lineRule="auto"/>
              <w:rPr>
                <w:highlight w:val="none"/>
                <w:lang w:bidi="zh-CN"/>
              </w:rPr>
            </w:pPr>
            <w:r>
              <w:rPr>
                <w:rFonts w:hint="eastAsia"/>
                <w:highlight w:val="none"/>
                <w:lang w:bidi="zh-CN"/>
              </w:rPr>
              <w:t>8</w:t>
            </w:r>
          </w:p>
        </w:tc>
        <w:tc>
          <w:tcPr>
            <w:tcW w:w="1986" w:type="dxa"/>
            <w:gridSpan w:val="2"/>
            <w:shd w:val="clear" w:color="auto" w:fill="auto"/>
            <w:vAlign w:val="center"/>
          </w:tcPr>
          <w:p>
            <w:pPr>
              <w:pStyle w:val="417"/>
              <w:spacing w:line="240" w:lineRule="auto"/>
              <w:rPr>
                <w:highlight w:val="none"/>
                <w:lang w:bidi="zh-CN"/>
              </w:rPr>
            </w:pPr>
            <w:r>
              <w:rPr>
                <w:rFonts w:hint="eastAsia"/>
                <w:highlight w:val="none"/>
                <w:lang w:bidi="zh-CN"/>
              </w:rPr>
              <w:t>锌</w:t>
            </w:r>
          </w:p>
        </w:tc>
        <w:tc>
          <w:tcPr>
            <w:tcW w:w="1468" w:type="dxa"/>
            <w:shd w:val="clear" w:color="auto" w:fill="auto"/>
            <w:vAlign w:val="center"/>
          </w:tcPr>
          <w:p>
            <w:pPr>
              <w:pStyle w:val="417"/>
              <w:spacing w:line="240" w:lineRule="auto"/>
              <w:rPr>
                <w:highlight w:val="none"/>
                <w:lang w:bidi="zh-CN"/>
              </w:rPr>
            </w:pPr>
            <w:r>
              <w:rPr>
                <w:rFonts w:hint="eastAsia"/>
                <w:highlight w:val="none"/>
                <w:lang w:bidi="zh-CN"/>
              </w:rPr>
              <w:t>200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200</w:t>
            </w:r>
          </w:p>
        </w:tc>
        <w:tc>
          <w:tcPr>
            <w:tcW w:w="1480" w:type="dxa"/>
            <w:shd w:val="clear" w:color="auto" w:fill="auto"/>
            <w:vAlign w:val="center"/>
          </w:tcPr>
          <w:p>
            <w:pPr>
              <w:pStyle w:val="417"/>
              <w:spacing w:line="240" w:lineRule="auto"/>
              <w:rPr>
                <w:highlight w:val="none"/>
                <w:lang w:bidi="zh-CN"/>
              </w:rPr>
            </w:pPr>
            <w:r>
              <w:rPr>
                <w:rFonts w:hint="eastAsia"/>
                <w:highlight w:val="none"/>
                <w:lang w:bidi="zh-CN"/>
              </w:rPr>
              <w:t>250</w:t>
            </w:r>
          </w:p>
        </w:tc>
        <w:tc>
          <w:tcPr>
            <w:tcW w:w="1274" w:type="dxa"/>
            <w:shd w:val="clear" w:color="auto" w:fill="auto"/>
            <w:vAlign w:val="center"/>
          </w:tcPr>
          <w:p>
            <w:pPr>
              <w:pStyle w:val="417"/>
              <w:spacing w:line="240" w:lineRule="auto"/>
              <w:rPr>
                <w:highlight w:val="none"/>
                <w:lang w:bidi="zh-CN"/>
              </w:rPr>
            </w:pPr>
            <w:r>
              <w:rPr>
                <w:rFonts w:hint="eastAsia"/>
                <w:highlight w:val="none"/>
                <w:lang w:bidi="zh-CN"/>
              </w:rPr>
              <w:t>300</w:t>
            </w:r>
          </w:p>
        </w:tc>
      </w:tr>
    </w:tbl>
    <w:p>
      <w:pPr>
        <w:pStyle w:val="6"/>
        <w:numPr>
          <w:ilvl w:val="2"/>
          <w:numId w:val="1"/>
        </w:numPr>
        <w:rPr>
          <w:szCs w:val="28"/>
          <w:highlight w:val="none"/>
        </w:rPr>
      </w:pPr>
      <w:r>
        <w:rPr>
          <w:szCs w:val="28"/>
          <w:highlight w:val="none"/>
        </w:rPr>
        <w:t>污染物排放标准</w:t>
      </w:r>
    </w:p>
    <w:p>
      <w:pPr>
        <w:pStyle w:val="3"/>
        <w:numPr>
          <w:ilvl w:val="3"/>
          <w:numId w:val="1"/>
        </w:numPr>
        <w:ind w:left="709" w:hanging="709"/>
        <w:rPr>
          <w:rFonts w:eastAsia="宋体"/>
          <w:b/>
          <w:highlight w:val="none"/>
        </w:rPr>
      </w:pPr>
      <w:r>
        <w:rPr>
          <w:rFonts w:eastAsia="宋体"/>
          <w:b/>
          <w:highlight w:val="none"/>
        </w:rPr>
        <w:t>施工期</w:t>
      </w:r>
    </w:p>
    <w:p>
      <w:pPr>
        <w:ind w:firstLine="480"/>
        <w:rPr>
          <w:sz w:val="24"/>
          <w:szCs w:val="24"/>
          <w:highlight w:val="none"/>
        </w:rPr>
      </w:pPr>
      <w:r>
        <w:rPr>
          <w:rFonts w:hint="eastAsia"/>
          <w:sz w:val="24"/>
          <w:szCs w:val="24"/>
          <w:highlight w:val="none"/>
        </w:rPr>
        <w:t>1、</w:t>
      </w:r>
      <w:r>
        <w:rPr>
          <w:sz w:val="24"/>
          <w:szCs w:val="24"/>
          <w:highlight w:val="none"/>
        </w:rPr>
        <w:t>扬尘</w:t>
      </w:r>
    </w:p>
    <w:p>
      <w:pPr>
        <w:ind w:firstLine="480"/>
        <w:rPr>
          <w:sz w:val="24"/>
          <w:szCs w:val="24"/>
          <w:highlight w:val="none"/>
        </w:rPr>
      </w:pPr>
      <w:r>
        <w:rPr>
          <w:sz w:val="24"/>
          <w:szCs w:val="24"/>
          <w:highlight w:val="none"/>
        </w:rPr>
        <w:t>施工期扬尘（颗粒物）执行《大气污染物综合排放标准》（GB16297-1996）表2中颗粒物无组织排放周界外浓度最高点，见下表2.</w:t>
      </w:r>
      <w:r>
        <w:rPr>
          <w:rFonts w:hint="eastAsia"/>
          <w:sz w:val="24"/>
          <w:szCs w:val="24"/>
          <w:highlight w:val="none"/>
        </w:rPr>
        <w:t>7</w:t>
      </w:r>
      <w:r>
        <w:rPr>
          <w:sz w:val="24"/>
          <w:szCs w:val="24"/>
          <w:highlight w:val="none"/>
        </w:rPr>
        <w:t>-</w:t>
      </w:r>
      <w:r>
        <w:rPr>
          <w:rFonts w:hint="eastAsia"/>
          <w:sz w:val="24"/>
          <w:szCs w:val="24"/>
          <w:highlight w:val="none"/>
        </w:rPr>
        <w:t>7</w:t>
      </w:r>
      <w:r>
        <w:rPr>
          <w:sz w:val="24"/>
          <w:szCs w:val="24"/>
          <w:highlight w:val="none"/>
        </w:rPr>
        <w:t>。</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7</w:t>
      </w:r>
      <w:r>
        <w:rPr>
          <w:rFonts w:eastAsia="黑体"/>
          <w:kern w:val="2"/>
          <w:sz w:val="21"/>
          <w:szCs w:val="21"/>
          <w:highlight w:val="none"/>
        </w:rPr>
        <w:t>-</w:t>
      </w:r>
      <w:r>
        <w:rPr>
          <w:rFonts w:hint="eastAsia" w:eastAsia="黑体"/>
          <w:kern w:val="2"/>
          <w:sz w:val="21"/>
          <w:szCs w:val="21"/>
          <w:highlight w:val="none"/>
        </w:rPr>
        <w:t>7</w:t>
      </w:r>
      <w:r>
        <w:rPr>
          <w:rFonts w:eastAsia="黑体"/>
          <w:kern w:val="2"/>
          <w:sz w:val="21"/>
          <w:szCs w:val="21"/>
          <w:highlight w:val="none"/>
        </w:rPr>
        <w:t xml:space="preserve">    大气污染物排放限值和控制要求</w:t>
      </w:r>
    </w:p>
    <w:tbl>
      <w:tblPr>
        <w:tblStyle w:val="56"/>
        <w:tblW w:w="8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3"/>
        <w:gridCol w:w="2607"/>
        <w:gridCol w:w="1247"/>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653" w:type="dxa"/>
            <w:vAlign w:val="center"/>
          </w:tcPr>
          <w:p>
            <w:pPr>
              <w:pStyle w:val="417"/>
              <w:rPr>
                <w:highlight w:val="none"/>
                <w:lang w:val="zh-CN" w:bidi="zh-CN"/>
              </w:rPr>
            </w:pPr>
            <w:r>
              <w:rPr>
                <w:highlight w:val="none"/>
                <w:lang w:val="zh-CN" w:bidi="zh-CN"/>
              </w:rPr>
              <w:t>标准号</w:t>
            </w:r>
          </w:p>
        </w:tc>
        <w:tc>
          <w:tcPr>
            <w:tcW w:w="2607" w:type="dxa"/>
            <w:vAlign w:val="center"/>
          </w:tcPr>
          <w:p>
            <w:pPr>
              <w:pStyle w:val="417"/>
              <w:rPr>
                <w:highlight w:val="none"/>
                <w:lang w:val="zh-CN" w:bidi="zh-CN"/>
              </w:rPr>
            </w:pPr>
            <w:r>
              <w:rPr>
                <w:highlight w:val="none"/>
                <w:lang w:val="zh-CN" w:bidi="zh-CN"/>
              </w:rPr>
              <w:t>标准名称</w:t>
            </w:r>
          </w:p>
        </w:tc>
        <w:tc>
          <w:tcPr>
            <w:tcW w:w="1247" w:type="dxa"/>
            <w:vAlign w:val="center"/>
          </w:tcPr>
          <w:p>
            <w:pPr>
              <w:pStyle w:val="417"/>
              <w:rPr>
                <w:highlight w:val="none"/>
                <w:lang w:val="zh-CN" w:bidi="zh-CN"/>
              </w:rPr>
            </w:pPr>
            <w:r>
              <w:rPr>
                <w:highlight w:val="none"/>
                <w:lang w:val="zh-CN" w:bidi="zh-CN"/>
              </w:rPr>
              <w:t>污染物</w:t>
            </w:r>
          </w:p>
        </w:tc>
        <w:tc>
          <w:tcPr>
            <w:tcW w:w="1805" w:type="dxa"/>
            <w:vAlign w:val="center"/>
          </w:tcPr>
          <w:p>
            <w:pPr>
              <w:pStyle w:val="417"/>
              <w:rPr>
                <w:highlight w:val="none"/>
                <w:lang w:val="zh-CN" w:bidi="zh-CN"/>
              </w:rPr>
            </w:pPr>
            <w:r>
              <w:rPr>
                <w:highlight w:val="none"/>
                <w:lang w:val="zh-CN" w:bidi="zh-CN"/>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653" w:type="dxa"/>
            <w:vAlign w:val="center"/>
          </w:tcPr>
          <w:p>
            <w:pPr>
              <w:pStyle w:val="417"/>
              <w:rPr>
                <w:highlight w:val="none"/>
                <w:lang w:val="zh-CN" w:bidi="zh-CN"/>
              </w:rPr>
            </w:pPr>
            <w:r>
              <w:rPr>
                <w:highlight w:val="none"/>
                <w:lang w:val="zh-CN" w:bidi="zh-CN"/>
              </w:rPr>
              <w:t>DB 13/ 2934-2019</w:t>
            </w:r>
          </w:p>
        </w:tc>
        <w:tc>
          <w:tcPr>
            <w:tcW w:w="2607" w:type="dxa"/>
            <w:vAlign w:val="center"/>
          </w:tcPr>
          <w:p>
            <w:pPr>
              <w:pStyle w:val="417"/>
              <w:rPr>
                <w:highlight w:val="none"/>
                <w:lang w:val="zh-CN" w:bidi="zh-CN"/>
              </w:rPr>
            </w:pPr>
            <w:r>
              <w:rPr>
                <w:highlight w:val="none"/>
                <w:lang w:val="zh-CN" w:bidi="zh-CN"/>
              </w:rPr>
              <w:t>施工场地扬尘排放标准</w:t>
            </w:r>
          </w:p>
        </w:tc>
        <w:tc>
          <w:tcPr>
            <w:tcW w:w="1247" w:type="dxa"/>
            <w:vAlign w:val="center"/>
          </w:tcPr>
          <w:p>
            <w:pPr>
              <w:pStyle w:val="417"/>
              <w:rPr>
                <w:highlight w:val="none"/>
                <w:lang w:val="zh-CN" w:bidi="zh-CN"/>
              </w:rPr>
            </w:pPr>
            <w:r>
              <w:rPr>
                <w:highlight w:val="none"/>
                <w:lang w:val="zh-CN" w:bidi="zh-CN"/>
              </w:rPr>
              <w:t>PM</w:t>
            </w:r>
            <w:r>
              <w:rPr>
                <w:highlight w:val="none"/>
                <w:vertAlign w:val="subscript"/>
                <w:lang w:val="zh-CN" w:bidi="zh-CN"/>
              </w:rPr>
              <w:t>10</w:t>
            </w:r>
          </w:p>
        </w:tc>
        <w:tc>
          <w:tcPr>
            <w:tcW w:w="1805" w:type="dxa"/>
            <w:vAlign w:val="center"/>
          </w:tcPr>
          <w:p>
            <w:pPr>
              <w:pStyle w:val="417"/>
              <w:rPr>
                <w:highlight w:val="none"/>
                <w:lang w:val="zh-CN" w:bidi="zh-CN"/>
              </w:rPr>
            </w:pPr>
            <w:r>
              <w:rPr>
                <w:highlight w:val="none"/>
                <w:lang w:val="zh-CN" w:bidi="zh-CN"/>
              </w:rPr>
              <w:t>*80μg/m³</w:t>
            </w:r>
          </w:p>
        </w:tc>
      </w:tr>
    </w:tbl>
    <w:p>
      <w:pPr>
        <w:ind w:firstLine="420" w:firstLineChars="0"/>
        <w:textAlignment w:val="auto"/>
        <w:rPr>
          <w:rFonts w:eastAsia="黑体"/>
          <w:kern w:val="2"/>
          <w:sz w:val="21"/>
          <w:szCs w:val="21"/>
          <w:highlight w:val="none"/>
        </w:rPr>
      </w:pPr>
      <w:r>
        <w:rPr>
          <w:kern w:val="2"/>
          <w:sz w:val="21"/>
          <w:szCs w:val="21"/>
          <w:highlight w:val="none"/>
          <w:lang w:val="zh-CN"/>
        </w:rPr>
        <w:t>*</w:t>
      </w:r>
      <w:r>
        <w:rPr>
          <w:rFonts w:hint="eastAsia"/>
          <w:kern w:val="2"/>
          <w:sz w:val="21"/>
          <w:szCs w:val="21"/>
          <w:highlight w:val="none"/>
          <w:lang w:val="zh-CN"/>
        </w:rPr>
        <w:t>：</w:t>
      </w:r>
      <w:r>
        <w:rPr>
          <w:kern w:val="2"/>
          <w:sz w:val="21"/>
          <w:szCs w:val="21"/>
          <w:highlight w:val="none"/>
          <w:lang w:val="zh-CN"/>
        </w:rPr>
        <w:t>指监测点PM</w:t>
      </w:r>
      <w:r>
        <w:rPr>
          <w:kern w:val="2"/>
          <w:sz w:val="21"/>
          <w:szCs w:val="21"/>
          <w:highlight w:val="none"/>
          <w:vertAlign w:val="subscript"/>
          <w:lang w:val="zh-CN"/>
        </w:rPr>
        <w:t>10</w:t>
      </w:r>
      <w:r>
        <w:rPr>
          <w:kern w:val="2"/>
          <w:sz w:val="21"/>
          <w:szCs w:val="21"/>
          <w:highlight w:val="none"/>
          <w:lang w:val="zh-CN"/>
        </w:rPr>
        <w:t>小时平均浓度实测值与同时段所属县（市、区）PM</w:t>
      </w:r>
      <w:r>
        <w:rPr>
          <w:kern w:val="2"/>
          <w:sz w:val="21"/>
          <w:szCs w:val="21"/>
          <w:highlight w:val="none"/>
          <w:vertAlign w:val="subscript"/>
          <w:lang w:val="zh-CN"/>
        </w:rPr>
        <w:t>10</w:t>
      </w:r>
      <w:r>
        <w:rPr>
          <w:kern w:val="2"/>
          <w:sz w:val="21"/>
          <w:szCs w:val="21"/>
          <w:highlight w:val="none"/>
          <w:lang w:val="zh-CN"/>
        </w:rPr>
        <w:t>小时平均浓度的差值。当县（市、区）PM</w:t>
      </w:r>
      <w:r>
        <w:rPr>
          <w:kern w:val="2"/>
          <w:sz w:val="21"/>
          <w:szCs w:val="21"/>
          <w:highlight w:val="none"/>
          <w:vertAlign w:val="subscript"/>
          <w:lang w:val="zh-CN"/>
        </w:rPr>
        <w:t>10</w:t>
      </w:r>
      <w:r>
        <w:rPr>
          <w:kern w:val="2"/>
          <w:sz w:val="21"/>
          <w:szCs w:val="21"/>
          <w:highlight w:val="none"/>
          <w:lang w:val="zh-CN"/>
        </w:rPr>
        <w:t>小时平均浓度值大于150μg/m³时，以150μg/m³计。</w:t>
      </w:r>
    </w:p>
    <w:p>
      <w:pPr>
        <w:ind w:firstLine="480"/>
        <w:rPr>
          <w:sz w:val="24"/>
          <w:szCs w:val="24"/>
          <w:highlight w:val="none"/>
        </w:rPr>
      </w:pPr>
      <w:r>
        <w:rPr>
          <w:rFonts w:hint="eastAsia"/>
          <w:sz w:val="24"/>
          <w:szCs w:val="24"/>
          <w:highlight w:val="none"/>
        </w:rPr>
        <w:t>2、</w:t>
      </w:r>
      <w:r>
        <w:rPr>
          <w:sz w:val="24"/>
          <w:szCs w:val="24"/>
          <w:highlight w:val="none"/>
        </w:rPr>
        <w:t>噪声</w:t>
      </w:r>
    </w:p>
    <w:p>
      <w:pPr>
        <w:ind w:firstLine="480"/>
        <w:rPr>
          <w:sz w:val="24"/>
          <w:szCs w:val="24"/>
          <w:highlight w:val="none"/>
        </w:rPr>
      </w:pPr>
      <w:r>
        <w:rPr>
          <w:sz w:val="24"/>
          <w:szCs w:val="24"/>
          <w:highlight w:val="none"/>
        </w:rPr>
        <w:t>施工期噪声执行《建筑施工场界环境噪声排放标准》（GB12523-2011）中规定的建筑施工场界环境噪声排放限值，详见表2.</w:t>
      </w:r>
      <w:r>
        <w:rPr>
          <w:rFonts w:hint="eastAsia"/>
          <w:sz w:val="24"/>
          <w:szCs w:val="24"/>
          <w:highlight w:val="none"/>
        </w:rPr>
        <w:t>7</w:t>
      </w:r>
      <w:r>
        <w:rPr>
          <w:sz w:val="24"/>
          <w:szCs w:val="24"/>
          <w:highlight w:val="none"/>
        </w:rPr>
        <w:t>-</w:t>
      </w:r>
      <w:r>
        <w:rPr>
          <w:rFonts w:hint="eastAsia"/>
          <w:sz w:val="24"/>
          <w:szCs w:val="24"/>
          <w:highlight w:val="none"/>
        </w:rPr>
        <w:t>8</w:t>
      </w:r>
      <w:r>
        <w:rPr>
          <w:sz w:val="24"/>
          <w:szCs w:val="24"/>
          <w:highlight w:val="none"/>
        </w:rPr>
        <w:t>。</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7</w:t>
      </w:r>
      <w:r>
        <w:rPr>
          <w:rFonts w:eastAsia="黑体"/>
          <w:kern w:val="2"/>
          <w:sz w:val="21"/>
          <w:szCs w:val="21"/>
          <w:highlight w:val="none"/>
        </w:rPr>
        <w:t>-</w:t>
      </w:r>
      <w:r>
        <w:rPr>
          <w:rFonts w:hint="eastAsia" w:eastAsia="黑体"/>
          <w:kern w:val="2"/>
          <w:sz w:val="21"/>
          <w:szCs w:val="21"/>
          <w:highlight w:val="none"/>
        </w:rPr>
        <w:t>8</w:t>
      </w:r>
      <w:r>
        <w:rPr>
          <w:rFonts w:eastAsia="黑体"/>
          <w:kern w:val="2"/>
          <w:sz w:val="21"/>
          <w:szCs w:val="21"/>
          <w:highlight w:val="none"/>
        </w:rPr>
        <w:t xml:space="preserve">    建筑施工场界环境噪声排放标准单位：dB(A)</w:t>
      </w:r>
    </w:p>
    <w:tbl>
      <w:tblPr>
        <w:tblStyle w:val="56"/>
        <w:tblW w:w="85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416"/>
        <w:gridCol w:w="54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1669" w:type="dxa"/>
            <w:tcBorders>
              <w:left w:val="single" w:color="auto" w:sz="4" w:space="0"/>
            </w:tcBorders>
            <w:vAlign w:val="center"/>
          </w:tcPr>
          <w:p>
            <w:pPr>
              <w:spacing w:line="300" w:lineRule="exact"/>
              <w:ind w:firstLine="0" w:firstLineChars="0"/>
              <w:jc w:val="center"/>
              <w:rPr>
                <w:sz w:val="21"/>
                <w:szCs w:val="21"/>
                <w:highlight w:val="none"/>
              </w:rPr>
            </w:pPr>
            <w:r>
              <w:rPr>
                <w:sz w:val="21"/>
                <w:szCs w:val="21"/>
                <w:highlight w:val="none"/>
              </w:rPr>
              <w:t>昼间</w:t>
            </w:r>
          </w:p>
        </w:tc>
        <w:tc>
          <w:tcPr>
            <w:tcW w:w="1416" w:type="dxa"/>
            <w:vAlign w:val="center"/>
          </w:tcPr>
          <w:p>
            <w:pPr>
              <w:spacing w:line="300" w:lineRule="exact"/>
              <w:ind w:firstLine="0" w:firstLineChars="0"/>
              <w:jc w:val="center"/>
              <w:rPr>
                <w:sz w:val="21"/>
                <w:szCs w:val="21"/>
                <w:highlight w:val="none"/>
              </w:rPr>
            </w:pPr>
            <w:r>
              <w:rPr>
                <w:sz w:val="21"/>
                <w:szCs w:val="21"/>
                <w:highlight w:val="none"/>
              </w:rPr>
              <w:t>夜间</w:t>
            </w:r>
          </w:p>
        </w:tc>
        <w:tc>
          <w:tcPr>
            <w:tcW w:w="5437" w:type="dxa"/>
            <w:tcBorders>
              <w:right w:val="single" w:color="auto" w:sz="4" w:space="0"/>
            </w:tcBorders>
            <w:vAlign w:val="center"/>
          </w:tcPr>
          <w:p>
            <w:pPr>
              <w:spacing w:line="300" w:lineRule="exact"/>
              <w:ind w:firstLine="0" w:firstLineChars="0"/>
              <w:jc w:val="center"/>
              <w:rPr>
                <w:sz w:val="21"/>
                <w:szCs w:val="21"/>
                <w:highlight w:val="none"/>
              </w:rPr>
            </w:pPr>
            <w:r>
              <w:rPr>
                <w:sz w:val="21"/>
                <w:szCs w:val="21"/>
                <w:highlight w:val="none"/>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2" w:hRule="atLeast"/>
        </w:trPr>
        <w:tc>
          <w:tcPr>
            <w:tcW w:w="1669" w:type="dxa"/>
            <w:tcBorders>
              <w:left w:val="single" w:color="auto" w:sz="4" w:space="0"/>
            </w:tcBorders>
            <w:vAlign w:val="center"/>
          </w:tcPr>
          <w:p>
            <w:pPr>
              <w:spacing w:line="300" w:lineRule="exact"/>
              <w:ind w:firstLine="0" w:firstLineChars="0"/>
              <w:jc w:val="center"/>
              <w:rPr>
                <w:sz w:val="21"/>
                <w:szCs w:val="21"/>
                <w:highlight w:val="none"/>
              </w:rPr>
            </w:pPr>
            <w:r>
              <w:rPr>
                <w:sz w:val="21"/>
                <w:szCs w:val="21"/>
                <w:highlight w:val="none"/>
              </w:rPr>
              <w:t>70</w:t>
            </w:r>
          </w:p>
        </w:tc>
        <w:tc>
          <w:tcPr>
            <w:tcW w:w="1416" w:type="dxa"/>
            <w:vAlign w:val="center"/>
          </w:tcPr>
          <w:p>
            <w:pPr>
              <w:spacing w:line="300" w:lineRule="exact"/>
              <w:ind w:firstLine="0" w:firstLineChars="0"/>
              <w:jc w:val="center"/>
              <w:rPr>
                <w:sz w:val="21"/>
                <w:szCs w:val="21"/>
                <w:highlight w:val="none"/>
              </w:rPr>
            </w:pPr>
            <w:r>
              <w:rPr>
                <w:sz w:val="21"/>
                <w:szCs w:val="21"/>
                <w:highlight w:val="none"/>
              </w:rPr>
              <w:t>55</w:t>
            </w:r>
          </w:p>
        </w:tc>
        <w:tc>
          <w:tcPr>
            <w:tcW w:w="5437" w:type="dxa"/>
            <w:tcBorders>
              <w:right w:val="single" w:color="auto" w:sz="4" w:space="0"/>
            </w:tcBorders>
            <w:vAlign w:val="center"/>
          </w:tcPr>
          <w:p>
            <w:pPr>
              <w:spacing w:line="300" w:lineRule="exact"/>
              <w:ind w:firstLine="0" w:firstLineChars="0"/>
              <w:jc w:val="center"/>
              <w:rPr>
                <w:sz w:val="21"/>
                <w:szCs w:val="21"/>
                <w:highlight w:val="none"/>
              </w:rPr>
            </w:pPr>
            <w:r>
              <w:rPr>
                <w:sz w:val="21"/>
                <w:szCs w:val="21"/>
                <w:highlight w:val="none"/>
              </w:rPr>
              <w:t>《建筑施工场界环境噪声排放标准》（GB12523-2011）</w:t>
            </w:r>
          </w:p>
        </w:tc>
      </w:tr>
    </w:tbl>
    <w:p>
      <w:pPr>
        <w:pStyle w:val="3"/>
        <w:numPr>
          <w:ilvl w:val="3"/>
          <w:numId w:val="1"/>
        </w:numPr>
        <w:ind w:left="709" w:hanging="709"/>
        <w:rPr>
          <w:rFonts w:eastAsia="宋体"/>
          <w:b/>
          <w:highlight w:val="none"/>
        </w:rPr>
      </w:pPr>
      <w:r>
        <w:rPr>
          <w:rFonts w:eastAsia="宋体"/>
          <w:b/>
          <w:highlight w:val="none"/>
        </w:rPr>
        <w:t>运营期</w:t>
      </w:r>
    </w:p>
    <w:p>
      <w:pPr>
        <w:widowControl/>
        <w:ind w:firstLine="480"/>
        <w:textAlignment w:val="auto"/>
        <w:rPr>
          <w:sz w:val="24"/>
          <w:szCs w:val="24"/>
          <w:highlight w:val="none"/>
        </w:rPr>
      </w:pPr>
      <w:r>
        <w:rPr>
          <w:rFonts w:hint="eastAsia"/>
          <w:sz w:val="24"/>
          <w:szCs w:val="24"/>
          <w:highlight w:val="none"/>
        </w:rPr>
        <w:t>1、</w:t>
      </w:r>
      <w:r>
        <w:rPr>
          <w:sz w:val="24"/>
          <w:szCs w:val="24"/>
          <w:highlight w:val="none"/>
        </w:rPr>
        <w:t>废气</w:t>
      </w:r>
    </w:p>
    <w:p>
      <w:pPr>
        <w:widowControl/>
        <w:ind w:firstLine="480"/>
        <w:jc w:val="both"/>
        <w:textAlignment w:val="auto"/>
        <w:rPr>
          <w:sz w:val="24"/>
          <w:szCs w:val="24"/>
          <w:highlight w:val="none"/>
        </w:rPr>
      </w:pPr>
      <w:r>
        <w:rPr>
          <w:rFonts w:hint="eastAsia"/>
          <w:sz w:val="24"/>
          <w:szCs w:val="24"/>
          <w:highlight w:val="none"/>
        </w:rPr>
        <w:t>项目运营期</w:t>
      </w:r>
      <w:r>
        <w:rPr>
          <w:sz w:val="24"/>
          <w:szCs w:val="24"/>
          <w:highlight w:val="none"/>
        </w:rPr>
        <w:t>有组织排放颗粒物执行《铁矿采选工业污染物排放标准》（GB28661-2012）中表6大气污染物特别排放限值，无组织排放颗粒物执行《铁矿采选工业污染物排放标准》（GB28661-2012）中“表7现有和新建企业大气污染物无组织排放监控浓度限值”。具体见表2.</w:t>
      </w:r>
      <w:r>
        <w:rPr>
          <w:rFonts w:hint="eastAsia"/>
          <w:sz w:val="24"/>
          <w:szCs w:val="24"/>
          <w:highlight w:val="none"/>
        </w:rPr>
        <w:t>7</w:t>
      </w:r>
      <w:r>
        <w:rPr>
          <w:sz w:val="24"/>
          <w:szCs w:val="24"/>
          <w:highlight w:val="none"/>
        </w:rPr>
        <w:t>-</w:t>
      </w:r>
      <w:r>
        <w:rPr>
          <w:rFonts w:hint="eastAsia"/>
          <w:sz w:val="24"/>
          <w:szCs w:val="24"/>
          <w:highlight w:val="none"/>
        </w:rPr>
        <w:t>9</w:t>
      </w:r>
      <w:r>
        <w:rPr>
          <w:sz w:val="24"/>
          <w:szCs w:val="24"/>
          <w:highlight w:val="none"/>
        </w:rPr>
        <w:t>。</w:t>
      </w:r>
    </w:p>
    <w:p>
      <w:pPr>
        <w:spacing w:line="240" w:lineRule="auto"/>
        <w:ind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7</w:t>
      </w:r>
      <w:r>
        <w:rPr>
          <w:rFonts w:eastAsia="黑体"/>
          <w:kern w:val="2"/>
          <w:sz w:val="21"/>
          <w:szCs w:val="21"/>
          <w:highlight w:val="none"/>
        </w:rPr>
        <w:t>-</w:t>
      </w:r>
      <w:r>
        <w:rPr>
          <w:rFonts w:hint="eastAsia" w:eastAsia="黑体"/>
          <w:kern w:val="2"/>
          <w:sz w:val="21"/>
          <w:szCs w:val="21"/>
          <w:highlight w:val="none"/>
        </w:rPr>
        <w:t xml:space="preserve">9  </w:t>
      </w:r>
      <w:r>
        <w:rPr>
          <w:rFonts w:eastAsia="黑体"/>
          <w:kern w:val="2"/>
          <w:sz w:val="21"/>
          <w:szCs w:val="21"/>
          <w:highlight w:val="none"/>
        </w:rPr>
        <w:t xml:space="preserve"> 污染物排放标准一览表</w:t>
      </w:r>
    </w:p>
    <w:tbl>
      <w:tblPr>
        <w:tblStyle w:val="56"/>
        <w:tblW w:w="8359"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41"/>
        <w:gridCol w:w="1200"/>
        <w:gridCol w:w="1065"/>
        <w:gridCol w:w="1046"/>
        <w:gridCol w:w="1119"/>
        <w:gridCol w:w="696"/>
        <w:gridCol w:w="2692"/>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3" w:hRule="atLeast"/>
          <w:jc w:val="center"/>
        </w:trPr>
        <w:tc>
          <w:tcPr>
            <w:tcW w:w="541" w:type="dxa"/>
            <w:tcBorders>
              <w:left w:val="single" w:color="auto" w:sz="4" w:space="0"/>
            </w:tcBorders>
            <w:vAlign w:val="center"/>
          </w:tcPr>
          <w:p>
            <w:pPr>
              <w:spacing w:line="240" w:lineRule="auto"/>
              <w:ind w:firstLine="0" w:firstLineChars="0"/>
              <w:jc w:val="center"/>
              <w:rPr>
                <w:kern w:val="2"/>
                <w:sz w:val="21"/>
                <w:szCs w:val="21"/>
                <w:highlight w:val="none"/>
              </w:rPr>
            </w:pPr>
            <w:r>
              <w:rPr>
                <w:kern w:val="2"/>
                <w:sz w:val="21"/>
                <w:szCs w:val="21"/>
                <w:highlight w:val="none"/>
              </w:rPr>
              <w:t>类别</w:t>
            </w:r>
          </w:p>
        </w:tc>
        <w:tc>
          <w:tcPr>
            <w:tcW w:w="1200" w:type="dxa"/>
            <w:vAlign w:val="center"/>
          </w:tcPr>
          <w:p>
            <w:pPr>
              <w:spacing w:line="240" w:lineRule="auto"/>
              <w:ind w:firstLine="0" w:firstLineChars="0"/>
              <w:jc w:val="center"/>
              <w:rPr>
                <w:kern w:val="2"/>
                <w:sz w:val="21"/>
                <w:szCs w:val="21"/>
                <w:highlight w:val="none"/>
              </w:rPr>
            </w:pPr>
            <w:r>
              <w:rPr>
                <w:kern w:val="2"/>
                <w:sz w:val="21"/>
                <w:szCs w:val="21"/>
                <w:highlight w:val="none"/>
              </w:rPr>
              <w:t>污染源</w:t>
            </w:r>
          </w:p>
        </w:tc>
        <w:tc>
          <w:tcPr>
            <w:tcW w:w="1065" w:type="dxa"/>
            <w:vAlign w:val="center"/>
          </w:tcPr>
          <w:p>
            <w:pPr>
              <w:spacing w:line="240" w:lineRule="auto"/>
              <w:ind w:firstLine="0" w:firstLineChars="0"/>
              <w:jc w:val="center"/>
              <w:rPr>
                <w:kern w:val="2"/>
                <w:sz w:val="21"/>
                <w:szCs w:val="21"/>
                <w:highlight w:val="none"/>
              </w:rPr>
            </w:pPr>
            <w:r>
              <w:rPr>
                <w:kern w:val="2"/>
                <w:sz w:val="21"/>
                <w:szCs w:val="21"/>
                <w:highlight w:val="none"/>
              </w:rPr>
              <w:t>项目</w:t>
            </w:r>
          </w:p>
        </w:tc>
        <w:tc>
          <w:tcPr>
            <w:tcW w:w="1046" w:type="dxa"/>
            <w:vAlign w:val="center"/>
          </w:tcPr>
          <w:p>
            <w:pPr>
              <w:spacing w:line="240" w:lineRule="auto"/>
              <w:ind w:firstLine="0" w:firstLineChars="0"/>
              <w:jc w:val="center"/>
              <w:rPr>
                <w:kern w:val="2"/>
                <w:sz w:val="21"/>
                <w:szCs w:val="21"/>
                <w:highlight w:val="none"/>
              </w:rPr>
            </w:pPr>
            <w:r>
              <w:rPr>
                <w:kern w:val="2"/>
                <w:sz w:val="21"/>
                <w:szCs w:val="21"/>
                <w:highlight w:val="none"/>
              </w:rPr>
              <w:t>排放方式</w:t>
            </w:r>
          </w:p>
        </w:tc>
        <w:tc>
          <w:tcPr>
            <w:tcW w:w="1119" w:type="dxa"/>
            <w:vAlign w:val="center"/>
          </w:tcPr>
          <w:p>
            <w:pPr>
              <w:spacing w:line="240" w:lineRule="auto"/>
              <w:ind w:firstLine="0" w:firstLineChars="0"/>
              <w:jc w:val="center"/>
              <w:rPr>
                <w:kern w:val="2"/>
                <w:sz w:val="21"/>
                <w:szCs w:val="21"/>
                <w:highlight w:val="none"/>
              </w:rPr>
            </w:pPr>
            <w:r>
              <w:rPr>
                <w:kern w:val="2"/>
                <w:sz w:val="21"/>
                <w:szCs w:val="21"/>
                <w:highlight w:val="none"/>
              </w:rPr>
              <w:t>标准值</w:t>
            </w:r>
          </w:p>
        </w:tc>
        <w:tc>
          <w:tcPr>
            <w:tcW w:w="696" w:type="dxa"/>
            <w:vAlign w:val="center"/>
          </w:tcPr>
          <w:p>
            <w:pPr>
              <w:spacing w:line="240" w:lineRule="auto"/>
              <w:ind w:firstLine="0" w:firstLineChars="0"/>
              <w:jc w:val="center"/>
              <w:rPr>
                <w:kern w:val="2"/>
                <w:sz w:val="21"/>
                <w:szCs w:val="21"/>
                <w:highlight w:val="none"/>
              </w:rPr>
            </w:pPr>
            <w:r>
              <w:rPr>
                <w:kern w:val="2"/>
                <w:sz w:val="21"/>
                <w:szCs w:val="21"/>
                <w:highlight w:val="none"/>
              </w:rPr>
              <w:t>单位</w:t>
            </w:r>
          </w:p>
        </w:tc>
        <w:tc>
          <w:tcPr>
            <w:tcW w:w="2692" w:type="dxa"/>
            <w:tcBorders>
              <w:right w:val="single" w:color="auto" w:sz="4" w:space="0"/>
            </w:tcBorders>
            <w:vAlign w:val="center"/>
          </w:tcPr>
          <w:p>
            <w:pPr>
              <w:spacing w:line="240" w:lineRule="auto"/>
              <w:ind w:firstLine="0" w:firstLineChars="0"/>
              <w:jc w:val="center"/>
              <w:rPr>
                <w:kern w:val="2"/>
                <w:sz w:val="21"/>
                <w:szCs w:val="21"/>
                <w:highlight w:val="none"/>
              </w:rPr>
            </w:pPr>
            <w:r>
              <w:rPr>
                <w:kern w:val="2"/>
                <w:sz w:val="21"/>
                <w:szCs w:val="21"/>
                <w:highlight w:val="none"/>
              </w:rPr>
              <w:t>标准来源</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3" w:hRule="atLeast"/>
          <w:jc w:val="center"/>
        </w:trPr>
        <w:tc>
          <w:tcPr>
            <w:tcW w:w="541" w:type="dxa"/>
            <w:vMerge w:val="restart"/>
            <w:tcBorders>
              <w:left w:val="single" w:color="auto" w:sz="4" w:space="0"/>
            </w:tcBorders>
            <w:vAlign w:val="center"/>
          </w:tcPr>
          <w:p>
            <w:pPr>
              <w:spacing w:line="240" w:lineRule="auto"/>
              <w:ind w:firstLine="0" w:firstLineChars="0"/>
              <w:jc w:val="center"/>
              <w:rPr>
                <w:kern w:val="2"/>
                <w:sz w:val="21"/>
                <w:szCs w:val="21"/>
                <w:highlight w:val="none"/>
              </w:rPr>
            </w:pPr>
            <w:r>
              <w:rPr>
                <w:kern w:val="2"/>
                <w:sz w:val="21"/>
                <w:szCs w:val="21"/>
                <w:highlight w:val="none"/>
              </w:rPr>
              <w:t>废气</w:t>
            </w:r>
          </w:p>
        </w:tc>
        <w:tc>
          <w:tcPr>
            <w:tcW w:w="1200" w:type="dxa"/>
            <w:vAlign w:val="center"/>
          </w:tcPr>
          <w:p>
            <w:pPr>
              <w:spacing w:line="240" w:lineRule="auto"/>
              <w:ind w:firstLine="0" w:firstLineChars="0"/>
              <w:jc w:val="center"/>
              <w:rPr>
                <w:kern w:val="2"/>
                <w:sz w:val="21"/>
                <w:szCs w:val="21"/>
                <w:highlight w:val="none"/>
              </w:rPr>
            </w:pPr>
            <w:r>
              <w:rPr>
                <w:kern w:val="2"/>
                <w:sz w:val="21"/>
                <w:szCs w:val="21"/>
                <w:highlight w:val="none"/>
              </w:rPr>
              <w:t>选矿厂</w:t>
            </w:r>
          </w:p>
        </w:tc>
        <w:tc>
          <w:tcPr>
            <w:tcW w:w="1065" w:type="dxa"/>
            <w:vAlign w:val="center"/>
          </w:tcPr>
          <w:p>
            <w:pPr>
              <w:spacing w:line="240" w:lineRule="auto"/>
              <w:ind w:firstLine="0" w:firstLineChars="0"/>
              <w:jc w:val="center"/>
              <w:rPr>
                <w:kern w:val="2"/>
                <w:sz w:val="21"/>
                <w:szCs w:val="21"/>
                <w:highlight w:val="none"/>
              </w:rPr>
            </w:pPr>
            <w:r>
              <w:rPr>
                <w:kern w:val="2"/>
                <w:sz w:val="21"/>
                <w:szCs w:val="21"/>
                <w:highlight w:val="none"/>
              </w:rPr>
              <w:t>颗粒物</w:t>
            </w:r>
          </w:p>
        </w:tc>
        <w:tc>
          <w:tcPr>
            <w:tcW w:w="1046" w:type="dxa"/>
            <w:vAlign w:val="center"/>
          </w:tcPr>
          <w:p>
            <w:pPr>
              <w:spacing w:line="240" w:lineRule="auto"/>
              <w:ind w:firstLine="0" w:firstLineChars="0"/>
              <w:jc w:val="center"/>
              <w:rPr>
                <w:kern w:val="2"/>
                <w:sz w:val="21"/>
                <w:szCs w:val="21"/>
                <w:highlight w:val="none"/>
              </w:rPr>
            </w:pPr>
            <w:r>
              <w:rPr>
                <w:kern w:val="2"/>
                <w:sz w:val="21"/>
                <w:szCs w:val="21"/>
                <w:highlight w:val="none"/>
              </w:rPr>
              <w:t>无组织</w:t>
            </w:r>
          </w:p>
        </w:tc>
        <w:tc>
          <w:tcPr>
            <w:tcW w:w="1119" w:type="dxa"/>
            <w:vAlign w:val="center"/>
          </w:tcPr>
          <w:p>
            <w:pPr>
              <w:spacing w:line="240" w:lineRule="auto"/>
              <w:ind w:firstLine="0" w:firstLineChars="0"/>
              <w:jc w:val="center"/>
              <w:rPr>
                <w:kern w:val="2"/>
                <w:sz w:val="21"/>
                <w:szCs w:val="21"/>
                <w:highlight w:val="none"/>
              </w:rPr>
            </w:pPr>
            <w:r>
              <w:rPr>
                <w:kern w:val="2"/>
                <w:sz w:val="21"/>
                <w:szCs w:val="21"/>
                <w:highlight w:val="none"/>
              </w:rPr>
              <w:t>1.0</w:t>
            </w:r>
          </w:p>
        </w:tc>
        <w:tc>
          <w:tcPr>
            <w:tcW w:w="696" w:type="dxa"/>
            <w:vAlign w:val="center"/>
          </w:tcPr>
          <w:p>
            <w:pPr>
              <w:spacing w:line="240" w:lineRule="auto"/>
              <w:ind w:firstLine="0" w:firstLineChars="0"/>
              <w:jc w:val="center"/>
              <w:rPr>
                <w:kern w:val="2"/>
                <w:sz w:val="21"/>
                <w:szCs w:val="21"/>
                <w:highlight w:val="none"/>
              </w:rPr>
            </w:pPr>
            <w:r>
              <w:rPr>
                <w:kern w:val="2"/>
                <w:sz w:val="21"/>
                <w:szCs w:val="21"/>
                <w:highlight w:val="none"/>
              </w:rPr>
              <w:t>mg/m</w:t>
            </w:r>
            <w:r>
              <w:rPr>
                <w:kern w:val="2"/>
                <w:sz w:val="21"/>
                <w:szCs w:val="21"/>
                <w:highlight w:val="none"/>
                <w:vertAlign w:val="superscript"/>
              </w:rPr>
              <w:t>3</w:t>
            </w:r>
          </w:p>
        </w:tc>
        <w:tc>
          <w:tcPr>
            <w:tcW w:w="2692" w:type="dxa"/>
            <w:tcBorders>
              <w:right w:val="single" w:color="auto" w:sz="4" w:space="0"/>
            </w:tcBorders>
            <w:vAlign w:val="center"/>
          </w:tcPr>
          <w:p>
            <w:pPr>
              <w:spacing w:line="240" w:lineRule="auto"/>
              <w:ind w:firstLine="0" w:firstLineChars="0"/>
              <w:jc w:val="center"/>
              <w:rPr>
                <w:kern w:val="2"/>
                <w:sz w:val="21"/>
                <w:szCs w:val="21"/>
                <w:highlight w:val="none"/>
              </w:rPr>
            </w:pPr>
            <w:r>
              <w:rPr>
                <w:kern w:val="2"/>
                <w:sz w:val="21"/>
                <w:szCs w:val="21"/>
                <w:highlight w:val="none"/>
              </w:rPr>
              <w:t>《铁矿采选工业污染物排放标准》(GB28661-2012)表7无组织排放监控浓度限值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3" w:hRule="atLeast"/>
          <w:jc w:val="center"/>
        </w:trPr>
        <w:tc>
          <w:tcPr>
            <w:tcW w:w="541" w:type="dxa"/>
            <w:vMerge w:val="continue"/>
            <w:tcBorders>
              <w:left w:val="single" w:color="auto" w:sz="4" w:space="0"/>
            </w:tcBorders>
            <w:vAlign w:val="center"/>
          </w:tcPr>
          <w:p>
            <w:pPr>
              <w:spacing w:line="240" w:lineRule="auto"/>
              <w:ind w:firstLine="0" w:firstLineChars="0"/>
              <w:rPr>
                <w:kern w:val="2"/>
                <w:sz w:val="21"/>
                <w:szCs w:val="21"/>
                <w:highlight w:val="none"/>
              </w:rPr>
            </w:pPr>
          </w:p>
        </w:tc>
        <w:tc>
          <w:tcPr>
            <w:tcW w:w="1200" w:type="dxa"/>
            <w:vAlign w:val="center"/>
          </w:tcPr>
          <w:p>
            <w:pPr>
              <w:spacing w:line="240" w:lineRule="auto"/>
              <w:ind w:firstLine="0" w:firstLineChars="0"/>
              <w:jc w:val="center"/>
              <w:rPr>
                <w:kern w:val="2"/>
                <w:sz w:val="21"/>
                <w:szCs w:val="21"/>
                <w:highlight w:val="none"/>
              </w:rPr>
            </w:pPr>
            <w:r>
              <w:rPr>
                <w:kern w:val="2"/>
                <w:sz w:val="21"/>
                <w:szCs w:val="21"/>
                <w:highlight w:val="none"/>
              </w:rPr>
              <w:t>矿石破碎、筛分等过程</w:t>
            </w:r>
          </w:p>
        </w:tc>
        <w:tc>
          <w:tcPr>
            <w:tcW w:w="1065" w:type="dxa"/>
            <w:vAlign w:val="center"/>
          </w:tcPr>
          <w:p>
            <w:pPr>
              <w:spacing w:line="240" w:lineRule="auto"/>
              <w:ind w:firstLine="0" w:firstLineChars="0"/>
              <w:jc w:val="center"/>
              <w:rPr>
                <w:kern w:val="2"/>
                <w:sz w:val="21"/>
                <w:szCs w:val="21"/>
                <w:highlight w:val="none"/>
              </w:rPr>
            </w:pPr>
            <w:r>
              <w:rPr>
                <w:kern w:val="2"/>
                <w:sz w:val="21"/>
                <w:szCs w:val="21"/>
                <w:highlight w:val="none"/>
              </w:rPr>
              <w:t>颗粒物</w:t>
            </w:r>
          </w:p>
        </w:tc>
        <w:tc>
          <w:tcPr>
            <w:tcW w:w="1046" w:type="dxa"/>
            <w:vAlign w:val="center"/>
          </w:tcPr>
          <w:p>
            <w:pPr>
              <w:spacing w:line="240" w:lineRule="auto"/>
              <w:ind w:firstLine="0" w:firstLineChars="0"/>
              <w:jc w:val="center"/>
              <w:rPr>
                <w:kern w:val="2"/>
                <w:sz w:val="21"/>
                <w:szCs w:val="21"/>
                <w:highlight w:val="none"/>
              </w:rPr>
            </w:pPr>
            <w:r>
              <w:rPr>
                <w:kern w:val="2"/>
                <w:sz w:val="21"/>
                <w:szCs w:val="21"/>
                <w:highlight w:val="none"/>
              </w:rPr>
              <w:t>有组织</w:t>
            </w:r>
          </w:p>
        </w:tc>
        <w:tc>
          <w:tcPr>
            <w:tcW w:w="1119" w:type="dxa"/>
            <w:vAlign w:val="center"/>
          </w:tcPr>
          <w:p>
            <w:pPr>
              <w:spacing w:line="240" w:lineRule="auto"/>
              <w:ind w:firstLine="0" w:firstLineChars="0"/>
              <w:jc w:val="center"/>
              <w:rPr>
                <w:kern w:val="2"/>
                <w:sz w:val="21"/>
                <w:szCs w:val="21"/>
                <w:highlight w:val="none"/>
              </w:rPr>
            </w:pPr>
            <w:r>
              <w:rPr>
                <w:kern w:val="2"/>
                <w:sz w:val="21"/>
                <w:szCs w:val="21"/>
                <w:highlight w:val="none"/>
              </w:rPr>
              <w:t>10</w:t>
            </w:r>
          </w:p>
        </w:tc>
        <w:tc>
          <w:tcPr>
            <w:tcW w:w="696" w:type="dxa"/>
            <w:vAlign w:val="center"/>
          </w:tcPr>
          <w:p>
            <w:pPr>
              <w:spacing w:line="240" w:lineRule="auto"/>
              <w:ind w:firstLine="0" w:firstLineChars="0"/>
              <w:jc w:val="center"/>
              <w:rPr>
                <w:kern w:val="2"/>
                <w:sz w:val="21"/>
                <w:szCs w:val="21"/>
                <w:highlight w:val="none"/>
              </w:rPr>
            </w:pPr>
            <w:r>
              <w:rPr>
                <w:kern w:val="2"/>
                <w:sz w:val="21"/>
                <w:szCs w:val="21"/>
                <w:highlight w:val="none"/>
              </w:rPr>
              <w:t>mg/m</w:t>
            </w:r>
            <w:r>
              <w:rPr>
                <w:kern w:val="2"/>
                <w:sz w:val="21"/>
                <w:szCs w:val="21"/>
                <w:highlight w:val="none"/>
                <w:vertAlign w:val="superscript"/>
              </w:rPr>
              <w:t>3</w:t>
            </w:r>
          </w:p>
        </w:tc>
        <w:tc>
          <w:tcPr>
            <w:tcW w:w="2692" w:type="dxa"/>
            <w:tcBorders>
              <w:right w:val="single" w:color="auto" w:sz="4" w:space="0"/>
            </w:tcBorders>
            <w:vAlign w:val="center"/>
          </w:tcPr>
          <w:p>
            <w:pPr>
              <w:spacing w:line="240" w:lineRule="auto"/>
              <w:ind w:firstLine="0" w:firstLineChars="0"/>
              <w:jc w:val="center"/>
              <w:rPr>
                <w:kern w:val="2"/>
                <w:sz w:val="21"/>
                <w:szCs w:val="21"/>
                <w:highlight w:val="none"/>
              </w:rPr>
            </w:pPr>
            <w:r>
              <w:rPr>
                <w:kern w:val="2"/>
                <w:sz w:val="21"/>
                <w:szCs w:val="21"/>
                <w:highlight w:val="none"/>
              </w:rPr>
              <w:t>《铁矿采选工业污染物排放标准》(GB28661-2012)表6生产设施排气筒</w:t>
            </w:r>
          </w:p>
        </w:tc>
      </w:tr>
    </w:tbl>
    <w:p>
      <w:pPr>
        <w:ind w:firstLine="480"/>
        <w:rPr>
          <w:sz w:val="24"/>
          <w:szCs w:val="24"/>
          <w:highlight w:val="none"/>
        </w:rPr>
      </w:pPr>
      <w:r>
        <w:rPr>
          <w:rFonts w:hint="eastAsia"/>
          <w:sz w:val="24"/>
          <w:szCs w:val="24"/>
          <w:highlight w:val="none"/>
        </w:rPr>
        <w:t>2、</w:t>
      </w:r>
      <w:r>
        <w:rPr>
          <w:sz w:val="24"/>
          <w:szCs w:val="24"/>
          <w:highlight w:val="none"/>
        </w:rPr>
        <w:t>废水</w:t>
      </w:r>
    </w:p>
    <w:p>
      <w:pPr>
        <w:widowControl/>
        <w:ind w:firstLine="480"/>
        <w:textAlignment w:val="auto"/>
        <w:rPr>
          <w:sz w:val="24"/>
          <w:szCs w:val="24"/>
          <w:highlight w:val="none"/>
        </w:rPr>
      </w:pPr>
      <w:r>
        <w:rPr>
          <w:sz w:val="24"/>
          <w:szCs w:val="24"/>
          <w:highlight w:val="none"/>
        </w:rPr>
        <w:t>本项目选矿废水循环使用，不外排。洗车废水经沉淀池沉淀后回用于洗车</w:t>
      </w:r>
      <w:r>
        <w:rPr>
          <w:rFonts w:hint="eastAsia"/>
          <w:sz w:val="24"/>
          <w:szCs w:val="24"/>
          <w:highlight w:val="none"/>
        </w:rPr>
        <w:t>；车间地面冲洗水排入进浓密池处理后回用于生产，不外排。</w:t>
      </w:r>
    </w:p>
    <w:p>
      <w:pPr>
        <w:widowControl/>
        <w:ind w:firstLine="480"/>
        <w:textAlignment w:val="auto"/>
        <w:rPr>
          <w:sz w:val="24"/>
          <w:szCs w:val="24"/>
          <w:highlight w:val="none"/>
        </w:rPr>
      </w:pPr>
      <w:r>
        <w:rPr>
          <w:rFonts w:hint="eastAsia"/>
          <w:sz w:val="24"/>
          <w:szCs w:val="24"/>
          <w:highlight w:val="none"/>
        </w:rPr>
        <w:t>3、</w:t>
      </w:r>
      <w:r>
        <w:rPr>
          <w:sz w:val="24"/>
          <w:szCs w:val="24"/>
          <w:highlight w:val="none"/>
        </w:rPr>
        <w:t>噪声</w:t>
      </w:r>
    </w:p>
    <w:p>
      <w:pPr>
        <w:widowControl/>
        <w:ind w:firstLine="480"/>
        <w:textAlignment w:val="auto"/>
        <w:rPr>
          <w:sz w:val="24"/>
          <w:szCs w:val="24"/>
          <w:highlight w:val="none"/>
        </w:rPr>
      </w:pPr>
      <w:r>
        <w:rPr>
          <w:sz w:val="24"/>
          <w:szCs w:val="24"/>
          <w:highlight w:val="none"/>
        </w:rPr>
        <w:t>运营期噪声执行《工业企业厂界环境噪声排放标准》（GB12348-2008）2类标准。标准见表2.</w:t>
      </w:r>
      <w:r>
        <w:rPr>
          <w:rFonts w:hint="eastAsia"/>
          <w:sz w:val="24"/>
          <w:szCs w:val="24"/>
          <w:highlight w:val="none"/>
        </w:rPr>
        <w:t>7</w:t>
      </w:r>
      <w:r>
        <w:rPr>
          <w:sz w:val="24"/>
          <w:szCs w:val="24"/>
          <w:highlight w:val="none"/>
        </w:rPr>
        <w:t>-</w:t>
      </w:r>
      <w:r>
        <w:rPr>
          <w:rFonts w:hint="eastAsia"/>
          <w:sz w:val="24"/>
          <w:szCs w:val="24"/>
          <w:highlight w:val="none"/>
        </w:rPr>
        <w:t>10</w:t>
      </w:r>
      <w:r>
        <w:rPr>
          <w:sz w:val="24"/>
          <w:szCs w:val="24"/>
          <w:highlight w:val="none"/>
        </w:rPr>
        <w:t>。</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7</w:t>
      </w:r>
      <w:r>
        <w:rPr>
          <w:rFonts w:eastAsia="黑体"/>
          <w:kern w:val="2"/>
          <w:sz w:val="21"/>
          <w:szCs w:val="21"/>
          <w:highlight w:val="none"/>
        </w:rPr>
        <w:t>-</w:t>
      </w:r>
      <w:r>
        <w:rPr>
          <w:rFonts w:hint="eastAsia" w:eastAsia="黑体"/>
          <w:kern w:val="2"/>
          <w:sz w:val="21"/>
          <w:szCs w:val="21"/>
          <w:highlight w:val="none"/>
        </w:rPr>
        <w:t>10</w:t>
      </w:r>
      <w:r>
        <w:rPr>
          <w:rFonts w:eastAsia="黑体"/>
          <w:kern w:val="2"/>
          <w:sz w:val="21"/>
          <w:szCs w:val="21"/>
          <w:highlight w:val="none"/>
        </w:rPr>
        <w:t xml:space="preserve"> 运营期噪声排放标准单位：dB（A）</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057"/>
        <w:gridCol w:w="1058"/>
        <w:gridCol w:w="4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26" w:type="dxa"/>
            <w:vAlign w:val="center"/>
          </w:tcPr>
          <w:p>
            <w:pPr>
              <w:spacing w:line="240" w:lineRule="auto"/>
              <w:ind w:firstLine="0" w:firstLineChars="0"/>
              <w:jc w:val="center"/>
              <w:rPr>
                <w:bCs/>
                <w:sz w:val="21"/>
                <w:szCs w:val="21"/>
                <w:highlight w:val="none"/>
              </w:rPr>
            </w:pPr>
            <w:r>
              <w:rPr>
                <w:bCs/>
                <w:sz w:val="21"/>
                <w:szCs w:val="21"/>
                <w:highlight w:val="none"/>
              </w:rPr>
              <w:t>厂界外声环境功能区类别</w:t>
            </w:r>
          </w:p>
        </w:tc>
        <w:tc>
          <w:tcPr>
            <w:tcW w:w="2115" w:type="dxa"/>
            <w:gridSpan w:val="2"/>
            <w:vAlign w:val="center"/>
          </w:tcPr>
          <w:p>
            <w:pPr>
              <w:spacing w:line="240" w:lineRule="auto"/>
              <w:ind w:firstLine="0" w:firstLineChars="0"/>
              <w:jc w:val="center"/>
              <w:rPr>
                <w:bCs/>
                <w:sz w:val="21"/>
                <w:szCs w:val="21"/>
                <w:highlight w:val="none"/>
              </w:rPr>
            </w:pPr>
            <w:r>
              <w:rPr>
                <w:bCs/>
                <w:sz w:val="21"/>
                <w:szCs w:val="21"/>
                <w:highlight w:val="none"/>
              </w:rPr>
              <w:t>时段</w:t>
            </w:r>
          </w:p>
        </w:tc>
        <w:tc>
          <w:tcPr>
            <w:tcW w:w="4881" w:type="dxa"/>
            <w:vAlign w:val="center"/>
          </w:tcPr>
          <w:p>
            <w:pPr>
              <w:spacing w:line="240" w:lineRule="auto"/>
              <w:ind w:firstLine="0" w:firstLineChars="0"/>
              <w:jc w:val="center"/>
              <w:rPr>
                <w:bCs/>
                <w:sz w:val="21"/>
                <w:szCs w:val="21"/>
                <w:highlight w:val="none"/>
              </w:rPr>
            </w:pPr>
            <w:r>
              <w:rPr>
                <w:bCs/>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26" w:type="dxa"/>
            <w:vMerge w:val="restart"/>
            <w:vAlign w:val="center"/>
          </w:tcPr>
          <w:p>
            <w:pPr>
              <w:spacing w:line="240" w:lineRule="auto"/>
              <w:ind w:firstLine="0" w:firstLineChars="0"/>
              <w:jc w:val="center"/>
              <w:rPr>
                <w:bCs/>
                <w:sz w:val="21"/>
                <w:szCs w:val="21"/>
                <w:highlight w:val="none"/>
              </w:rPr>
            </w:pPr>
            <w:r>
              <w:rPr>
                <w:bCs/>
                <w:sz w:val="21"/>
                <w:szCs w:val="21"/>
                <w:highlight w:val="none"/>
              </w:rPr>
              <w:t>2类</w:t>
            </w:r>
          </w:p>
        </w:tc>
        <w:tc>
          <w:tcPr>
            <w:tcW w:w="1057" w:type="dxa"/>
            <w:vAlign w:val="center"/>
          </w:tcPr>
          <w:p>
            <w:pPr>
              <w:spacing w:line="240" w:lineRule="auto"/>
              <w:ind w:firstLine="0" w:firstLineChars="0"/>
              <w:jc w:val="center"/>
              <w:rPr>
                <w:bCs/>
                <w:sz w:val="21"/>
                <w:szCs w:val="21"/>
                <w:highlight w:val="none"/>
              </w:rPr>
            </w:pPr>
            <w:r>
              <w:rPr>
                <w:bCs/>
                <w:sz w:val="21"/>
                <w:szCs w:val="21"/>
                <w:highlight w:val="none"/>
              </w:rPr>
              <w:t>昼间</w:t>
            </w:r>
          </w:p>
        </w:tc>
        <w:tc>
          <w:tcPr>
            <w:tcW w:w="1058" w:type="dxa"/>
            <w:vAlign w:val="center"/>
          </w:tcPr>
          <w:p>
            <w:pPr>
              <w:spacing w:line="240" w:lineRule="auto"/>
              <w:ind w:firstLine="0" w:firstLineChars="0"/>
              <w:jc w:val="center"/>
              <w:rPr>
                <w:bCs/>
                <w:sz w:val="21"/>
                <w:szCs w:val="21"/>
                <w:highlight w:val="none"/>
              </w:rPr>
            </w:pPr>
            <w:r>
              <w:rPr>
                <w:bCs/>
                <w:sz w:val="21"/>
                <w:szCs w:val="21"/>
                <w:highlight w:val="none"/>
              </w:rPr>
              <w:t>夜间</w:t>
            </w:r>
          </w:p>
        </w:tc>
        <w:tc>
          <w:tcPr>
            <w:tcW w:w="4881" w:type="dxa"/>
            <w:vMerge w:val="restart"/>
            <w:vAlign w:val="center"/>
          </w:tcPr>
          <w:p>
            <w:pPr>
              <w:spacing w:line="240" w:lineRule="auto"/>
              <w:ind w:firstLine="0" w:firstLineChars="0"/>
              <w:jc w:val="center"/>
              <w:rPr>
                <w:bCs/>
                <w:sz w:val="21"/>
                <w:szCs w:val="21"/>
                <w:highlight w:val="none"/>
              </w:rPr>
            </w:pPr>
            <w:r>
              <w:rPr>
                <w:sz w:val="21"/>
                <w:szCs w:val="21"/>
                <w:highlight w:val="none"/>
              </w:rPr>
              <w:t>《工业企业厂界环境噪声排放标准》（GB12348-2008）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26" w:type="dxa"/>
            <w:vMerge w:val="continue"/>
            <w:vAlign w:val="center"/>
          </w:tcPr>
          <w:p>
            <w:pPr>
              <w:spacing w:line="240" w:lineRule="auto"/>
              <w:ind w:firstLine="0" w:firstLineChars="0"/>
              <w:jc w:val="center"/>
              <w:rPr>
                <w:bCs/>
                <w:sz w:val="21"/>
                <w:szCs w:val="21"/>
                <w:highlight w:val="none"/>
              </w:rPr>
            </w:pPr>
          </w:p>
        </w:tc>
        <w:tc>
          <w:tcPr>
            <w:tcW w:w="1057" w:type="dxa"/>
            <w:vAlign w:val="center"/>
          </w:tcPr>
          <w:p>
            <w:pPr>
              <w:spacing w:line="240" w:lineRule="auto"/>
              <w:ind w:firstLine="0" w:firstLineChars="0"/>
              <w:jc w:val="center"/>
              <w:rPr>
                <w:bCs/>
                <w:sz w:val="21"/>
                <w:szCs w:val="21"/>
                <w:highlight w:val="none"/>
              </w:rPr>
            </w:pPr>
            <w:r>
              <w:rPr>
                <w:bCs/>
                <w:sz w:val="21"/>
                <w:szCs w:val="21"/>
                <w:highlight w:val="none"/>
              </w:rPr>
              <w:t>60</w:t>
            </w:r>
          </w:p>
        </w:tc>
        <w:tc>
          <w:tcPr>
            <w:tcW w:w="1058" w:type="dxa"/>
            <w:vAlign w:val="center"/>
          </w:tcPr>
          <w:p>
            <w:pPr>
              <w:spacing w:line="240" w:lineRule="auto"/>
              <w:ind w:firstLine="0" w:firstLineChars="0"/>
              <w:jc w:val="center"/>
              <w:rPr>
                <w:bCs/>
                <w:sz w:val="21"/>
                <w:szCs w:val="21"/>
                <w:highlight w:val="none"/>
              </w:rPr>
            </w:pPr>
            <w:r>
              <w:rPr>
                <w:bCs/>
                <w:sz w:val="21"/>
                <w:szCs w:val="21"/>
                <w:highlight w:val="none"/>
              </w:rPr>
              <w:t>50</w:t>
            </w:r>
          </w:p>
        </w:tc>
        <w:tc>
          <w:tcPr>
            <w:tcW w:w="4881" w:type="dxa"/>
            <w:vMerge w:val="continue"/>
            <w:vAlign w:val="center"/>
          </w:tcPr>
          <w:p>
            <w:pPr>
              <w:spacing w:line="240" w:lineRule="auto"/>
              <w:ind w:firstLine="0" w:firstLineChars="0"/>
              <w:jc w:val="center"/>
              <w:rPr>
                <w:bCs/>
                <w:sz w:val="21"/>
                <w:szCs w:val="21"/>
                <w:highlight w:val="none"/>
              </w:rPr>
            </w:pPr>
          </w:p>
        </w:tc>
      </w:tr>
    </w:tbl>
    <w:p>
      <w:pPr>
        <w:widowControl/>
        <w:ind w:firstLine="480"/>
        <w:textAlignment w:val="auto"/>
        <w:rPr>
          <w:sz w:val="24"/>
          <w:szCs w:val="24"/>
          <w:highlight w:val="none"/>
        </w:rPr>
      </w:pPr>
      <w:r>
        <w:rPr>
          <w:rFonts w:hint="eastAsia"/>
          <w:sz w:val="24"/>
          <w:szCs w:val="24"/>
          <w:highlight w:val="none"/>
        </w:rPr>
        <w:t>4、</w:t>
      </w:r>
      <w:r>
        <w:rPr>
          <w:sz w:val="24"/>
          <w:szCs w:val="24"/>
          <w:highlight w:val="none"/>
        </w:rPr>
        <w:t>固体废物</w:t>
      </w:r>
    </w:p>
    <w:p>
      <w:pPr>
        <w:ind w:firstLine="480"/>
        <w:jc w:val="both"/>
        <w:rPr>
          <w:sz w:val="24"/>
          <w:szCs w:val="24"/>
          <w:highlight w:val="none"/>
        </w:rPr>
      </w:pPr>
      <w:r>
        <w:rPr>
          <w:rFonts w:hint="eastAsia"/>
          <w:sz w:val="24"/>
          <w:szCs w:val="24"/>
          <w:highlight w:val="none"/>
        </w:rPr>
        <w:t>（1）一般固体废物贮存参照执行《一般工业固体废物贮存和填埋污染控制标准》（</w:t>
      </w:r>
      <w:r>
        <w:rPr>
          <w:sz w:val="24"/>
          <w:szCs w:val="24"/>
          <w:highlight w:val="none"/>
        </w:rPr>
        <w:t>GB18599-2020</w:t>
      </w:r>
      <w:r>
        <w:rPr>
          <w:rFonts w:hint="eastAsia"/>
          <w:sz w:val="24"/>
          <w:szCs w:val="24"/>
          <w:highlight w:val="none"/>
        </w:rPr>
        <w:t>）关于固体废物贮存的防风、防雨、防渗等相关要求。</w:t>
      </w:r>
    </w:p>
    <w:p>
      <w:pPr>
        <w:ind w:firstLine="480"/>
        <w:jc w:val="both"/>
        <w:rPr>
          <w:sz w:val="24"/>
          <w:szCs w:val="24"/>
          <w:highlight w:val="none"/>
        </w:rPr>
      </w:pPr>
      <w:r>
        <w:rPr>
          <w:rFonts w:hint="eastAsia"/>
          <w:sz w:val="24"/>
          <w:szCs w:val="24"/>
          <w:highlight w:val="none"/>
        </w:rPr>
        <w:t>（2）</w:t>
      </w:r>
      <w:r>
        <w:rPr>
          <w:sz w:val="24"/>
          <w:szCs w:val="24"/>
          <w:highlight w:val="none"/>
        </w:rPr>
        <w:t>危险废物执行《危险废物贮存污染控制标准》（GB18597-20</w:t>
      </w:r>
      <w:r>
        <w:rPr>
          <w:rFonts w:hint="eastAsia"/>
          <w:sz w:val="24"/>
          <w:szCs w:val="24"/>
          <w:highlight w:val="none"/>
        </w:rPr>
        <w:t>23</w:t>
      </w:r>
      <w:r>
        <w:rPr>
          <w:sz w:val="24"/>
          <w:szCs w:val="24"/>
          <w:highlight w:val="none"/>
        </w:rPr>
        <w:t>）、《危险废物收集贮存运输技术规范》</w:t>
      </w:r>
      <w:r>
        <w:rPr>
          <w:highlight w:val="none"/>
        </w:rPr>
        <w:fldChar w:fldCharType="begin"/>
      </w:r>
      <w:r>
        <w:rPr>
          <w:highlight w:val="none"/>
        </w:rPr>
        <w:instrText xml:space="preserve"> HYPERLINK "http://kjs.mep.gov.cn/hjbhbz/bzwb/other/hjbhgc/201212/W020121231388626474080.pdf" </w:instrText>
      </w:r>
      <w:r>
        <w:rPr>
          <w:highlight w:val="none"/>
        </w:rPr>
        <w:fldChar w:fldCharType="separate"/>
      </w:r>
      <w:r>
        <w:rPr>
          <w:sz w:val="24"/>
          <w:szCs w:val="24"/>
          <w:highlight w:val="none"/>
        </w:rPr>
        <w:t>（HJ 2025-2012）</w:t>
      </w:r>
      <w:r>
        <w:rPr>
          <w:sz w:val="24"/>
          <w:szCs w:val="24"/>
          <w:highlight w:val="none"/>
        </w:rPr>
        <w:fldChar w:fldCharType="end"/>
      </w:r>
      <w:r>
        <w:rPr>
          <w:sz w:val="24"/>
          <w:szCs w:val="24"/>
          <w:highlight w:val="none"/>
        </w:rPr>
        <w:t>、《危险废物污染防治技术政策》和《危险废物转移联单管理办法》中的有关规定。</w:t>
      </w:r>
    </w:p>
    <w:p>
      <w:pPr>
        <w:ind w:firstLine="480"/>
        <w:jc w:val="both"/>
        <w:rPr>
          <w:sz w:val="24"/>
          <w:szCs w:val="24"/>
          <w:highlight w:val="none"/>
        </w:rPr>
      </w:pPr>
      <w:r>
        <w:rPr>
          <w:rFonts w:hint="eastAsia"/>
          <w:sz w:val="24"/>
          <w:szCs w:val="24"/>
          <w:highlight w:val="none"/>
        </w:rPr>
        <w:t>5、</w:t>
      </w:r>
      <w:r>
        <w:rPr>
          <w:sz w:val="24"/>
          <w:szCs w:val="24"/>
          <w:highlight w:val="none"/>
        </w:rPr>
        <w:t>其他标准</w:t>
      </w:r>
    </w:p>
    <w:p>
      <w:pPr>
        <w:ind w:firstLine="480"/>
        <w:jc w:val="both"/>
        <w:rPr>
          <w:sz w:val="24"/>
          <w:szCs w:val="24"/>
          <w:highlight w:val="none"/>
        </w:rPr>
      </w:pPr>
      <w:r>
        <w:rPr>
          <w:rFonts w:hint="eastAsia" w:ascii="宋体" w:hAnsi="宋体" w:cs="宋体"/>
          <w:sz w:val="24"/>
          <w:szCs w:val="24"/>
          <w:highlight w:val="none"/>
        </w:rPr>
        <w:t>①</w:t>
      </w:r>
      <w:r>
        <w:rPr>
          <w:sz w:val="24"/>
          <w:szCs w:val="24"/>
          <w:highlight w:val="none"/>
        </w:rPr>
        <w:t>《危险废物鉴别标准浸出毒性鉴别》（GB5058.3-2007）。</w:t>
      </w:r>
    </w:p>
    <w:p>
      <w:pPr>
        <w:widowControl/>
        <w:numPr>
          <w:ilvl w:val="255"/>
          <w:numId w:val="0"/>
        </w:numPr>
        <w:ind w:firstLine="480" w:firstLineChars="200"/>
        <w:rPr>
          <w:snapToGrid w:val="0"/>
          <w:szCs w:val="28"/>
          <w:highlight w:val="none"/>
        </w:rPr>
      </w:pPr>
      <w:r>
        <w:rPr>
          <w:rFonts w:hint="eastAsia" w:ascii="宋体" w:hAnsi="宋体" w:cs="宋体"/>
          <w:sz w:val="24"/>
          <w:szCs w:val="24"/>
          <w:highlight w:val="none"/>
        </w:rPr>
        <w:t>②</w:t>
      </w:r>
      <w:r>
        <w:rPr>
          <w:sz w:val="24"/>
          <w:szCs w:val="24"/>
          <w:highlight w:val="none"/>
        </w:rPr>
        <w:t>《清洁生产标准铁矿采选业》（HJ/T294－2006）。</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149" w:name="_Toc2596"/>
      <w:r>
        <w:rPr>
          <w:rFonts w:ascii="Times New Roman" w:hAnsi="Times New Roman" w:eastAsia="宋体"/>
          <w:bCs w:val="0"/>
          <w:snapToGrid w:val="0"/>
          <w:kern w:val="0"/>
          <w:sz w:val="28"/>
          <w:szCs w:val="28"/>
          <w:highlight w:val="none"/>
        </w:rPr>
        <w:t>主要环境保护目标</w:t>
      </w:r>
      <w:bookmarkEnd w:id="140"/>
      <w:bookmarkEnd w:id="141"/>
      <w:bookmarkEnd w:id="142"/>
      <w:bookmarkEnd w:id="143"/>
      <w:bookmarkEnd w:id="144"/>
      <w:bookmarkEnd w:id="145"/>
      <w:bookmarkEnd w:id="146"/>
      <w:bookmarkEnd w:id="147"/>
      <w:bookmarkEnd w:id="149"/>
    </w:p>
    <w:p>
      <w:pPr>
        <w:ind w:firstLine="480"/>
        <w:jc w:val="both"/>
        <w:rPr>
          <w:sz w:val="24"/>
          <w:szCs w:val="24"/>
          <w:highlight w:val="none"/>
        </w:rPr>
      </w:pPr>
      <w:r>
        <w:rPr>
          <w:sz w:val="24"/>
          <w:szCs w:val="24"/>
          <w:highlight w:val="none"/>
        </w:rPr>
        <w:t>本项目场区所在区域无自然保护区、风景名胜区等特殊环境敏感区。结合工程特点，确定本评价主要保护目标为：评价区环境空气、地表水、地下水及周围村庄居民。</w:t>
      </w:r>
    </w:p>
    <w:p>
      <w:pPr>
        <w:ind w:firstLine="480"/>
        <w:jc w:val="both"/>
        <w:rPr>
          <w:sz w:val="24"/>
          <w:szCs w:val="24"/>
          <w:highlight w:val="none"/>
        </w:rPr>
      </w:pPr>
      <w:r>
        <w:rPr>
          <w:sz w:val="24"/>
          <w:szCs w:val="24"/>
          <w:highlight w:val="none"/>
        </w:rPr>
        <w:t>本工程环境保护目标详细内容见表2.</w:t>
      </w:r>
      <w:r>
        <w:rPr>
          <w:rFonts w:hint="eastAsia"/>
          <w:sz w:val="24"/>
          <w:szCs w:val="24"/>
          <w:highlight w:val="none"/>
        </w:rPr>
        <w:t>8</w:t>
      </w:r>
      <w:r>
        <w:rPr>
          <w:sz w:val="24"/>
          <w:szCs w:val="24"/>
          <w:highlight w:val="none"/>
        </w:rPr>
        <w:t>-1。</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表2.</w:t>
      </w:r>
      <w:r>
        <w:rPr>
          <w:rFonts w:hint="eastAsia" w:eastAsia="黑体"/>
          <w:kern w:val="2"/>
          <w:sz w:val="21"/>
          <w:szCs w:val="21"/>
          <w:highlight w:val="none"/>
        </w:rPr>
        <w:t>8</w:t>
      </w:r>
      <w:r>
        <w:rPr>
          <w:rFonts w:eastAsia="黑体"/>
          <w:kern w:val="2"/>
          <w:sz w:val="21"/>
          <w:szCs w:val="21"/>
          <w:highlight w:val="none"/>
        </w:rPr>
        <w:t>-1    项目周围环境保护目标一览表</w:t>
      </w:r>
    </w:p>
    <w:tbl>
      <w:tblPr>
        <w:tblStyle w:val="56"/>
        <w:tblW w:w="89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309"/>
        <w:gridCol w:w="897"/>
        <w:gridCol w:w="1547"/>
        <w:gridCol w:w="1732"/>
        <w:gridCol w:w="691"/>
        <w:gridCol w:w="20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1" w:type="dxa"/>
            <w:vAlign w:val="center"/>
          </w:tcPr>
          <w:p>
            <w:pPr>
              <w:snapToGrid w:val="0"/>
              <w:spacing w:line="240" w:lineRule="auto"/>
              <w:ind w:firstLine="0" w:firstLineChars="0"/>
              <w:jc w:val="center"/>
              <w:rPr>
                <w:sz w:val="21"/>
                <w:szCs w:val="21"/>
                <w:highlight w:val="none"/>
              </w:rPr>
            </w:pPr>
            <w:r>
              <w:rPr>
                <w:sz w:val="21"/>
                <w:szCs w:val="21"/>
                <w:highlight w:val="none"/>
              </w:rPr>
              <w:t>环境要素</w:t>
            </w:r>
          </w:p>
        </w:tc>
        <w:tc>
          <w:tcPr>
            <w:tcW w:w="1309" w:type="dxa"/>
            <w:vAlign w:val="center"/>
          </w:tcPr>
          <w:p>
            <w:pPr>
              <w:snapToGrid w:val="0"/>
              <w:spacing w:line="240" w:lineRule="auto"/>
              <w:ind w:firstLine="0" w:firstLineChars="0"/>
              <w:jc w:val="center"/>
              <w:rPr>
                <w:sz w:val="21"/>
                <w:szCs w:val="21"/>
                <w:highlight w:val="none"/>
              </w:rPr>
            </w:pPr>
            <w:r>
              <w:rPr>
                <w:sz w:val="21"/>
                <w:szCs w:val="21"/>
                <w:highlight w:val="none"/>
              </w:rPr>
              <w:t>保护目标</w:t>
            </w:r>
          </w:p>
        </w:tc>
        <w:tc>
          <w:tcPr>
            <w:tcW w:w="897" w:type="dxa"/>
            <w:vAlign w:val="center"/>
          </w:tcPr>
          <w:p>
            <w:pPr>
              <w:snapToGrid w:val="0"/>
              <w:spacing w:line="240" w:lineRule="auto"/>
              <w:ind w:firstLine="0" w:firstLineChars="0"/>
              <w:jc w:val="center"/>
              <w:rPr>
                <w:sz w:val="21"/>
                <w:szCs w:val="21"/>
                <w:highlight w:val="none"/>
              </w:rPr>
            </w:pPr>
            <w:r>
              <w:rPr>
                <w:sz w:val="21"/>
                <w:szCs w:val="21"/>
                <w:highlight w:val="none"/>
              </w:rPr>
              <w:t>方位</w:t>
            </w:r>
          </w:p>
        </w:tc>
        <w:tc>
          <w:tcPr>
            <w:tcW w:w="1547" w:type="dxa"/>
            <w:vAlign w:val="center"/>
          </w:tcPr>
          <w:p>
            <w:pPr>
              <w:snapToGrid w:val="0"/>
              <w:spacing w:line="240" w:lineRule="auto"/>
              <w:ind w:firstLine="0" w:firstLineChars="0"/>
              <w:jc w:val="center"/>
              <w:rPr>
                <w:sz w:val="21"/>
                <w:szCs w:val="21"/>
                <w:highlight w:val="none"/>
              </w:rPr>
            </w:pPr>
            <w:r>
              <w:rPr>
                <w:sz w:val="21"/>
                <w:szCs w:val="21"/>
                <w:highlight w:val="none"/>
              </w:rPr>
              <w:t>厂界距离敏感点的距离</w:t>
            </w:r>
            <w:r>
              <w:rPr>
                <w:rFonts w:hint="eastAsia"/>
                <w:sz w:val="21"/>
                <w:szCs w:val="21"/>
                <w:highlight w:val="none"/>
              </w:rPr>
              <w:t>/m</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人数</w:t>
            </w:r>
          </w:p>
        </w:tc>
        <w:tc>
          <w:tcPr>
            <w:tcW w:w="691" w:type="dxa"/>
            <w:vAlign w:val="center"/>
          </w:tcPr>
          <w:p>
            <w:pPr>
              <w:snapToGrid w:val="0"/>
              <w:spacing w:line="240" w:lineRule="auto"/>
              <w:ind w:firstLine="0" w:firstLineChars="0"/>
              <w:jc w:val="center"/>
              <w:rPr>
                <w:sz w:val="21"/>
                <w:szCs w:val="21"/>
                <w:highlight w:val="none"/>
              </w:rPr>
            </w:pPr>
            <w:r>
              <w:rPr>
                <w:sz w:val="21"/>
                <w:szCs w:val="21"/>
                <w:highlight w:val="none"/>
              </w:rPr>
              <w:t>功能</w:t>
            </w:r>
          </w:p>
        </w:tc>
        <w:tc>
          <w:tcPr>
            <w:tcW w:w="2070" w:type="dxa"/>
            <w:vAlign w:val="center"/>
          </w:tcPr>
          <w:p>
            <w:pPr>
              <w:snapToGrid w:val="0"/>
              <w:spacing w:line="240" w:lineRule="auto"/>
              <w:ind w:firstLine="0" w:firstLineChars="0"/>
              <w:jc w:val="center"/>
              <w:rPr>
                <w:sz w:val="21"/>
                <w:szCs w:val="21"/>
                <w:highlight w:val="none"/>
              </w:rPr>
            </w:pPr>
            <w:r>
              <w:rPr>
                <w:sz w:val="21"/>
                <w:szCs w:val="21"/>
                <w:highlight w:val="none"/>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restart"/>
            <w:vAlign w:val="center"/>
          </w:tcPr>
          <w:p>
            <w:pPr>
              <w:snapToGrid w:val="0"/>
              <w:spacing w:line="240" w:lineRule="auto"/>
              <w:ind w:firstLine="0" w:firstLineChars="0"/>
              <w:jc w:val="center"/>
              <w:rPr>
                <w:sz w:val="21"/>
                <w:szCs w:val="21"/>
                <w:highlight w:val="none"/>
              </w:rPr>
            </w:pPr>
            <w:r>
              <w:rPr>
                <w:sz w:val="21"/>
                <w:szCs w:val="21"/>
                <w:highlight w:val="none"/>
              </w:rPr>
              <w:t>大气环境</w:t>
            </w: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马店子村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270</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1800</w:t>
            </w:r>
          </w:p>
        </w:tc>
        <w:tc>
          <w:tcPr>
            <w:tcW w:w="691" w:type="dxa"/>
            <w:vMerge w:val="restart"/>
            <w:vAlign w:val="center"/>
          </w:tcPr>
          <w:p>
            <w:pPr>
              <w:snapToGrid w:val="0"/>
              <w:spacing w:line="240" w:lineRule="auto"/>
              <w:ind w:firstLine="0" w:firstLineChars="0"/>
              <w:jc w:val="center"/>
              <w:rPr>
                <w:sz w:val="21"/>
                <w:szCs w:val="21"/>
                <w:highlight w:val="none"/>
              </w:rPr>
            </w:pPr>
            <w:r>
              <w:rPr>
                <w:rFonts w:hint="eastAsia"/>
                <w:sz w:val="21"/>
                <w:szCs w:val="21"/>
                <w:highlight w:val="none"/>
              </w:rPr>
              <w:t>居住区</w:t>
            </w:r>
          </w:p>
        </w:tc>
        <w:tc>
          <w:tcPr>
            <w:tcW w:w="2070" w:type="dxa"/>
            <w:vMerge w:val="restart"/>
            <w:vAlign w:val="center"/>
          </w:tcPr>
          <w:p>
            <w:pPr>
              <w:snapToGrid w:val="0"/>
              <w:spacing w:line="240" w:lineRule="auto"/>
              <w:ind w:firstLine="0" w:firstLineChars="0"/>
              <w:jc w:val="center"/>
              <w:rPr>
                <w:sz w:val="21"/>
                <w:szCs w:val="21"/>
                <w:highlight w:val="none"/>
              </w:rPr>
            </w:pPr>
            <w:r>
              <w:rPr>
                <w:sz w:val="21"/>
                <w:szCs w:val="21"/>
                <w:highlight w:val="none"/>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东夏庄子村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405</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700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思恭庄村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1184</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800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康各庄村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2349</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2100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新井框峪村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SE</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1107</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西北宅村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SE</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1528</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1100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东北宅村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SE</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1845</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900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岳各庄村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E</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2706</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1700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西苇店村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NE</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1385</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1400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东马各庄村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N</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2405</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3000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疙塔坨村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N</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1929</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2000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骆各庄村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2481</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2700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吴家坑村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1646</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1000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东滩村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1590</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1400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官房子村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472</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300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提举庄村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1003</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1400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东黎河庄村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2098</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350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团瓢庄村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1945</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1800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东下院寺村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2126</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1100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pPr>
              <w:snapToGrid w:val="0"/>
              <w:spacing w:line="240" w:lineRule="auto"/>
              <w:ind w:firstLine="0" w:firstLineChars="0"/>
              <w:jc w:val="center"/>
              <w:rPr>
                <w:sz w:val="21"/>
                <w:szCs w:val="21"/>
                <w:highlight w:val="none"/>
              </w:rPr>
            </w:pP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石庄子村</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w:t>
            </w:r>
          </w:p>
        </w:tc>
        <w:tc>
          <w:tcPr>
            <w:tcW w:w="154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840</w:t>
            </w:r>
          </w:p>
        </w:tc>
        <w:tc>
          <w:tcPr>
            <w:tcW w:w="1732"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200</w:t>
            </w:r>
          </w:p>
        </w:tc>
        <w:tc>
          <w:tcPr>
            <w:tcW w:w="691" w:type="dxa"/>
            <w:vMerge w:val="continue"/>
            <w:vAlign w:val="center"/>
          </w:tcPr>
          <w:p>
            <w:pPr>
              <w:snapToGrid w:val="0"/>
              <w:spacing w:line="240" w:lineRule="auto"/>
              <w:ind w:firstLine="0" w:firstLineChars="0"/>
              <w:jc w:val="center"/>
              <w:rPr>
                <w:sz w:val="21"/>
                <w:szCs w:val="21"/>
                <w:highlight w:val="none"/>
              </w:rPr>
            </w:pPr>
          </w:p>
        </w:tc>
        <w:tc>
          <w:tcPr>
            <w:tcW w:w="2070" w:type="dxa"/>
            <w:vMerge w:val="continue"/>
            <w:vAlign w:val="center"/>
          </w:tcPr>
          <w:p>
            <w:pPr>
              <w:snapToGrid w:val="0"/>
              <w:spacing w:line="240" w:lineRule="auto"/>
              <w:ind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声环境</w:t>
            </w: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厂界外1m</w:t>
            </w:r>
          </w:p>
        </w:tc>
        <w:tc>
          <w:tcPr>
            <w:tcW w:w="897" w:type="dxa"/>
            <w:vAlign w:val="center"/>
          </w:tcPr>
          <w:p>
            <w:pPr>
              <w:snapToGrid w:val="0"/>
              <w:spacing w:line="240" w:lineRule="auto"/>
              <w:ind w:firstLine="0" w:firstLineChars="0"/>
              <w:jc w:val="center"/>
              <w:rPr>
                <w:sz w:val="21"/>
                <w:szCs w:val="21"/>
                <w:highlight w:val="none"/>
              </w:rPr>
            </w:pPr>
            <w:r>
              <w:rPr>
                <w:sz w:val="21"/>
                <w:szCs w:val="21"/>
                <w:highlight w:val="none"/>
              </w:rPr>
              <w:t>—</w:t>
            </w:r>
          </w:p>
        </w:tc>
        <w:tc>
          <w:tcPr>
            <w:tcW w:w="3279" w:type="dxa"/>
            <w:gridSpan w:val="2"/>
            <w:vAlign w:val="center"/>
          </w:tcPr>
          <w:p>
            <w:pPr>
              <w:snapToGrid w:val="0"/>
              <w:spacing w:line="240" w:lineRule="auto"/>
              <w:ind w:firstLine="0" w:firstLineChars="0"/>
              <w:jc w:val="center"/>
              <w:rPr>
                <w:sz w:val="21"/>
                <w:szCs w:val="21"/>
                <w:highlight w:val="none"/>
              </w:rPr>
            </w:pPr>
            <w:r>
              <w:rPr>
                <w:sz w:val="21"/>
                <w:szCs w:val="21"/>
                <w:highlight w:val="none"/>
              </w:rPr>
              <w:t>—</w:t>
            </w:r>
          </w:p>
        </w:tc>
        <w:tc>
          <w:tcPr>
            <w:tcW w:w="691" w:type="dxa"/>
            <w:vAlign w:val="center"/>
          </w:tcPr>
          <w:p>
            <w:pPr>
              <w:snapToGrid w:val="0"/>
              <w:spacing w:line="240" w:lineRule="auto"/>
              <w:ind w:firstLine="0" w:firstLineChars="0"/>
              <w:jc w:val="center"/>
              <w:rPr>
                <w:sz w:val="21"/>
                <w:szCs w:val="21"/>
                <w:highlight w:val="none"/>
              </w:rPr>
            </w:pPr>
            <w:r>
              <w:rPr>
                <w:sz w:val="21"/>
                <w:szCs w:val="21"/>
                <w:highlight w:val="none"/>
              </w:rPr>
              <w:t>—</w:t>
            </w:r>
          </w:p>
        </w:tc>
        <w:tc>
          <w:tcPr>
            <w:tcW w:w="2070" w:type="dxa"/>
            <w:vAlign w:val="center"/>
          </w:tcPr>
          <w:p>
            <w:pPr>
              <w:snapToGrid w:val="0"/>
              <w:spacing w:line="240" w:lineRule="auto"/>
              <w:ind w:firstLine="0" w:firstLineChars="0"/>
              <w:jc w:val="center"/>
              <w:rPr>
                <w:sz w:val="21"/>
                <w:szCs w:val="21"/>
                <w:highlight w:val="none"/>
              </w:rPr>
            </w:pPr>
            <w:r>
              <w:rPr>
                <w:sz w:val="21"/>
                <w:szCs w:val="21"/>
                <w:highlight w:val="none"/>
              </w:rPr>
              <w:t>《声环境质量标准》(GB3096</w:t>
            </w:r>
            <w:r>
              <w:rPr>
                <w:rFonts w:hint="eastAsia"/>
                <w:sz w:val="21"/>
                <w:szCs w:val="21"/>
                <w:highlight w:val="none"/>
              </w:rPr>
              <w:t>-</w:t>
            </w:r>
            <w:r>
              <w:rPr>
                <w:sz w:val="21"/>
                <w:szCs w:val="21"/>
                <w:highlight w:val="none"/>
              </w:rPr>
              <w:t>2008)</w:t>
            </w:r>
            <w:r>
              <w:rPr>
                <w:rFonts w:hint="eastAsia"/>
                <w:sz w:val="21"/>
                <w:szCs w:val="21"/>
                <w:highlight w:val="none"/>
              </w:rPr>
              <w:t>2</w:t>
            </w:r>
            <w:r>
              <w:rPr>
                <w:sz w:val="21"/>
                <w:szCs w:val="21"/>
                <w:highlight w:val="none"/>
              </w:rPr>
              <w:t>类</w:t>
            </w:r>
            <w:r>
              <w:rPr>
                <w:rFonts w:hint="eastAsia"/>
                <w:sz w:val="21"/>
                <w:szCs w:val="21"/>
                <w:highlight w:val="none"/>
              </w:rPr>
              <w:t>区</w:t>
            </w:r>
            <w:r>
              <w:rPr>
                <w:sz w:val="21"/>
                <w:szCs w:val="21"/>
                <w:highlight w:val="none"/>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pStyle w:val="417"/>
              <w:spacing w:line="240" w:lineRule="auto"/>
              <w:rPr>
                <w:highlight w:val="none"/>
              </w:rPr>
            </w:pPr>
            <w:r>
              <w:rPr>
                <w:rFonts w:hint="eastAsia"/>
                <w:highlight w:val="none"/>
              </w:rPr>
              <w:t>土壤</w:t>
            </w:r>
          </w:p>
        </w:tc>
        <w:tc>
          <w:tcPr>
            <w:tcW w:w="1309" w:type="dxa"/>
            <w:vAlign w:val="center"/>
          </w:tcPr>
          <w:p>
            <w:pPr>
              <w:pStyle w:val="417"/>
              <w:spacing w:line="240" w:lineRule="auto"/>
              <w:rPr>
                <w:highlight w:val="none"/>
              </w:rPr>
            </w:pPr>
            <w:r>
              <w:rPr>
                <w:rFonts w:hint="eastAsia"/>
                <w:highlight w:val="none"/>
              </w:rPr>
              <w:t>厂区</w:t>
            </w:r>
          </w:p>
        </w:tc>
        <w:tc>
          <w:tcPr>
            <w:tcW w:w="897" w:type="dxa"/>
            <w:vAlign w:val="center"/>
          </w:tcPr>
          <w:p>
            <w:pPr>
              <w:pStyle w:val="417"/>
              <w:spacing w:line="240" w:lineRule="auto"/>
              <w:rPr>
                <w:highlight w:val="none"/>
              </w:rPr>
            </w:pPr>
            <w:r>
              <w:rPr>
                <w:rFonts w:hint="eastAsia"/>
                <w:highlight w:val="none"/>
              </w:rPr>
              <w:t>建设用地第二类用地</w:t>
            </w:r>
          </w:p>
        </w:tc>
        <w:tc>
          <w:tcPr>
            <w:tcW w:w="3279" w:type="dxa"/>
            <w:gridSpan w:val="2"/>
            <w:vAlign w:val="center"/>
          </w:tcPr>
          <w:p>
            <w:pPr>
              <w:pStyle w:val="417"/>
              <w:spacing w:line="240" w:lineRule="auto"/>
              <w:rPr>
                <w:highlight w:val="none"/>
              </w:rPr>
            </w:pPr>
            <w:r>
              <w:rPr>
                <w:highlight w:val="none"/>
              </w:rPr>
              <w:t>/</w:t>
            </w:r>
          </w:p>
        </w:tc>
        <w:tc>
          <w:tcPr>
            <w:tcW w:w="691" w:type="dxa"/>
            <w:vAlign w:val="center"/>
          </w:tcPr>
          <w:p>
            <w:pPr>
              <w:pStyle w:val="417"/>
              <w:spacing w:line="240" w:lineRule="auto"/>
              <w:rPr>
                <w:highlight w:val="none"/>
              </w:rPr>
            </w:pPr>
            <w:r>
              <w:rPr>
                <w:highlight w:val="none"/>
              </w:rPr>
              <w:t>/</w:t>
            </w:r>
          </w:p>
        </w:tc>
        <w:tc>
          <w:tcPr>
            <w:tcW w:w="2070" w:type="dxa"/>
            <w:vAlign w:val="center"/>
          </w:tcPr>
          <w:p>
            <w:pPr>
              <w:pStyle w:val="417"/>
              <w:spacing w:line="240" w:lineRule="auto"/>
              <w:rPr>
                <w:highlight w:val="none"/>
              </w:rPr>
            </w:pPr>
            <w:r>
              <w:rPr>
                <w:rFonts w:hint="eastAsia"/>
                <w:highlight w:val="none"/>
              </w:rPr>
              <w:t>《土壤环境质量标准——建设用地土壤污染风险管控标准》（GB36600-2018）第二类用地筛选值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生态环境</w:t>
            </w:r>
          </w:p>
        </w:tc>
        <w:tc>
          <w:tcPr>
            <w:tcW w:w="13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工程占地范围</w:t>
            </w:r>
          </w:p>
        </w:tc>
        <w:tc>
          <w:tcPr>
            <w:tcW w:w="897"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办公区、选矿区</w:t>
            </w:r>
          </w:p>
        </w:tc>
        <w:tc>
          <w:tcPr>
            <w:tcW w:w="3279" w:type="dxa"/>
            <w:gridSpan w:val="2"/>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c>
          <w:tcPr>
            <w:tcW w:w="691"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c>
          <w:tcPr>
            <w:tcW w:w="2070"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r>
    </w:tbl>
    <w:p>
      <w:pPr>
        <w:ind w:firstLine="480"/>
        <w:rPr>
          <w:sz w:val="24"/>
          <w:highlight w:val="none"/>
        </w:rPr>
      </w:pPr>
      <w:r>
        <w:rPr>
          <w:rFonts w:hint="eastAsia"/>
          <w:sz w:val="24"/>
          <w:highlight w:val="none"/>
        </w:rPr>
        <w:t>此次根据评价区水文地质条件及项目区实施后地下水环境影响因素及可能的影响范围，确定地下水环境保护目标详见下表</w:t>
      </w:r>
      <w:r>
        <w:rPr>
          <w:sz w:val="24"/>
          <w:highlight w:val="none"/>
        </w:rPr>
        <w:t>2.</w:t>
      </w:r>
      <w:r>
        <w:rPr>
          <w:rFonts w:hint="eastAsia"/>
          <w:sz w:val="24"/>
          <w:highlight w:val="none"/>
        </w:rPr>
        <w:t>8</w:t>
      </w:r>
      <w:r>
        <w:rPr>
          <w:sz w:val="24"/>
          <w:highlight w:val="none"/>
        </w:rPr>
        <w:t>-2</w:t>
      </w:r>
      <w:r>
        <w:rPr>
          <w:rFonts w:hint="eastAsia"/>
          <w:sz w:val="24"/>
          <w:highlight w:val="none"/>
        </w:rPr>
        <w:t>。</w:t>
      </w:r>
    </w:p>
    <w:p>
      <w:pPr>
        <w:rPr>
          <w:rFonts w:hint="eastAsia" w:eastAsia="黑体"/>
          <w:sz w:val="21"/>
          <w:szCs w:val="21"/>
          <w:highlight w:val="none"/>
        </w:rPr>
      </w:pPr>
      <w:r>
        <w:rPr>
          <w:rFonts w:hint="eastAsia" w:eastAsia="黑体"/>
          <w:sz w:val="21"/>
          <w:szCs w:val="21"/>
          <w:highlight w:val="none"/>
        </w:rPr>
        <w:br w:type="page"/>
      </w:r>
    </w:p>
    <w:p>
      <w:pPr>
        <w:autoSpaceDE w:val="0"/>
        <w:autoSpaceDN w:val="0"/>
        <w:snapToGrid w:val="0"/>
        <w:spacing w:line="240" w:lineRule="auto"/>
        <w:ind w:firstLine="0" w:firstLineChars="0"/>
        <w:jc w:val="center"/>
        <w:rPr>
          <w:highlight w:val="none"/>
        </w:rPr>
      </w:pPr>
      <w:r>
        <w:rPr>
          <w:rFonts w:hint="eastAsia" w:eastAsia="黑体"/>
          <w:sz w:val="21"/>
          <w:szCs w:val="21"/>
          <w:highlight w:val="none"/>
        </w:rPr>
        <w:t>表</w:t>
      </w:r>
      <w:r>
        <w:rPr>
          <w:rFonts w:eastAsia="黑体"/>
          <w:sz w:val="21"/>
          <w:szCs w:val="21"/>
          <w:highlight w:val="none"/>
        </w:rPr>
        <w:t>2.</w:t>
      </w:r>
      <w:r>
        <w:rPr>
          <w:rFonts w:hint="eastAsia" w:eastAsia="黑体"/>
          <w:sz w:val="21"/>
          <w:szCs w:val="21"/>
          <w:highlight w:val="none"/>
        </w:rPr>
        <w:t>8</w:t>
      </w:r>
      <w:r>
        <w:rPr>
          <w:rFonts w:eastAsia="黑体"/>
          <w:sz w:val="21"/>
          <w:szCs w:val="21"/>
          <w:highlight w:val="none"/>
        </w:rPr>
        <w:t xml:space="preserve">-2     </w:t>
      </w:r>
      <w:r>
        <w:rPr>
          <w:rFonts w:hint="eastAsia" w:eastAsia="黑体"/>
          <w:sz w:val="21"/>
          <w:szCs w:val="21"/>
          <w:highlight w:val="none"/>
        </w:rPr>
        <w:t>地下水评价环境保护目标表</w:t>
      </w:r>
    </w:p>
    <w:tbl>
      <w:tblPr>
        <w:tblStyle w:val="56"/>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6"/>
        <w:gridCol w:w="1069"/>
        <w:gridCol w:w="550"/>
        <w:gridCol w:w="633"/>
        <w:gridCol w:w="767"/>
        <w:gridCol w:w="866"/>
        <w:gridCol w:w="717"/>
        <w:gridCol w:w="383"/>
        <w:gridCol w:w="784"/>
        <w:gridCol w:w="800"/>
        <w:gridCol w:w="466"/>
        <w:gridCol w:w="11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7" w:type="pct"/>
            <w:gridSpan w:val="2"/>
            <w:vAlign w:val="center"/>
          </w:tcPr>
          <w:p>
            <w:pPr>
              <w:snapToGrid w:val="0"/>
              <w:spacing w:line="240" w:lineRule="auto"/>
              <w:ind w:firstLine="0" w:firstLineChars="0"/>
              <w:jc w:val="center"/>
              <w:rPr>
                <w:sz w:val="21"/>
                <w:szCs w:val="21"/>
                <w:highlight w:val="none"/>
              </w:rPr>
            </w:pPr>
            <w:r>
              <w:rPr>
                <w:rFonts w:hint="eastAsia"/>
                <w:sz w:val="21"/>
                <w:szCs w:val="21"/>
                <w:highlight w:val="none"/>
              </w:rPr>
              <w:t>保护目标</w:t>
            </w:r>
          </w:p>
        </w:tc>
        <w:tc>
          <w:tcPr>
            <w:tcW w:w="694" w:type="pct"/>
            <w:gridSpan w:val="2"/>
            <w:vAlign w:val="center"/>
          </w:tcPr>
          <w:p>
            <w:pPr>
              <w:snapToGrid w:val="0"/>
              <w:spacing w:line="240" w:lineRule="auto"/>
              <w:ind w:firstLine="0" w:firstLineChars="0"/>
              <w:jc w:val="center"/>
              <w:rPr>
                <w:sz w:val="21"/>
                <w:szCs w:val="21"/>
                <w:highlight w:val="none"/>
              </w:rPr>
            </w:pPr>
            <w:r>
              <w:rPr>
                <w:rFonts w:hint="eastAsia"/>
                <w:sz w:val="21"/>
                <w:szCs w:val="21"/>
                <w:highlight w:val="none"/>
              </w:rPr>
              <w:t>方位</w:t>
            </w:r>
          </w:p>
        </w:tc>
        <w:tc>
          <w:tcPr>
            <w:tcW w:w="958" w:type="pct"/>
            <w:gridSpan w:val="2"/>
            <w:vAlign w:val="center"/>
          </w:tcPr>
          <w:p>
            <w:pPr>
              <w:snapToGrid w:val="0"/>
              <w:spacing w:line="240" w:lineRule="auto"/>
              <w:ind w:firstLine="0" w:firstLineChars="0"/>
              <w:jc w:val="center"/>
              <w:rPr>
                <w:rFonts w:hint="eastAsia"/>
                <w:sz w:val="21"/>
                <w:szCs w:val="21"/>
                <w:highlight w:val="none"/>
                <w:lang w:val="en-US" w:eastAsia="zh-CN"/>
              </w:rPr>
            </w:pPr>
            <w:r>
              <w:rPr>
                <w:rFonts w:hint="eastAsia"/>
                <w:sz w:val="21"/>
                <w:szCs w:val="21"/>
                <w:highlight w:val="none"/>
                <w:lang w:val="en-US" w:eastAsia="zh-CN"/>
              </w:rPr>
              <w:t>坐标</w:t>
            </w:r>
          </w:p>
          <w:p>
            <w:pPr>
              <w:snapToGrid w:val="0"/>
              <w:spacing w:line="240" w:lineRule="auto"/>
              <w:ind w:firstLine="0" w:firstLineChars="0"/>
              <w:jc w:val="center"/>
              <w:rPr>
                <w:rFonts w:hint="eastAsia" w:eastAsia="宋体"/>
                <w:sz w:val="21"/>
                <w:szCs w:val="21"/>
                <w:highlight w:val="none"/>
                <w:lang w:val="en-US" w:eastAsia="zh-CN"/>
              </w:rPr>
            </w:pPr>
            <w:r>
              <w:rPr>
                <w:rFonts w:hint="eastAsia"/>
                <w:sz w:val="21"/>
                <w:szCs w:val="21"/>
                <w:highlight w:val="none"/>
                <w:lang w:val="en-US" w:eastAsia="zh-CN"/>
              </w:rPr>
              <w:t>（东经、北纬）</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距离/m</w:t>
            </w:r>
          </w:p>
        </w:tc>
        <w:tc>
          <w:tcPr>
            <w:tcW w:w="224"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含水层</w:t>
            </w: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供水人口</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井深/m</w:t>
            </w:r>
          </w:p>
        </w:tc>
        <w:tc>
          <w:tcPr>
            <w:tcW w:w="273"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功能</w:t>
            </w:r>
          </w:p>
        </w:tc>
        <w:tc>
          <w:tcPr>
            <w:tcW w:w="69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restart"/>
            <w:vAlign w:val="center"/>
          </w:tcPr>
          <w:p>
            <w:pPr>
              <w:snapToGrid w:val="0"/>
              <w:spacing w:line="240" w:lineRule="auto"/>
              <w:ind w:firstLine="0" w:firstLineChars="0"/>
              <w:jc w:val="center"/>
              <w:rPr>
                <w:sz w:val="21"/>
                <w:szCs w:val="21"/>
                <w:highlight w:val="none"/>
              </w:rPr>
            </w:pPr>
            <w:r>
              <w:rPr>
                <w:rFonts w:hint="eastAsia"/>
                <w:sz w:val="21"/>
                <w:szCs w:val="21"/>
                <w:highlight w:val="none"/>
              </w:rPr>
              <w:t>地下水</w:t>
            </w: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评价范围内区域地下水</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c>
          <w:tcPr>
            <w:tcW w:w="958" w:type="pct"/>
            <w:gridSpan w:val="2"/>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c>
          <w:tcPr>
            <w:tcW w:w="224" w:type="pct"/>
            <w:vMerge w:val="restart"/>
            <w:vAlign w:val="center"/>
          </w:tcPr>
          <w:p>
            <w:pPr>
              <w:snapToGrid w:val="0"/>
              <w:spacing w:line="240" w:lineRule="auto"/>
              <w:ind w:firstLine="0" w:firstLineChars="0"/>
              <w:jc w:val="center"/>
              <w:rPr>
                <w:sz w:val="21"/>
                <w:szCs w:val="21"/>
                <w:highlight w:val="none"/>
              </w:rPr>
            </w:pPr>
            <w:r>
              <w:rPr>
                <w:rFonts w:hint="eastAsia"/>
                <w:sz w:val="21"/>
                <w:szCs w:val="21"/>
                <w:highlight w:val="none"/>
              </w:rPr>
              <w:t>潜水</w:t>
            </w: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c>
          <w:tcPr>
            <w:tcW w:w="273"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t>
            </w:r>
          </w:p>
        </w:tc>
        <w:tc>
          <w:tcPr>
            <w:tcW w:w="690" w:type="pct"/>
            <w:vMerge w:val="restart"/>
            <w:vAlign w:val="center"/>
          </w:tcPr>
          <w:p>
            <w:pPr>
              <w:snapToGrid w:val="0"/>
              <w:spacing w:line="240" w:lineRule="auto"/>
              <w:ind w:firstLine="0" w:firstLineChars="0"/>
              <w:jc w:val="center"/>
              <w:rPr>
                <w:sz w:val="21"/>
                <w:szCs w:val="21"/>
                <w:highlight w:val="none"/>
              </w:rPr>
            </w:pPr>
            <w:r>
              <w:rPr>
                <w:rFonts w:hint="eastAsia"/>
                <w:sz w:val="21"/>
                <w:szCs w:val="21"/>
                <w:highlight w:val="none"/>
              </w:rPr>
              <w:t>《地下水质量标准》（GB/T14848-2017）中Ⅲ类标准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西苇店村水井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NE</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上游</w:t>
            </w:r>
          </w:p>
        </w:tc>
        <w:tc>
          <w:tcPr>
            <w:tcW w:w="450"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117.99694</w:t>
            </w:r>
          </w:p>
        </w:tc>
        <w:tc>
          <w:tcPr>
            <w:tcW w:w="508"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40.12379</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1390</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1400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37</w:t>
            </w:r>
          </w:p>
        </w:tc>
        <w:tc>
          <w:tcPr>
            <w:tcW w:w="273" w:type="pct"/>
            <w:vMerge w:val="restart"/>
            <w:vAlign w:val="center"/>
          </w:tcPr>
          <w:p>
            <w:pPr>
              <w:adjustRightInd w:val="0"/>
              <w:snapToGrid w:val="0"/>
              <w:spacing w:line="240" w:lineRule="auto"/>
              <w:ind w:left="0" w:leftChars="0" w:firstLine="0" w:firstLineChars="0"/>
              <w:jc w:val="both"/>
              <w:rPr>
                <w:rFonts w:hint="eastAsia" w:eastAsia="宋体"/>
                <w:sz w:val="21"/>
                <w:szCs w:val="21"/>
                <w:highlight w:val="none"/>
                <w:lang w:val="en-US" w:eastAsia="zh-CN"/>
              </w:rPr>
            </w:pPr>
            <w:r>
              <w:rPr>
                <w:rFonts w:hint="eastAsia"/>
                <w:sz w:val="21"/>
                <w:szCs w:val="21"/>
                <w:highlight w:val="none"/>
                <w:lang w:val="en-US" w:eastAsia="zh-CN"/>
              </w:rPr>
              <w:t>饮用</w:t>
            </w:r>
          </w:p>
        </w:tc>
        <w:tc>
          <w:tcPr>
            <w:tcW w:w="690" w:type="pct"/>
            <w:vMerge w:val="continue"/>
            <w:vAlign w:val="center"/>
          </w:tcPr>
          <w:p>
            <w:pPr>
              <w:adjustRightInd w:val="0"/>
              <w:snapToGrid w:val="0"/>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西北宅村水井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SE</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下游</w:t>
            </w:r>
          </w:p>
        </w:tc>
        <w:tc>
          <w:tcPr>
            <w:tcW w:w="450" w:type="pct"/>
            <w:vAlign w:val="center"/>
          </w:tcPr>
          <w:p>
            <w:pPr>
              <w:snapToGrid w:val="0"/>
              <w:spacing w:line="240" w:lineRule="auto"/>
              <w:ind w:firstLine="0" w:firstLineChars="0"/>
              <w:jc w:val="center"/>
              <w:rPr>
                <w:rFonts w:hint="eastAsia" w:eastAsia="宋体"/>
                <w:sz w:val="21"/>
                <w:szCs w:val="21"/>
                <w:highlight w:val="none"/>
                <w:lang w:val="en-US" w:eastAsia="zh-CN"/>
              </w:rPr>
            </w:pPr>
            <w:r>
              <w:rPr>
                <w:rFonts w:hint="eastAsia"/>
                <w:sz w:val="21"/>
                <w:szCs w:val="21"/>
                <w:highlight w:val="none"/>
              </w:rPr>
              <w:t>118.0063</w:t>
            </w:r>
            <w:r>
              <w:rPr>
                <w:rFonts w:hint="eastAsia"/>
                <w:sz w:val="21"/>
                <w:szCs w:val="21"/>
                <w:highlight w:val="none"/>
                <w:lang w:val="en-US" w:eastAsia="zh-CN"/>
              </w:rPr>
              <w:t>8</w:t>
            </w:r>
          </w:p>
        </w:tc>
        <w:tc>
          <w:tcPr>
            <w:tcW w:w="508" w:type="pct"/>
            <w:vAlign w:val="center"/>
          </w:tcPr>
          <w:p>
            <w:pPr>
              <w:snapToGrid w:val="0"/>
              <w:spacing w:line="240" w:lineRule="auto"/>
              <w:ind w:firstLine="0" w:firstLineChars="0"/>
              <w:jc w:val="center"/>
              <w:rPr>
                <w:rFonts w:hint="eastAsia" w:eastAsia="宋体"/>
                <w:sz w:val="21"/>
                <w:szCs w:val="21"/>
                <w:highlight w:val="none"/>
                <w:lang w:val="en-US" w:eastAsia="zh-CN"/>
              </w:rPr>
            </w:pPr>
            <w:r>
              <w:rPr>
                <w:rFonts w:hint="eastAsia"/>
                <w:sz w:val="21"/>
                <w:szCs w:val="21"/>
                <w:highlight w:val="none"/>
              </w:rPr>
              <w:t>40.0999</w:t>
            </w:r>
            <w:r>
              <w:rPr>
                <w:rFonts w:hint="eastAsia"/>
                <w:sz w:val="21"/>
                <w:szCs w:val="21"/>
                <w:highlight w:val="none"/>
                <w:lang w:val="en-US" w:eastAsia="zh-CN"/>
              </w:rPr>
              <w:t>3</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1535</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1100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30</w:t>
            </w:r>
          </w:p>
        </w:tc>
        <w:tc>
          <w:tcPr>
            <w:tcW w:w="273" w:type="pct"/>
            <w:vMerge w:val="continue"/>
            <w:vAlign w:val="center"/>
          </w:tcPr>
          <w:p>
            <w:pPr>
              <w:adjustRightInd w:val="0"/>
              <w:snapToGrid w:val="0"/>
              <w:spacing w:line="240" w:lineRule="auto"/>
              <w:ind w:firstLine="420"/>
              <w:jc w:val="center"/>
              <w:rPr>
                <w:sz w:val="21"/>
                <w:szCs w:val="21"/>
                <w:highlight w:val="none"/>
              </w:rPr>
            </w:pPr>
          </w:p>
        </w:tc>
        <w:tc>
          <w:tcPr>
            <w:tcW w:w="690" w:type="pct"/>
            <w:vMerge w:val="continue"/>
            <w:vAlign w:val="center"/>
          </w:tcPr>
          <w:p>
            <w:pPr>
              <w:adjustRightInd w:val="0"/>
              <w:snapToGrid w:val="0"/>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马店子村水井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S</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下游</w:t>
            </w:r>
          </w:p>
        </w:tc>
        <w:tc>
          <w:tcPr>
            <w:tcW w:w="450"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117.99191</w:t>
            </w:r>
          </w:p>
        </w:tc>
        <w:tc>
          <w:tcPr>
            <w:tcW w:w="508"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40.10528</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275</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600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30</w:t>
            </w:r>
          </w:p>
        </w:tc>
        <w:tc>
          <w:tcPr>
            <w:tcW w:w="273" w:type="pct"/>
            <w:vMerge w:val="continue"/>
            <w:vAlign w:val="center"/>
          </w:tcPr>
          <w:p>
            <w:pPr>
              <w:adjustRightInd w:val="0"/>
              <w:snapToGrid w:val="0"/>
              <w:spacing w:line="240" w:lineRule="auto"/>
              <w:ind w:firstLine="420"/>
              <w:jc w:val="center"/>
              <w:rPr>
                <w:sz w:val="21"/>
                <w:szCs w:val="21"/>
                <w:highlight w:val="none"/>
              </w:rPr>
            </w:pPr>
          </w:p>
        </w:tc>
        <w:tc>
          <w:tcPr>
            <w:tcW w:w="690" w:type="pct"/>
            <w:vMerge w:val="continue"/>
            <w:vAlign w:val="center"/>
          </w:tcPr>
          <w:p>
            <w:pPr>
              <w:adjustRightInd w:val="0"/>
              <w:snapToGrid w:val="0"/>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官房子村水井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下游</w:t>
            </w:r>
          </w:p>
        </w:tc>
        <w:tc>
          <w:tcPr>
            <w:tcW w:w="450"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117.97840</w:t>
            </w:r>
          </w:p>
        </w:tc>
        <w:tc>
          <w:tcPr>
            <w:tcW w:w="508"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40.10845</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480</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300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40</w:t>
            </w:r>
          </w:p>
        </w:tc>
        <w:tc>
          <w:tcPr>
            <w:tcW w:w="273" w:type="pct"/>
            <w:vMerge w:val="continue"/>
            <w:vAlign w:val="center"/>
          </w:tcPr>
          <w:p>
            <w:pPr>
              <w:adjustRightInd w:val="0"/>
              <w:snapToGrid w:val="0"/>
              <w:spacing w:line="240" w:lineRule="auto"/>
              <w:ind w:firstLine="420"/>
              <w:jc w:val="center"/>
              <w:rPr>
                <w:sz w:val="21"/>
                <w:szCs w:val="21"/>
                <w:highlight w:val="none"/>
              </w:rPr>
            </w:pPr>
          </w:p>
        </w:tc>
        <w:tc>
          <w:tcPr>
            <w:tcW w:w="690" w:type="pct"/>
            <w:vMerge w:val="continue"/>
            <w:vAlign w:val="center"/>
          </w:tcPr>
          <w:p>
            <w:pPr>
              <w:adjustRightInd w:val="0"/>
              <w:snapToGrid w:val="0"/>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提举庄村水井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下游</w:t>
            </w:r>
          </w:p>
        </w:tc>
        <w:tc>
          <w:tcPr>
            <w:tcW w:w="450"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117.96915</w:t>
            </w:r>
          </w:p>
        </w:tc>
        <w:tc>
          <w:tcPr>
            <w:tcW w:w="508"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40.10912</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1010</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1400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28</w:t>
            </w:r>
          </w:p>
        </w:tc>
        <w:tc>
          <w:tcPr>
            <w:tcW w:w="273" w:type="pct"/>
            <w:vMerge w:val="continue"/>
            <w:vAlign w:val="center"/>
          </w:tcPr>
          <w:p>
            <w:pPr>
              <w:adjustRightInd w:val="0"/>
              <w:snapToGrid w:val="0"/>
              <w:spacing w:line="240" w:lineRule="auto"/>
              <w:ind w:firstLine="420"/>
              <w:jc w:val="center"/>
              <w:rPr>
                <w:sz w:val="21"/>
                <w:szCs w:val="21"/>
                <w:highlight w:val="none"/>
              </w:rPr>
            </w:pPr>
          </w:p>
        </w:tc>
        <w:tc>
          <w:tcPr>
            <w:tcW w:w="690" w:type="pct"/>
            <w:vMerge w:val="continue"/>
            <w:vAlign w:val="center"/>
          </w:tcPr>
          <w:p>
            <w:pPr>
              <w:adjustRightInd w:val="0"/>
              <w:snapToGrid w:val="0"/>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圪塔坨村水井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N</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上游</w:t>
            </w:r>
          </w:p>
        </w:tc>
        <w:tc>
          <w:tcPr>
            <w:tcW w:w="450"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117.97561</w:t>
            </w:r>
          </w:p>
        </w:tc>
        <w:tc>
          <w:tcPr>
            <w:tcW w:w="508"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40.12934</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1935</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2000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25</w:t>
            </w:r>
          </w:p>
        </w:tc>
        <w:tc>
          <w:tcPr>
            <w:tcW w:w="273" w:type="pct"/>
            <w:vMerge w:val="continue"/>
            <w:vAlign w:val="center"/>
          </w:tcPr>
          <w:p>
            <w:pPr>
              <w:adjustRightInd w:val="0"/>
              <w:snapToGrid w:val="0"/>
              <w:spacing w:line="240" w:lineRule="auto"/>
              <w:ind w:firstLine="420"/>
              <w:jc w:val="center"/>
              <w:rPr>
                <w:sz w:val="21"/>
                <w:szCs w:val="21"/>
                <w:highlight w:val="none"/>
              </w:rPr>
            </w:pPr>
          </w:p>
        </w:tc>
        <w:tc>
          <w:tcPr>
            <w:tcW w:w="690" w:type="pct"/>
            <w:vMerge w:val="continue"/>
            <w:vAlign w:val="center"/>
          </w:tcPr>
          <w:p>
            <w:pPr>
              <w:adjustRightInd w:val="0"/>
              <w:snapToGrid w:val="0"/>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东滩村北水井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NW</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上游</w:t>
            </w:r>
          </w:p>
        </w:tc>
        <w:tc>
          <w:tcPr>
            <w:tcW w:w="450"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117.96741</w:t>
            </w:r>
          </w:p>
        </w:tc>
        <w:tc>
          <w:tcPr>
            <w:tcW w:w="508"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40.12032</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1600</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1400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30</w:t>
            </w:r>
          </w:p>
        </w:tc>
        <w:tc>
          <w:tcPr>
            <w:tcW w:w="273" w:type="pct"/>
            <w:vMerge w:val="continue"/>
            <w:vAlign w:val="center"/>
          </w:tcPr>
          <w:p>
            <w:pPr>
              <w:adjustRightInd w:val="0"/>
              <w:snapToGrid w:val="0"/>
              <w:spacing w:line="240" w:lineRule="auto"/>
              <w:ind w:firstLine="420"/>
              <w:jc w:val="center"/>
              <w:rPr>
                <w:sz w:val="21"/>
                <w:szCs w:val="21"/>
                <w:highlight w:val="none"/>
              </w:rPr>
            </w:pPr>
          </w:p>
        </w:tc>
        <w:tc>
          <w:tcPr>
            <w:tcW w:w="690" w:type="pct"/>
            <w:vMerge w:val="continue"/>
            <w:vAlign w:val="center"/>
          </w:tcPr>
          <w:p>
            <w:pPr>
              <w:adjustRightInd w:val="0"/>
              <w:snapToGrid w:val="0"/>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东黎河庄村水井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W</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下游</w:t>
            </w:r>
          </w:p>
        </w:tc>
        <w:tc>
          <w:tcPr>
            <w:tcW w:w="450"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117.95911</w:t>
            </w:r>
          </w:p>
        </w:tc>
        <w:tc>
          <w:tcPr>
            <w:tcW w:w="508"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40.10607</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2100</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350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25</w:t>
            </w:r>
          </w:p>
        </w:tc>
        <w:tc>
          <w:tcPr>
            <w:tcW w:w="273" w:type="pct"/>
            <w:vMerge w:val="continue"/>
            <w:vAlign w:val="center"/>
          </w:tcPr>
          <w:p>
            <w:pPr>
              <w:adjustRightInd w:val="0"/>
              <w:snapToGrid w:val="0"/>
              <w:spacing w:line="240" w:lineRule="auto"/>
              <w:ind w:firstLine="420"/>
              <w:jc w:val="center"/>
              <w:rPr>
                <w:sz w:val="21"/>
                <w:szCs w:val="21"/>
                <w:highlight w:val="none"/>
              </w:rPr>
            </w:pPr>
          </w:p>
        </w:tc>
        <w:tc>
          <w:tcPr>
            <w:tcW w:w="690" w:type="pct"/>
            <w:vMerge w:val="continue"/>
            <w:vAlign w:val="center"/>
          </w:tcPr>
          <w:p>
            <w:pPr>
              <w:adjustRightInd w:val="0"/>
              <w:snapToGrid w:val="0"/>
              <w:spacing w:line="240" w:lineRule="auto"/>
              <w:ind w:firstLine="42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continue"/>
            <w:vAlign w:val="center"/>
          </w:tcPr>
          <w:p>
            <w:pPr>
              <w:snapToGrid w:val="0"/>
              <w:spacing w:line="240" w:lineRule="auto"/>
              <w:ind w:firstLine="0" w:firstLineChars="0"/>
              <w:jc w:val="center"/>
              <w:rPr>
                <w:sz w:val="21"/>
                <w:szCs w:val="21"/>
                <w:highlight w:val="none"/>
              </w:rPr>
            </w:pPr>
          </w:p>
        </w:tc>
        <w:tc>
          <w:tcPr>
            <w:tcW w:w="627"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团瓢庄村水井</w:t>
            </w:r>
          </w:p>
        </w:tc>
        <w:tc>
          <w:tcPr>
            <w:tcW w:w="322"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SW</w:t>
            </w:r>
          </w:p>
        </w:tc>
        <w:tc>
          <w:tcPr>
            <w:tcW w:w="371"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下游</w:t>
            </w:r>
          </w:p>
        </w:tc>
        <w:tc>
          <w:tcPr>
            <w:tcW w:w="450"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117.96243</w:t>
            </w:r>
          </w:p>
        </w:tc>
        <w:tc>
          <w:tcPr>
            <w:tcW w:w="508" w:type="pct"/>
            <w:vAlign w:val="center"/>
          </w:tcPr>
          <w:p>
            <w:pPr>
              <w:snapToGrid w:val="0"/>
              <w:spacing w:line="240" w:lineRule="auto"/>
              <w:ind w:firstLine="0" w:firstLineChars="0"/>
              <w:jc w:val="center"/>
              <w:rPr>
                <w:rFonts w:hint="eastAsia"/>
                <w:sz w:val="21"/>
                <w:szCs w:val="21"/>
                <w:highlight w:val="none"/>
              </w:rPr>
            </w:pPr>
            <w:r>
              <w:rPr>
                <w:rFonts w:hint="eastAsia"/>
                <w:sz w:val="21"/>
                <w:szCs w:val="21"/>
                <w:highlight w:val="none"/>
              </w:rPr>
              <w:t>40.10049</w:t>
            </w:r>
          </w:p>
        </w:tc>
        <w:tc>
          <w:tcPr>
            <w:tcW w:w="42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1950</w:t>
            </w:r>
          </w:p>
        </w:tc>
        <w:tc>
          <w:tcPr>
            <w:tcW w:w="224" w:type="pct"/>
            <w:vMerge w:val="continue"/>
            <w:vAlign w:val="center"/>
          </w:tcPr>
          <w:p>
            <w:pPr>
              <w:snapToGrid w:val="0"/>
              <w:spacing w:line="240" w:lineRule="auto"/>
              <w:ind w:firstLine="0" w:firstLineChars="0"/>
              <w:jc w:val="center"/>
              <w:rPr>
                <w:sz w:val="21"/>
                <w:szCs w:val="21"/>
                <w:highlight w:val="none"/>
              </w:rPr>
            </w:pPr>
          </w:p>
        </w:tc>
        <w:tc>
          <w:tcPr>
            <w:tcW w:w="460"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1800</w:t>
            </w:r>
          </w:p>
        </w:tc>
        <w:tc>
          <w:tcPr>
            <w:tcW w:w="469" w:type="pct"/>
            <w:vAlign w:val="center"/>
          </w:tcPr>
          <w:p>
            <w:pPr>
              <w:snapToGrid w:val="0"/>
              <w:spacing w:line="240" w:lineRule="auto"/>
              <w:ind w:firstLine="0" w:firstLineChars="0"/>
              <w:jc w:val="center"/>
              <w:rPr>
                <w:sz w:val="21"/>
                <w:szCs w:val="21"/>
                <w:highlight w:val="none"/>
              </w:rPr>
            </w:pPr>
            <w:r>
              <w:rPr>
                <w:rFonts w:hint="eastAsia"/>
                <w:sz w:val="21"/>
                <w:szCs w:val="21"/>
                <w:highlight w:val="none"/>
              </w:rPr>
              <w:t>40</w:t>
            </w:r>
          </w:p>
        </w:tc>
        <w:tc>
          <w:tcPr>
            <w:tcW w:w="273" w:type="pct"/>
            <w:vMerge w:val="continue"/>
            <w:vAlign w:val="center"/>
          </w:tcPr>
          <w:p>
            <w:pPr>
              <w:adjustRightInd w:val="0"/>
              <w:snapToGrid w:val="0"/>
              <w:spacing w:line="240" w:lineRule="auto"/>
              <w:ind w:firstLine="420"/>
              <w:jc w:val="center"/>
              <w:rPr>
                <w:sz w:val="21"/>
                <w:szCs w:val="21"/>
                <w:highlight w:val="none"/>
              </w:rPr>
            </w:pPr>
          </w:p>
        </w:tc>
        <w:tc>
          <w:tcPr>
            <w:tcW w:w="690" w:type="pct"/>
            <w:vMerge w:val="continue"/>
            <w:vAlign w:val="center"/>
          </w:tcPr>
          <w:p>
            <w:pPr>
              <w:adjustRightInd w:val="0"/>
              <w:snapToGrid w:val="0"/>
              <w:spacing w:line="240" w:lineRule="auto"/>
              <w:ind w:firstLine="420"/>
              <w:jc w:val="center"/>
              <w:rPr>
                <w:sz w:val="21"/>
                <w:szCs w:val="21"/>
                <w:highlight w:val="none"/>
              </w:rPr>
            </w:pPr>
          </w:p>
        </w:tc>
      </w:tr>
    </w:tbl>
    <w:p>
      <w:pPr>
        <w:pStyle w:val="55"/>
        <w:ind w:left="560" w:firstLine="480"/>
        <w:rPr>
          <w:sz w:val="24"/>
          <w:highlight w:val="none"/>
        </w:rPr>
      </w:pPr>
    </w:p>
    <w:p>
      <w:pPr>
        <w:ind w:firstLine="480"/>
        <w:rPr>
          <w:sz w:val="24"/>
          <w:highlight w:val="none"/>
        </w:rPr>
      </w:pPr>
    </w:p>
    <w:p>
      <w:pPr>
        <w:pStyle w:val="55"/>
        <w:ind w:left="560"/>
        <w:rPr>
          <w:highlight w:val="none"/>
        </w:rPr>
      </w:pPr>
    </w:p>
    <w:p>
      <w:pPr>
        <w:pStyle w:val="55"/>
        <w:ind w:left="560" w:firstLine="480"/>
        <w:rPr>
          <w:sz w:val="24"/>
          <w:highlight w:val="none"/>
        </w:rPr>
      </w:pPr>
    </w:p>
    <w:p>
      <w:pPr>
        <w:ind w:firstLine="560"/>
        <w:rPr>
          <w:highlight w:val="none"/>
        </w:rPr>
      </w:pPr>
    </w:p>
    <w:p>
      <w:pPr>
        <w:ind w:firstLine="560"/>
        <w:rPr>
          <w:highlight w:val="none"/>
        </w:rPr>
      </w:pPr>
    </w:p>
    <w:p>
      <w:pPr>
        <w:ind w:firstLine="560"/>
        <w:rPr>
          <w:highlight w:val="none"/>
        </w:rPr>
      </w:pPr>
    </w:p>
    <w:p>
      <w:pPr>
        <w:ind w:firstLine="560"/>
        <w:rPr>
          <w:highlight w:val="none"/>
        </w:rPr>
      </w:pPr>
    </w:p>
    <w:p>
      <w:pPr>
        <w:ind w:firstLine="420"/>
        <w:jc w:val="center"/>
        <w:rPr>
          <w:rFonts w:eastAsia="黑体"/>
          <w:kern w:val="2"/>
          <w:sz w:val="21"/>
          <w:szCs w:val="21"/>
          <w:highlight w:val="none"/>
        </w:rPr>
        <w:sectPr>
          <w:footerReference r:id="rId13" w:type="default"/>
          <w:pgSz w:w="11906" w:h="16838"/>
          <w:pgMar w:top="1440" w:right="1797" w:bottom="1134" w:left="1797" w:header="851" w:footer="992" w:gutter="0"/>
          <w:cols w:space="720" w:num="1"/>
          <w:docGrid w:linePitch="381" w:charSpace="0"/>
        </w:sectPr>
      </w:pPr>
    </w:p>
    <w:p>
      <w:pPr>
        <w:pStyle w:val="4"/>
        <w:numPr>
          <w:ilvl w:val="0"/>
          <w:numId w:val="1"/>
        </w:numPr>
        <w:rPr>
          <w:rFonts w:ascii="Times New Roman"/>
          <w:sz w:val="36"/>
          <w:highlight w:val="none"/>
        </w:rPr>
      </w:pPr>
      <w:bookmarkStart w:id="150" w:name="_Toc524284664"/>
      <w:bookmarkStart w:id="151" w:name="_Toc9152"/>
      <w:bookmarkStart w:id="152" w:name="_Toc27150"/>
      <w:bookmarkStart w:id="153" w:name="_Toc32219"/>
      <w:bookmarkStart w:id="154" w:name="_Toc521591752"/>
      <w:bookmarkStart w:id="155" w:name="_Toc783"/>
      <w:r>
        <w:rPr>
          <w:rFonts w:ascii="Times New Roman"/>
          <w:sz w:val="36"/>
          <w:highlight w:val="none"/>
        </w:rPr>
        <w:t>建设项目工程分析</w:t>
      </w:r>
      <w:bookmarkEnd w:id="150"/>
      <w:bookmarkEnd w:id="151"/>
      <w:bookmarkEnd w:id="152"/>
      <w:bookmarkEnd w:id="153"/>
      <w:bookmarkEnd w:id="154"/>
      <w:bookmarkEnd w:id="155"/>
    </w:p>
    <w:p>
      <w:pPr>
        <w:snapToGrid w:val="0"/>
        <w:ind w:firstLine="480"/>
        <w:jc w:val="both"/>
        <w:rPr>
          <w:sz w:val="24"/>
          <w:szCs w:val="24"/>
          <w:highlight w:val="none"/>
        </w:rPr>
      </w:pPr>
      <w:bookmarkStart w:id="156" w:name="_Toc521591753"/>
      <w:bookmarkStart w:id="157" w:name="_Toc28562"/>
      <w:bookmarkStart w:id="158" w:name="_Toc503218102"/>
      <w:bookmarkStart w:id="159" w:name="_Toc499651403"/>
      <w:bookmarkStart w:id="160" w:name="_Toc524284665"/>
      <w:bookmarkStart w:id="161" w:name="_Toc15405"/>
      <w:bookmarkStart w:id="162" w:name="_Toc18571"/>
      <w:r>
        <w:rPr>
          <w:rFonts w:hint="eastAsia"/>
          <w:bCs/>
          <w:sz w:val="24"/>
          <w:szCs w:val="24"/>
          <w:highlight w:val="none"/>
        </w:rPr>
        <w:t>目前，遵化恒新矿业有限公司</w:t>
      </w:r>
      <w:r>
        <w:rPr>
          <w:sz w:val="24"/>
          <w:szCs w:val="24"/>
          <w:highlight w:val="none"/>
        </w:rPr>
        <w:t>主要建</w:t>
      </w:r>
      <w:r>
        <w:rPr>
          <w:rFonts w:hint="eastAsia"/>
          <w:sz w:val="24"/>
          <w:szCs w:val="24"/>
          <w:highlight w:val="none"/>
        </w:rPr>
        <w:t>有原料棚、</w:t>
      </w:r>
      <w:r>
        <w:rPr>
          <w:sz w:val="24"/>
          <w:szCs w:val="24"/>
          <w:highlight w:val="none"/>
        </w:rPr>
        <w:t>破碎车间、</w:t>
      </w:r>
      <w:r>
        <w:rPr>
          <w:rFonts w:hint="eastAsia"/>
          <w:sz w:val="24"/>
          <w:szCs w:val="24"/>
          <w:highlight w:val="none"/>
        </w:rPr>
        <w:t>粗选</w:t>
      </w:r>
      <w:r>
        <w:rPr>
          <w:sz w:val="24"/>
          <w:szCs w:val="24"/>
          <w:highlight w:val="none"/>
        </w:rPr>
        <w:t>车间、</w:t>
      </w:r>
      <w:r>
        <w:rPr>
          <w:rFonts w:hint="eastAsia"/>
          <w:sz w:val="24"/>
          <w:szCs w:val="24"/>
          <w:highlight w:val="none"/>
        </w:rPr>
        <w:t>精选车间、皮带机通廊、</w:t>
      </w:r>
      <w:r>
        <w:rPr>
          <w:sz w:val="24"/>
          <w:szCs w:val="24"/>
          <w:highlight w:val="none"/>
        </w:rPr>
        <w:t>成品库、沉淀池、清水池及相关配套公辅设施建设</w:t>
      </w:r>
      <w:r>
        <w:rPr>
          <w:rFonts w:hint="eastAsia"/>
          <w:sz w:val="24"/>
          <w:szCs w:val="24"/>
          <w:highlight w:val="none"/>
        </w:rPr>
        <w:t>，主要设有破碎粗选设备1套、精选设备1套、干排设备1套，</w:t>
      </w:r>
      <w:r>
        <w:rPr>
          <w:sz w:val="24"/>
          <w:szCs w:val="24"/>
          <w:highlight w:val="none"/>
        </w:rPr>
        <w:t>采用破碎—筛分—球磨—磁选—过滤工艺，年处理铁矿石</w:t>
      </w:r>
      <w:r>
        <w:rPr>
          <w:rFonts w:hint="eastAsia"/>
          <w:sz w:val="24"/>
          <w:szCs w:val="24"/>
          <w:highlight w:val="none"/>
        </w:rPr>
        <w:t>30</w:t>
      </w:r>
      <w:r>
        <w:rPr>
          <w:sz w:val="24"/>
          <w:szCs w:val="24"/>
          <w:highlight w:val="none"/>
        </w:rPr>
        <w:t>万吨，年产品位</w:t>
      </w:r>
      <w:r>
        <w:rPr>
          <w:rFonts w:hint="eastAsia"/>
          <w:sz w:val="24"/>
          <w:szCs w:val="24"/>
          <w:highlight w:val="none"/>
        </w:rPr>
        <w:t>66</w:t>
      </w:r>
      <w:r>
        <w:rPr>
          <w:sz w:val="24"/>
          <w:szCs w:val="24"/>
          <w:highlight w:val="none"/>
        </w:rPr>
        <w:t>%铁精粉</w:t>
      </w:r>
      <w:r>
        <w:rPr>
          <w:rFonts w:hint="eastAsia"/>
          <w:sz w:val="24"/>
          <w:szCs w:val="24"/>
          <w:highlight w:val="none"/>
        </w:rPr>
        <w:t>13</w:t>
      </w:r>
      <w:r>
        <w:rPr>
          <w:sz w:val="24"/>
          <w:szCs w:val="24"/>
          <w:highlight w:val="none"/>
        </w:rPr>
        <w:t>万吨。</w:t>
      </w:r>
    </w:p>
    <w:p>
      <w:pPr>
        <w:snapToGrid w:val="0"/>
        <w:ind w:firstLine="480"/>
        <w:jc w:val="both"/>
        <w:rPr>
          <w:sz w:val="24"/>
          <w:szCs w:val="24"/>
          <w:highlight w:val="none"/>
        </w:rPr>
      </w:pPr>
      <w:r>
        <w:rPr>
          <w:sz w:val="24"/>
          <w:szCs w:val="24"/>
          <w:highlight w:val="none"/>
        </w:rPr>
        <w:t>为充分发挥本地区矿产资源优势，</w:t>
      </w:r>
      <w:r>
        <w:rPr>
          <w:rFonts w:hint="eastAsia"/>
          <w:sz w:val="24"/>
          <w:szCs w:val="24"/>
          <w:highlight w:val="none"/>
        </w:rPr>
        <w:t>进一步延长优化自身生产线，提升自身综合竞争力，遵化恒新矿业有限公司</w:t>
      </w:r>
      <w:r>
        <w:rPr>
          <w:sz w:val="24"/>
          <w:szCs w:val="24"/>
          <w:highlight w:val="none"/>
        </w:rPr>
        <w:t>决定投资</w:t>
      </w:r>
      <w:r>
        <w:rPr>
          <w:rFonts w:hint="eastAsia"/>
          <w:sz w:val="24"/>
          <w:szCs w:val="24"/>
          <w:highlight w:val="none"/>
        </w:rPr>
        <w:t>28</w:t>
      </w:r>
      <w:r>
        <w:rPr>
          <w:sz w:val="24"/>
          <w:szCs w:val="24"/>
          <w:highlight w:val="none"/>
        </w:rPr>
        <w:t>00万元建设</w:t>
      </w:r>
      <w:r>
        <w:rPr>
          <w:rFonts w:hint="eastAsia"/>
          <w:sz w:val="24"/>
          <w:szCs w:val="24"/>
          <w:highlight w:val="none"/>
        </w:rPr>
        <w:t>“遵化恒新矿业有限公司年处理60万吨铁矿石、120万吨粗精矿项目”</w:t>
      </w:r>
      <w:r>
        <w:rPr>
          <w:sz w:val="24"/>
          <w:szCs w:val="24"/>
          <w:highlight w:val="none"/>
        </w:rPr>
        <w:t>，河北省发展和改革委员会以冀发改</w:t>
      </w:r>
      <w:r>
        <w:rPr>
          <w:rFonts w:hint="eastAsia"/>
          <w:sz w:val="24"/>
          <w:szCs w:val="24"/>
          <w:highlight w:val="none"/>
        </w:rPr>
        <w:t>政务</w:t>
      </w:r>
      <w:r>
        <w:rPr>
          <w:sz w:val="24"/>
          <w:szCs w:val="24"/>
          <w:highlight w:val="none"/>
        </w:rPr>
        <w:t>备字[20</w:t>
      </w:r>
      <w:r>
        <w:rPr>
          <w:rFonts w:hint="eastAsia"/>
          <w:sz w:val="24"/>
          <w:szCs w:val="24"/>
          <w:highlight w:val="none"/>
        </w:rPr>
        <w:t>23</w:t>
      </w:r>
      <w:r>
        <w:rPr>
          <w:sz w:val="24"/>
          <w:szCs w:val="24"/>
          <w:highlight w:val="none"/>
        </w:rPr>
        <w:t>]</w:t>
      </w:r>
      <w:r>
        <w:rPr>
          <w:rFonts w:hint="eastAsia"/>
          <w:sz w:val="24"/>
          <w:szCs w:val="24"/>
          <w:highlight w:val="none"/>
        </w:rPr>
        <w:t>76</w:t>
      </w:r>
      <w:r>
        <w:rPr>
          <w:sz w:val="24"/>
          <w:szCs w:val="24"/>
          <w:highlight w:val="none"/>
        </w:rPr>
        <w:t>号文予以备案。</w:t>
      </w:r>
    </w:p>
    <w:p>
      <w:pPr>
        <w:snapToGrid w:val="0"/>
        <w:ind w:firstLine="480"/>
        <w:jc w:val="both"/>
        <w:rPr>
          <w:sz w:val="24"/>
          <w:szCs w:val="24"/>
          <w:highlight w:val="none"/>
        </w:rPr>
      </w:pPr>
      <w:r>
        <w:rPr>
          <w:sz w:val="24"/>
          <w:szCs w:val="24"/>
          <w:highlight w:val="none"/>
        </w:rPr>
        <w:t>本项目</w:t>
      </w:r>
      <w:r>
        <w:rPr>
          <w:rFonts w:hint="eastAsia"/>
          <w:sz w:val="24"/>
          <w:szCs w:val="24"/>
          <w:highlight w:val="none"/>
        </w:rPr>
        <w:t>在</w:t>
      </w:r>
      <w:r>
        <w:rPr>
          <w:rFonts w:hint="eastAsia"/>
          <w:bCs/>
          <w:sz w:val="24"/>
          <w:szCs w:val="24"/>
          <w:highlight w:val="none"/>
        </w:rPr>
        <w:t>遵化恒新矿业有限公司现有厂区内利用现有厂房进行建设，不新增占地，主要对现有破碎筛分设备进行升级改造，同时新增2套精选设备，现有粗选设备保持不变，</w:t>
      </w:r>
      <w:r>
        <w:rPr>
          <w:rFonts w:hint="eastAsia"/>
          <w:sz w:val="24"/>
          <w:szCs w:val="24"/>
          <w:highlight w:val="none"/>
        </w:rPr>
        <w:t>项目建成后全厂年处理60万吨铁矿石、120万吨粗精矿，年产66%铁精粉100万吨。</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163" w:name="_Toc20078"/>
      <w:r>
        <w:rPr>
          <w:rFonts w:hint="eastAsia" w:ascii="Times New Roman" w:hAnsi="Times New Roman" w:eastAsia="宋体"/>
          <w:bCs w:val="0"/>
          <w:snapToGrid w:val="0"/>
          <w:kern w:val="0"/>
          <w:sz w:val="28"/>
          <w:szCs w:val="28"/>
          <w:highlight w:val="none"/>
        </w:rPr>
        <w:t>现有工程</w:t>
      </w:r>
      <w:r>
        <w:rPr>
          <w:rFonts w:ascii="Times New Roman" w:hAnsi="Times New Roman" w:eastAsia="宋体"/>
          <w:bCs w:val="0"/>
          <w:snapToGrid w:val="0"/>
          <w:kern w:val="0"/>
          <w:sz w:val="28"/>
          <w:szCs w:val="28"/>
          <w:highlight w:val="none"/>
        </w:rPr>
        <w:t>概况</w:t>
      </w:r>
      <w:bookmarkEnd w:id="156"/>
      <w:bookmarkEnd w:id="157"/>
      <w:bookmarkEnd w:id="158"/>
      <w:bookmarkEnd w:id="159"/>
      <w:bookmarkEnd w:id="160"/>
      <w:bookmarkEnd w:id="161"/>
      <w:bookmarkEnd w:id="162"/>
      <w:bookmarkEnd w:id="163"/>
    </w:p>
    <w:p>
      <w:pPr>
        <w:pStyle w:val="6"/>
        <w:numPr>
          <w:ilvl w:val="2"/>
          <w:numId w:val="1"/>
        </w:numPr>
        <w:rPr>
          <w:szCs w:val="28"/>
          <w:highlight w:val="none"/>
        </w:rPr>
      </w:pPr>
      <w:r>
        <w:rPr>
          <w:rFonts w:hint="eastAsia"/>
          <w:szCs w:val="28"/>
          <w:highlight w:val="none"/>
        </w:rPr>
        <w:t>基本情况</w:t>
      </w:r>
    </w:p>
    <w:p>
      <w:pPr>
        <w:ind w:firstLine="480"/>
        <w:jc w:val="both"/>
        <w:rPr>
          <w:sz w:val="24"/>
          <w:szCs w:val="24"/>
          <w:highlight w:val="none"/>
        </w:rPr>
      </w:pPr>
      <w:r>
        <w:rPr>
          <w:rFonts w:hint="eastAsia"/>
          <w:bCs/>
          <w:sz w:val="24"/>
          <w:szCs w:val="24"/>
          <w:highlight w:val="none"/>
        </w:rPr>
        <w:t>遵化恒新矿业有限公司</w:t>
      </w:r>
      <w:r>
        <w:rPr>
          <w:bCs/>
          <w:sz w:val="24"/>
          <w:szCs w:val="24"/>
          <w:highlight w:val="none"/>
        </w:rPr>
        <w:t>总占地面积为</w:t>
      </w:r>
      <w:r>
        <w:rPr>
          <w:rFonts w:hint="eastAsia"/>
          <w:bCs/>
          <w:sz w:val="24"/>
          <w:szCs w:val="24"/>
          <w:highlight w:val="none"/>
        </w:rPr>
        <w:t>15005.46m</w:t>
      </w:r>
      <w:r>
        <w:rPr>
          <w:rFonts w:hint="eastAsia"/>
          <w:bCs/>
          <w:sz w:val="24"/>
          <w:szCs w:val="24"/>
          <w:highlight w:val="none"/>
          <w:vertAlign w:val="superscript"/>
        </w:rPr>
        <w:t>2</w:t>
      </w:r>
      <w:r>
        <w:rPr>
          <w:rFonts w:hint="eastAsia"/>
          <w:bCs/>
          <w:sz w:val="24"/>
          <w:szCs w:val="24"/>
          <w:highlight w:val="none"/>
        </w:rPr>
        <w:t>，</w:t>
      </w:r>
      <w:r>
        <w:rPr>
          <w:sz w:val="24"/>
          <w:szCs w:val="24"/>
          <w:highlight w:val="none"/>
        </w:rPr>
        <w:t>主要</w:t>
      </w:r>
      <w:r>
        <w:rPr>
          <w:bCs/>
          <w:sz w:val="24"/>
          <w:szCs w:val="24"/>
          <w:highlight w:val="none"/>
        </w:rPr>
        <w:t>建</w:t>
      </w:r>
      <w:r>
        <w:rPr>
          <w:rFonts w:hint="eastAsia"/>
          <w:bCs/>
          <w:sz w:val="24"/>
          <w:szCs w:val="24"/>
          <w:highlight w:val="none"/>
        </w:rPr>
        <w:t>有1</w:t>
      </w:r>
      <w:r>
        <w:rPr>
          <w:bCs/>
          <w:sz w:val="24"/>
          <w:szCs w:val="24"/>
          <w:highlight w:val="none"/>
        </w:rPr>
        <w:t>条破碎筛分生产线、</w:t>
      </w:r>
      <w:r>
        <w:rPr>
          <w:rFonts w:hint="eastAsia"/>
          <w:bCs/>
          <w:sz w:val="24"/>
          <w:szCs w:val="24"/>
          <w:highlight w:val="none"/>
        </w:rPr>
        <w:t>1</w:t>
      </w:r>
      <w:r>
        <w:rPr>
          <w:bCs/>
          <w:sz w:val="24"/>
          <w:szCs w:val="24"/>
          <w:highlight w:val="none"/>
        </w:rPr>
        <w:t>条</w:t>
      </w:r>
      <w:r>
        <w:rPr>
          <w:rFonts w:hint="eastAsia"/>
          <w:bCs/>
          <w:sz w:val="24"/>
          <w:szCs w:val="24"/>
          <w:highlight w:val="none"/>
        </w:rPr>
        <w:t>粗选</w:t>
      </w:r>
      <w:r>
        <w:rPr>
          <w:bCs/>
          <w:sz w:val="24"/>
          <w:szCs w:val="24"/>
          <w:highlight w:val="none"/>
        </w:rPr>
        <w:t>生产线、</w:t>
      </w:r>
      <w:r>
        <w:rPr>
          <w:rFonts w:hint="eastAsia"/>
          <w:bCs/>
          <w:sz w:val="24"/>
          <w:szCs w:val="24"/>
          <w:highlight w:val="none"/>
        </w:rPr>
        <w:t>1</w:t>
      </w:r>
      <w:r>
        <w:rPr>
          <w:bCs/>
          <w:sz w:val="24"/>
          <w:szCs w:val="24"/>
          <w:highlight w:val="none"/>
        </w:rPr>
        <w:t>条</w:t>
      </w:r>
      <w:r>
        <w:rPr>
          <w:rFonts w:hint="eastAsia"/>
          <w:bCs/>
          <w:sz w:val="24"/>
          <w:szCs w:val="24"/>
          <w:highlight w:val="none"/>
        </w:rPr>
        <w:t>精选</w:t>
      </w:r>
      <w:r>
        <w:rPr>
          <w:bCs/>
          <w:sz w:val="24"/>
          <w:szCs w:val="24"/>
          <w:highlight w:val="none"/>
        </w:rPr>
        <w:t>生产线</w:t>
      </w:r>
      <w:r>
        <w:rPr>
          <w:rFonts w:hint="eastAsia"/>
          <w:bCs/>
          <w:sz w:val="24"/>
          <w:szCs w:val="24"/>
          <w:highlight w:val="none"/>
        </w:rPr>
        <w:t>，建有破碎车间、选矿车间、浓密</w:t>
      </w:r>
      <w:r>
        <w:rPr>
          <w:bCs/>
          <w:sz w:val="24"/>
          <w:szCs w:val="24"/>
          <w:highlight w:val="none"/>
        </w:rPr>
        <w:t>池、清水池等及相关配套设施</w:t>
      </w:r>
      <w:r>
        <w:rPr>
          <w:sz w:val="24"/>
          <w:szCs w:val="24"/>
          <w:highlight w:val="none"/>
        </w:rPr>
        <w:t>，</w:t>
      </w:r>
      <w:r>
        <w:rPr>
          <w:rFonts w:hint="eastAsia"/>
          <w:sz w:val="24"/>
          <w:szCs w:val="24"/>
          <w:highlight w:val="none"/>
        </w:rPr>
        <w:t>设有破碎机、振动筛、</w:t>
      </w:r>
      <w:r>
        <w:rPr>
          <w:sz w:val="24"/>
          <w:szCs w:val="24"/>
          <w:highlight w:val="none"/>
        </w:rPr>
        <w:t>球磨机、磁选机、过滤机等</w:t>
      </w:r>
      <w:r>
        <w:rPr>
          <w:rFonts w:hint="eastAsia"/>
          <w:sz w:val="24"/>
          <w:szCs w:val="24"/>
          <w:highlight w:val="none"/>
        </w:rPr>
        <w:t>主要</w:t>
      </w:r>
      <w:r>
        <w:rPr>
          <w:sz w:val="24"/>
          <w:szCs w:val="24"/>
          <w:highlight w:val="none"/>
        </w:rPr>
        <w:t>设备</w:t>
      </w:r>
      <w:r>
        <w:rPr>
          <w:rFonts w:hint="eastAsia"/>
          <w:sz w:val="24"/>
          <w:szCs w:val="24"/>
          <w:highlight w:val="none"/>
        </w:rPr>
        <w:t>，</w:t>
      </w:r>
      <w:r>
        <w:rPr>
          <w:sz w:val="24"/>
          <w:szCs w:val="24"/>
          <w:highlight w:val="none"/>
        </w:rPr>
        <w:t>年处理铁矿石</w:t>
      </w:r>
      <w:r>
        <w:rPr>
          <w:rFonts w:hint="eastAsia"/>
          <w:sz w:val="24"/>
          <w:szCs w:val="24"/>
          <w:highlight w:val="none"/>
        </w:rPr>
        <w:t>3</w:t>
      </w:r>
      <w:r>
        <w:rPr>
          <w:sz w:val="24"/>
          <w:szCs w:val="24"/>
          <w:highlight w:val="none"/>
        </w:rPr>
        <w:t>0万吨，年产</w:t>
      </w:r>
      <w:r>
        <w:rPr>
          <w:rFonts w:hint="eastAsia"/>
          <w:sz w:val="24"/>
          <w:szCs w:val="24"/>
          <w:highlight w:val="none"/>
        </w:rPr>
        <w:t>66</w:t>
      </w:r>
      <w:r>
        <w:rPr>
          <w:sz w:val="24"/>
          <w:szCs w:val="24"/>
          <w:highlight w:val="none"/>
        </w:rPr>
        <w:t>%铁精粉</w:t>
      </w:r>
      <w:r>
        <w:rPr>
          <w:rFonts w:hint="eastAsia"/>
          <w:sz w:val="24"/>
          <w:szCs w:val="24"/>
          <w:highlight w:val="none"/>
        </w:rPr>
        <w:t>13</w:t>
      </w:r>
      <w:r>
        <w:rPr>
          <w:sz w:val="24"/>
          <w:szCs w:val="24"/>
          <w:highlight w:val="none"/>
        </w:rPr>
        <w:t>万吨。</w:t>
      </w:r>
    </w:p>
    <w:p>
      <w:pPr>
        <w:pStyle w:val="6"/>
        <w:numPr>
          <w:ilvl w:val="2"/>
          <w:numId w:val="1"/>
        </w:numPr>
        <w:rPr>
          <w:szCs w:val="28"/>
          <w:highlight w:val="none"/>
        </w:rPr>
      </w:pPr>
      <w:bookmarkStart w:id="164" w:name="_Toc20980"/>
      <w:bookmarkStart w:id="165" w:name="_Toc521591755"/>
      <w:r>
        <w:rPr>
          <w:szCs w:val="28"/>
          <w:highlight w:val="none"/>
        </w:rPr>
        <w:t>产品方案</w:t>
      </w:r>
      <w:bookmarkEnd w:id="164"/>
      <w:bookmarkEnd w:id="165"/>
    </w:p>
    <w:p>
      <w:pPr>
        <w:ind w:firstLine="480"/>
        <w:jc w:val="both"/>
        <w:rPr>
          <w:sz w:val="24"/>
          <w:szCs w:val="24"/>
          <w:highlight w:val="none"/>
        </w:rPr>
      </w:pPr>
      <w:r>
        <w:rPr>
          <w:rFonts w:hint="eastAsia"/>
          <w:sz w:val="24"/>
          <w:szCs w:val="24"/>
          <w:highlight w:val="none"/>
        </w:rPr>
        <w:t>现有工程</w:t>
      </w:r>
      <w:r>
        <w:rPr>
          <w:sz w:val="24"/>
          <w:szCs w:val="24"/>
          <w:highlight w:val="none"/>
        </w:rPr>
        <w:t>产品方案详见表3.1-1。</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 xml:space="preserve">表3.1-1    </w:t>
      </w:r>
      <w:r>
        <w:rPr>
          <w:rFonts w:hint="eastAsia" w:eastAsia="黑体"/>
          <w:kern w:val="2"/>
          <w:sz w:val="21"/>
          <w:szCs w:val="21"/>
          <w:highlight w:val="none"/>
        </w:rPr>
        <w:t>现有工程</w:t>
      </w:r>
      <w:r>
        <w:rPr>
          <w:rFonts w:eastAsia="黑体"/>
          <w:kern w:val="2"/>
          <w:sz w:val="21"/>
          <w:szCs w:val="21"/>
          <w:highlight w:val="none"/>
        </w:rPr>
        <w:t>产品方案</w:t>
      </w:r>
    </w:p>
    <w:tbl>
      <w:tblPr>
        <w:tblStyle w:val="56"/>
        <w:tblW w:w="8522"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41"/>
        <w:gridCol w:w="2081"/>
        <w:gridCol w:w="400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41"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产品名称</w:t>
            </w:r>
          </w:p>
        </w:tc>
        <w:tc>
          <w:tcPr>
            <w:tcW w:w="2081" w:type="dxa"/>
            <w:vAlign w:val="center"/>
          </w:tcPr>
          <w:p>
            <w:pPr>
              <w:spacing w:line="240" w:lineRule="auto"/>
              <w:ind w:firstLine="0" w:firstLineChars="0"/>
              <w:jc w:val="center"/>
              <w:rPr>
                <w:sz w:val="21"/>
                <w:szCs w:val="21"/>
                <w:highlight w:val="none"/>
              </w:rPr>
            </w:pPr>
            <w:r>
              <w:rPr>
                <w:sz w:val="21"/>
                <w:szCs w:val="21"/>
                <w:highlight w:val="none"/>
              </w:rPr>
              <w:t>产量（t/a）</w:t>
            </w:r>
          </w:p>
        </w:tc>
        <w:tc>
          <w:tcPr>
            <w:tcW w:w="4000" w:type="dxa"/>
            <w:tcBorders>
              <w:right w:val="single" w:color="auto" w:sz="4" w:space="0"/>
            </w:tcBorders>
            <w:vAlign w:val="center"/>
          </w:tcPr>
          <w:p>
            <w:pPr>
              <w:spacing w:line="240" w:lineRule="auto"/>
              <w:ind w:firstLine="149" w:firstLineChars="71"/>
              <w:jc w:val="center"/>
              <w:rPr>
                <w:sz w:val="21"/>
                <w:szCs w:val="21"/>
                <w:highlight w:val="none"/>
              </w:rPr>
            </w:pPr>
            <w:r>
              <w:rPr>
                <w:sz w:val="21"/>
                <w:szCs w:val="21"/>
                <w:highlight w:val="none"/>
              </w:rPr>
              <w:t>备注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41"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铁精粉</w:t>
            </w:r>
          </w:p>
        </w:tc>
        <w:tc>
          <w:tcPr>
            <w:tcW w:w="2081" w:type="dxa"/>
            <w:vAlign w:val="center"/>
          </w:tcPr>
          <w:p>
            <w:pPr>
              <w:spacing w:line="240" w:lineRule="auto"/>
              <w:ind w:firstLine="0" w:firstLineChars="0"/>
              <w:jc w:val="center"/>
              <w:rPr>
                <w:sz w:val="21"/>
                <w:szCs w:val="21"/>
                <w:highlight w:val="none"/>
              </w:rPr>
            </w:pPr>
            <w:r>
              <w:rPr>
                <w:rFonts w:hint="eastAsia"/>
                <w:sz w:val="21"/>
                <w:szCs w:val="21"/>
                <w:highlight w:val="none"/>
              </w:rPr>
              <w:t>13万</w:t>
            </w:r>
          </w:p>
        </w:tc>
        <w:tc>
          <w:tcPr>
            <w:tcW w:w="4000"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平均品位为</w:t>
            </w:r>
            <w:r>
              <w:rPr>
                <w:rFonts w:hint="eastAsia"/>
                <w:sz w:val="21"/>
                <w:szCs w:val="21"/>
                <w:highlight w:val="none"/>
              </w:rPr>
              <w:t>66</w:t>
            </w:r>
            <w:r>
              <w:rPr>
                <w:sz w:val="21"/>
                <w:szCs w:val="21"/>
                <w:highlight w:val="none"/>
              </w:rPr>
              <w:t>%</w:t>
            </w:r>
            <w:r>
              <w:rPr>
                <w:rFonts w:hint="eastAsia"/>
                <w:sz w:val="21"/>
                <w:szCs w:val="21"/>
                <w:highlight w:val="none"/>
              </w:rPr>
              <w:t>，含水率1</w:t>
            </w:r>
            <w:r>
              <w:rPr>
                <w:sz w:val="21"/>
                <w:szCs w:val="21"/>
                <w:highlight w:val="none"/>
              </w:rPr>
              <w:t>0</w:t>
            </w:r>
            <w:r>
              <w:rPr>
                <w:rFonts w:hint="eastAsia"/>
                <w:sz w:val="21"/>
                <w:szCs w:val="21"/>
                <w:highlight w:val="none"/>
              </w:rPr>
              <w:t>%</w:t>
            </w:r>
          </w:p>
        </w:tc>
      </w:tr>
    </w:tbl>
    <w:p>
      <w:pPr>
        <w:pStyle w:val="6"/>
        <w:numPr>
          <w:ilvl w:val="2"/>
          <w:numId w:val="1"/>
        </w:numPr>
        <w:rPr>
          <w:szCs w:val="28"/>
          <w:highlight w:val="none"/>
        </w:rPr>
      </w:pPr>
      <w:bookmarkStart w:id="166" w:name="_Toc2094"/>
      <w:bookmarkStart w:id="167" w:name="_Toc521591756"/>
      <w:bookmarkStart w:id="168" w:name="_Hlk18930370"/>
      <w:r>
        <w:rPr>
          <w:szCs w:val="28"/>
          <w:highlight w:val="none"/>
        </w:rPr>
        <w:t>建设内容</w:t>
      </w:r>
      <w:bookmarkEnd w:id="166"/>
      <w:bookmarkEnd w:id="167"/>
      <w:r>
        <w:rPr>
          <w:rFonts w:hint="eastAsia"/>
          <w:szCs w:val="28"/>
          <w:highlight w:val="none"/>
        </w:rPr>
        <w:t>及规模</w:t>
      </w:r>
    </w:p>
    <w:p>
      <w:pPr>
        <w:ind w:firstLine="480"/>
        <w:jc w:val="both"/>
        <w:rPr>
          <w:sz w:val="24"/>
          <w:szCs w:val="24"/>
          <w:highlight w:val="none"/>
        </w:rPr>
      </w:pPr>
      <w:r>
        <w:rPr>
          <w:rFonts w:hint="eastAsia"/>
          <w:sz w:val="24"/>
          <w:szCs w:val="24"/>
          <w:highlight w:val="none"/>
        </w:rPr>
        <w:t>现有工程</w:t>
      </w:r>
      <w:r>
        <w:rPr>
          <w:sz w:val="24"/>
          <w:szCs w:val="24"/>
          <w:highlight w:val="none"/>
        </w:rPr>
        <w:t>项目组成及工程内容见表3.1-2，主要建构筑物见表3.1-3。</w:t>
      </w:r>
    </w:p>
    <w:p>
      <w:pPr>
        <w:widowControl/>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 xml:space="preserve">表3.1-2  </w:t>
      </w:r>
      <w:r>
        <w:rPr>
          <w:rFonts w:hint="eastAsia" w:eastAsia="黑体"/>
          <w:kern w:val="2"/>
          <w:sz w:val="21"/>
          <w:szCs w:val="21"/>
          <w:highlight w:val="none"/>
        </w:rPr>
        <w:t>现有工程</w:t>
      </w:r>
      <w:r>
        <w:rPr>
          <w:rFonts w:eastAsia="黑体"/>
          <w:sz w:val="21"/>
          <w:szCs w:val="21"/>
          <w:highlight w:val="none"/>
        </w:rPr>
        <w:t>项目组成及工程内容</w:t>
      </w:r>
    </w:p>
    <w:bookmarkEnd w:id="168"/>
    <w:tbl>
      <w:tblPr>
        <w:tblStyle w:val="5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692"/>
        <w:gridCol w:w="806"/>
        <w:gridCol w:w="59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bookmarkStart w:id="169" w:name="_Hlk18930397"/>
            <w:bookmarkStart w:id="170" w:name="_Toc521591757"/>
            <w:r>
              <w:rPr>
                <w:rFonts w:eastAsiaTheme="minorEastAsia"/>
                <w:sz w:val="21"/>
                <w:szCs w:val="21"/>
                <w:highlight w:val="none"/>
                <w:lang w:val="zh-CN"/>
              </w:rPr>
              <w:t>工程类别</w:t>
            </w:r>
          </w:p>
        </w:tc>
        <w:tc>
          <w:tcPr>
            <w:tcW w:w="879" w:type="pct"/>
            <w:gridSpan w:val="2"/>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工程名称</w:t>
            </w:r>
          </w:p>
        </w:tc>
        <w:tc>
          <w:tcPr>
            <w:tcW w:w="3464"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工程内容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主体工程</w:t>
            </w:r>
          </w:p>
        </w:tc>
        <w:tc>
          <w:tcPr>
            <w:tcW w:w="879" w:type="pct"/>
            <w:gridSpan w:val="2"/>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hint="eastAsia" w:eastAsiaTheme="minorEastAsia"/>
                <w:sz w:val="21"/>
                <w:szCs w:val="21"/>
                <w:highlight w:val="none"/>
                <w:lang w:val="zh-CN"/>
              </w:rPr>
              <w:t>铁矿石处理</w:t>
            </w:r>
          </w:p>
          <w:p>
            <w:pPr>
              <w:widowControl/>
              <w:spacing w:line="240" w:lineRule="auto"/>
              <w:ind w:firstLine="0" w:firstLineChars="0"/>
              <w:jc w:val="center"/>
              <w:textAlignment w:val="auto"/>
              <w:rPr>
                <w:rFonts w:eastAsiaTheme="minorEastAsia"/>
                <w:sz w:val="21"/>
                <w:szCs w:val="21"/>
                <w:highlight w:val="none"/>
                <w:lang w:val="zh-CN"/>
              </w:rPr>
            </w:pPr>
            <w:r>
              <w:rPr>
                <w:rFonts w:hint="eastAsia" w:eastAsiaTheme="minorEastAsia"/>
                <w:sz w:val="21"/>
                <w:szCs w:val="21"/>
                <w:highlight w:val="none"/>
                <w:lang w:val="zh-CN"/>
              </w:rPr>
              <w:t>生产线</w:t>
            </w:r>
          </w:p>
        </w:tc>
        <w:tc>
          <w:tcPr>
            <w:tcW w:w="3464"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hint="eastAsia" w:eastAsiaTheme="minorEastAsia"/>
                <w:sz w:val="21"/>
                <w:szCs w:val="21"/>
                <w:highlight w:val="none"/>
              </w:rPr>
              <w:t>建有</w:t>
            </w:r>
            <w:r>
              <w:rPr>
                <w:rFonts w:hint="eastAsia" w:eastAsiaTheme="minorEastAsia"/>
                <w:sz w:val="21"/>
                <w:szCs w:val="21"/>
                <w:highlight w:val="none"/>
                <w:lang w:val="zh-CN"/>
              </w:rPr>
              <w:t>铁矿石处理设备</w:t>
            </w:r>
            <w:r>
              <w:rPr>
                <w:rFonts w:hint="eastAsia" w:eastAsiaTheme="minorEastAsia"/>
                <w:sz w:val="21"/>
                <w:szCs w:val="21"/>
                <w:highlight w:val="none"/>
              </w:rPr>
              <w:t>1套</w:t>
            </w:r>
            <w:r>
              <w:rPr>
                <w:rFonts w:hint="eastAsia" w:eastAsiaTheme="minorEastAsia"/>
                <w:sz w:val="21"/>
                <w:szCs w:val="21"/>
                <w:highlight w:val="none"/>
                <w:lang w:val="zh-CN"/>
              </w:rPr>
              <w:t>，年处理铁矿石30万吨。建</w:t>
            </w:r>
            <w:r>
              <w:rPr>
                <w:rFonts w:hint="eastAsia" w:eastAsiaTheme="minorEastAsia"/>
                <w:sz w:val="21"/>
                <w:szCs w:val="21"/>
                <w:highlight w:val="none"/>
              </w:rPr>
              <w:t>有破碎</w:t>
            </w:r>
            <w:r>
              <w:rPr>
                <w:rFonts w:hint="eastAsia" w:eastAsiaTheme="minorEastAsia"/>
                <w:sz w:val="21"/>
                <w:szCs w:val="21"/>
                <w:highlight w:val="none"/>
                <w:lang w:val="zh-CN"/>
              </w:rPr>
              <w:t>车间、</w:t>
            </w:r>
            <w:r>
              <w:rPr>
                <w:rFonts w:hint="eastAsia" w:eastAsiaTheme="minorEastAsia"/>
                <w:sz w:val="21"/>
                <w:szCs w:val="21"/>
                <w:highlight w:val="none"/>
              </w:rPr>
              <w:t>选矿</w:t>
            </w:r>
            <w:r>
              <w:rPr>
                <w:rFonts w:hint="eastAsia" w:eastAsiaTheme="minorEastAsia"/>
                <w:sz w:val="21"/>
                <w:szCs w:val="21"/>
                <w:highlight w:val="none"/>
                <w:lang w:val="zh-CN"/>
              </w:rPr>
              <w:t>车间</w:t>
            </w:r>
            <w:r>
              <w:rPr>
                <w:rFonts w:hint="eastAsia" w:eastAsiaTheme="minorEastAsia"/>
                <w:sz w:val="21"/>
                <w:szCs w:val="21"/>
                <w:highlight w:val="none"/>
              </w:rPr>
              <w:t>各1座，均</w:t>
            </w:r>
            <w:r>
              <w:rPr>
                <w:rFonts w:hint="eastAsia" w:eastAsiaTheme="minorEastAsia"/>
                <w:sz w:val="21"/>
                <w:szCs w:val="21"/>
                <w:highlight w:val="none"/>
                <w:lang w:val="zh-CN"/>
              </w:rPr>
              <w:t>为彩钢结构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restar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hint="eastAsia" w:eastAsiaTheme="minorEastAsia"/>
                <w:sz w:val="21"/>
                <w:szCs w:val="21"/>
                <w:highlight w:val="none"/>
                <w:lang w:val="zh-CN"/>
              </w:rPr>
              <w:t>辅助</w:t>
            </w:r>
            <w:r>
              <w:rPr>
                <w:rFonts w:eastAsiaTheme="minorEastAsia"/>
                <w:sz w:val="21"/>
                <w:szCs w:val="21"/>
                <w:highlight w:val="none"/>
                <w:lang w:val="zh-CN"/>
              </w:rPr>
              <w:t>工程</w:t>
            </w:r>
          </w:p>
        </w:tc>
        <w:tc>
          <w:tcPr>
            <w:tcW w:w="879" w:type="pct"/>
            <w:gridSpan w:val="2"/>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办公</w:t>
            </w:r>
            <w:r>
              <w:rPr>
                <w:rFonts w:hint="eastAsia" w:eastAsiaTheme="minorEastAsia"/>
                <w:sz w:val="21"/>
                <w:szCs w:val="21"/>
                <w:highlight w:val="none"/>
                <w:lang w:val="zh-CN"/>
              </w:rPr>
              <w:t>生活</w:t>
            </w:r>
            <w:r>
              <w:rPr>
                <w:rFonts w:eastAsiaTheme="minorEastAsia"/>
                <w:sz w:val="21"/>
                <w:szCs w:val="21"/>
                <w:highlight w:val="none"/>
                <w:lang w:val="zh-CN"/>
              </w:rPr>
              <w:t>用房</w:t>
            </w:r>
          </w:p>
        </w:tc>
        <w:tc>
          <w:tcPr>
            <w:tcW w:w="3464"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hint="eastAsia" w:eastAsiaTheme="minorEastAsia"/>
                <w:sz w:val="21"/>
                <w:szCs w:val="21"/>
                <w:highlight w:val="none"/>
                <w:lang w:val="zh-CN"/>
              </w:rPr>
              <w:t>厂区设置办公生活用房，不设食堂、浴室等，厕所为旱厕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continue"/>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p>
        </w:tc>
        <w:tc>
          <w:tcPr>
            <w:tcW w:w="879" w:type="pct"/>
            <w:gridSpan w:val="2"/>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hint="eastAsia" w:eastAsiaTheme="minorEastAsia"/>
                <w:sz w:val="21"/>
                <w:szCs w:val="21"/>
                <w:highlight w:val="none"/>
                <w:lang w:val="zh-CN"/>
              </w:rPr>
              <w:t>储运工程</w:t>
            </w:r>
          </w:p>
        </w:tc>
        <w:tc>
          <w:tcPr>
            <w:tcW w:w="3464" w:type="pct"/>
            <w:tcBorders>
              <w:tl2br w:val="nil"/>
              <w:tr2bl w:val="nil"/>
            </w:tcBorders>
            <w:vAlign w:val="center"/>
          </w:tcPr>
          <w:p>
            <w:pPr>
              <w:widowControl/>
              <w:spacing w:line="240" w:lineRule="auto"/>
              <w:ind w:firstLine="0" w:firstLineChars="0"/>
              <w:textAlignment w:val="auto"/>
              <w:rPr>
                <w:rFonts w:eastAsiaTheme="minorEastAsia"/>
                <w:sz w:val="21"/>
                <w:szCs w:val="21"/>
                <w:highlight w:val="none"/>
              </w:rPr>
            </w:pPr>
            <w:r>
              <w:rPr>
                <w:rFonts w:hint="eastAsia" w:eastAsiaTheme="minorEastAsia"/>
                <w:sz w:val="21"/>
                <w:szCs w:val="21"/>
                <w:highlight w:val="none"/>
              </w:rPr>
              <w:t>原料不露天堆存，暂存于破碎车间原料暂存区内</w:t>
            </w:r>
            <w:r>
              <w:rPr>
                <w:rFonts w:hint="eastAsia" w:eastAsiaTheme="minorEastAsia"/>
                <w:sz w:val="21"/>
                <w:szCs w:val="21"/>
                <w:highlight w:val="none"/>
                <w:lang w:val="zh-CN"/>
              </w:rPr>
              <w:t>；</w:t>
            </w:r>
            <w:r>
              <w:rPr>
                <w:rFonts w:hint="eastAsia" w:eastAsiaTheme="minorEastAsia"/>
                <w:sz w:val="21"/>
                <w:szCs w:val="21"/>
                <w:highlight w:val="none"/>
              </w:rPr>
              <w:t>运送矿石车辆由矿山出厂区后直接进入523县道、省道244、353、354再进入G101、112，然后进入乡道后进入进入本项目厂区。本项目生产的铁精粉在成品库装车后，铁精粉运离厂区后进入乡道，行驶270m，然后进入112国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restar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公用工程</w:t>
            </w:r>
          </w:p>
        </w:tc>
        <w:tc>
          <w:tcPr>
            <w:tcW w:w="879" w:type="pct"/>
            <w:gridSpan w:val="2"/>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供水</w:t>
            </w:r>
          </w:p>
        </w:tc>
        <w:tc>
          <w:tcPr>
            <w:tcW w:w="3464"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项目用水</w:t>
            </w:r>
            <w:r>
              <w:rPr>
                <w:rFonts w:hint="eastAsia" w:eastAsiaTheme="minorEastAsia"/>
                <w:sz w:val="21"/>
                <w:szCs w:val="21"/>
                <w:highlight w:val="none"/>
                <w:lang w:val="zh-CN"/>
              </w:rPr>
              <w:t>由自备水井提供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continue"/>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p>
        </w:tc>
        <w:tc>
          <w:tcPr>
            <w:tcW w:w="879" w:type="pct"/>
            <w:gridSpan w:val="2"/>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供电</w:t>
            </w:r>
          </w:p>
        </w:tc>
        <w:tc>
          <w:tcPr>
            <w:tcW w:w="3464"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本项目用电</w:t>
            </w:r>
            <w:r>
              <w:rPr>
                <w:rFonts w:hint="eastAsia" w:eastAsiaTheme="minorEastAsia"/>
                <w:sz w:val="21"/>
                <w:szCs w:val="21"/>
                <w:highlight w:val="none"/>
                <w:lang w:val="zh-CN"/>
              </w:rPr>
              <w:t>引自当地电网</w:t>
            </w:r>
            <w:r>
              <w:rPr>
                <w:rFonts w:eastAsiaTheme="minorEastAsia"/>
                <w:sz w:val="21"/>
                <w:szCs w:val="21"/>
                <w:highlight w:val="none"/>
                <w:lang w:val="zh-CN"/>
              </w:rPr>
              <w:t>，</w:t>
            </w:r>
            <w:r>
              <w:rPr>
                <w:rFonts w:hint="eastAsia" w:eastAsiaTheme="minorEastAsia"/>
                <w:sz w:val="21"/>
                <w:szCs w:val="21"/>
                <w:highlight w:val="none"/>
                <w:lang w:val="zh-CN"/>
              </w:rPr>
              <w:t>厂区配备1台630kVA</w:t>
            </w:r>
            <w:r>
              <w:rPr>
                <w:rFonts w:hint="eastAsia" w:eastAsiaTheme="minorEastAsia"/>
                <w:sz w:val="21"/>
                <w:szCs w:val="21"/>
                <w:highlight w:val="none"/>
              </w:rPr>
              <w:t>变压器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continue"/>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p>
        </w:tc>
        <w:tc>
          <w:tcPr>
            <w:tcW w:w="879" w:type="pct"/>
            <w:gridSpan w:val="2"/>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供暖</w:t>
            </w:r>
          </w:p>
        </w:tc>
        <w:tc>
          <w:tcPr>
            <w:tcW w:w="3464"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rPr>
            </w:pPr>
            <w:r>
              <w:rPr>
                <w:rFonts w:eastAsiaTheme="minorEastAsia"/>
                <w:sz w:val="21"/>
                <w:szCs w:val="21"/>
                <w:highlight w:val="none"/>
                <w:lang w:val="zh-CN"/>
              </w:rPr>
              <w:t>本项目生产车间不需要供暖</w:t>
            </w:r>
            <w:r>
              <w:rPr>
                <w:rFonts w:hint="eastAsia" w:eastAsiaTheme="minorEastAsia"/>
                <w:sz w:val="21"/>
                <w:szCs w:val="21"/>
                <w:highlight w:val="none"/>
                <w:lang w:val="zh-CN"/>
              </w:rPr>
              <w:t>，办公室采用电取暖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restar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环保工程</w:t>
            </w:r>
          </w:p>
        </w:tc>
        <w:tc>
          <w:tcPr>
            <w:tcW w:w="406"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大气污染治理</w:t>
            </w:r>
          </w:p>
        </w:tc>
        <w:tc>
          <w:tcPr>
            <w:tcW w:w="472"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运营期</w:t>
            </w:r>
          </w:p>
        </w:tc>
        <w:tc>
          <w:tcPr>
            <w:tcW w:w="3464" w:type="pct"/>
            <w:tcBorders>
              <w:tl2br w:val="nil"/>
              <w:tr2bl w:val="nil"/>
            </w:tcBorders>
            <w:vAlign w:val="center"/>
          </w:tcPr>
          <w:p>
            <w:pPr>
              <w:widowControl/>
              <w:spacing w:line="240" w:lineRule="auto"/>
              <w:ind w:firstLine="0" w:firstLineChars="0"/>
              <w:textAlignment w:val="auto"/>
              <w:rPr>
                <w:rFonts w:eastAsiaTheme="minorEastAsia"/>
                <w:sz w:val="21"/>
                <w:szCs w:val="21"/>
                <w:highlight w:val="none"/>
              </w:rPr>
            </w:pPr>
            <w:r>
              <w:rPr>
                <w:rFonts w:hint="eastAsia" w:eastAsiaTheme="minorEastAsia"/>
                <w:sz w:val="21"/>
                <w:szCs w:val="21"/>
                <w:highlight w:val="none"/>
              </w:rPr>
              <w:t>①项目设置封闭成品库（位于选矿车间内）、物料转运设置封闭的皮带通廊，设置喷雾抑尘装置，减少颗粒物无组织排放。</w:t>
            </w:r>
          </w:p>
          <w:p>
            <w:pPr>
              <w:widowControl/>
              <w:spacing w:line="240" w:lineRule="auto"/>
              <w:ind w:firstLine="0" w:firstLineChars="0"/>
              <w:textAlignment w:val="auto"/>
              <w:rPr>
                <w:rFonts w:eastAsiaTheme="minorEastAsia"/>
                <w:sz w:val="21"/>
                <w:szCs w:val="21"/>
                <w:highlight w:val="none"/>
              </w:rPr>
            </w:pPr>
            <w:r>
              <w:rPr>
                <w:rFonts w:hint="eastAsia" w:eastAsiaTheme="minorEastAsia"/>
                <w:sz w:val="21"/>
                <w:szCs w:val="21"/>
                <w:highlight w:val="none"/>
              </w:rPr>
              <w:t>②破碎、筛分、输送工序产生的颗粒物引入离线清灰脉冲布袋除尘器进行处理，处理后经19m高排气筒排放。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continue"/>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p>
        </w:tc>
        <w:tc>
          <w:tcPr>
            <w:tcW w:w="406"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废水污染治理</w:t>
            </w:r>
          </w:p>
        </w:tc>
        <w:tc>
          <w:tcPr>
            <w:tcW w:w="472"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运营期</w:t>
            </w:r>
          </w:p>
        </w:tc>
        <w:tc>
          <w:tcPr>
            <w:tcW w:w="3464" w:type="pct"/>
            <w:tcBorders>
              <w:tl2br w:val="nil"/>
              <w:tr2bl w:val="nil"/>
            </w:tcBorders>
            <w:vAlign w:val="center"/>
          </w:tcPr>
          <w:p>
            <w:pPr>
              <w:widowControl/>
              <w:spacing w:line="240" w:lineRule="auto"/>
              <w:ind w:firstLine="0" w:firstLineChars="0"/>
              <w:textAlignment w:val="auto"/>
              <w:rPr>
                <w:rFonts w:eastAsiaTheme="minorEastAsia"/>
                <w:sz w:val="21"/>
                <w:szCs w:val="21"/>
                <w:highlight w:val="none"/>
                <w:lang w:val="zh-CN"/>
              </w:rPr>
            </w:pPr>
            <w:r>
              <w:rPr>
                <w:rFonts w:hint="eastAsia" w:eastAsiaTheme="minorEastAsia"/>
                <w:sz w:val="21"/>
                <w:szCs w:val="21"/>
                <w:highlight w:val="none"/>
                <w:lang w:val="zh-CN"/>
              </w:rPr>
              <w:t>筛分球磨磁选废水经洗砂机、浓缩罐处理后进入浓密池（</w:t>
            </w:r>
            <w:r>
              <w:rPr>
                <w:rFonts w:hint="eastAsia" w:eastAsiaTheme="minorEastAsia"/>
                <w:sz w:val="21"/>
                <w:szCs w:val="21"/>
                <w:highlight w:val="none"/>
              </w:rPr>
              <w:t>直径20m，深2.4-3.6m</w:t>
            </w:r>
            <w:r>
              <w:rPr>
                <w:rFonts w:hint="eastAsia" w:eastAsiaTheme="minorEastAsia"/>
                <w:sz w:val="21"/>
                <w:szCs w:val="21"/>
                <w:highlight w:val="none"/>
                <w:lang w:val="zh-CN"/>
              </w:rPr>
              <w:t>），沉淀后循环利用不外排；</w:t>
            </w:r>
          </w:p>
          <w:p>
            <w:pPr>
              <w:widowControl/>
              <w:spacing w:line="240" w:lineRule="auto"/>
              <w:ind w:firstLine="0" w:firstLineChars="0"/>
              <w:textAlignment w:val="auto"/>
              <w:rPr>
                <w:rFonts w:eastAsiaTheme="minorEastAsia"/>
                <w:sz w:val="21"/>
                <w:szCs w:val="21"/>
                <w:highlight w:val="none"/>
                <w:lang w:val="zh-CN"/>
              </w:rPr>
            </w:pPr>
            <w:r>
              <w:rPr>
                <w:rFonts w:hint="eastAsia" w:eastAsiaTheme="minorEastAsia"/>
                <w:sz w:val="21"/>
                <w:szCs w:val="21"/>
                <w:highlight w:val="none"/>
                <w:lang w:val="zh-CN"/>
              </w:rPr>
              <w:t>车间地面冲洗水，排入浓密池，沉淀后循环利用不外排；</w:t>
            </w:r>
          </w:p>
          <w:p>
            <w:pPr>
              <w:widowControl/>
              <w:spacing w:line="240" w:lineRule="auto"/>
              <w:ind w:firstLine="0" w:firstLineChars="0"/>
              <w:textAlignment w:val="auto"/>
              <w:rPr>
                <w:rFonts w:eastAsiaTheme="minorEastAsia"/>
                <w:sz w:val="21"/>
                <w:szCs w:val="21"/>
                <w:highlight w:val="none"/>
                <w:lang w:val="zh-CN"/>
              </w:rPr>
            </w:pPr>
            <w:r>
              <w:rPr>
                <w:rFonts w:hint="eastAsia" w:eastAsiaTheme="minorEastAsia"/>
                <w:sz w:val="21"/>
                <w:szCs w:val="21"/>
                <w:highlight w:val="none"/>
                <w:lang w:val="zh-CN"/>
              </w:rPr>
              <w:t>洗车用水经沉淀池（</w:t>
            </w:r>
            <w:r>
              <w:rPr>
                <w:rFonts w:hint="eastAsia" w:eastAsiaTheme="minorEastAsia"/>
                <w:sz w:val="21"/>
                <w:szCs w:val="21"/>
                <w:highlight w:val="none"/>
              </w:rPr>
              <w:t>2m×2m×2.5m</w:t>
            </w:r>
            <w:r>
              <w:rPr>
                <w:rFonts w:hint="eastAsia" w:eastAsiaTheme="minorEastAsia"/>
                <w:sz w:val="21"/>
                <w:szCs w:val="21"/>
                <w:highlight w:val="none"/>
                <w:lang w:val="zh-CN"/>
              </w:rPr>
              <w:t>）沉淀后，排入清水池</w:t>
            </w:r>
            <w:r>
              <w:rPr>
                <w:rFonts w:hint="eastAsia"/>
                <w:sz w:val="21"/>
                <w:szCs w:val="21"/>
                <w:highlight w:val="none"/>
              </w:rPr>
              <w:t>（2座，2m×2m×2.5m）</w:t>
            </w:r>
            <w:r>
              <w:rPr>
                <w:rFonts w:hint="eastAsia" w:eastAsiaTheme="minorEastAsia"/>
                <w:sz w:val="21"/>
                <w:szCs w:val="21"/>
                <w:highlight w:val="none"/>
                <w:lang w:val="zh-CN"/>
              </w:rPr>
              <w:t>，循环利用不外排；</w:t>
            </w:r>
          </w:p>
          <w:p>
            <w:pPr>
              <w:widowControl/>
              <w:spacing w:line="240" w:lineRule="auto"/>
              <w:ind w:firstLine="0" w:firstLineChars="0"/>
              <w:textAlignment w:val="auto"/>
              <w:rPr>
                <w:rFonts w:eastAsiaTheme="minorEastAsia"/>
                <w:sz w:val="21"/>
                <w:szCs w:val="21"/>
                <w:highlight w:val="none"/>
                <w:lang w:val="zh-CN"/>
              </w:rPr>
            </w:pPr>
            <w:r>
              <w:rPr>
                <w:rFonts w:hint="eastAsia" w:eastAsiaTheme="minorEastAsia"/>
                <w:sz w:val="21"/>
                <w:szCs w:val="21"/>
                <w:highlight w:val="none"/>
              </w:rPr>
              <w:t>生活盥洗废水泼洒抑尘。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continue"/>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p>
        </w:tc>
        <w:tc>
          <w:tcPr>
            <w:tcW w:w="406"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噪声防治</w:t>
            </w:r>
          </w:p>
        </w:tc>
        <w:tc>
          <w:tcPr>
            <w:tcW w:w="472"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运营期</w:t>
            </w:r>
          </w:p>
        </w:tc>
        <w:tc>
          <w:tcPr>
            <w:tcW w:w="3464" w:type="pct"/>
            <w:tcBorders>
              <w:tl2br w:val="nil"/>
              <w:tr2bl w:val="nil"/>
            </w:tcBorders>
            <w:vAlign w:val="center"/>
          </w:tcPr>
          <w:p>
            <w:pPr>
              <w:widowControl/>
              <w:spacing w:line="240" w:lineRule="auto"/>
              <w:ind w:firstLine="0" w:firstLineChars="0"/>
              <w:jc w:val="both"/>
              <w:textAlignment w:val="auto"/>
              <w:rPr>
                <w:rFonts w:eastAsiaTheme="minorEastAsia"/>
                <w:sz w:val="21"/>
                <w:szCs w:val="21"/>
                <w:highlight w:val="none"/>
                <w:lang w:val="zh-CN"/>
              </w:rPr>
            </w:pPr>
            <w:r>
              <w:rPr>
                <w:rFonts w:eastAsiaTheme="minorEastAsia"/>
                <w:sz w:val="21"/>
                <w:szCs w:val="21"/>
                <w:highlight w:val="none"/>
                <w:lang w:val="zh-CN"/>
              </w:rPr>
              <w:t>将各生产设备置于封闭的</w:t>
            </w:r>
            <w:r>
              <w:rPr>
                <w:rFonts w:hint="eastAsia" w:eastAsiaTheme="minorEastAsia"/>
                <w:sz w:val="21"/>
                <w:szCs w:val="21"/>
                <w:highlight w:val="none"/>
                <w:lang w:val="zh-CN"/>
              </w:rPr>
              <w:t>厂房</w:t>
            </w:r>
            <w:r>
              <w:rPr>
                <w:rFonts w:eastAsiaTheme="minorEastAsia"/>
                <w:sz w:val="21"/>
                <w:szCs w:val="21"/>
                <w:highlight w:val="none"/>
                <w:lang w:val="zh-CN"/>
              </w:rPr>
              <w:t>内，</w:t>
            </w:r>
            <w:r>
              <w:rPr>
                <w:rFonts w:hint="eastAsia" w:eastAsiaTheme="minorEastAsia"/>
                <w:sz w:val="21"/>
                <w:szCs w:val="21"/>
                <w:highlight w:val="none"/>
                <w:lang w:val="zh-CN"/>
              </w:rPr>
              <w:t>设备</w:t>
            </w:r>
            <w:r>
              <w:rPr>
                <w:rFonts w:eastAsiaTheme="minorEastAsia"/>
                <w:sz w:val="21"/>
                <w:szCs w:val="21"/>
                <w:highlight w:val="none"/>
                <w:lang w:val="zh-CN"/>
              </w:rPr>
              <w:t>加装减振基础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continue"/>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p>
        </w:tc>
        <w:tc>
          <w:tcPr>
            <w:tcW w:w="406"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固废处理</w:t>
            </w:r>
          </w:p>
        </w:tc>
        <w:tc>
          <w:tcPr>
            <w:tcW w:w="472" w:type="pct"/>
            <w:tcBorders>
              <w:tl2br w:val="nil"/>
              <w:tr2bl w:val="nil"/>
            </w:tcBorders>
            <w:vAlign w:val="center"/>
          </w:tcPr>
          <w:p>
            <w:pPr>
              <w:widowControl/>
              <w:spacing w:line="240" w:lineRule="auto"/>
              <w:ind w:firstLine="0" w:firstLineChars="0"/>
              <w:jc w:val="center"/>
              <w:textAlignment w:val="auto"/>
              <w:rPr>
                <w:rFonts w:eastAsiaTheme="minorEastAsia"/>
                <w:sz w:val="21"/>
                <w:szCs w:val="21"/>
                <w:highlight w:val="none"/>
                <w:lang w:val="zh-CN"/>
              </w:rPr>
            </w:pPr>
            <w:r>
              <w:rPr>
                <w:rFonts w:eastAsiaTheme="minorEastAsia"/>
                <w:sz w:val="21"/>
                <w:szCs w:val="21"/>
                <w:highlight w:val="none"/>
                <w:lang w:val="zh-CN"/>
              </w:rPr>
              <w:t>运营期</w:t>
            </w:r>
          </w:p>
        </w:tc>
        <w:tc>
          <w:tcPr>
            <w:tcW w:w="3464" w:type="pct"/>
            <w:tcBorders>
              <w:tl2br w:val="nil"/>
              <w:tr2bl w:val="nil"/>
            </w:tcBorders>
            <w:vAlign w:val="center"/>
          </w:tcPr>
          <w:p>
            <w:pPr>
              <w:widowControl/>
              <w:spacing w:line="240" w:lineRule="auto"/>
              <w:ind w:firstLine="0" w:firstLineChars="0"/>
              <w:textAlignment w:val="auto"/>
              <w:rPr>
                <w:rFonts w:eastAsiaTheme="minorEastAsia"/>
                <w:sz w:val="21"/>
                <w:szCs w:val="21"/>
                <w:highlight w:val="none"/>
                <w:lang w:val="zh-CN"/>
              </w:rPr>
            </w:pPr>
            <w:r>
              <w:rPr>
                <w:rFonts w:hint="eastAsia" w:eastAsiaTheme="minorEastAsia"/>
                <w:sz w:val="21"/>
                <w:szCs w:val="21"/>
                <w:highlight w:val="none"/>
                <w:lang w:val="zh-CN"/>
              </w:rPr>
              <w:t>危险固废：</w:t>
            </w:r>
            <w:r>
              <w:rPr>
                <w:rFonts w:hint="eastAsia" w:eastAsiaTheme="minorEastAsia"/>
                <w:sz w:val="21"/>
                <w:szCs w:val="21"/>
                <w:highlight w:val="none"/>
              </w:rPr>
              <w:t>生产设备在机修过程会产生废润滑油、废齿轮油</w:t>
            </w:r>
            <w:r>
              <w:rPr>
                <w:rFonts w:hint="eastAsia" w:eastAsiaTheme="minorEastAsia"/>
                <w:sz w:val="21"/>
                <w:szCs w:val="21"/>
                <w:highlight w:val="none"/>
                <w:lang w:val="zh-CN"/>
              </w:rPr>
              <w:t>暂存于危废间内，由有资质的单位处理。在</w:t>
            </w:r>
            <w:r>
              <w:rPr>
                <w:rFonts w:hint="eastAsia" w:eastAsiaTheme="minorEastAsia"/>
                <w:sz w:val="21"/>
                <w:szCs w:val="21"/>
                <w:highlight w:val="none"/>
              </w:rPr>
              <w:t>厂区南侧</w:t>
            </w:r>
            <w:r>
              <w:rPr>
                <w:rFonts w:hint="eastAsia" w:eastAsiaTheme="minorEastAsia"/>
                <w:sz w:val="21"/>
                <w:szCs w:val="21"/>
                <w:highlight w:val="none"/>
                <w:lang w:val="zh-CN"/>
              </w:rPr>
              <w:t>建</w:t>
            </w:r>
            <w:r>
              <w:rPr>
                <w:rFonts w:hint="eastAsia" w:eastAsiaTheme="minorEastAsia"/>
                <w:sz w:val="21"/>
                <w:szCs w:val="21"/>
                <w:highlight w:val="none"/>
              </w:rPr>
              <w:t>有6m</w:t>
            </w:r>
            <w:r>
              <w:rPr>
                <w:rFonts w:hint="eastAsia" w:eastAsiaTheme="minorEastAsia"/>
                <w:sz w:val="21"/>
                <w:szCs w:val="21"/>
                <w:highlight w:val="none"/>
                <w:vertAlign w:val="superscript"/>
              </w:rPr>
              <w:t>2</w:t>
            </w:r>
            <w:r>
              <w:rPr>
                <w:rFonts w:hint="eastAsia" w:eastAsiaTheme="minorEastAsia"/>
                <w:sz w:val="21"/>
                <w:szCs w:val="21"/>
                <w:highlight w:val="none"/>
              </w:rPr>
              <w:t>危废间1座。</w:t>
            </w:r>
          </w:p>
          <w:p>
            <w:pPr>
              <w:widowControl/>
              <w:spacing w:line="240" w:lineRule="auto"/>
              <w:ind w:firstLine="0" w:firstLineChars="0"/>
              <w:textAlignment w:val="auto"/>
              <w:rPr>
                <w:rFonts w:eastAsiaTheme="minorEastAsia"/>
                <w:sz w:val="21"/>
                <w:szCs w:val="21"/>
                <w:highlight w:val="none"/>
              </w:rPr>
            </w:pPr>
            <w:r>
              <w:rPr>
                <w:rFonts w:hint="eastAsia" w:eastAsiaTheme="minorEastAsia"/>
                <w:sz w:val="21"/>
                <w:szCs w:val="21"/>
                <w:highlight w:val="none"/>
                <w:lang w:val="zh-CN"/>
              </w:rPr>
              <w:t>一般固废：尾矿砂、</w:t>
            </w:r>
            <w:r>
              <w:rPr>
                <w:rFonts w:hint="eastAsia" w:eastAsiaTheme="minorEastAsia"/>
                <w:sz w:val="21"/>
                <w:szCs w:val="21"/>
                <w:highlight w:val="none"/>
              </w:rPr>
              <w:t>泥饼、砂石料收集后</w:t>
            </w:r>
            <w:r>
              <w:rPr>
                <w:rFonts w:eastAsiaTheme="minorEastAsia"/>
                <w:sz w:val="21"/>
                <w:szCs w:val="21"/>
                <w:highlight w:val="none"/>
              </w:rPr>
              <w:t>外售建材企业综合利用</w:t>
            </w:r>
            <w:r>
              <w:rPr>
                <w:rFonts w:hint="eastAsia" w:eastAsiaTheme="minorEastAsia"/>
                <w:sz w:val="21"/>
                <w:szCs w:val="21"/>
                <w:highlight w:val="none"/>
              </w:rPr>
              <w:t>，废钢球由厂家回收利用，脉冲布袋除尘器收集的除尘灰回用于生产</w:t>
            </w:r>
            <w:r>
              <w:rPr>
                <w:rFonts w:eastAsiaTheme="minorEastAsia"/>
                <w:sz w:val="21"/>
                <w:szCs w:val="21"/>
                <w:highlight w:val="none"/>
              </w:rPr>
              <w:t>。</w:t>
            </w:r>
          </w:p>
          <w:p>
            <w:pPr>
              <w:widowControl/>
              <w:spacing w:line="240" w:lineRule="auto"/>
              <w:ind w:firstLine="0" w:firstLineChars="0"/>
              <w:textAlignment w:val="auto"/>
              <w:rPr>
                <w:rFonts w:eastAsiaTheme="minorEastAsia"/>
                <w:sz w:val="21"/>
                <w:szCs w:val="21"/>
                <w:highlight w:val="none"/>
                <w:lang w:val="zh-CN"/>
              </w:rPr>
            </w:pPr>
            <w:r>
              <w:rPr>
                <w:rFonts w:hint="eastAsia" w:eastAsiaTheme="minorEastAsia"/>
                <w:sz w:val="21"/>
                <w:szCs w:val="21"/>
                <w:highlight w:val="none"/>
              </w:rPr>
              <w:t>生活垃圾：送环卫部门指定地点统一处理。</w:t>
            </w:r>
          </w:p>
        </w:tc>
      </w:tr>
    </w:tbl>
    <w:p>
      <w:pPr>
        <w:widowControl/>
        <w:spacing w:line="240" w:lineRule="auto"/>
        <w:ind w:firstLine="0" w:firstLineChars="0"/>
        <w:jc w:val="center"/>
        <w:textAlignment w:val="auto"/>
        <w:rPr>
          <w:rFonts w:eastAsia="黑体"/>
          <w:sz w:val="21"/>
          <w:szCs w:val="21"/>
          <w:highlight w:val="none"/>
        </w:rPr>
      </w:pPr>
      <w:r>
        <w:rPr>
          <w:rFonts w:eastAsia="黑体"/>
          <w:sz w:val="21"/>
          <w:szCs w:val="21"/>
          <w:highlight w:val="none"/>
        </w:rPr>
        <w:t>表3.1-3</w:t>
      </w:r>
      <w:r>
        <w:rPr>
          <w:rFonts w:hint="eastAsia" w:eastAsia="黑体"/>
          <w:sz w:val="21"/>
          <w:szCs w:val="21"/>
          <w:highlight w:val="none"/>
        </w:rPr>
        <w:t>现有工程</w:t>
      </w:r>
      <w:r>
        <w:rPr>
          <w:rFonts w:eastAsia="黑体"/>
          <w:sz w:val="21"/>
          <w:szCs w:val="21"/>
          <w:highlight w:val="none"/>
        </w:rPr>
        <w:t>主要建（构）筑物一览表</w:t>
      </w:r>
      <w:bookmarkEnd w:id="169"/>
    </w:p>
    <w:tbl>
      <w:tblPr>
        <w:tblStyle w:val="56"/>
        <w:tblW w:w="50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9"/>
        <w:gridCol w:w="1378"/>
        <w:gridCol w:w="1238"/>
        <w:gridCol w:w="1238"/>
        <w:gridCol w:w="41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bookmarkStart w:id="171" w:name="_Toc32716"/>
            <w:r>
              <w:rPr>
                <w:sz w:val="21"/>
                <w:szCs w:val="21"/>
                <w:highlight w:val="none"/>
                <w:lang w:val="zh-CN"/>
              </w:rPr>
              <w:t>序号</w:t>
            </w:r>
          </w:p>
        </w:tc>
        <w:tc>
          <w:tcPr>
            <w:tcW w:w="811"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名称</w:t>
            </w:r>
          </w:p>
        </w:tc>
        <w:tc>
          <w:tcPr>
            <w:tcW w:w="729"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占地面积/</w:t>
            </w:r>
            <w:r>
              <w:rPr>
                <w:sz w:val="21"/>
                <w:szCs w:val="21"/>
                <w:highlight w:val="none"/>
              </w:rPr>
              <w:t>m</w:t>
            </w:r>
            <w:r>
              <w:rPr>
                <w:sz w:val="21"/>
                <w:szCs w:val="21"/>
                <w:highlight w:val="none"/>
                <w:vertAlign w:val="superscript"/>
              </w:rPr>
              <w:t>2</w:t>
            </w:r>
          </w:p>
        </w:tc>
        <w:tc>
          <w:tcPr>
            <w:tcW w:w="729"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建筑面积/</w:t>
            </w:r>
            <w:r>
              <w:rPr>
                <w:sz w:val="21"/>
                <w:szCs w:val="21"/>
                <w:highlight w:val="none"/>
              </w:rPr>
              <w:t>m</w:t>
            </w:r>
            <w:r>
              <w:rPr>
                <w:sz w:val="21"/>
                <w:szCs w:val="21"/>
                <w:highlight w:val="none"/>
                <w:vertAlign w:val="superscript"/>
              </w:rPr>
              <w:t>2</w:t>
            </w:r>
          </w:p>
        </w:tc>
        <w:tc>
          <w:tcPr>
            <w:tcW w:w="2451"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1</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破碎车间</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6052</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6052</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单层彩钢结构，2m砖混基础墙，</w:t>
            </w:r>
            <w:r>
              <w:rPr>
                <w:rFonts w:hint="eastAsia"/>
                <w:sz w:val="21"/>
                <w:szCs w:val="21"/>
                <w:highlight w:val="none"/>
                <w:lang w:val="en-US" w:eastAsia="zh-CN"/>
              </w:rPr>
              <w:t>89</w:t>
            </w:r>
            <w:r>
              <w:rPr>
                <w:rFonts w:hint="eastAsia"/>
                <w:sz w:val="21"/>
                <w:szCs w:val="21"/>
                <w:highlight w:val="none"/>
              </w:rPr>
              <w:t>m×</w:t>
            </w:r>
            <w:r>
              <w:rPr>
                <w:rFonts w:hint="eastAsia"/>
                <w:sz w:val="21"/>
                <w:szCs w:val="21"/>
                <w:highlight w:val="none"/>
                <w:lang w:val="en-US" w:eastAsia="zh-CN"/>
              </w:rPr>
              <w:t>68</w:t>
            </w:r>
            <w:r>
              <w:rPr>
                <w:rFonts w:hint="eastAsia"/>
                <w:sz w:val="21"/>
                <w:szCs w:val="21"/>
                <w:highlight w:val="none"/>
              </w:rPr>
              <w:t>m×14m，内部分为破碎装置区、原料存储区、干排设施区、尾矿砂及泥饼存储区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选矿车间</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7821</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7821</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单层彩钢结构，2m砖混基础墙，</w:t>
            </w:r>
            <w:r>
              <w:rPr>
                <w:rFonts w:hint="eastAsia"/>
                <w:sz w:val="21"/>
                <w:szCs w:val="21"/>
                <w:highlight w:val="none"/>
                <w:lang w:val="en-US" w:eastAsia="zh-CN"/>
              </w:rPr>
              <w:t>99</w:t>
            </w:r>
            <w:r>
              <w:rPr>
                <w:rFonts w:hint="eastAsia"/>
                <w:sz w:val="21"/>
                <w:szCs w:val="21"/>
                <w:highlight w:val="none"/>
              </w:rPr>
              <w:t>m×</w:t>
            </w:r>
            <w:r>
              <w:rPr>
                <w:rFonts w:hint="eastAsia"/>
                <w:sz w:val="21"/>
                <w:szCs w:val="21"/>
                <w:highlight w:val="none"/>
                <w:lang w:val="en-US" w:eastAsia="zh-CN"/>
              </w:rPr>
              <w:t>79</w:t>
            </w:r>
            <w:r>
              <w:rPr>
                <w:rFonts w:hint="eastAsia"/>
                <w:sz w:val="21"/>
                <w:szCs w:val="21"/>
                <w:highlight w:val="none"/>
              </w:rPr>
              <w:t>m×14m，内部分为粗选装置区、精选装置区、粗精矿存储区、成品存储区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3</w:t>
            </w:r>
          </w:p>
        </w:tc>
        <w:tc>
          <w:tcPr>
            <w:tcW w:w="811"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lang w:val="zh-CN"/>
              </w:rPr>
              <w:t>压滤间</w:t>
            </w:r>
          </w:p>
        </w:tc>
        <w:tc>
          <w:tcPr>
            <w:tcW w:w="729"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lang w:val="zh-CN"/>
              </w:rPr>
              <w:t>140</w:t>
            </w:r>
          </w:p>
        </w:tc>
        <w:tc>
          <w:tcPr>
            <w:tcW w:w="729"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lang w:val="zh-CN"/>
              </w:rPr>
              <w:t>140</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单层彩钢结构，14m×10m×9m，位于破碎车间内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rPr>
              <w:t>4</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浓密池</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254</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2451" w:type="pc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防渗混凝土浇筑</w:t>
            </w:r>
            <w:r>
              <w:rPr>
                <w:rFonts w:hint="eastAsia"/>
                <w:sz w:val="21"/>
                <w:szCs w:val="21"/>
                <w:highlight w:val="none"/>
              </w:rPr>
              <w:t>，直径</w:t>
            </w:r>
            <w:r>
              <w:rPr>
                <w:rFonts w:hint="eastAsia"/>
                <w:sz w:val="21"/>
                <w:szCs w:val="21"/>
                <w:highlight w:val="none"/>
                <w:lang w:val="en-US" w:eastAsia="zh-CN"/>
              </w:rPr>
              <w:t>18</w:t>
            </w:r>
            <w:r>
              <w:rPr>
                <w:rFonts w:hint="eastAsia"/>
                <w:sz w:val="21"/>
                <w:szCs w:val="21"/>
                <w:highlight w:val="none"/>
              </w:rPr>
              <w:t>m，深2.4-3.6m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rPr>
              <w:t>5</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清水池</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600</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2451" w:type="pc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防渗混凝土浇筑</w:t>
            </w:r>
            <w:r>
              <w:rPr>
                <w:rFonts w:hint="eastAsia"/>
                <w:sz w:val="21"/>
                <w:szCs w:val="21"/>
                <w:highlight w:val="none"/>
              </w:rPr>
              <w:t>，</w:t>
            </w:r>
            <w:r>
              <w:rPr>
                <w:rFonts w:hint="eastAsia"/>
                <w:sz w:val="21"/>
                <w:szCs w:val="21"/>
                <w:highlight w:val="none"/>
                <w:lang w:val="en-US" w:eastAsia="zh-CN"/>
              </w:rPr>
              <w:t>20</w:t>
            </w:r>
            <w:r>
              <w:rPr>
                <w:rFonts w:hint="eastAsia"/>
                <w:sz w:val="21"/>
                <w:szCs w:val="21"/>
                <w:highlight w:val="none"/>
              </w:rPr>
              <w:t>m×</w:t>
            </w:r>
            <w:r>
              <w:rPr>
                <w:rFonts w:hint="eastAsia"/>
                <w:sz w:val="21"/>
                <w:szCs w:val="21"/>
                <w:highlight w:val="none"/>
                <w:lang w:val="en-US" w:eastAsia="zh-CN"/>
              </w:rPr>
              <w:t>30</w:t>
            </w:r>
            <w:r>
              <w:rPr>
                <w:rFonts w:hint="eastAsia"/>
                <w:sz w:val="21"/>
                <w:szCs w:val="21"/>
                <w:highlight w:val="none"/>
              </w:rPr>
              <w:t>m×</w:t>
            </w:r>
            <w:r>
              <w:rPr>
                <w:rFonts w:hint="eastAsia"/>
                <w:sz w:val="21"/>
                <w:szCs w:val="21"/>
                <w:highlight w:val="none"/>
                <w:lang w:val="en-US" w:eastAsia="zh-CN"/>
              </w:rPr>
              <w:t>5</w:t>
            </w:r>
            <w:r>
              <w:rPr>
                <w:rFonts w:hint="eastAsia"/>
                <w:sz w:val="21"/>
                <w:szCs w:val="21"/>
                <w:highlight w:val="none"/>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rPr>
              <w:t>6</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事故池</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25</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2451" w:type="pc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防渗混凝土浇筑</w:t>
            </w:r>
            <w:r>
              <w:rPr>
                <w:rFonts w:hint="eastAsia"/>
                <w:sz w:val="21"/>
                <w:szCs w:val="21"/>
                <w:highlight w:val="none"/>
              </w:rPr>
              <w:t>，2座，25m</w:t>
            </w:r>
            <w:r>
              <w:rPr>
                <w:rFonts w:hint="eastAsia"/>
                <w:sz w:val="21"/>
                <w:szCs w:val="21"/>
                <w:highlight w:val="none"/>
                <w:vertAlign w:val="superscript"/>
              </w:rPr>
              <w:t>3</w:t>
            </w:r>
            <w:r>
              <w:rPr>
                <w:rFonts w:hint="eastAsia"/>
                <w:sz w:val="21"/>
                <w:szCs w:val="21"/>
                <w:highlight w:val="none"/>
              </w:rPr>
              <w:t>×2，置于成品库内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rPr>
              <w:t>7</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危废间</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6</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6</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设于厂区南侧，地面防渗水泥浇筑，上铺一层防腐层，渗透系数小于1×10</w:t>
            </w:r>
            <w:r>
              <w:rPr>
                <w:rFonts w:hint="eastAsia"/>
                <w:sz w:val="21"/>
                <w:szCs w:val="21"/>
                <w:highlight w:val="none"/>
                <w:vertAlign w:val="superscript"/>
              </w:rPr>
              <w:t>-10</w:t>
            </w:r>
            <w:r>
              <w:rPr>
                <w:rFonts w:hint="eastAsia"/>
                <w:sz w:val="21"/>
                <w:szCs w:val="21"/>
                <w:highlight w:val="none"/>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洗车平台</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8×2</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配套沉淀池（2座，2m×2m×2.5m）和清水池（2座，2m×2m×2.5m），置于厂区大门口和成品库门口</w:t>
            </w:r>
          </w:p>
        </w:tc>
      </w:tr>
    </w:tbl>
    <w:p>
      <w:pPr>
        <w:pStyle w:val="6"/>
        <w:numPr>
          <w:ilvl w:val="2"/>
          <w:numId w:val="1"/>
        </w:numPr>
        <w:rPr>
          <w:szCs w:val="28"/>
          <w:highlight w:val="none"/>
        </w:rPr>
      </w:pPr>
      <w:r>
        <w:rPr>
          <w:szCs w:val="28"/>
          <w:highlight w:val="none"/>
        </w:rPr>
        <w:t>主要设备</w:t>
      </w:r>
      <w:bookmarkEnd w:id="170"/>
      <w:bookmarkEnd w:id="171"/>
    </w:p>
    <w:p>
      <w:pPr>
        <w:ind w:firstLine="480"/>
        <w:rPr>
          <w:bCs/>
          <w:sz w:val="24"/>
          <w:szCs w:val="24"/>
          <w:highlight w:val="none"/>
        </w:rPr>
      </w:pPr>
      <w:r>
        <w:rPr>
          <w:rFonts w:hint="eastAsia"/>
          <w:bCs/>
          <w:sz w:val="24"/>
          <w:szCs w:val="24"/>
          <w:highlight w:val="none"/>
        </w:rPr>
        <w:t>现有工程</w:t>
      </w:r>
      <w:r>
        <w:rPr>
          <w:bCs/>
          <w:sz w:val="24"/>
          <w:szCs w:val="24"/>
          <w:highlight w:val="none"/>
        </w:rPr>
        <w:t>设备主要包括主体工程及辅助工程的设备，详见表3.1-4。</w:t>
      </w:r>
    </w:p>
    <w:p>
      <w:pPr>
        <w:spacing w:line="240" w:lineRule="auto"/>
        <w:ind w:firstLine="0" w:firstLineChars="0"/>
        <w:jc w:val="center"/>
        <w:textAlignment w:val="auto"/>
        <w:rPr>
          <w:highlight w:val="none"/>
        </w:rPr>
      </w:pPr>
      <w:r>
        <w:rPr>
          <w:rFonts w:eastAsia="黑体"/>
          <w:kern w:val="2"/>
          <w:sz w:val="21"/>
          <w:szCs w:val="21"/>
          <w:highlight w:val="none"/>
        </w:rPr>
        <w:t xml:space="preserve">表3.1-4    </w:t>
      </w:r>
      <w:r>
        <w:rPr>
          <w:rFonts w:hint="eastAsia" w:eastAsia="黑体"/>
          <w:kern w:val="2"/>
          <w:sz w:val="21"/>
          <w:szCs w:val="21"/>
          <w:highlight w:val="none"/>
        </w:rPr>
        <w:t>现有工程</w:t>
      </w:r>
      <w:r>
        <w:rPr>
          <w:rFonts w:eastAsia="黑体"/>
          <w:kern w:val="2"/>
          <w:sz w:val="21"/>
          <w:szCs w:val="21"/>
          <w:highlight w:val="none"/>
        </w:rPr>
        <w:t>主要设备一览表</w:t>
      </w:r>
    </w:p>
    <w:tbl>
      <w:tblPr>
        <w:tblStyle w:val="56"/>
        <w:tblW w:w="854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3"/>
        <w:gridCol w:w="391"/>
        <w:gridCol w:w="307"/>
        <w:gridCol w:w="18"/>
        <w:gridCol w:w="1585"/>
        <w:gridCol w:w="18"/>
        <w:gridCol w:w="2822"/>
        <w:gridCol w:w="18"/>
        <w:gridCol w:w="1028"/>
        <w:gridCol w:w="18"/>
        <w:gridCol w:w="1520"/>
        <w:gridCol w:w="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blHeader/>
        </w:trPr>
        <w:tc>
          <w:tcPr>
            <w:tcW w:w="803" w:type="dxa"/>
            <w:tcBorders>
              <w:tl2br w:val="nil"/>
              <w:tr2bl w:val="nil"/>
            </w:tcBorders>
            <w:vAlign w:val="center"/>
          </w:tcPr>
          <w:p>
            <w:pPr>
              <w:spacing w:line="320" w:lineRule="exact"/>
              <w:ind w:firstLine="0" w:firstLineChars="0"/>
              <w:jc w:val="center"/>
              <w:rPr>
                <w:sz w:val="21"/>
                <w:szCs w:val="21"/>
                <w:highlight w:val="none"/>
              </w:rPr>
            </w:pPr>
            <w:bookmarkStart w:id="172" w:name="_Toc9853"/>
            <w:bookmarkStart w:id="173" w:name="_Toc521591758"/>
            <w:r>
              <w:rPr>
                <w:sz w:val="21"/>
                <w:szCs w:val="21"/>
                <w:highlight w:val="none"/>
              </w:rPr>
              <w:t>序号</w:t>
            </w:r>
          </w:p>
        </w:tc>
        <w:tc>
          <w:tcPr>
            <w:tcW w:w="2301" w:type="dxa"/>
            <w:gridSpan w:val="4"/>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设备名称</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型号</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单位</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数量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698" w:type="dxa"/>
            <w:gridSpan w:val="2"/>
            <w:vMerge w:val="restart"/>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破碎车间</w:t>
            </w: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振动给料机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鄂式</w:t>
            </w:r>
            <w:r>
              <w:rPr>
                <w:sz w:val="21"/>
                <w:szCs w:val="21"/>
                <w:highlight w:val="none"/>
              </w:rPr>
              <w:t>破碎机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600×900</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锤式</w:t>
            </w:r>
            <w:r>
              <w:rPr>
                <w:sz w:val="21"/>
                <w:szCs w:val="21"/>
                <w:highlight w:val="none"/>
              </w:rPr>
              <w:t>破碎机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单轴1800mm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4</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振动筛</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2.3m×6m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5</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浓缩罐</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Φ8m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6</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振动筛</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2m×6m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7</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磁滑轮</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8</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装载机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国</w:t>
            </w:r>
            <w:r>
              <w:rPr>
                <w:rFonts w:hint="eastAsia"/>
                <w:sz w:val="21"/>
                <w:szCs w:val="21"/>
                <w:highlight w:val="none"/>
                <w:lang w:val="en-US" w:eastAsia="zh-CN"/>
              </w:rPr>
              <w:t>四</w:t>
            </w:r>
            <w:r>
              <w:rPr>
                <w:rFonts w:hint="eastAsia"/>
                <w:sz w:val="21"/>
                <w:szCs w:val="21"/>
                <w:highlight w:val="none"/>
              </w:rPr>
              <w:t>及以上排放标准</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9</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皮带机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10</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压滤机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300m</w:t>
            </w:r>
            <w:r>
              <w:rPr>
                <w:rFonts w:hint="eastAsia"/>
                <w:sz w:val="21"/>
                <w:szCs w:val="21"/>
                <w:highlight w:val="none"/>
                <w:vertAlign w:val="superscript"/>
              </w:rPr>
              <w:t>2</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11</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振动脱水筛</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2.4m×3.8m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12</w:t>
            </w:r>
          </w:p>
        </w:tc>
        <w:tc>
          <w:tcPr>
            <w:tcW w:w="698"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回水泵</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13</w:t>
            </w:r>
          </w:p>
        </w:tc>
        <w:tc>
          <w:tcPr>
            <w:tcW w:w="391" w:type="dxa"/>
            <w:vMerge w:val="restart"/>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选矿车间</w:t>
            </w:r>
          </w:p>
        </w:tc>
        <w:tc>
          <w:tcPr>
            <w:tcW w:w="325" w:type="dxa"/>
            <w:gridSpan w:val="2"/>
            <w:vMerge w:val="restart"/>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粗选设备</w:t>
            </w:r>
          </w:p>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球磨机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直径2.1m，长8m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14</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磁选机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1.2m×3m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15</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磁选机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1.05m×2.4m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16</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过滤机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16m</w:t>
            </w:r>
            <w:r>
              <w:rPr>
                <w:rFonts w:hint="eastAsia"/>
                <w:sz w:val="21"/>
                <w:szCs w:val="21"/>
                <w:highlight w:val="none"/>
                <w:vertAlign w:val="superscript"/>
              </w:rPr>
              <w:t>2</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17</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高频振网筛</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18</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渣</w:t>
            </w:r>
            <w:r>
              <w:rPr>
                <w:sz w:val="21"/>
                <w:szCs w:val="21"/>
                <w:highlight w:val="none"/>
              </w:rPr>
              <w:t>浆泵</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19</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皮带机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条</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20</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restart"/>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精选设备</w:t>
            </w:r>
          </w:p>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球磨机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直径1.83m，长9m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21</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磁选机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1.1m×3.05m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22</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盘式打捞机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23</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磁选打捞机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24</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混料机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25</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磁选机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1.05m×2.4m</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26</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过滤机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27</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高频振网筛</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28</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磁团聚</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29</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渣</w:t>
            </w:r>
            <w:r>
              <w:rPr>
                <w:sz w:val="21"/>
                <w:szCs w:val="21"/>
                <w:highlight w:val="none"/>
              </w:rPr>
              <w:t>浆泵</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30</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尾浆泵</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31</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皮带机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条</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32</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振动给料机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33</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皮带机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条</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34</w:t>
            </w:r>
          </w:p>
        </w:tc>
        <w:tc>
          <w:tcPr>
            <w:tcW w:w="391" w:type="dxa"/>
            <w:vMerge w:val="continue"/>
            <w:tcBorders>
              <w:tl2br w:val="nil"/>
              <w:tr2bl w:val="nil"/>
            </w:tcBorders>
            <w:vAlign w:val="center"/>
          </w:tcPr>
          <w:p>
            <w:pPr>
              <w:spacing w:line="320" w:lineRule="exact"/>
              <w:ind w:firstLine="0" w:firstLineChars="0"/>
              <w:jc w:val="center"/>
              <w:rPr>
                <w:sz w:val="21"/>
                <w:szCs w:val="21"/>
                <w:highlight w:val="none"/>
              </w:rPr>
            </w:pPr>
          </w:p>
        </w:tc>
        <w:tc>
          <w:tcPr>
            <w:tcW w:w="325" w:type="dxa"/>
            <w:gridSpan w:val="2"/>
            <w:vMerge w:val="continue"/>
            <w:tcBorders>
              <w:tl2br w:val="nil"/>
              <w:tr2bl w:val="nil"/>
            </w:tcBorders>
            <w:vAlign w:val="center"/>
          </w:tcPr>
          <w:p>
            <w:pPr>
              <w:spacing w:line="320" w:lineRule="exact"/>
              <w:ind w:firstLine="0" w:firstLineChars="0"/>
              <w:jc w:val="center"/>
              <w:rPr>
                <w:sz w:val="21"/>
                <w:szCs w:val="21"/>
                <w:highlight w:val="none"/>
              </w:rPr>
            </w:pP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装载机</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国</w:t>
            </w:r>
            <w:r>
              <w:rPr>
                <w:rFonts w:hint="eastAsia"/>
                <w:sz w:val="21"/>
                <w:szCs w:val="21"/>
                <w:highlight w:val="none"/>
                <w:lang w:val="en-US" w:eastAsia="zh-CN"/>
              </w:rPr>
              <w:t>四</w:t>
            </w:r>
            <w:r>
              <w:rPr>
                <w:rFonts w:hint="eastAsia"/>
                <w:sz w:val="21"/>
                <w:szCs w:val="21"/>
                <w:highlight w:val="none"/>
              </w:rPr>
              <w:t>及以上排放标准</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35</w:t>
            </w:r>
          </w:p>
        </w:tc>
        <w:tc>
          <w:tcPr>
            <w:tcW w:w="716" w:type="dxa"/>
            <w:gridSpan w:val="3"/>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其他</w:t>
            </w:r>
          </w:p>
        </w:tc>
        <w:tc>
          <w:tcPr>
            <w:tcW w:w="1603"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除尘器</w:t>
            </w:r>
          </w:p>
        </w:tc>
        <w:tc>
          <w:tcPr>
            <w:tcW w:w="2840"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处理能力40000m</w:t>
            </w:r>
            <w:r>
              <w:rPr>
                <w:rFonts w:hint="eastAsia"/>
                <w:sz w:val="21"/>
                <w:szCs w:val="21"/>
                <w:highlight w:val="none"/>
                <w:vertAlign w:val="superscript"/>
              </w:rPr>
              <w:t>3</w:t>
            </w:r>
            <w:r>
              <w:rPr>
                <w:rFonts w:hint="eastAsia"/>
                <w:sz w:val="21"/>
                <w:szCs w:val="21"/>
                <w:highlight w:val="none"/>
              </w:rPr>
              <w:t>/h</w:t>
            </w:r>
          </w:p>
        </w:tc>
        <w:tc>
          <w:tcPr>
            <w:tcW w:w="1046"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台</w:t>
            </w:r>
          </w:p>
        </w:tc>
        <w:tc>
          <w:tcPr>
            <w:tcW w:w="1538" w:type="dxa"/>
            <w:gridSpan w:val="2"/>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r>
    </w:tbl>
    <w:p>
      <w:pPr>
        <w:pStyle w:val="6"/>
        <w:numPr>
          <w:ilvl w:val="2"/>
          <w:numId w:val="1"/>
        </w:numPr>
        <w:rPr>
          <w:szCs w:val="28"/>
          <w:highlight w:val="none"/>
        </w:rPr>
      </w:pPr>
      <w:r>
        <w:rPr>
          <w:szCs w:val="28"/>
          <w:highlight w:val="none"/>
        </w:rPr>
        <w:t>原辅材料及能源消耗情况</w:t>
      </w:r>
      <w:bookmarkEnd w:id="172"/>
    </w:p>
    <w:p>
      <w:pPr>
        <w:snapToGrid w:val="0"/>
        <w:ind w:firstLine="480"/>
        <w:jc w:val="both"/>
        <w:rPr>
          <w:rFonts w:eastAsia="黑体"/>
          <w:kern w:val="2"/>
          <w:sz w:val="21"/>
          <w:szCs w:val="21"/>
          <w:highlight w:val="none"/>
        </w:rPr>
      </w:pPr>
      <w:r>
        <w:rPr>
          <w:rFonts w:hint="eastAsia"/>
          <w:sz w:val="24"/>
          <w:szCs w:val="24"/>
          <w:highlight w:val="none"/>
        </w:rPr>
        <w:t>现有工程</w:t>
      </w:r>
      <w:r>
        <w:rPr>
          <w:sz w:val="24"/>
          <w:szCs w:val="24"/>
          <w:highlight w:val="none"/>
        </w:rPr>
        <w:t>主要原辅材料及能源消耗情况见下表。</w:t>
      </w:r>
    </w:p>
    <w:p>
      <w:pPr>
        <w:spacing w:line="240" w:lineRule="auto"/>
        <w:ind w:firstLine="0" w:firstLineChars="0"/>
        <w:jc w:val="center"/>
        <w:textAlignment w:val="auto"/>
        <w:rPr>
          <w:rFonts w:eastAsia="黑体"/>
          <w:sz w:val="21"/>
          <w:szCs w:val="21"/>
          <w:highlight w:val="none"/>
        </w:rPr>
      </w:pPr>
      <w:r>
        <w:rPr>
          <w:rFonts w:eastAsia="黑体"/>
          <w:kern w:val="2"/>
          <w:sz w:val="21"/>
          <w:szCs w:val="21"/>
          <w:highlight w:val="none"/>
        </w:rPr>
        <w:t>表3.1-</w:t>
      </w:r>
      <w:r>
        <w:rPr>
          <w:rFonts w:hint="eastAsia" w:eastAsia="黑体"/>
          <w:kern w:val="2"/>
          <w:sz w:val="21"/>
          <w:szCs w:val="21"/>
          <w:highlight w:val="none"/>
        </w:rPr>
        <w:t>5</w:t>
      </w:r>
      <w:r>
        <w:rPr>
          <w:rFonts w:eastAsia="黑体"/>
          <w:kern w:val="2"/>
          <w:sz w:val="21"/>
          <w:szCs w:val="21"/>
          <w:highlight w:val="none"/>
        </w:rPr>
        <w:t xml:space="preserve"> </w:t>
      </w:r>
      <w:r>
        <w:rPr>
          <w:rFonts w:hint="eastAsia" w:eastAsia="黑体"/>
          <w:kern w:val="2"/>
          <w:sz w:val="21"/>
          <w:szCs w:val="21"/>
          <w:highlight w:val="none"/>
        </w:rPr>
        <w:t>现有工程</w:t>
      </w:r>
      <w:r>
        <w:rPr>
          <w:rFonts w:eastAsia="黑体"/>
          <w:kern w:val="2"/>
          <w:sz w:val="21"/>
          <w:szCs w:val="21"/>
          <w:highlight w:val="none"/>
        </w:rPr>
        <w:t>主要原辅材料与能源消耗一览表</w:t>
      </w:r>
    </w:p>
    <w:tbl>
      <w:tblPr>
        <w:tblStyle w:val="56"/>
        <w:tblW w:w="85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83"/>
        <w:gridCol w:w="914"/>
        <w:gridCol w:w="1133"/>
        <w:gridCol w:w="4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序号</w:t>
            </w:r>
          </w:p>
        </w:tc>
        <w:tc>
          <w:tcPr>
            <w:tcW w:w="14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名称</w:t>
            </w:r>
          </w:p>
        </w:tc>
        <w:tc>
          <w:tcPr>
            <w:tcW w:w="914"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消耗量</w:t>
            </w:r>
          </w:p>
        </w:tc>
        <w:tc>
          <w:tcPr>
            <w:tcW w:w="113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单位</w:t>
            </w:r>
          </w:p>
        </w:tc>
        <w:tc>
          <w:tcPr>
            <w:tcW w:w="4359"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pStyle w:val="218"/>
              <w:rPr>
                <w:highlight w:val="none"/>
              </w:rPr>
            </w:pPr>
            <w:r>
              <w:rPr>
                <w:highlight w:val="none"/>
              </w:rPr>
              <w:t>1</w:t>
            </w:r>
          </w:p>
        </w:tc>
        <w:tc>
          <w:tcPr>
            <w:tcW w:w="14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原矿</w:t>
            </w:r>
          </w:p>
        </w:tc>
        <w:tc>
          <w:tcPr>
            <w:tcW w:w="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30</w:t>
            </w:r>
          </w:p>
        </w:tc>
        <w:tc>
          <w:tcPr>
            <w:tcW w:w="113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万t/a</w:t>
            </w:r>
          </w:p>
        </w:tc>
        <w:tc>
          <w:tcPr>
            <w:tcW w:w="4359"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平均品位22</w:t>
            </w:r>
            <w:r>
              <w:rPr>
                <w:sz w:val="21"/>
                <w:szCs w:val="21"/>
                <w:highlight w:val="none"/>
              </w:rPr>
              <w:t>%，</w:t>
            </w:r>
            <w:r>
              <w:rPr>
                <w:rFonts w:hint="eastAsia"/>
                <w:sz w:val="21"/>
                <w:szCs w:val="21"/>
                <w:highlight w:val="none"/>
              </w:rPr>
              <w:t>来自周边矿区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2</w:t>
            </w:r>
          </w:p>
        </w:tc>
        <w:tc>
          <w:tcPr>
            <w:tcW w:w="14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水（新水）</w:t>
            </w:r>
          </w:p>
        </w:tc>
        <w:tc>
          <w:tcPr>
            <w:tcW w:w="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78036</w:t>
            </w:r>
          </w:p>
        </w:tc>
        <w:tc>
          <w:tcPr>
            <w:tcW w:w="113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m</w:t>
            </w:r>
            <w:r>
              <w:rPr>
                <w:sz w:val="21"/>
                <w:szCs w:val="21"/>
                <w:highlight w:val="none"/>
                <w:vertAlign w:val="superscript"/>
              </w:rPr>
              <w:t>3</w:t>
            </w:r>
            <w:r>
              <w:rPr>
                <w:sz w:val="21"/>
                <w:szCs w:val="21"/>
                <w:highlight w:val="none"/>
              </w:rPr>
              <w:t>/a</w:t>
            </w:r>
          </w:p>
        </w:tc>
        <w:tc>
          <w:tcPr>
            <w:tcW w:w="4359"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自备井提供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3</w:t>
            </w:r>
          </w:p>
        </w:tc>
        <w:tc>
          <w:tcPr>
            <w:tcW w:w="14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电</w:t>
            </w:r>
          </w:p>
        </w:tc>
        <w:tc>
          <w:tcPr>
            <w:tcW w:w="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1284</w:t>
            </w:r>
          </w:p>
        </w:tc>
        <w:tc>
          <w:tcPr>
            <w:tcW w:w="113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万kW·h/a</w:t>
            </w:r>
          </w:p>
        </w:tc>
        <w:tc>
          <w:tcPr>
            <w:tcW w:w="4359"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当地变电站供给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4</w:t>
            </w:r>
          </w:p>
        </w:tc>
        <w:tc>
          <w:tcPr>
            <w:tcW w:w="14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球磨(钢球)</w:t>
            </w:r>
          </w:p>
        </w:tc>
        <w:tc>
          <w:tcPr>
            <w:tcW w:w="914"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105</w:t>
            </w:r>
          </w:p>
        </w:tc>
        <w:tc>
          <w:tcPr>
            <w:tcW w:w="113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t/a</w:t>
            </w:r>
          </w:p>
        </w:tc>
        <w:tc>
          <w:tcPr>
            <w:tcW w:w="4359"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5</w:t>
            </w:r>
          </w:p>
        </w:tc>
        <w:tc>
          <w:tcPr>
            <w:tcW w:w="148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矿物油</w:t>
            </w:r>
          </w:p>
        </w:tc>
        <w:tc>
          <w:tcPr>
            <w:tcW w:w="914" w:type="dxa"/>
            <w:tcBorders>
              <w:tl2br w:val="nil"/>
              <w:tr2bl w:val="nil"/>
            </w:tcBorders>
            <w:vAlign w:val="center"/>
          </w:tcPr>
          <w:p>
            <w:pPr>
              <w:spacing w:line="320" w:lineRule="exact"/>
              <w:ind w:firstLine="0" w:firstLineChars="0"/>
              <w:jc w:val="center"/>
              <w:rPr>
                <w:sz w:val="21"/>
                <w:szCs w:val="21"/>
                <w:highlight w:val="none"/>
              </w:rPr>
            </w:pPr>
            <w:r>
              <w:rPr>
                <w:rFonts w:hint="eastAsia"/>
                <w:kern w:val="24"/>
                <w:sz w:val="21"/>
                <w:szCs w:val="21"/>
                <w:highlight w:val="none"/>
              </w:rPr>
              <w:t>0.6</w:t>
            </w:r>
          </w:p>
        </w:tc>
        <w:tc>
          <w:tcPr>
            <w:tcW w:w="1133" w:type="dxa"/>
            <w:tcBorders>
              <w:tl2br w:val="nil"/>
              <w:tr2bl w:val="nil"/>
            </w:tcBorders>
            <w:vAlign w:val="center"/>
          </w:tcPr>
          <w:p>
            <w:pPr>
              <w:spacing w:line="320" w:lineRule="exact"/>
              <w:ind w:firstLine="0" w:firstLineChars="0"/>
              <w:jc w:val="center"/>
              <w:rPr>
                <w:sz w:val="21"/>
                <w:szCs w:val="21"/>
                <w:highlight w:val="none"/>
              </w:rPr>
            </w:pPr>
            <w:r>
              <w:rPr>
                <w:kern w:val="24"/>
                <w:sz w:val="21"/>
                <w:szCs w:val="21"/>
                <w:highlight w:val="none"/>
              </w:rPr>
              <w:t>t/a</w:t>
            </w:r>
          </w:p>
        </w:tc>
        <w:tc>
          <w:tcPr>
            <w:tcW w:w="4359" w:type="dxa"/>
            <w:tcBorders>
              <w:tl2br w:val="nil"/>
              <w:tr2bl w:val="nil"/>
            </w:tcBorders>
            <w:vAlign w:val="center"/>
          </w:tcPr>
          <w:p>
            <w:pPr>
              <w:spacing w:line="320" w:lineRule="exact"/>
              <w:ind w:firstLine="0" w:firstLineChars="0"/>
              <w:jc w:val="center"/>
              <w:rPr>
                <w:sz w:val="21"/>
                <w:szCs w:val="21"/>
                <w:highlight w:val="none"/>
              </w:rPr>
            </w:pPr>
            <w:r>
              <w:rPr>
                <w:kern w:val="24"/>
                <w:sz w:val="21"/>
                <w:szCs w:val="21"/>
                <w:highlight w:val="none"/>
              </w:rPr>
              <w:t>外购</w:t>
            </w:r>
          </w:p>
        </w:tc>
      </w:tr>
      <w:bookmarkEnd w:id="173"/>
    </w:tbl>
    <w:p>
      <w:pPr>
        <w:pStyle w:val="6"/>
        <w:numPr>
          <w:ilvl w:val="2"/>
          <w:numId w:val="1"/>
        </w:numPr>
        <w:spacing w:before="120" w:beforeLines="50"/>
        <w:rPr>
          <w:szCs w:val="28"/>
          <w:highlight w:val="none"/>
        </w:rPr>
      </w:pPr>
      <w:bookmarkStart w:id="174" w:name="_Toc521591759"/>
      <w:bookmarkStart w:id="175" w:name="_Toc17475"/>
      <w:r>
        <w:rPr>
          <w:szCs w:val="28"/>
          <w:highlight w:val="none"/>
        </w:rPr>
        <w:t>劳动定员及工作制度</w:t>
      </w:r>
      <w:bookmarkEnd w:id="174"/>
      <w:bookmarkEnd w:id="175"/>
    </w:p>
    <w:p>
      <w:pPr>
        <w:ind w:firstLine="480"/>
        <w:jc w:val="both"/>
        <w:rPr>
          <w:sz w:val="24"/>
          <w:szCs w:val="24"/>
          <w:highlight w:val="none"/>
        </w:rPr>
      </w:pPr>
      <w:r>
        <w:rPr>
          <w:sz w:val="24"/>
          <w:szCs w:val="24"/>
          <w:highlight w:val="none"/>
        </w:rPr>
        <w:t>项目定员</w:t>
      </w:r>
      <w:r>
        <w:rPr>
          <w:rFonts w:hint="eastAsia"/>
          <w:sz w:val="24"/>
          <w:szCs w:val="24"/>
          <w:highlight w:val="none"/>
        </w:rPr>
        <w:t>20</w:t>
      </w:r>
      <w:r>
        <w:rPr>
          <w:sz w:val="24"/>
          <w:szCs w:val="24"/>
          <w:highlight w:val="none"/>
        </w:rPr>
        <w:t>人，</w:t>
      </w:r>
      <w:r>
        <w:rPr>
          <w:rFonts w:hint="eastAsia"/>
          <w:sz w:val="24"/>
          <w:szCs w:val="24"/>
          <w:highlight w:val="none"/>
        </w:rPr>
        <w:t>其中管理和技术人员5人，工人15人。项目</w:t>
      </w:r>
      <w:r>
        <w:rPr>
          <w:sz w:val="24"/>
          <w:szCs w:val="24"/>
          <w:highlight w:val="none"/>
        </w:rPr>
        <w:t>全年工作</w:t>
      </w:r>
      <w:r>
        <w:rPr>
          <w:rFonts w:hint="eastAsia"/>
          <w:sz w:val="24"/>
          <w:szCs w:val="24"/>
          <w:highlight w:val="none"/>
        </w:rPr>
        <w:t>280</w:t>
      </w:r>
      <w:r>
        <w:rPr>
          <w:sz w:val="24"/>
          <w:szCs w:val="24"/>
          <w:highlight w:val="none"/>
        </w:rPr>
        <w:t>天，</w:t>
      </w:r>
      <w:r>
        <w:rPr>
          <w:rFonts w:hint="eastAsia"/>
          <w:sz w:val="24"/>
          <w:szCs w:val="24"/>
          <w:highlight w:val="none"/>
        </w:rPr>
        <w:t>破碎工序二</w:t>
      </w:r>
      <w:r>
        <w:rPr>
          <w:sz w:val="24"/>
          <w:szCs w:val="24"/>
          <w:highlight w:val="none"/>
        </w:rPr>
        <w:t>班制，每班工作8小时</w:t>
      </w:r>
      <w:r>
        <w:rPr>
          <w:rFonts w:hint="eastAsia"/>
          <w:sz w:val="24"/>
          <w:szCs w:val="24"/>
          <w:highlight w:val="none"/>
        </w:rPr>
        <w:t>，球磨工序三</w:t>
      </w:r>
      <w:r>
        <w:rPr>
          <w:sz w:val="24"/>
          <w:szCs w:val="24"/>
          <w:highlight w:val="none"/>
        </w:rPr>
        <w:t>班制，每班工作8小时</w:t>
      </w:r>
      <w:r>
        <w:rPr>
          <w:rFonts w:hint="eastAsia"/>
          <w:sz w:val="24"/>
          <w:szCs w:val="24"/>
          <w:highlight w:val="none"/>
        </w:rPr>
        <w:t>，</w:t>
      </w:r>
      <w:r>
        <w:rPr>
          <w:sz w:val="24"/>
          <w:szCs w:val="24"/>
          <w:highlight w:val="none"/>
        </w:rPr>
        <w:t>。</w:t>
      </w:r>
    </w:p>
    <w:p>
      <w:pPr>
        <w:pStyle w:val="6"/>
        <w:numPr>
          <w:ilvl w:val="2"/>
          <w:numId w:val="1"/>
        </w:numPr>
        <w:rPr>
          <w:szCs w:val="28"/>
          <w:highlight w:val="none"/>
        </w:rPr>
      </w:pPr>
      <w:bookmarkStart w:id="176" w:name="_Toc23906"/>
      <w:bookmarkStart w:id="177" w:name="_Toc503218103"/>
      <w:bookmarkStart w:id="178" w:name="_Toc499651404"/>
      <w:bookmarkStart w:id="179" w:name="_Toc521591762"/>
      <w:r>
        <w:rPr>
          <w:szCs w:val="28"/>
          <w:highlight w:val="none"/>
        </w:rPr>
        <w:t>公用工程</w:t>
      </w:r>
      <w:bookmarkEnd w:id="176"/>
      <w:bookmarkEnd w:id="177"/>
      <w:bookmarkEnd w:id="178"/>
      <w:bookmarkEnd w:id="179"/>
    </w:p>
    <w:p>
      <w:pPr>
        <w:pStyle w:val="3"/>
        <w:rPr>
          <w:highlight w:val="none"/>
        </w:rPr>
      </w:pPr>
      <w:bookmarkStart w:id="180" w:name="_Hlk18932551"/>
      <w:r>
        <w:rPr>
          <w:highlight w:val="none"/>
        </w:rPr>
        <w:t>3.1.</w:t>
      </w:r>
      <w:r>
        <w:rPr>
          <w:rFonts w:hint="eastAsia"/>
          <w:highlight w:val="none"/>
        </w:rPr>
        <w:t>7</w:t>
      </w:r>
      <w:r>
        <w:rPr>
          <w:highlight w:val="none"/>
        </w:rPr>
        <w:t>.1给排水</w:t>
      </w:r>
    </w:p>
    <w:p>
      <w:pPr>
        <w:ind w:firstLine="480"/>
        <w:jc w:val="both"/>
        <w:rPr>
          <w:sz w:val="24"/>
          <w:szCs w:val="24"/>
          <w:highlight w:val="none"/>
        </w:rPr>
      </w:pPr>
      <w:r>
        <w:rPr>
          <w:sz w:val="24"/>
          <w:szCs w:val="24"/>
          <w:highlight w:val="none"/>
        </w:rPr>
        <w:t>（1）给水</w:t>
      </w:r>
    </w:p>
    <w:p>
      <w:pPr>
        <w:ind w:firstLine="480"/>
        <w:jc w:val="both"/>
        <w:rPr>
          <w:sz w:val="24"/>
          <w:szCs w:val="24"/>
          <w:highlight w:val="none"/>
        </w:rPr>
      </w:pPr>
      <w:r>
        <w:rPr>
          <w:rFonts w:hint="eastAsia"/>
          <w:sz w:val="24"/>
          <w:szCs w:val="24"/>
          <w:highlight w:val="none"/>
        </w:rPr>
        <w:t>现有工程</w:t>
      </w:r>
      <w:r>
        <w:rPr>
          <w:sz w:val="24"/>
          <w:szCs w:val="24"/>
          <w:highlight w:val="none"/>
        </w:rPr>
        <w:t>用水来源于厂区自备井。</w:t>
      </w:r>
    </w:p>
    <w:p>
      <w:pPr>
        <w:ind w:firstLine="480"/>
        <w:jc w:val="both"/>
        <w:rPr>
          <w:sz w:val="24"/>
          <w:szCs w:val="24"/>
          <w:highlight w:val="none"/>
        </w:rPr>
      </w:pPr>
      <w:r>
        <w:rPr>
          <w:rFonts w:hint="eastAsia"/>
          <w:sz w:val="24"/>
          <w:szCs w:val="24"/>
          <w:highlight w:val="none"/>
        </w:rPr>
        <w:t>现有工程</w:t>
      </w:r>
      <w:r>
        <w:rPr>
          <w:sz w:val="24"/>
          <w:szCs w:val="24"/>
          <w:highlight w:val="none"/>
        </w:rPr>
        <w:t>用水主要为生活用水、生产用水，总用水量约为</w:t>
      </w:r>
      <w:r>
        <w:rPr>
          <w:rFonts w:hint="eastAsia"/>
          <w:sz w:val="24"/>
          <w:szCs w:val="24"/>
          <w:highlight w:val="none"/>
        </w:rPr>
        <w:t>4111.2</w:t>
      </w:r>
      <w:r>
        <w:rPr>
          <w:sz w:val="24"/>
          <w:szCs w:val="24"/>
          <w:highlight w:val="none"/>
        </w:rPr>
        <w:t>m</w:t>
      </w:r>
      <w:r>
        <w:rPr>
          <w:sz w:val="24"/>
          <w:szCs w:val="24"/>
          <w:highlight w:val="none"/>
          <w:vertAlign w:val="superscript"/>
        </w:rPr>
        <w:t>3</w:t>
      </w:r>
      <w:r>
        <w:rPr>
          <w:sz w:val="24"/>
          <w:szCs w:val="24"/>
          <w:highlight w:val="none"/>
        </w:rPr>
        <w:t>/d</w:t>
      </w:r>
      <w:r>
        <w:rPr>
          <w:rFonts w:hint="eastAsia"/>
          <w:sz w:val="24"/>
          <w:szCs w:val="24"/>
          <w:highlight w:val="none"/>
        </w:rPr>
        <w:t>，</w:t>
      </w:r>
      <w:r>
        <w:rPr>
          <w:sz w:val="24"/>
          <w:szCs w:val="24"/>
          <w:highlight w:val="none"/>
        </w:rPr>
        <w:t>其中新鲜水用量为</w:t>
      </w:r>
      <w:r>
        <w:rPr>
          <w:rFonts w:hint="eastAsia"/>
          <w:sz w:val="24"/>
          <w:szCs w:val="24"/>
          <w:highlight w:val="none"/>
        </w:rPr>
        <w:t>278.7</w:t>
      </w:r>
      <w:r>
        <w:rPr>
          <w:sz w:val="24"/>
          <w:szCs w:val="24"/>
          <w:highlight w:val="none"/>
        </w:rPr>
        <w:t>m</w:t>
      </w:r>
      <w:r>
        <w:rPr>
          <w:sz w:val="24"/>
          <w:szCs w:val="24"/>
          <w:highlight w:val="none"/>
          <w:vertAlign w:val="superscript"/>
        </w:rPr>
        <w:t>3</w:t>
      </w:r>
      <w:r>
        <w:rPr>
          <w:sz w:val="24"/>
          <w:szCs w:val="24"/>
          <w:highlight w:val="none"/>
        </w:rPr>
        <w:t>/d、循环水量为</w:t>
      </w:r>
      <w:r>
        <w:rPr>
          <w:rFonts w:hint="eastAsia"/>
          <w:sz w:val="24"/>
          <w:szCs w:val="24"/>
          <w:highlight w:val="none"/>
        </w:rPr>
        <w:t>3832.5</w:t>
      </w:r>
      <w:r>
        <w:rPr>
          <w:sz w:val="24"/>
          <w:szCs w:val="24"/>
          <w:highlight w:val="none"/>
        </w:rPr>
        <w:t>m</w:t>
      </w:r>
      <w:r>
        <w:rPr>
          <w:sz w:val="24"/>
          <w:szCs w:val="24"/>
          <w:highlight w:val="none"/>
          <w:vertAlign w:val="superscript"/>
        </w:rPr>
        <w:t>3</w:t>
      </w:r>
      <w:r>
        <w:rPr>
          <w:sz w:val="24"/>
          <w:szCs w:val="24"/>
          <w:highlight w:val="none"/>
        </w:rPr>
        <w:t>/d，水循环利用率为9</w:t>
      </w:r>
      <w:r>
        <w:rPr>
          <w:rFonts w:hint="eastAsia"/>
          <w:sz w:val="24"/>
          <w:szCs w:val="24"/>
          <w:highlight w:val="none"/>
        </w:rPr>
        <w:t>3.2</w:t>
      </w:r>
      <w:r>
        <w:rPr>
          <w:sz w:val="24"/>
          <w:szCs w:val="24"/>
          <w:highlight w:val="none"/>
        </w:rPr>
        <w:t>%。</w:t>
      </w:r>
    </w:p>
    <w:p>
      <w:pPr>
        <w:ind w:firstLine="480"/>
        <w:jc w:val="both"/>
        <w:rPr>
          <w:sz w:val="24"/>
          <w:szCs w:val="24"/>
          <w:highlight w:val="none"/>
        </w:rPr>
      </w:pPr>
      <w:r>
        <w:rPr>
          <w:rFonts w:hint="eastAsia" w:ascii="宋体" w:hAnsi="宋体" w:cs="宋体"/>
          <w:sz w:val="24"/>
          <w:szCs w:val="24"/>
          <w:highlight w:val="none"/>
        </w:rPr>
        <w:t>①</w:t>
      </w:r>
      <w:r>
        <w:rPr>
          <w:sz w:val="24"/>
          <w:szCs w:val="24"/>
          <w:highlight w:val="none"/>
        </w:rPr>
        <w:t>生活用水</w:t>
      </w:r>
    </w:p>
    <w:p>
      <w:pPr>
        <w:ind w:firstLine="480"/>
        <w:jc w:val="both"/>
        <w:rPr>
          <w:sz w:val="24"/>
          <w:szCs w:val="24"/>
          <w:highlight w:val="none"/>
        </w:rPr>
      </w:pPr>
      <w:r>
        <w:rPr>
          <w:sz w:val="24"/>
          <w:szCs w:val="24"/>
          <w:highlight w:val="none"/>
        </w:rPr>
        <w:t>厂区不设食堂、洗浴，厕所为旱厕，职工生活用水按</w:t>
      </w:r>
      <w:r>
        <w:rPr>
          <w:rFonts w:hint="eastAsia"/>
          <w:sz w:val="24"/>
          <w:szCs w:val="24"/>
          <w:highlight w:val="none"/>
        </w:rPr>
        <w:t>1</w:t>
      </w:r>
      <w:r>
        <w:rPr>
          <w:sz w:val="24"/>
          <w:szCs w:val="24"/>
          <w:highlight w:val="none"/>
        </w:rPr>
        <w:t>0L/人·d计，总定员</w:t>
      </w:r>
      <w:r>
        <w:rPr>
          <w:rFonts w:hint="eastAsia"/>
          <w:sz w:val="24"/>
          <w:szCs w:val="24"/>
          <w:highlight w:val="none"/>
        </w:rPr>
        <w:t>20</w:t>
      </w:r>
      <w:r>
        <w:rPr>
          <w:sz w:val="24"/>
          <w:szCs w:val="24"/>
          <w:highlight w:val="none"/>
        </w:rPr>
        <w:t>人，生活用水量</w:t>
      </w:r>
      <w:r>
        <w:rPr>
          <w:rFonts w:hint="eastAsia"/>
          <w:sz w:val="24"/>
          <w:szCs w:val="24"/>
          <w:highlight w:val="none"/>
        </w:rPr>
        <w:t>0.2</w:t>
      </w:r>
      <w:r>
        <w:rPr>
          <w:sz w:val="24"/>
          <w:szCs w:val="24"/>
          <w:highlight w:val="none"/>
        </w:rPr>
        <w:t>m</w:t>
      </w:r>
      <w:r>
        <w:rPr>
          <w:sz w:val="24"/>
          <w:szCs w:val="24"/>
          <w:highlight w:val="none"/>
          <w:vertAlign w:val="superscript"/>
        </w:rPr>
        <w:t>3</w:t>
      </w:r>
      <w:r>
        <w:rPr>
          <w:sz w:val="24"/>
          <w:szCs w:val="24"/>
          <w:highlight w:val="none"/>
        </w:rPr>
        <w:t>/d。</w:t>
      </w:r>
    </w:p>
    <w:p>
      <w:pPr>
        <w:ind w:firstLine="480"/>
        <w:jc w:val="both"/>
        <w:rPr>
          <w:sz w:val="24"/>
          <w:szCs w:val="24"/>
          <w:highlight w:val="none"/>
        </w:rPr>
      </w:pPr>
      <w:r>
        <w:rPr>
          <w:rFonts w:hint="eastAsia" w:ascii="宋体" w:hAnsi="宋体" w:cs="宋体"/>
          <w:sz w:val="24"/>
          <w:szCs w:val="24"/>
          <w:highlight w:val="none"/>
        </w:rPr>
        <w:t>②</w:t>
      </w:r>
      <w:r>
        <w:rPr>
          <w:rFonts w:hint="eastAsia"/>
          <w:sz w:val="24"/>
          <w:szCs w:val="24"/>
          <w:highlight w:val="none"/>
        </w:rPr>
        <w:t>选矿</w:t>
      </w:r>
      <w:r>
        <w:rPr>
          <w:sz w:val="24"/>
          <w:szCs w:val="24"/>
          <w:highlight w:val="none"/>
        </w:rPr>
        <w:t>用水</w:t>
      </w:r>
    </w:p>
    <w:p>
      <w:pPr>
        <w:ind w:firstLine="480"/>
        <w:jc w:val="both"/>
        <w:rPr>
          <w:sz w:val="24"/>
          <w:szCs w:val="24"/>
          <w:highlight w:val="none"/>
        </w:rPr>
      </w:pPr>
      <w:r>
        <w:rPr>
          <w:sz w:val="24"/>
          <w:szCs w:val="24"/>
          <w:highlight w:val="none"/>
        </w:rPr>
        <w:t>球磨、磁选工序用水总量</w:t>
      </w:r>
      <w:r>
        <w:rPr>
          <w:rFonts w:hint="eastAsia"/>
          <w:sz w:val="24"/>
          <w:szCs w:val="24"/>
          <w:highlight w:val="none"/>
        </w:rPr>
        <w:t>4100</w:t>
      </w:r>
      <w:r>
        <w:rPr>
          <w:sz w:val="24"/>
          <w:szCs w:val="24"/>
          <w:highlight w:val="none"/>
        </w:rPr>
        <w:t>m</w:t>
      </w:r>
      <w:r>
        <w:rPr>
          <w:sz w:val="24"/>
          <w:szCs w:val="24"/>
          <w:highlight w:val="none"/>
          <w:vertAlign w:val="superscript"/>
        </w:rPr>
        <w:t>3</w:t>
      </w:r>
      <w:r>
        <w:rPr>
          <w:sz w:val="24"/>
          <w:szCs w:val="24"/>
          <w:highlight w:val="none"/>
        </w:rPr>
        <w:t>/d，其中新鲜水用量为</w:t>
      </w:r>
      <w:r>
        <w:rPr>
          <w:rFonts w:hint="eastAsia"/>
          <w:sz w:val="24"/>
          <w:szCs w:val="24"/>
          <w:highlight w:val="none"/>
        </w:rPr>
        <w:t>270</w:t>
      </w:r>
      <w:r>
        <w:rPr>
          <w:sz w:val="24"/>
          <w:szCs w:val="24"/>
          <w:highlight w:val="none"/>
        </w:rPr>
        <w:t>m</w:t>
      </w:r>
      <w:r>
        <w:rPr>
          <w:sz w:val="24"/>
          <w:szCs w:val="24"/>
          <w:highlight w:val="none"/>
          <w:vertAlign w:val="superscript"/>
        </w:rPr>
        <w:t>3</w:t>
      </w:r>
      <w:r>
        <w:rPr>
          <w:sz w:val="24"/>
          <w:szCs w:val="24"/>
          <w:highlight w:val="none"/>
        </w:rPr>
        <w:t>/d，循环水量为</w:t>
      </w:r>
      <w:r>
        <w:rPr>
          <w:rFonts w:hint="eastAsia"/>
          <w:sz w:val="24"/>
          <w:szCs w:val="24"/>
          <w:highlight w:val="none"/>
        </w:rPr>
        <w:t>3830</w:t>
      </w:r>
      <w:r>
        <w:rPr>
          <w:sz w:val="24"/>
          <w:szCs w:val="24"/>
          <w:highlight w:val="none"/>
        </w:rPr>
        <w:t>m</w:t>
      </w:r>
      <w:r>
        <w:rPr>
          <w:sz w:val="24"/>
          <w:szCs w:val="24"/>
          <w:highlight w:val="none"/>
          <w:vertAlign w:val="superscript"/>
        </w:rPr>
        <w:t>3</w:t>
      </w:r>
      <w:r>
        <w:rPr>
          <w:sz w:val="24"/>
          <w:szCs w:val="24"/>
          <w:highlight w:val="none"/>
        </w:rPr>
        <w:t>/d。</w:t>
      </w:r>
    </w:p>
    <w:p>
      <w:pPr>
        <w:ind w:firstLine="480"/>
        <w:jc w:val="both"/>
        <w:rPr>
          <w:sz w:val="24"/>
          <w:szCs w:val="24"/>
          <w:highlight w:val="none"/>
        </w:rPr>
      </w:pPr>
      <w:r>
        <w:rPr>
          <w:rFonts w:hint="eastAsia" w:ascii="宋体" w:hAnsi="宋体" w:cs="宋体"/>
          <w:sz w:val="24"/>
          <w:szCs w:val="24"/>
          <w:highlight w:val="none"/>
        </w:rPr>
        <w:t>③</w:t>
      </w:r>
      <w:r>
        <w:rPr>
          <w:sz w:val="24"/>
          <w:szCs w:val="24"/>
          <w:highlight w:val="none"/>
        </w:rPr>
        <w:t>车间清洗用水</w:t>
      </w:r>
    </w:p>
    <w:p>
      <w:pPr>
        <w:ind w:firstLine="480"/>
        <w:jc w:val="both"/>
        <w:rPr>
          <w:sz w:val="24"/>
          <w:szCs w:val="24"/>
          <w:highlight w:val="none"/>
        </w:rPr>
      </w:pPr>
      <w:r>
        <w:rPr>
          <w:sz w:val="24"/>
          <w:szCs w:val="24"/>
          <w:highlight w:val="none"/>
        </w:rPr>
        <w:t>车间地面冲洗用水量为</w:t>
      </w:r>
      <w:r>
        <w:rPr>
          <w:rFonts w:hint="eastAsia"/>
          <w:sz w:val="24"/>
          <w:szCs w:val="24"/>
          <w:highlight w:val="none"/>
        </w:rPr>
        <w:t>2.5</w:t>
      </w:r>
      <w:r>
        <w:rPr>
          <w:sz w:val="24"/>
          <w:szCs w:val="24"/>
          <w:highlight w:val="none"/>
        </w:rPr>
        <w:t xml:space="preserve"> m</w:t>
      </w:r>
      <w:r>
        <w:rPr>
          <w:sz w:val="24"/>
          <w:szCs w:val="24"/>
          <w:highlight w:val="none"/>
          <w:vertAlign w:val="superscript"/>
        </w:rPr>
        <w:t>3</w:t>
      </w:r>
      <w:r>
        <w:rPr>
          <w:sz w:val="24"/>
          <w:szCs w:val="24"/>
          <w:highlight w:val="none"/>
        </w:rPr>
        <w:t>/d。</w:t>
      </w:r>
    </w:p>
    <w:p>
      <w:pPr>
        <w:ind w:firstLine="480"/>
        <w:jc w:val="both"/>
        <w:rPr>
          <w:sz w:val="24"/>
          <w:szCs w:val="24"/>
          <w:highlight w:val="none"/>
        </w:rPr>
      </w:pPr>
      <w:r>
        <w:rPr>
          <w:rFonts w:hint="eastAsia" w:ascii="宋体" w:hAnsi="宋体" w:cs="宋体"/>
          <w:sz w:val="24"/>
          <w:szCs w:val="24"/>
          <w:highlight w:val="none"/>
        </w:rPr>
        <w:t>④</w:t>
      </w:r>
      <w:r>
        <w:rPr>
          <w:rFonts w:hint="eastAsia"/>
          <w:sz w:val="24"/>
          <w:szCs w:val="24"/>
          <w:highlight w:val="none"/>
        </w:rPr>
        <w:t>抑尘</w:t>
      </w:r>
      <w:r>
        <w:rPr>
          <w:sz w:val="24"/>
          <w:szCs w:val="24"/>
          <w:highlight w:val="none"/>
        </w:rPr>
        <w:t>用水</w:t>
      </w:r>
    </w:p>
    <w:p>
      <w:pPr>
        <w:ind w:firstLine="480"/>
        <w:jc w:val="both"/>
        <w:rPr>
          <w:highlight w:val="none"/>
        </w:rPr>
      </w:pPr>
      <w:r>
        <w:rPr>
          <w:sz w:val="24"/>
          <w:szCs w:val="24"/>
          <w:highlight w:val="none"/>
        </w:rPr>
        <w:t>厂区洒水降尘用水量为</w:t>
      </w:r>
      <w:r>
        <w:rPr>
          <w:rFonts w:hint="eastAsia"/>
          <w:sz w:val="24"/>
          <w:szCs w:val="24"/>
          <w:highlight w:val="none"/>
        </w:rPr>
        <w:t>5</w:t>
      </w:r>
      <w:r>
        <w:rPr>
          <w:sz w:val="24"/>
          <w:szCs w:val="24"/>
          <w:highlight w:val="none"/>
        </w:rPr>
        <w:t>m</w:t>
      </w:r>
      <w:r>
        <w:rPr>
          <w:sz w:val="24"/>
          <w:szCs w:val="24"/>
          <w:highlight w:val="none"/>
          <w:vertAlign w:val="superscript"/>
        </w:rPr>
        <w:t>3</w:t>
      </w:r>
      <w:r>
        <w:rPr>
          <w:sz w:val="24"/>
          <w:szCs w:val="24"/>
          <w:highlight w:val="none"/>
        </w:rPr>
        <w:t>/d，</w:t>
      </w:r>
      <w:r>
        <w:rPr>
          <w:rFonts w:hint="eastAsia"/>
          <w:sz w:val="24"/>
          <w:szCs w:val="24"/>
          <w:highlight w:val="none"/>
        </w:rPr>
        <w:t>全部为</w:t>
      </w:r>
      <w:r>
        <w:rPr>
          <w:sz w:val="24"/>
          <w:szCs w:val="24"/>
          <w:highlight w:val="none"/>
        </w:rPr>
        <w:t>新鲜水</w:t>
      </w:r>
      <w:r>
        <w:rPr>
          <w:rFonts w:hint="eastAsia"/>
          <w:sz w:val="24"/>
          <w:szCs w:val="24"/>
          <w:highlight w:val="none"/>
        </w:rPr>
        <w:t>。</w:t>
      </w:r>
    </w:p>
    <w:p>
      <w:pPr>
        <w:ind w:firstLine="480"/>
        <w:jc w:val="both"/>
        <w:rPr>
          <w:sz w:val="24"/>
          <w:szCs w:val="24"/>
          <w:highlight w:val="none"/>
        </w:rPr>
      </w:pPr>
      <w:r>
        <w:rPr>
          <w:rFonts w:hint="eastAsia" w:ascii="宋体" w:hAnsi="宋体" w:cs="宋体"/>
          <w:sz w:val="24"/>
          <w:szCs w:val="24"/>
          <w:highlight w:val="none"/>
        </w:rPr>
        <w:t>⑤</w:t>
      </w:r>
      <w:r>
        <w:rPr>
          <w:sz w:val="24"/>
          <w:szCs w:val="24"/>
          <w:highlight w:val="none"/>
        </w:rPr>
        <w:t>洗车用水</w:t>
      </w:r>
    </w:p>
    <w:bookmarkEnd w:id="180"/>
    <w:p>
      <w:pPr>
        <w:ind w:firstLine="480"/>
        <w:jc w:val="both"/>
        <w:rPr>
          <w:sz w:val="24"/>
          <w:szCs w:val="24"/>
          <w:highlight w:val="none"/>
        </w:rPr>
      </w:pPr>
      <w:r>
        <w:rPr>
          <w:sz w:val="24"/>
          <w:szCs w:val="24"/>
          <w:highlight w:val="none"/>
        </w:rPr>
        <w:t>洗车平台洗车用水量为</w:t>
      </w:r>
      <w:r>
        <w:rPr>
          <w:rFonts w:hint="eastAsia"/>
          <w:sz w:val="24"/>
          <w:szCs w:val="24"/>
          <w:highlight w:val="none"/>
        </w:rPr>
        <w:t>3.5</w:t>
      </w:r>
      <w:r>
        <w:rPr>
          <w:sz w:val="24"/>
          <w:szCs w:val="24"/>
          <w:highlight w:val="none"/>
        </w:rPr>
        <w:t>m</w:t>
      </w:r>
      <w:r>
        <w:rPr>
          <w:sz w:val="24"/>
          <w:szCs w:val="24"/>
          <w:highlight w:val="none"/>
          <w:vertAlign w:val="superscript"/>
        </w:rPr>
        <w:t>3</w:t>
      </w:r>
      <w:r>
        <w:rPr>
          <w:sz w:val="24"/>
          <w:szCs w:val="24"/>
          <w:highlight w:val="none"/>
        </w:rPr>
        <w:t>/d，在洗车平台使用高压喷雾清洗轮胎，经沉淀后的洗车废水流入清水池内，清洗及沉淀过程随车辆带走及蒸发损耗水量为</w:t>
      </w:r>
      <w:r>
        <w:rPr>
          <w:rFonts w:hint="eastAsia"/>
          <w:sz w:val="24"/>
          <w:szCs w:val="24"/>
          <w:highlight w:val="none"/>
        </w:rPr>
        <w:t>1.0</w:t>
      </w:r>
      <w:r>
        <w:rPr>
          <w:sz w:val="24"/>
          <w:szCs w:val="24"/>
          <w:highlight w:val="none"/>
        </w:rPr>
        <w:t>m</w:t>
      </w:r>
      <w:r>
        <w:rPr>
          <w:sz w:val="24"/>
          <w:szCs w:val="24"/>
          <w:highlight w:val="none"/>
          <w:vertAlign w:val="superscript"/>
        </w:rPr>
        <w:t>3</w:t>
      </w:r>
      <w:r>
        <w:rPr>
          <w:sz w:val="24"/>
          <w:szCs w:val="24"/>
          <w:highlight w:val="none"/>
        </w:rPr>
        <w:t>/d，补充新水量</w:t>
      </w:r>
      <w:r>
        <w:rPr>
          <w:rFonts w:hint="eastAsia"/>
          <w:sz w:val="24"/>
          <w:szCs w:val="24"/>
          <w:highlight w:val="none"/>
        </w:rPr>
        <w:t>1.0</w:t>
      </w:r>
      <w:r>
        <w:rPr>
          <w:sz w:val="24"/>
          <w:szCs w:val="24"/>
          <w:highlight w:val="none"/>
        </w:rPr>
        <w:t>m</w:t>
      </w:r>
      <w:r>
        <w:rPr>
          <w:sz w:val="24"/>
          <w:szCs w:val="24"/>
          <w:highlight w:val="none"/>
          <w:vertAlign w:val="superscript"/>
        </w:rPr>
        <w:t>3</w:t>
      </w:r>
      <w:r>
        <w:rPr>
          <w:sz w:val="24"/>
          <w:szCs w:val="24"/>
          <w:highlight w:val="none"/>
        </w:rPr>
        <w:t>/d，循环水量为</w:t>
      </w:r>
      <w:r>
        <w:rPr>
          <w:rFonts w:hint="eastAsia"/>
          <w:sz w:val="24"/>
          <w:szCs w:val="24"/>
          <w:highlight w:val="none"/>
        </w:rPr>
        <w:t>2.5</w:t>
      </w:r>
      <w:r>
        <w:rPr>
          <w:sz w:val="24"/>
          <w:szCs w:val="24"/>
          <w:highlight w:val="none"/>
        </w:rPr>
        <w:t>m</w:t>
      </w:r>
      <w:r>
        <w:rPr>
          <w:sz w:val="24"/>
          <w:szCs w:val="24"/>
          <w:highlight w:val="none"/>
          <w:vertAlign w:val="superscript"/>
        </w:rPr>
        <w:t>3</w:t>
      </w:r>
      <w:r>
        <w:rPr>
          <w:sz w:val="24"/>
          <w:szCs w:val="24"/>
          <w:highlight w:val="none"/>
        </w:rPr>
        <w:t>/d，回用于运输车辆清洗。</w:t>
      </w:r>
    </w:p>
    <w:p>
      <w:pPr>
        <w:ind w:firstLine="480"/>
        <w:jc w:val="both"/>
        <w:rPr>
          <w:sz w:val="24"/>
          <w:szCs w:val="24"/>
          <w:highlight w:val="none"/>
        </w:rPr>
      </w:pPr>
      <w:r>
        <w:rPr>
          <w:sz w:val="24"/>
          <w:szCs w:val="24"/>
          <w:highlight w:val="none"/>
        </w:rPr>
        <w:t>（2）排水</w:t>
      </w:r>
    </w:p>
    <w:p>
      <w:pPr>
        <w:ind w:firstLine="480"/>
        <w:rPr>
          <w:sz w:val="24"/>
          <w:szCs w:val="24"/>
          <w:highlight w:val="none"/>
        </w:rPr>
      </w:pPr>
      <w:r>
        <w:rPr>
          <w:sz w:val="24"/>
          <w:szCs w:val="24"/>
          <w:highlight w:val="none"/>
        </w:rPr>
        <w:t>生产废水主要为铁精粉压滤废水和尾矿中的废水。其中铁精粉压滤废水返回一段磁选循环使用；粗尾矿砂脱水后的滤液进入浓密池，经过沉淀澄清、压滤机压滤后返回清水池，全部回用于生产，压滤机出水进入清水池回用于生产，车间地面清洗水进入清水池回用于生产，洗车废水排入沉淀池处理后循环利用。</w:t>
      </w:r>
    </w:p>
    <w:p>
      <w:pPr>
        <w:ind w:firstLine="480"/>
        <w:rPr>
          <w:sz w:val="24"/>
          <w:szCs w:val="24"/>
          <w:highlight w:val="none"/>
        </w:rPr>
      </w:pPr>
      <w:r>
        <w:rPr>
          <w:sz w:val="24"/>
          <w:szCs w:val="24"/>
          <w:highlight w:val="none"/>
        </w:rPr>
        <w:t>生活污水主要为职工盥洗废水，全部用于泼洒地面抑尘；厂区设防渗旱厕，定期清掏用于肥田，无生活污水外排。</w:t>
      </w:r>
    </w:p>
    <w:p>
      <w:pPr>
        <w:ind w:firstLine="480"/>
        <w:rPr>
          <w:sz w:val="24"/>
          <w:szCs w:val="24"/>
          <w:highlight w:val="none"/>
        </w:rPr>
      </w:pPr>
      <w:r>
        <w:rPr>
          <w:sz w:val="24"/>
          <w:szCs w:val="24"/>
          <w:highlight w:val="none"/>
        </w:rPr>
        <w:t>本项目用排水平衡情况见表3.1-</w:t>
      </w:r>
      <w:r>
        <w:rPr>
          <w:rFonts w:hint="eastAsia"/>
          <w:sz w:val="24"/>
          <w:szCs w:val="24"/>
          <w:highlight w:val="none"/>
        </w:rPr>
        <w:t>6</w:t>
      </w:r>
      <w:r>
        <w:rPr>
          <w:sz w:val="24"/>
          <w:szCs w:val="24"/>
          <w:highlight w:val="none"/>
        </w:rPr>
        <w:t>，本项目水平衡见图3.1-1。</w:t>
      </w:r>
    </w:p>
    <w:p>
      <w:pPr>
        <w:spacing w:line="240" w:lineRule="auto"/>
        <w:ind w:firstLine="0" w:firstLineChars="0"/>
        <w:jc w:val="center"/>
        <w:textAlignment w:val="auto"/>
        <w:rPr>
          <w:rFonts w:eastAsia="黑体"/>
          <w:sz w:val="21"/>
          <w:szCs w:val="21"/>
          <w:highlight w:val="none"/>
        </w:rPr>
      </w:pPr>
      <w:bookmarkStart w:id="181" w:name="OLE_LINK15"/>
      <w:bookmarkStart w:id="182" w:name="OLE_LINK12"/>
      <w:r>
        <w:rPr>
          <w:rFonts w:eastAsia="黑体"/>
          <w:kern w:val="2"/>
          <w:sz w:val="21"/>
          <w:szCs w:val="21"/>
          <w:highlight w:val="none"/>
        </w:rPr>
        <w:t>表3.1-</w:t>
      </w:r>
      <w:r>
        <w:rPr>
          <w:rFonts w:hint="eastAsia" w:eastAsia="黑体"/>
          <w:kern w:val="2"/>
          <w:sz w:val="21"/>
          <w:szCs w:val="21"/>
          <w:highlight w:val="none"/>
        </w:rPr>
        <w:t xml:space="preserve">6   </w:t>
      </w:r>
      <w:r>
        <w:rPr>
          <w:rFonts w:eastAsia="黑体"/>
          <w:kern w:val="2"/>
          <w:sz w:val="21"/>
          <w:szCs w:val="21"/>
          <w:highlight w:val="none"/>
        </w:rPr>
        <w:t>用排水平衡表</w:t>
      </w:r>
      <w:r>
        <w:rPr>
          <w:rFonts w:eastAsia="黑体"/>
          <w:sz w:val="21"/>
          <w:szCs w:val="21"/>
          <w:highlight w:val="none"/>
        </w:rPr>
        <w:t>单位m</w:t>
      </w:r>
      <w:r>
        <w:rPr>
          <w:rFonts w:eastAsia="黑体"/>
          <w:sz w:val="21"/>
          <w:szCs w:val="21"/>
          <w:highlight w:val="none"/>
          <w:vertAlign w:val="superscript"/>
        </w:rPr>
        <w:t>3</w:t>
      </w:r>
      <w:r>
        <w:rPr>
          <w:rFonts w:eastAsia="黑体"/>
          <w:sz w:val="21"/>
          <w:szCs w:val="21"/>
          <w:highlight w:val="none"/>
        </w:rPr>
        <w:t>/d</w:t>
      </w:r>
    </w:p>
    <w:tbl>
      <w:tblPr>
        <w:tblStyle w:val="56"/>
        <w:tblW w:w="8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899"/>
        <w:gridCol w:w="899"/>
        <w:gridCol w:w="1045"/>
        <w:gridCol w:w="713"/>
        <w:gridCol w:w="992"/>
        <w:gridCol w:w="851"/>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用水环节</w:t>
            </w:r>
          </w:p>
        </w:tc>
        <w:tc>
          <w:tcPr>
            <w:tcW w:w="899"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总用水量</w:t>
            </w:r>
          </w:p>
        </w:tc>
        <w:tc>
          <w:tcPr>
            <w:tcW w:w="899"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新鲜水</w:t>
            </w:r>
          </w:p>
        </w:tc>
        <w:tc>
          <w:tcPr>
            <w:tcW w:w="1045"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循环水量</w:t>
            </w:r>
          </w:p>
        </w:tc>
        <w:tc>
          <w:tcPr>
            <w:tcW w:w="713"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回用水</w:t>
            </w:r>
          </w:p>
        </w:tc>
        <w:tc>
          <w:tcPr>
            <w:tcW w:w="992"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损失量</w:t>
            </w:r>
          </w:p>
        </w:tc>
        <w:tc>
          <w:tcPr>
            <w:tcW w:w="85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排水量</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厂区抑尘</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球磨、磁选</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4100</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270</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3830</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272</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损失途径为物料带走和蒸发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车间地面清洗用水</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w:t>
            </w:r>
            <w:r>
              <w:rPr>
                <w:sz w:val="21"/>
                <w:szCs w:val="21"/>
                <w:highlight w:val="none"/>
              </w:rPr>
              <w:t>5</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w:t>
            </w:r>
            <w:r>
              <w:rPr>
                <w:sz w:val="21"/>
                <w:szCs w:val="21"/>
                <w:highlight w:val="none"/>
              </w:rPr>
              <w:t>5</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0.5</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2.0</w:t>
            </w:r>
            <w:r>
              <w:rPr>
                <w:rFonts w:hint="eastAsia" w:ascii="宋体" w:hAnsi="宋体"/>
                <w:sz w:val="21"/>
                <w:szCs w:val="21"/>
                <w:highlight w:val="none"/>
              </w:rPr>
              <w:t>排入浓密池，回用于生产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洗车用水</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3.5</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1.0</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2.5</w:t>
            </w:r>
          </w:p>
        </w:tc>
        <w:tc>
          <w:tcPr>
            <w:tcW w:w="713"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1.0</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员工生活</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0.2</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0.2</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713"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0.2</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用于厂区降尘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合计</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4111.2</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278.7</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3832.5</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278.7</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p>
        </w:tc>
      </w:tr>
    </w:tbl>
    <w:p>
      <w:pPr>
        <w:spacing w:before="120" w:beforeLines="50"/>
        <w:ind w:firstLine="480"/>
        <w:jc w:val="both"/>
        <w:rPr>
          <w:sz w:val="24"/>
          <w:szCs w:val="24"/>
          <w:highlight w:val="none"/>
        </w:rPr>
      </w:pPr>
      <w:r>
        <w:rPr>
          <w:rFonts w:hint="eastAsia"/>
          <w:sz w:val="24"/>
          <w:szCs w:val="24"/>
          <w:highlight w:val="none"/>
        </w:rPr>
        <w:t>现有工程</w:t>
      </w:r>
      <w:r>
        <w:rPr>
          <w:sz w:val="24"/>
          <w:szCs w:val="24"/>
          <w:highlight w:val="none"/>
        </w:rPr>
        <w:t>工业水重复利用率为</w:t>
      </w:r>
      <w:r>
        <w:rPr>
          <w:rFonts w:hint="eastAsia"/>
          <w:sz w:val="24"/>
          <w:szCs w:val="24"/>
          <w:highlight w:val="none"/>
        </w:rPr>
        <w:t>93.2</w:t>
      </w:r>
      <w:r>
        <w:rPr>
          <w:sz w:val="24"/>
          <w:szCs w:val="24"/>
          <w:highlight w:val="none"/>
        </w:rPr>
        <w:t>%，水耗为</w:t>
      </w:r>
      <w:r>
        <w:rPr>
          <w:rFonts w:hint="eastAsia"/>
          <w:sz w:val="24"/>
          <w:szCs w:val="24"/>
          <w:highlight w:val="none"/>
        </w:rPr>
        <w:t>0.26</w:t>
      </w:r>
      <w:r>
        <w:rPr>
          <w:sz w:val="24"/>
          <w:szCs w:val="24"/>
          <w:highlight w:val="none"/>
        </w:rPr>
        <w:t>m³/t，达到《清洁生产标准铁矿采选业》（HJ/T294-2006）二级水平。</w:t>
      </w:r>
    </w:p>
    <w:bookmarkEnd w:id="181"/>
    <w:bookmarkEnd w:id="182"/>
    <w:p>
      <w:pPr>
        <w:tabs>
          <w:tab w:val="left" w:pos="319"/>
        </w:tabs>
        <w:ind w:firstLine="560"/>
        <w:rPr>
          <w:sz w:val="24"/>
          <w:szCs w:val="24"/>
          <w:highlight w:val="none"/>
        </w:rPr>
      </w:pPr>
      <w:r>
        <w:rPr>
          <w:highlight w:val="none"/>
        </w:rPr>
        <w:drawing>
          <wp:inline distT="0" distB="0" distL="114300" distR="114300">
            <wp:extent cx="5143500" cy="5334000"/>
            <wp:effectExtent l="0" t="0" r="0" b="0"/>
            <wp:docPr id="1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0"/>
                    <pic:cNvPicPr>
                      <a:picLocks noChangeAspect="1"/>
                    </pic:cNvPicPr>
                  </pic:nvPicPr>
                  <pic:blipFill>
                    <a:blip r:embed="rId31"/>
                    <a:stretch>
                      <a:fillRect/>
                    </a:stretch>
                  </pic:blipFill>
                  <pic:spPr>
                    <a:xfrm>
                      <a:off x="0" y="0"/>
                      <a:ext cx="5143500" cy="5334000"/>
                    </a:xfrm>
                    <a:prstGeom prst="rect">
                      <a:avLst/>
                    </a:prstGeom>
                    <a:noFill/>
                    <a:ln>
                      <a:noFill/>
                    </a:ln>
                  </pic:spPr>
                </pic:pic>
              </a:graphicData>
            </a:graphic>
          </wp:inline>
        </w:drawing>
      </w:r>
    </w:p>
    <w:p>
      <w:pPr>
        <w:spacing w:before="120" w:beforeLines="50"/>
        <w:ind w:firstLine="0" w:firstLineChars="0"/>
        <w:jc w:val="center"/>
        <w:rPr>
          <w:rFonts w:eastAsia="黑体"/>
          <w:kern w:val="2"/>
          <w:sz w:val="21"/>
          <w:szCs w:val="21"/>
          <w:highlight w:val="none"/>
        </w:rPr>
      </w:pPr>
      <w:r>
        <w:rPr>
          <w:rFonts w:eastAsia="黑体"/>
          <w:kern w:val="2"/>
          <w:sz w:val="21"/>
          <w:szCs w:val="21"/>
          <w:highlight w:val="none"/>
        </w:rPr>
        <w:t>图3.1-1    水平衡图（单位：m</w:t>
      </w:r>
      <w:r>
        <w:rPr>
          <w:rFonts w:eastAsia="黑体"/>
          <w:kern w:val="2"/>
          <w:sz w:val="21"/>
          <w:szCs w:val="21"/>
          <w:highlight w:val="none"/>
          <w:vertAlign w:val="superscript"/>
        </w:rPr>
        <w:t>3</w:t>
      </w:r>
      <w:r>
        <w:rPr>
          <w:rFonts w:eastAsia="黑体"/>
          <w:kern w:val="2"/>
          <w:sz w:val="21"/>
          <w:szCs w:val="21"/>
          <w:highlight w:val="none"/>
        </w:rPr>
        <w:t>/d）</w:t>
      </w:r>
    </w:p>
    <w:p>
      <w:pPr>
        <w:pStyle w:val="3"/>
        <w:rPr>
          <w:highlight w:val="none"/>
        </w:rPr>
      </w:pPr>
      <w:r>
        <w:rPr>
          <w:highlight w:val="none"/>
        </w:rPr>
        <w:t>3.1.</w:t>
      </w:r>
      <w:r>
        <w:rPr>
          <w:rFonts w:hint="eastAsia"/>
          <w:highlight w:val="none"/>
        </w:rPr>
        <w:t>7</w:t>
      </w:r>
      <w:r>
        <w:rPr>
          <w:highlight w:val="none"/>
        </w:rPr>
        <w:t>.2供配电情况</w:t>
      </w:r>
    </w:p>
    <w:p>
      <w:pPr>
        <w:ind w:firstLine="480"/>
        <w:rPr>
          <w:sz w:val="24"/>
          <w:szCs w:val="24"/>
          <w:highlight w:val="none"/>
        </w:rPr>
      </w:pPr>
      <w:r>
        <w:rPr>
          <w:rFonts w:hint="eastAsia"/>
          <w:sz w:val="24"/>
          <w:szCs w:val="24"/>
          <w:highlight w:val="none"/>
        </w:rPr>
        <w:t>现有工程</w:t>
      </w:r>
      <w:r>
        <w:rPr>
          <w:sz w:val="24"/>
          <w:szCs w:val="24"/>
          <w:highlight w:val="none"/>
        </w:rPr>
        <w:t>采用单电源不分段供电方式，电源引自当地变电站。</w:t>
      </w:r>
    </w:p>
    <w:p>
      <w:pPr>
        <w:pStyle w:val="3"/>
        <w:rPr>
          <w:highlight w:val="none"/>
        </w:rPr>
      </w:pPr>
      <w:r>
        <w:rPr>
          <w:highlight w:val="none"/>
        </w:rPr>
        <w:t>3.1.</w:t>
      </w:r>
      <w:r>
        <w:rPr>
          <w:rFonts w:hint="eastAsia"/>
          <w:highlight w:val="none"/>
        </w:rPr>
        <w:t>7</w:t>
      </w:r>
      <w:r>
        <w:rPr>
          <w:highlight w:val="none"/>
        </w:rPr>
        <w:t>.3供热情况</w:t>
      </w:r>
    </w:p>
    <w:p>
      <w:pPr>
        <w:ind w:firstLine="480"/>
        <w:jc w:val="both"/>
        <w:rPr>
          <w:sz w:val="24"/>
          <w:szCs w:val="24"/>
          <w:highlight w:val="none"/>
        </w:rPr>
      </w:pPr>
      <w:r>
        <w:rPr>
          <w:rFonts w:hint="eastAsia"/>
          <w:sz w:val="24"/>
          <w:szCs w:val="24"/>
          <w:highlight w:val="none"/>
        </w:rPr>
        <w:t>现有工程</w:t>
      </w:r>
      <w:r>
        <w:rPr>
          <w:sz w:val="24"/>
          <w:szCs w:val="24"/>
          <w:highlight w:val="none"/>
        </w:rPr>
        <w:t>生产系统无供热设施，办公生活区冬季采用空调或电暖气采暖。</w:t>
      </w:r>
    </w:p>
    <w:p>
      <w:pPr>
        <w:pStyle w:val="6"/>
        <w:numPr>
          <w:ilvl w:val="2"/>
          <w:numId w:val="1"/>
        </w:numPr>
        <w:rPr>
          <w:szCs w:val="28"/>
          <w:highlight w:val="none"/>
        </w:rPr>
      </w:pPr>
      <w:r>
        <w:rPr>
          <w:rFonts w:hint="eastAsia"/>
          <w:szCs w:val="28"/>
          <w:highlight w:val="none"/>
        </w:rPr>
        <w:t>污染物排放情况及原有环境问题</w:t>
      </w:r>
    </w:p>
    <w:p>
      <w:pPr>
        <w:numPr>
          <w:ilvl w:val="0"/>
          <w:numId w:val="3"/>
        </w:numPr>
        <w:snapToGrid w:val="0"/>
        <w:ind w:firstLine="480"/>
        <w:jc w:val="both"/>
        <w:rPr>
          <w:sz w:val="24"/>
          <w:szCs w:val="24"/>
          <w:highlight w:val="none"/>
        </w:rPr>
      </w:pPr>
      <w:r>
        <w:rPr>
          <w:rFonts w:hint="eastAsia"/>
          <w:sz w:val="24"/>
          <w:szCs w:val="24"/>
          <w:highlight w:val="none"/>
        </w:rPr>
        <w:t>环保手续履行情况及污染物达标排放</w:t>
      </w:r>
    </w:p>
    <w:p>
      <w:pPr>
        <w:ind w:firstLine="480"/>
        <w:jc w:val="both"/>
        <w:rPr>
          <w:bCs/>
          <w:sz w:val="24"/>
          <w:szCs w:val="24"/>
          <w:highlight w:val="none"/>
        </w:rPr>
      </w:pPr>
      <w:r>
        <w:rPr>
          <w:rFonts w:hint="eastAsia"/>
          <w:bCs/>
          <w:sz w:val="24"/>
          <w:szCs w:val="24"/>
          <w:highlight w:val="none"/>
        </w:rPr>
        <w:t>遵化恒新矿业有限公司</w:t>
      </w:r>
      <w:r>
        <w:rPr>
          <w:rFonts w:hint="eastAsia"/>
          <w:sz w:val="24"/>
          <w:szCs w:val="24"/>
          <w:highlight w:val="none"/>
        </w:rPr>
        <w:t>于2018</w:t>
      </w:r>
      <w:r>
        <w:rPr>
          <w:bCs/>
          <w:sz w:val="24"/>
          <w:szCs w:val="24"/>
          <w:highlight w:val="none"/>
        </w:rPr>
        <w:t>年</w:t>
      </w:r>
      <w:r>
        <w:rPr>
          <w:rFonts w:hint="eastAsia"/>
          <w:bCs/>
          <w:sz w:val="24"/>
          <w:szCs w:val="24"/>
          <w:highlight w:val="none"/>
        </w:rPr>
        <w:t>实施了“遵化市群利铁精粉加工厂年处理30万吨铁矿石项目”，并于2018年11月取得了唐山市环境保护局遵化市分局的环评批复文件（遵环发[2018]352号），于2020年建设完成后进行了排污登记并通过了竣工环境保护验收，固体废物全部得到妥善处置，无废水外排，噪声排放</w:t>
      </w:r>
      <w:r>
        <w:rPr>
          <w:rFonts w:hint="eastAsia"/>
          <w:sz w:val="24"/>
          <w:szCs w:val="24"/>
          <w:highlight w:val="none"/>
        </w:rPr>
        <w:t>满足</w:t>
      </w:r>
      <w:r>
        <w:rPr>
          <w:sz w:val="24"/>
          <w:szCs w:val="24"/>
          <w:highlight w:val="none"/>
        </w:rPr>
        <w:t>《工业企业厂界环境噪声排放标准》（GB12348-2008）2类标准</w:t>
      </w:r>
      <w:r>
        <w:rPr>
          <w:rFonts w:hint="eastAsia"/>
          <w:bCs/>
          <w:sz w:val="24"/>
          <w:szCs w:val="24"/>
          <w:highlight w:val="none"/>
        </w:rPr>
        <w:t>，</w:t>
      </w:r>
      <w:r>
        <w:rPr>
          <w:sz w:val="24"/>
          <w:szCs w:val="24"/>
          <w:highlight w:val="none"/>
        </w:rPr>
        <w:t>有组织排放颗粒物</w:t>
      </w:r>
      <w:r>
        <w:rPr>
          <w:rFonts w:hint="eastAsia"/>
          <w:sz w:val="24"/>
          <w:szCs w:val="24"/>
          <w:highlight w:val="none"/>
        </w:rPr>
        <w:t>满足</w:t>
      </w:r>
      <w:r>
        <w:rPr>
          <w:sz w:val="24"/>
          <w:szCs w:val="24"/>
          <w:highlight w:val="none"/>
        </w:rPr>
        <w:t>《铁矿采选工业污染物排放标准》（GB28661-2012）中表6大气污染物特别排放限值，无组织排放颗粒物</w:t>
      </w:r>
      <w:r>
        <w:rPr>
          <w:rFonts w:hint="eastAsia"/>
          <w:sz w:val="24"/>
          <w:szCs w:val="24"/>
          <w:highlight w:val="none"/>
        </w:rPr>
        <w:t>满足</w:t>
      </w:r>
      <w:r>
        <w:rPr>
          <w:sz w:val="24"/>
          <w:szCs w:val="24"/>
          <w:highlight w:val="none"/>
        </w:rPr>
        <w:t>《铁矿采选工业污染物排放标准》（GB28661-2012）中</w:t>
      </w:r>
      <w:r>
        <w:rPr>
          <w:rFonts w:hint="eastAsia"/>
          <w:sz w:val="24"/>
          <w:szCs w:val="24"/>
          <w:highlight w:val="none"/>
        </w:rPr>
        <w:t>“</w:t>
      </w:r>
      <w:r>
        <w:rPr>
          <w:sz w:val="24"/>
          <w:szCs w:val="24"/>
          <w:highlight w:val="none"/>
        </w:rPr>
        <w:t>表7现有和新建企业大气污染物无组织排放监控浓度限值</w:t>
      </w:r>
      <w:r>
        <w:rPr>
          <w:rFonts w:hint="eastAsia"/>
          <w:sz w:val="24"/>
          <w:szCs w:val="24"/>
          <w:highlight w:val="none"/>
        </w:rPr>
        <w:t>”</w:t>
      </w:r>
      <w:r>
        <w:rPr>
          <w:rFonts w:hint="eastAsia"/>
          <w:bCs/>
          <w:sz w:val="24"/>
          <w:szCs w:val="24"/>
          <w:highlight w:val="none"/>
        </w:rPr>
        <w:t>。</w:t>
      </w:r>
    </w:p>
    <w:p>
      <w:pPr>
        <w:numPr>
          <w:ilvl w:val="0"/>
          <w:numId w:val="3"/>
        </w:numPr>
        <w:snapToGrid w:val="0"/>
        <w:ind w:firstLine="480"/>
        <w:jc w:val="both"/>
        <w:rPr>
          <w:sz w:val="24"/>
          <w:szCs w:val="24"/>
          <w:highlight w:val="none"/>
        </w:rPr>
      </w:pPr>
      <w:r>
        <w:rPr>
          <w:rFonts w:hint="eastAsia"/>
          <w:sz w:val="24"/>
          <w:szCs w:val="24"/>
          <w:highlight w:val="none"/>
        </w:rPr>
        <w:t>原有环境问题</w:t>
      </w:r>
    </w:p>
    <w:p>
      <w:pPr>
        <w:ind w:firstLine="480"/>
        <w:jc w:val="both"/>
        <w:rPr>
          <w:rFonts w:hint="default" w:eastAsia="宋体"/>
          <w:sz w:val="24"/>
          <w:szCs w:val="24"/>
          <w:highlight w:val="none"/>
          <w:lang w:val="en-US" w:eastAsia="zh-CN"/>
        </w:rPr>
      </w:pPr>
      <w:r>
        <w:rPr>
          <w:rFonts w:hint="eastAsia"/>
          <w:sz w:val="24"/>
          <w:szCs w:val="24"/>
          <w:highlight w:val="none"/>
          <w:lang w:val="en-US" w:eastAsia="zh-CN"/>
        </w:rPr>
        <w:t>通过本项目环评文件编制期间现场踏勘排查出</w:t>
      </w:r>
      <w:r>
        <w:rPr>
          <w:rFonts w:hint="eastAsia"/>
          <w:bCs/>
          <w:sz w:val="24"/>
          <w:szCs w:val="24"/>
          <w:highlight w:val="none"/>
        </w:rPr>
        <w:t>遵化恒新矿业有限公司</w:t>
      </w:r>
      <w:r>
        <w:rPr>
          <w:rFonts w:hint="eastAsia"/>
          <w:sz w:val="24"/>
          <w:szCs w:val="24"/>
          <w:highlight w:val="none"/>
          <w:lang w:val="en-US" w:eastAsia="zh-CN"/>
        </w:rPr>
        <w:t>厂区存在的现有环境问题，并提出了相应的整改措施，</w:t>
      </w:r>
      <w:r>
        <w:rPr>
          <w:rFonts w:hint="eastAsia"/>
          <w:bCs/>
          <w:sz w:val="24"/>
          <w:szCs w:val="24"/>
          <w:highlight w:val="none"/>
          <w:lang w:val="en-US" w:eastAsia="zh-CN"/>
        </w:rPr>
        <w:t>建设单位应积极针对现有环境问题进行整改，并在本项目环评文件批复之日起一个月内完成现有环境问题的整改。</w:t>
      </w:r>
    </w:p>
    <w:p>
      <w:pPr>
        <w:snapToGrid w:val="0"/>
        <w:ind w:firstLine="480"/>
        <w:jc w:val="both"/>
        <w:rPr>
          <w:sz w:val="24"/>
          <w:szCs w:val="24"/>
          <w:highlight w:val="none"/>
        </w:rPr>
      </w:pPr>
      <w:r>
        <w:rPr>
          <w:sz w:val="24"/>
          <w:szCs w:val="24"/>
          <w:highlight w:val="none"/>
        </w:rPr>
        <w:t>①</w:t>
      </w:r>
      <w:r>
        <w:rPr>
          <w:rFonts w:hint="eastAsia"/>
          <w:sz w:val="24"/>
          <w:szCs w:val="24"/>
          <w:highlight w:val="none"/>
        </w:rPr>
        <w:t>厂区运输道路</w:t>
      </w:r>
    </w:p>
    <w:p>
      <w:pPr>
        <w:snapToGrid w:val="0"/>
        <w:ind w:firstLine="480"/>
        <w:jc w:val="both"/>
        <w:rPr>
          <w:sz w:val="24"/>
          <w:szCs w:val="24"/>
          <w:highlight w:val="none"/>
        </w:rPr>
      </w:pPr>
      <w:r>
        <w:rPr>
          <w:rFonts w:hint="eastAsia"/>
          <w:sz w:val="24"/>
          <w:szCs w:val="24"/>
          <w:highlight w:val="none"/>
        </w:rPr>
        <w:t>环境问题：厂区运输道路存在未硬化情况，不利于控制无组织粉尘排放。</w:t>
      </w:r>
    </w:p>
    <w:p>
      <w:pPr>
        <w:snapToGrid w:val="0"/>
        <w:ind w:firstLine="480"/>
        <w:jc w:val="both"/>
        <w:rPr>
          <w:sz w:val="24"/>
          <w:szCs w:val="24"/>
          <w:highlight w:val="none"/>
        </w:rPr>
      </w:pPr>
      <w:r>
        <w:rPr>
          <w:rFonts w:hint="eastAsia"/>
          <w:sz w:val="24"/>
          <w:szCs w:val="24"/>
          <w:highlight w:val="none"/>
        </w:rPr>
        <w:t>整改措施：按照《遵化市铁选矿综合治理工作实施方案》对厂区运矿道路进行硬化、绿化处置，生产期间，道路路面不间断清扫保洁、洒水抑尘，保持路面整洁、湿润不起尘，有效防止运输环节扬尘污染。</w:t>
      </w:r>
    </w:p>
    <w:p>
      <w:pPr>
        <w:snapToGrid w:val="0"/>
        <w:ind w:firstLine="480"/>
        <w:jc w:val="both"/>
        <w:rPr>
          <w:sz w:val="24"/>
          <w:szCs w:val="24"/>
          <w:highlight w:val="none"/>
        </w:rPr>
      </w:pPr>
      <w:r>
        <w:rPr>
          <w:sz w:val="24"/>
          <w:szCs w:val="24"/>
          <w:highlight w:val="none"/>
        </w:rPr>
        <w:t>②</w:t>
      </w:r>
      <w:r>
        <w:rPr>
          <w:rFonts w:hint="eastAsia"/>
          <w:sz w:val="24"/>
          <w:szCs w:val="24"/>
          <w:highlight w:val="none"/>
        </w:rPr>
        <w:t>地下水监测计划执行情况</w:t>
      </w:r>
    </w:p>
    <w:p>
      <w:pPr>
        <w:snapToGrid w:val="0"/>
        <w:ind w:firstLine="480"/>
        <w:jc w:val="both"/>
        <w:rPr>
          <w:sz w:val="24"/>
          <w:szCs w:val="24"/>
          <w:highlight w:val="none"/>
        </w:rPr>
      </w:pPr>
      <w:r>
        <w:rPr>
          <w:rFonts w:hint="eastAsia"/>
          <w:sz w:val="24"/>
          <w:szCs w:val="24"/>
          <w:highlight w:val="none"/>
        </w:rPr>
        <w:t>环境问题：厂区未设置地下水监测井，未按原环评要求开展地下水环境跟踪监测。</w:t>
      </w:r>
    </w:p>
    <w:p>
      <w:pPr>
        <w:snapToGrid w:val="0"/>
        <w:ind w:firstLine="480"/>
        <w:jc w:val="both"/>
        <w:rPr>
          <w:sz w:val="24"/>
          <w:szCs w:val="24"/>
          <w:highlight w:val="none"/>
        </w:rPr>
      </w:pPr>
      <w:r>
        <w:rPr>
          <w:rFonts w:hint="eastAsia"/>
          <w:sz w:val="24"/>
          <w:szCs w:val="24"/>
          <w:highlight w:val="none"/>
        </w:rPr>
        <w:t>整改措施：按照</w:t>
      </w:r>
      <w:r>
        <w:rPr>
          <w:sz w:val="24"/>
          <w:szCs w:val="24"/>
          <w:highlight w:val="none"/>
        </w:rPr>
        <w:t>《地下水环境监测技术规范》HJ164-20</w:t>
      </w:r>
      <w:r>
        <w:rPr>
          <w:rFonts w:hint="eastAsia"/>
          <w:sz w:val="24"/>
          <w:szCs w:val="24"/>
          <w:highlight w:val="none"/>
        </w:rPr>
        <w:t>20</w:t>
      </w:r>
      <w:r>
        <w:rPr>
          <w:sz w:val="24"/>
          <w:szCs w:val="24"/>
          <w:highlight w:val="none"/>
        </w:rPr>
        <w:t>的要求</w:t>
      </w:r>
      <w:r>
        <w:rPr>
          <w:rFonts w:hint="eastAsia"/>
          <w:sz w:val="24"/>
          <w:szCs w:val="24"/>
          <w:highlight w:val="none"/>
        </w:rPr>
        <w:t>设置厂区跟踪监测井，并按环评文件要求的检测频率、检测项目定期开展地下水环境跟踪监测。</w:t>
      </w:r>
    </w:p>
    <w:p>
      <w:pPr>
        <w:snapToGrid w:val="0"/>
        <w:ind w:firstLine="480"/>
        <w:jc w:val="both"/>
        <w:rPr>
          <w:sz w:val="24"/>
          <w:szCs w:val="24"/>
          <w:highlight w:val="none"/>
        </w:rPr>
      </w:pPr>
      <w:r>
        <w:rPr>
          <w:sz w:val="24"/>
          <w:szCs w:val="24"/>
          <w:highlight w:val="none"/>
        </w:rPr>
        <w:t>③</w:t>
      </w:r>
      <w:r>
        <w:rPr>
          <w:rFonts w:hint="eastAsia"/>
          <w:sz w:val="24"/>
          <w:szCs w:val="24"/>
          <w:highlight w:val="none"/>
        </w:rPr>
        <w:t>尾矿存贮、处置等管理情况</w:t>
      </w:r>
    </w:p>
    <w:p>
      <w:pPr>
        <w:snapToGrid w:val="0"/>
        <w:ind w:firstLine="480"/>
        <w:jc w:val="both"/>
        <w:rPr>
          <w:sz w:val="24"/>
          <w:szCs w:val="24"/>
          <w:highlight w:val="none"/>
        </w:rPr>
      </w:pPr>
      <w:r>
        <w:rPr>
          <w:rFonts w:hint="eastAsia"/>
          <w:sz w:val="24"/>
          <w:szCs w:val="24"/>
          <w:highlight w:val="none"/>
        </w:rPr>
        <w:t>环境问题：尾矿采用干排工艺，尾矿存储于封闭库房内，作为建筑材料外售第三方单位，未按照《尾矿污染环境防治管理办法》(部令第26号)相关要求设立尾矿管理台账。</w:t>
      </w:r>
    </w:p>
    <w:p>
      <w:pPr>
        <w:widowControl/>
        <w:ind w:firstLine="480"/>
        <w:rPr>
          <w:sz w:val="24"/>
          <w:szCs w:val="24"/>
          <w:highlight w:val="none"/>
        </w:rPr>
      </w:pPr>
      <w:r>
        <w:rPr>
          <w:rFonts w:hint="eastAsia"/>
          <w:sz w:val="24"/>
          <w:szCs w:val="24"/>
          <w:highlight w:val="none"/>
        </w:rPr>
        <w:t>整改措施：按照《尾矿污染环境防治管理办法》(部令第26号)提出的污染防治要求规范尾矿的存储、处置措施，委托第三方单位处置尾矿时，应对受托方的主体资格和技术能力进行核实，依法签订书面合同，在合同中约定污染防治要求；产生尾矿的单位应当在尾矿环境管理台账中如实记录生产运营中产生尾矿的种类、数量、流向、贮存、综合利用等信息，尾矿环境管理台账保存期限不得少于五年。</w:t>
      </w:r>
    </w:p>
    <w:p>
      <w:pPr>
        <w:widowControl/>
        <w:ind w:firstLine="480"/>
        <w:rPr>
          <w:sz w:val="24"/>
          <w:szCs w:val="24"/>
          <w:highlight w:val="none"/>
        </w:rPr>
      </w:pPr>
      <w:r>
        <w:rPr>
          <w:rFonts w:hint="eastAsia"/>
          <w:sz w:val="24"/>
          <w:szCs w:val="24"/>
          <w:highlight w:val="none"/>
        </w:rPr>
        <w:t>④危废暂存间</w:t>
      </w:r>
    </w:p>
    <w:p>
      <w:pPr>
        <w:widowControl/>
        <w:ind w:firstLine="480"/>
        <w:rPr>
          <w:sz w:val="24"/>
          <w:szCs w:val="24"/>
          <w:highlight w:val="none"/>
        </w:rPr>
      </w:pPr>
      <w:r>
        <w:rPr>
          <w:rFonts w:hint="eastAsia"/>
          <w:sz w:val="24"/>
          <w:szCs w:val="24"/>
          <w:highlight w:val="none"/>
        </w:rPr>
        <w:t>环境问题：危废暂存间标识设置不满足现有规范要求。</w:t>
      </w:r>
    </w:p>
    <w:p>
      <w:pPr>
        <w:widowControl/>
        <w:ind w:firstLine="480"/>
        <w:rPr>
          <w:sz w:val="24"/>
          <w:szCs w:val="24"/>
          <w:highlight w:val="none"/>
        </w:rPr>
      </w:pPr>
      <w:r>
        <w:rPr>
          <w:rFonts w:hint="eastAsia"/>
          <w:sz w:val="24"/>
          <w:szCs w:val="24"/>
          <w:highlight w:val="none"/>
        </w:rPr>
        <w:t>整改措施：危废暂存间应按照《</w:t>
      </w:r>
      <w:r>
        <w:rPr>
          <w:sz w:val="24"/>
          <w:szCs w:val="24"/>
          <w:highlight w:val="none"/>
        </w:rPr>
        <w:t>危险废物识别标志设置技术规范</w:t>
      </w:r>
      <w:r>
        <w:rPr>
          <w:rFonts w:hint="eastAsia"/>
          <w:sz w:val="24"/>
          <w:szCs w:val="24"/>
          <w:highlight w:val="none"/>
        </w:rPr>
        <w:t>》（</w:t>
      </w:r>
      <w:r>
        <w:rPr>
          <w:sz w:val="24"/>
          <w:szCs w:val="24"/>
          <w:highlight w:val="none"/>
        </w:rPr>
        <w:t>HJ 1276—2022</w:t>
      </w:r>
      <w:r>
        <w:rPr>
          <w:rFonts w:hint="eastAsia"/>
          <w:sz w:val="24"/>
          <w:szCs w:val="24"/>
          <w:highlight w:val="none"/>
        </w:rPr>
        <w:t>）相关要求规范标识设置。</w:t>
      </w:r>
    </w:p>
    <w:p>
      <w:pPr>
        <w:widowControl/>
        <w:ind w:firstLine="480"/>
        <w:rPr>
          <w:sz w:val="24"/>
          <w:szCs w:val="24"/>
          <w:highlight w:val="none"/>
        </w:rPr>
      </w:pPr>
      <w:r>
        <w:rPr>
          <w:rFonts w:hint="eastAsia"/>
          <w:sz w:val="24"/>
          <w:szCs w:val="24"/>
          <w:highlight w:val="none"/>
        </w:rPr>
        <w:t>⑤应急预案</w:t>
      </w:r>
    </w:p>
    <w:p>
      <w:pPr>
        <w:widowControl/>
        <w:ind w:firstLine="480"/>
        <w:rPr>
          <w:sz w:val="24"/>
          <w:szCs w:val="24"/>
          <w:highlight w:val="none"/>
        </w:rPr>
      </w:pPr>
      <w:r>
        <w:rPr>
          <w:rFonts w:hint="eastAsia"/>
          <w:sz w:val="24"/>
          <w:szCs w:val="24"/>
          <w:highlight w:val="none"/>
        </w:rPr>
        <w:t>环境问题：厂区风险防范措施落实不到位，未按照环评文件要求设置事故水池，未编制突发环境事件应急预案。</w:t>
      </w:r>
    </w:p>
    <w:p>
      <w:pPr>
        <w:widowControl/>
        <w:ind w:firstLine="480"/>
        <w:rPr>
          <w:sz w:val="24"/>
          <w:szCs w:val="24"/>
          <w:highlight w:val="none"/>
        </w:rPr>
      </w:pPr>
      <w:r>
        <w:rPr>
          <w:rFonts w:hint="eastAsia"/>
          <w:sz w:val="24"/>
          <w:szCs w:val="24"/>
          <w:highlight w:val="none"/>
        </w:rPr>
        <w:t>整改措施：按照环评文件要求合理设置事故水池，针对厂区存在环境风险物质编制突发环境事件应急预案，并进行备案。</w:t>
      </w:r>
    </w:p>
    <w:p>
      <w:pPr>
        <w:pStyle w:val="6"/>
        <w:rPr>
          <w:szCs w:val="28"/>
          <w:highlight w:val="none"/>
        </w:rPr>
      </w:pPr>
      <w:r>
        <w:rPr>
          <w:rFonts w:hint="eastAsia"/>
          <w:szCs w:val="28"/>
          <w:highlight w:val="none"/>
        </w:rPr>
        <w:t>3.1.9现有工程总量控制指标</w:t>
      </w:r>
    </w:p>
    <w:p>
      <w:pPr>
        <w:ind w:firstLine="480"/>
        <w:rPr>
          <w:bCs/>
          <w:sz w:val="24"/>
          <w:szCs w:val="24"/>
          <w:highlight w:val="none"/>
        </w:rPr>
      </w:pPr>
      <w:r>
        <w:rPr>
          <w:rFonts w:hint="eastAsia"/>
          <w:bCs/>
          <w:sz w:val="24"/>
          <w:szCs w:val="24"/>
          <w:highlight w:val="none"/>
        </w:rPr>
        <w:t>根据原环评及批复文件可知，现有工程总量控制指标情况见表3.1-7。</w:t>
      </w:r>
    </w:p>
    <w:p>
      <w:pPr>
        <w:pStyle w:val="2"/>
        <w:ind w:firstLine="560"/>
        <w:rPr>
          <w:highlight w:val="none"/>
        </w:rPr>
      </w:pPr>
    </w:p>
    <w:p>
      <w:pPr>
        <w:ind w:firstLine="420"/>
        <w:jc w:val="center"/>
        <w:rPr>
          <w:rFonts w:eastAsia="黑体"/>
          <w:kern w:val="2"/>
          <w:sz w:val="21"/>
          <w:szCs w:val="21"/>
          <w:highlight w:val="none"/>
        </w:rPr>
      </w:pPr>
      <w:r>
        <w:rPr>
          <w:rFonts w:hint="eastAsia" w:eastAsia="黑体"/>
          <w:kern w:val="2"/>
          <w:sz w:val="21"/>
          <w:szCs w:val="21"/>
          <w:highlight w:val="none"/>
        </w:rPr>
        <w:t>表</w:t>
      </w:r>
      <w:r>
        <w:rPr>
          <w:rFonts w:eastAsia="黑体"/>
          <w:kern w:val="2"/>
          <w:sz w:val="21"/>
          <w:szCs w:val="21"/>
          <w:highlight w:val="none"/>
        </w:rPr>
        <w:t xml:space="preserve"> 3.</w:t>
      </w:r>
      <w:r>
        <w:rPr>
          <w:rFonts w:hint="eastAsia" w:eastAsia="黑体"/>
          <w:kern w:val="2"/>
          <w:sz w:val="21"/>
          <w:szCs w:val="21"/>
          <w:highlight w:val="none"/>
        </w:rPr>
        <w:t>1</w:t>
      </w:r>
      <w:r>
        <w:rPr>
          <w:rFonts w:eastAsia="黑体"/>
          <w:kern w:val="2"/>
          <w:sz w:val="21"/>
          <w:szCs w:val="21"/>
          <w:highlight w:val="none"/>
        </w:rPr>
        <w:t>-</w:t>
      </w:r>
      <w:r>
        <w:rPr>
          <w:rFonts w:hint="eastAsia" w:eastAsia="黑体"/>
          <w:kern w:val="2"/>
          <w:sz w:val="21"/>
          <w:szCs w:val="21"/>
          <w:highlight w:val="none"/>
        </w:rPr>
        <w:t xml:space="preserve">7 </w:t>
      </w:r>
      <w:r>
        <w:rPr>
          <w:rFonts w:eastAsia="黑体"/>
          <w:kern w:val="2"/>
          <w:sz w:val="21"/>
          <w:szCs w:val="21"/>
          <w:highlight w:val="none"/>
        </w:rPr>
        <w:t xml:space="preserve">  </w:t>
      </w:r>
      <w:r>
        <w:rPr>
          <w:rFonts w:hint="eastAsia" w:eastAsia="黑体"/>
          <w:kern w:val="2"/>
          <w:sz w:val="21"/>
          <w:szCs w:val="21"/>
          <w:highlight w:val="none"/>
        </w:rPr>
        <w:t>现有工程总量控制指表</w:t>
      </w:r>
      <w:r>
        <w:rPr>
          <w:rFonts w:eastAsia="黑体"/>
          <w:kern w:val="2"/>
          <w:sz w:val="21"/>
          <w:szCs w:val="21"/>
          <w:highlight w:val="none"/>
        </w:rPr>
        <w:t xml:space="preserve"> </w:t>
      </w:r>
      <w:r>
        <w:rPr>
          <w:rFonts w:hint="eastAsia" w:eastAsia="黑体"/>
          <w:kern w:val="2"/>
          <w:sz w:val="21"/>
          <w:szCs w:val="21"/>
          <w:highlight w:val="none"/>
        </w:rPr>
        <w:t>单位</w:t>
      </w:r>
      <w:r>
        <w:rPr>
          <w:rFonts w:eastAsia="黑体"/>
          <w:kern w:val="2"/>
          <w:sz w:val="21"/>
          <w:szCs w:val="21"/>
          <w:highlight w:val="none"/>
        </w:rPr>
        <w:t xml:space="preserve"> t/a</w:t>
      </w:r>
    </w:p>
    <w:tbl>
      <w:tblPr>
        <w:tblStyle w:val="5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5"/>
        <w:gridCol w:w="1704"/>
        <w:gridCol w:w="1695"/>
        <w:gridCol w:w="1366"/>
        <w:gridCol w:w="977"/>
        <w:gridCol w:w="10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44" w:type="dxa"/>
          </w:tcPr>
          <w:p>
            <w:pPr>
              <w:spacing w:line="240" w:lineRule="auto"/>
              <w:ind w:firstLine="0" w:firstLineChars="0"/>
              <w:jc w:val="center"/>
              <w:rPr>
                <w:bCs/>
                <w:sz w:val="21"/>
                <w:szCs w:val="21"/>
                <w:highlight w:val="none"/>
              </w:rPr>
            </w:pPr>
            <w:r>
              <w:rPr>
                <w:rFonts w:hint="eastAsia"/>
                <w:bCs/>
                <w:sz w:val="21"/>
                <w:szCs w:val="21"/>
                <w:highlight w:val="none"/>
              </w:rPr>
              <w:t>项目</w:t>
            </w:r>
          </w:p>
        </w:tc>
        <w:tc>
          <w:tcPr>
            <w:tcW w:w="3488" w:type="dxa"/>
            <w:gridSpan w:val="2"/>
          </w:tcPr>
          <w:p>
            <w:pPr>
              <w:spacing w:line="240" w:lineRule="auto"/>
              <w:ind w:firstLine="420"/>
              <w:jc w:val="both"/>
              <w:rPr>
                <w:bCs/>
                <w:sz w:val="21"/>
                <w:szCs w:val="21"/>
                <w:highlight w:val="none"/>
              </w:rPr>
            </w:pPr>
            <w:r>
              <w:rPr>
                <w:rFonts w:hint="eastAsia"/>
                <w:bCs/>
                <w:sz w:val="21"/>
                <w:szCs w:val="21"/>
                <w:highlight w:val="none"/>
              </w:rPr>
              <w:t>废水污染物</w:t>
            </w:r>
          </w:p>
        </w:tc>
        <w:tc>
          <w:tcPr>
            <w:tcW w:w="3489" w:type="dxa"/>
            <w:gridSpan w:val="3"/>
          </w:tcPr>
          <w:p>
            <w:pPr>
              <w:spacing w:line="240" w:lineRule="auto"/>
              <w:ind w:firstLine="420"/>
              <w:jc w:val="both"/>
              <w:rPr>
                <w:bCs/>
                <w:sz w:val="21"/>
                <w:szCs w:val="21"/>
                <w:highlight w:val="none"/>
              </w:rPr>
            </w:pPr>
            <w:r>
              <w:rPr>
                <w:rFonts w:hint="eastAsia"/>
                <w:bCs/>
                <w:sz w:val="21"/>
                <w:szCs w:val="21"/>
                <w:highlight w:val="none"/>
              </w:rPr>
              <w:t>大气污染物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44" w:type="dxa"/>
            <w:vMerge w:val="restart"/>
            <w:vAlign w:val="center"/>
          </w:tcPr>
          <w:p>
            <w:pPr>
              <w:spacing w:line="240" w:lineRule="auto"/>
              <w:ind w:firstLine="0" w:firstLineChars="0"/>
              <w:jc w:val="center"/>
              <w:rPr>
                <w:bCs/>
                <w:sz w:val="21"/>
                <w:szCs w:val="21"/>
                <w:highlight w:val="none"/>
              </w:rPr>
            </w:pPr>
            <w:r>
              <w:rPr>
                <w:rFonts w:hint="eastAsia"/>
                <w:bCs/>
                <w:sz w:val="21"/>
                <w:szCs w:val="21"/>
                <w:highlight w:val="none"/>
              </w:rPr>
              <w:t>总量控制指标</w:t>
            </w:r>
          </w:p>
        </w:tc>
        <w:tc>
          <w:tcPr>
            <w:tcW w:w="1744" w:type="dxa"/>
          </w:tcPr>
          <w:p>
            <w:pPr>
              <w:spacing w:line="240" w:lineRule="auto"/>
              <w:ind w:firstLine="0" w:firstLineChars="0"/>
              <w:jc w:val="center"/>
              <w:rPr>
                <w:bCs/>
                <w:sz w:val="21"/>
                <w:szCs w:val="21"/>
                <w:highlight w:val="none"/>
              </w:rPr>
            </w:pPr>
            <w:r>
              <w:rPr>
                <w:bCs/>
                <w:sz w:val="21"/>
                <w:szCs w:val="21"/>
                <w:highlight w:val="none"/>
              </w:rPr>
              <w:t>COD</w:t>
            </w:r>
          </w:p>
        </w:tc>
        <w:tc>
          <w:tcPr>
            <w:tcW w:w="1744" w:type="dxa"/>
          </w:tcPr>
          <w:p>
            <w:pPr>
              <w:spacing w:line="240" w:lineRule="auto"/>
              <w:ind w:firstLine="0" w:firstLineChars="0"/>
              <w:jc w:val="center"/>
              <w:rPr>
                <w:bCs/>
                <w:sz w:val="21"/>
                <w:szCs w:val="21"/>
                <w:highlight w:val="none"/>
              </w:rPr>
            </w:pPr>
            <w:r>
              <w:rPr>
                <w:rFonts w:hint="eastAsia"/>
                <w:bCs/>
                <w:sz w:val="21"/>
                <w:szCs w:val="21"/>
                <w:highlight w:val="none"/>
              </w:rPr>
              <w:t>氨氮</w:t>
            </w:r>
          </w:p>
        </w:tc>
        <w:tc>
          <w:tcPr>
            <w:tcW w:w="1397" w:type="dxa"/>
          </w:tcPr>
          <w:p>
            <w:pPr>
              <w:spacing w:line="240" w:lineRule="auto"/>
              <w:ind w:firstLine="0" w:firstLineChars="0"/>
              <w:jc w:val="center"/>
              <w:rPr>
                <w:bCs/>
                <w:sz w:val="21"/>
                <w:szCs w:val="21"/>
                <w:highlight w:val="none"/>
              </w:rPr>
            </w:pPr>
            <w:r>
              <w:rPr>
                <w:bCs/>
                <w:sz w:val="21"/>
                <w:szCs w:val="21"/>
                <w:highlight w:val="none"/>
              </w:rPr>
              <w:t>SO</w:t>
            </w:r>
            <w:r>
              <w:rPr>
                <w:bCs/>
                <w:sz w:val="21"/>
                <w:szCs w:val="21"/>
                <w:highlight w:val="none"/>
                <w:vertAlign w:val="subscript"/>
              </w:rPr>
              <w:t>2</w:t>
            </w:r>
          </w:p>
        </w:tc>
        <w:tc>
          <w:tcPr>
            <w:tcW w:w="992" w:type="dxa"/>
          </w:tcPr>
          <w:p>
            <w:pPr>
              <w:spacing w:line="240" w:lineRule="auto"/>
              <w:ind w:firstLine="0" w:firstLineChars="0"/>
              <w:jc w:val="center"/>
              <w:rPr>
                <w:bCs/>
                <w:sz w:val="21"/>
                <w:szCs w:val="21"/>
                <w:highlight w:val="none"/>
              </w:rPr>
            </w:pPr>
            <w:r>
              <w:rPr>
                <w:bCs/>
                <w:sz w:val="21"/>
                <w:szCs w:val="21"/>
                <w:highlight w:val="none"/>
              </w:rPr>
              <w:t>NO</w:t>
            </w:r>
            <w:r>
              <w:rPr>
                <w:bCs/>
                <w:sz w:val="21"/>
                <w:szCs w:val="21"/>
                <w:highlight w:val="none"/>
                <w:vertAlign w:val="subscript"/>
              </w:rPr>
              <w:t>x</w:t>
            </w:r>
          </w:p>
        </w:tc>
        <w:tc>
          <w:tcPr>
            <w:tcW w:w="1100" w:type="dxa"/>
          </w:tcPr>
          <w:p>
            <w:pPr>
              <w:spacing w:line="240" w:lineRule="auto"/>
              <w:ind w:firstLine="0" w:firstLineChars="0"/>
              <w:jc w:val="center"/>
              <w:rPr>
                <w:bCs/>
                <w:sz w:val="21"/>
                <w:szCs w:val="21"/>
                <w:highlight w:val="none"/>
              </w:rPr>
            </w:pPr>
            <w:r>
              <w:rPr>
                <w:rFonts w:hint="eastAsia"/>
                <w:bCs/>
                <w:sz w:val="21"/>
                <w:szCs w:val="21"/>
                <w:highlight w:val="none"/>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bCs/>
                <w:sz w:val="21"/>
                <w:szCs w:val="21"/>
                <w:highlight w:val="none"/>
              </w:rPr>
            </w:pPr>
          </w:p>
        </w:tc>
        <w:tc>
          <w:tcPr>
            <w:tcW w:w="1744" w:type="dxa"/>
          </w:tcPr>
          <w:p>
            <w:pPr>
              <w:spacing w:line="240" w:lineRule="auto"/>
              <w:ind w:firstLine="0" w:firstLineChars="0"/>
              <w:jc w:val="center"/>
              <w:rPr>
                <w:bCs/>
                <w:sz w:val="21"/>
                <w:szCs w:val="21"/>
                <w:highlight w:val="none"/>
              </w:rPr>
            </w:pPr>
            <w:r>
              <w:rPr>
                <w:bCs/>
                <w:sz w:val="21"/>
                <w:szCs w:val="21"/>
                <w:highlight w:val="none"/>
              </w:rPr>
              <w:t>0</w:t>
            </w:r>
          </w:p>
        </w:tc>
        <w:tc>
          <w:tcPr>
            <w:tcW w:w="1744" w:type="dxa"/>
          </w:tcPr>
          <w:p>
            <w:pPr>
              <w:spacing w:line="240" w:lineRule="auto"/>
              <w:ind w:firstLine="0" w:firstLineChars="0"/>
              <w:jc w:val="center"/>
              <w:rPr>
                <w:bCs/>
                <w:sz w:val="21"/>
                <w:szCs w:val="21"/>
                <w:highlight w:val="none"/>
              </w:rPr>
            </w:pPr>
            <w:r>
              <w:rPr>
                <w:bCs/>
                <w:sz w:val="21"/>
                <w:szCs w:val="21"/>
                <w:highlight w:val="none"/>
              </w:rPr>
              <w:t>0</w:t>
            </w:r>
          </w:p>
        </w:tc>
        <w:tc>
          <w:tcPr>
            <w:tcW w:w="1397" w:type="dxa"/>
          </w:tcPr>
          <w:p>
            <w:pPr>
              <w:spacing w:line="240" w:lineRule="auto"/>
              <w:ind w:firstLine="0" w:firstLineChars="0"/>
              <w:jc w:val="center"/>
              <w:rPr>
                <w:bCs/>
                <w:sz w:val="21"/>
                <w:szCs w:val="21"/>
                <w:highlight w:val="none"/>
              </w:rPr>
            </w:pPr>
            <w:r>
              <w:rPr>
                <w:bCs/>
                <w:sz w:val="21"/>
                <w:szCs w:val="21"/>
                <w:highlight w:val="none"/>
              </w:rPr>
              <w:t>0</w:t>
            </w:r>
          </w:p>
        </w:tc>
        <w:tc>
          <w:tcPr>
            <w:tcW w:w="992" w:type="dxa"/>
          </w:tcPr>
          <w:p>
            <w:pPr>
              <w:spacing w:line="240" w:lineRule="auto"/>
              <w:ind w:firstLine="0" w:firstLineChars="0"/>
              <w:jc w:val="center"/>
              <w:rPr>
                <w:bCs/>
                <w:sz w:val="21"/>
                <w:szCs w:val="21"/>
                <w:highlight w:val="none"/>
              </w:rPr>
            </w:pPr>
            <w:r>
              <w:rPr>
                <w:bCs/>
                <w:sz w:val="21"/>
                <w:szCs w:val="21"/>
                <w:highlight w:val="none"/>
              </w:rPr>
              <w:t>0</w:t>
            </w:r>
          </w:p>
        </w:tc>
        <w:tc>
          <w:tcPr>
            <w:tcW w:w="1100" w:type="dxa"/>
          </w:tcPr>
          <w:p>
            <w:pPr>
              <w:spacing w:line="240" w:lineRule="auto"/>
              <w:ind w:firstLine="0" w:firstLineChars="0"/>
              <w:jc w:val="center"/>
              <w:rPr>
                <w:bCs/>
                <w:sz w:val="21"/>
                <w:szCs w:val="21"/>
                <w:highlight w:val="none"/>
              </w:rPr>
            </w:pPr>
            <w:r>
              <w:rPr>
                <w:rFonts w:hint="eastAsia"/>
                <w:bCs/>
                <w:sz w:val="21"/>
                <w:szCs w:val="21"/>
                <w:highlight w:val="none"/>
              </w:rPr>
              <w:t>3.226</w:t>
            </w:r>
          </w:p>
        </w:tc>
      </w:tr>
    </w:tbl>
    <w:p>
      <w:pPr>
        <w:pStyle w:val="5"/>
        <w:keepLines w:val="0"/>
        <w:widowControl/>
        <w:numPr>
          <w:ilvl w:val="1"/>
          <w:numId w:val="1"/>
        </w:numPr>
        <w:tabs>
          <w:tab w:val="left" w:pos="482"/>
        </w:tabs>
        <w:spacing w:before="120" w:beforeLines="50" w:after="0" w:line="360" w:lineRule="auto"/>
        <w:rPr>
          <w:rFonts w:ascii="Times New Roman" w:hAnsi="Times New Roman" w:eastAsia="宋体"/>
          <w:bCs w:val="0"/>
          <w:snapToGrid w:val="0"/>
          <w:kern w:val="0"/>
          <w:sz w:val="28"/>
          <w:szCs w:val="28"/>
          <w:highlight w:val="none"/>
        </w:rPr>
      </w:pPr>
      <w:bookmarkStart w:id="183" w:name="_Toc25381"/>
      <w:r>
        <w:rPr>
          <w:rFonts w:hint="eastAsia" w:ascii="Times New Roman" w:hAnsi="Times New Roman" w:eastAsia="宋体"/>
          <w:bCs w:val="0"/>
          <w:snapToGrid w:val="0"/>
          <w:kern w:val="0"/>
          <w:sz w:val="28"/>
          <w:szCs w:val="28"/>
          <w:highlight w:val="none"/>
        </w:rPr>
        <w:t>改扩建工程</w:t>
      </w:r>
      <w:r>
        <w:rPr>
          <w:rFonts w:ascii="Times New Roman" w:hAnsi="Times New Roman" w:eastAsia="宋体"/>
          <w:bCs w:val="0"/>
          <w:snapToGrid w:val="0"/>
          <w:kern w:val="0"/>
          <w:sz w:val="28"/>
          <w:szCs w:val="28"/>
          <w:highlight w:val="none"/>
        </w:rPr>
        <w:t>概况</w:t>
      </w:r>
      <w:bookmarkEnd w:id="183"/>
    </w:p>
    <w:p>
      <w:pPr>
        <w:pStyle w:val="6"/>
        <w:numPr>
          <w:ilvl w:val="2"/>
          <w:numId w:val="1"/>
        </w:numPr>
        <w:rPr>
          <w:szCs w:val="28"/>
          <w:highlight w:val="none"/>
        </w:rPr>
      </w:pPr>
      <w:bookmarkStart w:id="184" w:name="_Toc521591754"/>
      <w:bookmarkStart w:id="185" w:name="_Toc32693"/>
      <w:r>
        <w:rPr>
          <w:szCs w:val="28"/>
          <w:highlight w:val="none"/>
        </w:rPr>
        <w:t>项目</w:t>
      </w:r>
      <w:bookmarkEnd w:id="184"/>
      <w:bookmarkEnd w:id="185"/>
      <w:r>
        <w:rPr>
          <w:rFonts w:hint="eastAsia"/>
          <w:szCs w:val="28"/>
          <w:highlight w:val="none"/>
        </w:rPr>
        <w:t>基本情况</w:t>
      </w:r>
    </w:p>
    <w:p>
      <w:pPr>
        <w:ind w:firstLine="480"/>
        <w:jc w:val="both"/>
        <w:rPr>
          <w:sz w:val="24"/>
          <w:szCs w:val="24"/>
          <w:highlight w:val="none"/>
        </w:rPr>
      </w:pPr>
      <w:r>
        <w:rPr>
          <w:bCs/>
          <w:sz w:val="24"/>
          <w:szCs w:val="24"/>
          <w:highlight w:val="none"/>
        </w:rPr>
        <w:t>（1）项目名称：</w:t>
      </w:r>
      <w:r>
        <w:rPr>
          <w:rFonts w:hint="eastAsia"/>
          <w:bCs/>
          <w:sz w:val="24"/>
          <w:szCs w:val="24"/>
          <w:highlight w:val="none"/>
        </w:rPr>
        <w:t>遵化恒新矿业有限公司年处理 60 万吨铁矿石、120万吨粗精矿项目</w:t>
      </w:r>
    </w:p>
    <w:p>
      <w:pPr>
        <w:ind w:firstLine="480"/>
        <w:jc w:val="both"/>
        <w:rPr>
          <w:bCs/>
          <w:sz w:val="24"/>
          <w:szCs w:val="24"/>
          <w:highlight w:val="none"/>
        </w:rPr>
      </w:pPr>
      <w:r>
        <w:rPr>
          <w:bCs/>
          <w:sz w:val="24"/>
          <w:szCs w:val="24"/>
          <w:highlight w:val="none"/>
        </w:rPr>
        <w:t>（2）建设性质：</w:t>
      </w:r>
      <w:r>
        <w:rPr>
          <w:rFonts w:hint="eastAsia"/>
          <w:bCs/>
          <w:sz w:val="24"/>
          <w:szCs w:val="24"/>
          <w:highlight w:val="none"/>
        </w:rPr>
        <w:t>改扩</w:t>
      </w:r>
      <w:r>
        <w:rPr>
          <w:bCs/>
          <w:sz w:val="24"/>
          <w:szCs w:val="24"/>
          <w:highlight w:val="none"/>
        </w:rPr>
        <w:t>建</w:t>
      </w:r>
    </w:p>
    <w:p>
      <w:pPr>
        <w:ind w:firstLine="480"/>
        <w:jc w:val="both"/>
        <w:rPr>
          <w:bCs/>
          <w:sz w:val="24"/>
          <w:szCs w:val="24"/>
          <w:highlight w:val="none"/>
        </w:rPr>
      </w:pPr>
      <w:r>
        <w:rPr>
          <w:bCs/>
          <w:sz w:val="24"/>
          <w:szCs w:val="24"/>
          <w:highlight w:val="none"/>
        </w:rPr>
        <w:t>（3）建设单位：</w:t>
      </w:r>
      <w:r>
        <w:rPr>
          <w:rFonts w:hint="eastAsia"/>
          <w:bCs/>
          <w:sz w:val="24"/>
          <w:szCs w:val="24"/>
          <w:highlight w:val="none"/>
        </w:rPr>
        <w:t>遵化恒新矿业有限公司</w:t>
      </w:r>
    </w:p>
    <w:p>
      <w:pPr>
        <w:ind w:firstLine="480"/>
        <w:jc w:val="both"/>
        <w:rPr>
          <w:bCs/>
          <w:sz w:val="24"/>
          <w:szCs w:val="24"/>
          <w:highlight w:val="none"/>
        </w:rPr>
      </w:pPr>
      <w:r>
        <w:rPr>
          <w:bCs/>
          <w:sz w:val="24"/>
          <w:szCs w:val="24"/>
          <w:highlight w:val="none"/>
        </w:rPr>
        <w:t>（4）建设地点：</w:t>
      </w:r>
      <w:r>
        <w:rPr>
          <w:sz w:val="24"/>
          <w:szCs w:val="24"/>
          <w:highlight w:val="none"/>
        </w:rPr>
        <w:t>遵化市</w:t>
      </w:r>
      <w:r>
        <w:rPr>
          <w:rFonts w:hint="eastAsia"/>
          <w:sz w:val="24"/>
          <w:szCs w:val="24"/>
          <w:highlight w:val="none"/>
        </w:rPr>
        <w:t>新店子镇马店子村</w:t>
      </w:r>
      <w:r>
        <w:rPr>
          <w:rFonts w:hint="eastAsia"/>
          <w:bCs/>
          <w:sz w:val="24"/>
          <w:szCs w:val="24"/>
          <w:highlight w:val="none"/>
        </w:rPr>
        <w:t>遵化恒新矿业有限公司现有厂区内</w:t>
      </w:r>
      <w:r>
        <w:rPr>
          <w:bCs/>
          <w:sz w:val="24"/>
          <w:szCs w:val="24"/>
          <w:highlight w:val="none"/>
        </w:rPr>
        <w:t>，</w:t>
      </w:r>
      <w:r>
        <w:rPr>
          <w:rFonts w:hint="eastAsia"/>
          <w:bCs/>
          <w:sz w:val="24"/>
          <w:szCs w:val="24"/>
          <w:highlight w:val="none"/>
        </w:rPr>
        <w:t>不新增占地，</w:t>
      </w:r>
      <w:r>
        <w:rPr>
          <w:bCs/>
          <w:sz w:val="24"/>
          <w:szCs w:val="24"/>
          <w:highlight w:val="none"/>
        </w:rPr>
        <w:t>厂区中心地理位置坐标为：北纬</w:t>
      </w:r>
      <w:r>
        <w:rPr>
          <w:rFonts w:hint="eastAsia"/>
          <w:bCs/>
          <w:sz w:val="24"/>
          <w:szCs w:val="24"/>
          <w:highlight w:val="none"/>
        </w:rPr>
        <w:t>40</w:t>
      </w:r>
      <w:r>
        <w:rPr>
          <w:bCs/>
          <w:sz w:val="24"/>
          <w:szCs w:val="24"/>
          <w:highlight w:val="none"/>
        </w:rPr>
        <w:t>°</w:t>
      </w:r>
      <w:r>
        <w:rPr>
          <w:rFonts w:hint="eastAsia"/>
          <w:bCs/>
          <w:sz w:val="24"/>
          <w:szCs w:val="24"/>
          <w:highlight w:val="none"/>
        </w:rPr>
        <w:t>6</w:t>
      </w:r>
      <w:r>
        <w:rPr>
          <w:bCs/>
          <w:sz w:val="24"/>
          <w:szCs w:val="24"/>
          <w:highlight w:val="none"/>
        </w:rPr>
        <w:t>′</w:t>
      </w:r>
      <w:r>
        <w:rPr>
          <w:rFonts w:hint="eastAsia"/>
          <w:bCs/>
          <w:sz w:val="24"/>
          <w:szCs w:val="24"/>
          <w:highlight w:val="none"/>
        </w:rPr>
        <w:t>33.35</w:t>
      </w:r>
      <w:r>
        <w:rPr>
          <w:bCs/>
          <w:sz w:val="24"/>
          <w:szCs w:val="24"/>
          <w:highlight w:val="none"/>
        </w:rPr>
        <w:t>″、东经11</w:t>
      </w:r>
      <w:r>
        <w:rPr>
          <w:rFonts w:hint="eastAsia"/>
          <w:bCs/>
          <w:sz w:val="24"/>
          <w:szCs w:val="24"/>
          <w:highlight w:val="none"/>
        </w:rPr>
        <w:t>7</w:t>
      </w:r>
      <w:r>
        <w:rPr>
          <w:bCs/>
          <w:sz w:val="24"/>
          <w:szCs w:val="24"/>
          <w:highlight w:val="none"/>
        </w:rPr>
        <w:t>°</w:t>
      </w:r>
      <w:r>
        <w:rPr>
          <w:rFonts w:hint="eastAsia"/>
          <w:bCs/>
          <w:sz w:val="24"/>
          <w:szCs w:val="24"/>
          <w:highlight w:val="none"/>
        </w:rPr>
        <w:t>59</w:t>
      </w:r>
      <w:r>
        <w:rPr>
          <w:bCs/>
          <w:sz w:val="24"/>
          <w:szCs w:val="24"/>
          <w:highlight w:val="none"/>
        </w:rPr>
        <w:t>′</w:t>
      </w:r>
      <w:r>
        <w:rPr>
          <w:rFonts w:hint="eastAsia"/>
          <w:bCs/>
          <w:sz w:val="24"/>
          <w:szCs w:val="24"/>
          <w:highlight w:val="none"/>
        </w:rPr>
        <w:t>11.73</w:t>
      </w:r>
      <w:r>
        <w:rPr>
          <w:bCs/>
          <w:sz w:val="24"/>
          <w:szCs w:val="24"/>
          <w:highlight w:val="none"/>
        </w:rPr>
        <w:t>″。</w:t>
      </w:r>
    </w:p>
    <w:p>
      <w:pPr>
        <w:ind w:firstLine="480"/>
        <w:jc w:val="both"/>
        <w:rPr>
          <w:sz w:val="24"/>
          <w:szCs w:val="24"/>
          <w:highlight w:val="none"/>
        </w:rPr>
      </w:pPr>
      <w:r>
        <w:rPr>
          <w:bCs/>
          <w:sz w:val="24"/>
          <w:szCs w:val="24"/>
          <w:highlight w:val="none"/>
        </w:rPr>
        <w:t>（5）周边关系：</w:t>
      </w:r>
      <w:r>
        <w:rPr>
          <w:rFonts w:hint="eastAsia"/>
          <w:sz w:val="24"/>
          <w:szCs w:val="24"/>
          <w:highlight w:val="none"/>
        </w:rPr>
        <w:t>本项目厂区外东侧为闲置厂房，南侧隔乡道为农田，西侧为空地，北侧隔小路为农田，</w:t>
      </w:r>
      <w:r>
        <w:rPr>
          <w:sz w:val="24"/>
          <w:szCs w:val="24"/>
          <w:highlight w:val="none"/>
        </w:rPr>
        <w:t>项目最近的敏感点为北侧</w:t>
      </w:r>
      <w:r>
        <w:rPr>
          <w:rFonts w:hint="eastAsia"/>
          <w:sz w:val="24"/>
          <w:szCs w:val="24"/>
          <w:highlight w:val="none"/>
        </w:rPr>
        <w:t>270m的马店子村。</w:t>
      </w:r>
    </w:p>
    <w:p>
      <w:pPr>
        <w:snapToGrid w:val="0"/>
        <w:ind w:firstLine="480"/>
        <w:jc w:val="both"/>
        <w:rPr>
          <w:highlight w:val="none"/>
        </w:rPr>
      </w:pPr>
      <w:r>
        <w:rPr>
          <w:bCs/>
          <w:sz w:val="24"/>
          <w:szCs w:val="24"/>
          <w:highlight w:val="none"/>
        </w:rPr>
        <w:t>（</w:t>
      </w:r>
      <w:r>
        <w:rPr>
          <w:rFonts w:hint="eastAsia"/>
          <w:bCs/>
          <w:sz w:val="24"/>
          <w:szCs w:val="24"/>
          <w:highlight w:val="none"/>
        </w:rPr>
        <w:t>6</w:t>
      </w:r>
      <w:r>
        <w:rPr>
          <w:bCs/>
          <w:sz w:val="24"/>
          <w:szCs w:val="24"/>
          <w:highlight w:val="none"/>
        </w:rPr>
        <w:t>）建设内容及规模：</w:t>
      </w:r>
      <w:r>
        <w:rPr>
          <w:sz w:val="24"/>
          <w:szCs w:val="24"/>
          <w:highlight w:val="none"/>
        </w:rPr>
        <w:t>本项目</w:t>
      </w:r>
      <w:r>
        <w:rPr>
          <w:rFonts w:hint="eastAsia"/>
          <w:sz w:val="24"/>
          <w:szCs w:val="24"/>
          <w:highlight w:val="none"/>
        </w:rPr>
        <w:t>在</w:t>
      </w:r>
      <w:r>
        <w:rPr>
          <w:rFonts w:hint="eastAsia"/>
          <w:bCs/>
          <w:sz w:val="24"/>
          <w:szCs w:val="24"/>
          <w:highlight w:val="none"/>
        </w:rPr>
        <w:t>遵化恒新矿业有限公司现有厂区内利用现有厂房进行建设，不新增占地，主要对现有破碎筛分设备进行升级改造，同时新增2套精选设备，现有粗选设备保持不变，</w:t>
      </w:r>
      <w:r>
        <w:rPr>
          <w:rFonts w:hint="eastAsia"/>
          <w:sz w:val="24"/>
          <w:szCs w:val="24"/>
          <w:highlight w:val="none"/>
        </w:rPr>
        <w:t>项目建成后全厂年处理60万吨铁矿石、120万吨粗精矿，年产66%铁精粉100万吨。</w:t>
      </w:r>
    </w:p>
    <w:p>
      <w:pPr>
        <w:ind w:firstLine="480"/>
        <w:jc w:val="both"/>
        <w:rPr>
          <w:bCs/>
          <w:sz w:val="24"/>
          <w:szCs w:val="24"/>
          <w:highlight w:val="none"/>
        </w:rPr>
      </w:pPr>
      <w:r>
        <w:rPr>
          <w:bCs/>
          <w:sz w:val="24"/>
          <w:szCs w:val="24"/>
          <w:highlight w:val="none"/>
        </w:rPr>
        <w:t>（</w:t>
      </w:r>
      <w:r>
        <w:rPr>
          <w:rFonts w:hint="eastAsia"/>
          <w:bCs/>
          <w:sz w:val="24"/>
          <w:szCs w:val="24"/>
          <w:highlight w:val="none"/>
        </w:rPr>
        <w:t>7</w:t>
      </w:r>
      <w:r>
        <w:rPr>
          <w:bCs/>
          <w:sz w:val="24"/>
          <w:szCs w:val="24"/>
          <w:highlight w:val="none"/>
        </w:rPr>
        <w:t>）</w:t>
      </w:r>
      <w:r>
        <w:rPr>
          <w:sz w:val="24"/>
          <w:szCs w:val="24"/>
          <w:highlight w:val="none"/>
        </w:rPr>
        <w:t>项目投资：本项目总投资为</w:t>
      </w:r>
      <w:r>
        <w:rPr>
          <w:rFonts w:hint="eastAsia"/>
          <w:sz w:val="24"/>
          <w:szCs w:val="24"/>
          <w:highlight w:val="none"/>
        </w:rPr>
        <w:t>28</w:t>
      </w:r>
      <w:r>
        <w:rPr>
          <w:sz w:val="24"/>
          <w:szCs w:val="24"/>
          <w:highlight w:val="none"/>
        </w:rPr>
        <w:t>00万元，其中环保投资估算</w:t>
      </w:r>
      <w:r>
        <w:rPr>
          <w:rFonts w:hint="eastAsia"/>
          <w:sz w:val="24"/>
          <w:szCs w:val="24"/>
          <w:highlight w:val="none"/>
        </w:rPr>
        <w:t>110</w:t>
      </w:r>
      <w:r>
        <w:rPr>
          <w:sz w:val="24"/>
          <w:szCs w:val="24"/>
          <w:highlight w:val="none"/>
        </w:rPr>
        <w:t>万元，占总投资的比例为</w:t>
      </w:r>
      <w:r>
        <w:rPr>
          <w:rFonts w:hint="eastAsia"/>
          <w:sz w:val="24"/>
          <w:szCs w:val="24"/>
          <w:highlight w:val="none"/>
        </w:rPr>
        <w:t>3.9</w:t>
      </w:r>
      <w:r>
        <w:rPr>
          <w:sz w:val="24"/>
          <w:szCs w:val="24"/>
          <w:highlight w:val="none"/>
        </w:rPr>
        <w:t>%。</w:t>
      </w:r>
    </w:p>
    <w:p>
      <w:pPr>
        <w:ind w:firstLine="480"/>
        <w:jc w:val="both"/>
        <w:rPr>
          <w:bCs/>
          <w:sz w:val="24"/>
          <w:szCs w:val="24"/>
          <w:highlight w:val="none"/>
        </w:rPr>
      </w:pPr>
      <w:r>
        <w:rPr>
          <w:bCs/>
          <w:sz w:val="24"/>
          <w:szCs w:val="24"/>
          <w:highlight w:val="none"/>
        </w:rPr>
        <w:t>（</w:t>
      </w:r>
      <w:r>
        <w:rPr>
          <w:rFonts w:hint="eastAsia"/>
          <w:bCs/>
          <w:sz w:val="24"/>
          <w:szCs w:val="24"/>
          <w:highlight w:val="none"/>
        </w:rPr>
        <w:t>8</w:t>
      </w:r>
      <w:r>
        <w:rPr>
          <w:bCs/>
          <w:sz w:val="24"/>
          <w:szCs w:val="24"/>
          <w:highlight w:val="none"/>
        </w:rPr>
        <w:t>）建设周期：20</w:t>
      </w:r>
      <w:r>
        <w:rPr>
          <w:rFonts w:hint="eastAsia"/>
          <w:bCs/>
          <w:sz w:val="24"/>
          <w:szCs w:val="24"/>
          <w:highlight w:val="none"/>
        </w:rPr>
        <w:t>23</w:t>
      </w:r>
      <w:r>
        <w:rPr>
          <w:bCs/>
          <w:sz w:val="24"/>
          <w:szCs w:val="24"/>
          <w:highlight w:val="none"/>
        </w:rPr>
        <w:t>年9月-202</w:t>
      </w:r>
      <w:r>
        <w:rPr>
          <w:rFonts w:hint="eastAsia"/>
          <w:bCs/>
          <w:sz w:val="24"/>
          <w:szCs w:val="24"/>
          <w:highlight w:val="none"/>
        </w:rPr>
        <w:t>4</w:t>
      </w:r>
      <w:r>
        <w:rPr>
          <w:bCs/>
          <w:sz w:val="24"/>
          <w:szCs w:val="24"/>
          <w:highlight w:val="none"/>
        </w:rPr>
        <w:t>年3月</w:t>
      </w:r>
    </w:p>
    <w:p>
      <w:pPr>
        <w:pStyle w:val="6"/>
        <w:numPr>
          <w:ilvl w:val="2"/>
          <w:numId w:val="1"/>
        </w:numPr>
        <w:rPr>
          <w:szCs w:val="28"/>
          <w:highlight w:val="none"/>
        </w:rPr>
      </w:pPr>
      <w:r>
        <w:rPr>
          <w:szCs w:val="28"/>
          <w:highlight w:val="none"/>
        </w:rPr>
        <w:t>产品方案</w:t>
      </w:r>
    </w:p>
    <w:p>
      <w:pPr>
        <w:ind w:firstLine="480"/>
        <w:jc w:val="both"/>
        <w:rPr>
          <w:sz w:val="24"/>
          <w:szCs w:val="24"/>
          <w:highlight w:val="none"/>
        </w:rPr>
      </w:pPr>
      <w:r>
        <w:rPr>
          <w:sz w:val="24"/>
          <w:szCs w:val="24"/>
          <w:highlight w:val="none"/>
        </w:rPr>
        <w:t>本项目</w:t>
      </w:r>
      <w:r>
        <w:rPr>
          <w:rFonts w:hint="eastAsia"/>
          <w:sz w:val="24"/>
          <w:szCs w:val="24"/>
          <w:highlight w:val="none"/>
        </w:rPr>
        <w:t>实施后全厂</w:t>
      </w:r>
      <w:r>
        <w:rPr>
          <w:sz w:val="24"/>
          <w:szCs w:val="24"/>
          <w:highlight w:val="none"/>
        </w:rPr>
        <w:t>设计生产规模为</w:t>
      </w:r>
      <w:r>
        <w:rPr>
          <w:bCs/>
          <w:sz w:val="24"/>
          <w:szCs w:val="24"/>
          <w:highlight w:val="none"/>
        </w:rPr>
        <w:t>年处理</w:t>
      </w:r>
      <w:r>
        <w:rPr>
          <w:rFonts w:hint="eastAsia"/>
          <w:bCs/>
          <w:sz w:val="24"/>
          <w:szCs w:val="24"/>
          <w:highlight w:val="none"/>
        </w:rPr>
        <w:t>60</w:t>
      </w:r>
      <w:r>
        <w:rPr>
          <w:bCs/>
          <w:sz w:val="24"/>
          <w:szCs w:val="24"/>
          <w:highlight w:val="none"/>
        </w:rPr>
        <w:t>万吨铁矿石</w:t>
      </w:r>
      <w:r>
        <w:rPr>
          <w:rFonts w:hint="eastAsia"/>
          <w:bCs/>
          <w:sz w:val="24"/>
          <w:szCs w:val="24"/>
          <w:highlight w:val="none"/>
        </w:rPr>
        <w:t>、120万吨粗精矿</w:t>
      </w:r>
      <w:r>
        <w:rPr>
          <w:sz w:val="24"/>
          <w:szCs w:val="24"/>
          <w:highlight w:val="none"/>
        </w:rPr>
        <w:t>，</w:t>
      </w:r>
      <w:r>
        <w:rPr>
          <w:rFonts w:hint="eastAsia"/>
          <w:sz w:val="24"/>
          <w:szCs w:val="24"/>
          <w:highlight w:val="none"/>
        </w:rPr>
        <w:t>年产66%铁精粉100万吨（本项目新增87万吨），</w:t>
      </w:r>
      <w:r>
        <w:rPr>
          <w:sz w:val="24"/>
          <w:szCs w:val="24"/>
          <w:highlight w:val="none"/>
        </w:rPr>
        <w:t>产品方案详见表3.</w:t>
      </w:r>
      <w:r>
        <w:rPr>
          <w:rFonts w:hint="eastAsia"/>
          <w:sz w:val="24"/>
          <w:szCs w:val="24"/>
          <w:highlight w:val="none"/>
        </w:rPr>
        <w:t>2</w:t>
      </w:r>
      <w:r>
        <w:rPr>
          <w:sz w:val="24"/>
          <w:szCs w:val="24"/>
          <w:highlight w:val="none"/>
        </w:rPr>
        <w:t>-1。</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表3.</w:t>
      </w:r>
      <w:r>
        <w:rPr>
          <w:rFonts w:hint="eastAsia" w:eastAsia="黑体"/>
          <w:kern w:val="2"/>
          <w:sz w:val="21"/>
          <w:szCs w:val="21"/>
          <w:highlight w:val="none"/>
        </w:rPr>
        <w:t>2</w:t>
      </w:r>
      <w:r>
        <w:rPr>
          <w:rFonts w:eastAsia="黑体"/>
          <w:kern w:val="2"/>
          <w:sz w:val="21"/>
          <w:szCs w:val="21"/>
          <w:highlight w:val="none"/>
        </w:rPr>
        <w:t xml:space="preserve">-1    </w:t>
      </w:r>
      <w:r>
        <w:rPr>
          <w:rFonts w:hint="eastAsia" w:eastAsia="黑体"/>
          <w:kern w:val="2"/>
          <w:sz w:val="21"/>
          <w:szCs w:val="21"/>
          <w:highlight w:val="none"/>
        </w:rPr>
        <w:t>改扩建工程</w:t>
      </w:r>
      <w:r>
        <w:rPr>
          <w:rFonts w:eastAsia="黑体"/>
          <w:kern w:val="2"/>
          <w:sz w:val="21"/>
          <w:szCs w:val="21"/>
          <w:highlight w:val="none"/>
        </w:rPr>
        <w:t>产品方案</w:t>
      </w:r>
    </w:p>
    <w:tbl>
      <w:tblPr>
        <w:tblStyle w:val="56"/>
        <w:tblW w:w="8522"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41"/>
        <w:gridCol w:w="2081"/>
        <w:gridCol w:w="400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41"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产品名称</w:t>
            </w:r>
          </w:p>
        </w:tc>
        <w:tc>
          <w:tcPr>
            <w:tcW w:w="2081" w:type="dxa"/>
            <w:vAlign w:val="center"/>
          </w:tcPr>
          <w:p>
            <w:pPr>
              <w:spacing w:line="240" w:lineRule="auto"/>
              <w:ind w:firstLine="0" w:firstLineChars="0"/>
              <w:jc w:val="center"/>
              <w:rPr>
                <w:sz w:val="21"/>
                <w:szCs w:val="21"/>
                <w:highlight w:val="none"/>
              </w:rPr>
            </w:pPr>
            <w:r>
              <w:rPr>
                <w:sz w:val="21"/>
                <w:szCs w:val="21"/>
                <w:highlight w:val="none"/>
              </w:rPr>
              <w:t>产量（t/a）</w:t>
            </w:r>
          </w:p>
        </w:tc>
        <w:tc>
          <w:tcPr>
            <w:tcW w:w="4000" w:type="dxa"/>
            <w:tcBorders>
              <w:right w:val="single" w:color="auto" w:sz="4" w:space="0"/>
            </w:tcBorders>
            <w:vAlign w:val="center"/>
          </w:tcPr>
          <w:p>
            <w:pPr>
              <w:spacing w:line="240" w:lineRule="auto"/>
              <w:ind w:firstLine="149" w:firstLineChars="71"/>
              <w:jc w:val="center"/>
              <w:rPr>
                <w:sz w:val="21"/>
                <w:szCs w:val="21"/>
                <w:highlight w:val="none"/>
              </w:rPr>
            </w:pPr>
            <w:r>
              <w:rPr>
                <w:sz w:val="21"/>
                <w:szCs w:val="21"/>
                <w:highlight w:val="none"/>
              </w:rPr>
              <w:t>备注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41"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铁精粉</w:t>
            </w:r>
          </w:p>
        </w:tc>
        <w:tc>
          <w:tcPr>
            <w:tcW w:w="2081" w:type="dxa"/>
            <w:vAlign w:val="center"/>
          </w:tcPr>
          <w:p>
            <w:pPr>
              <w:spacing w:line="240" w:lineRule="auto"/>
              <w:ind w:firstLine="0" w:firstLineChars="0"/>
              <w:jc w:val="center"/>
              <w:rPr>
                <w:sz w:val="21"/>
                <w:szCs w:val="21"/>
                <w:highlight w:val="none"/>
              </w:rPr>
            </w:pPr>
            <w:r>
              <w:rPr>
                <w:rFonts w:hint="eastAsia"/>
                <w:sz w:val="21"/>
                <w:szCs w:val="21"/>
                <w:highlight w:val="none"/>
              </w:rPr>
              <w:t>87万</w:t>
            </w:r>
          </w:p>
        </w:tc>
        <w:tc>
          <w:tcPr>
            <w:tcW w:w="4000"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平均品位为</w:t>
            </w:r>
            <w:r>
              <w:rPr>
                <w:rFonts w:hint="eastAsia"/>
                <w:sz w:val="21"/>
                <w:szCs w:val="21"/>
                <w:highlight w:val="none"/>
              </w:rPr>
              <w:t>66</w:t>
            </w:r>
            <w:r>
              <w:rPr>
                <w:sz w:val="21"/>
                <w:szCs w:val="21"/>
                <w:highlight w:val="none"/>
              </w:rPr>
              <w:t>%</w:t>
            </w:r>
            <w:r>
              <w:rPr>
                <w:rFonts w:hint="eastAsia"/>
                <w:sz w:val="21"/>
                <w:szCs w:val="21"/>
                <w:highlight w:val="none"/>
              </w:rPr>
              <w:t>，含水率1</w:t>
            </w:r>
            <w:r>
              <w:rPr>
                <w:sz w:val="21"/>
                <w:szCs w:val="21"/>
                <w:highlight w:val="none"/>
              </w:rPr>
              <w:t>0</w:t>
            </w:r>
            <w:r>
              <w:rPr>
                <w:rFonts w:hint="eastAsia"/>
                <w:sz w:val="21"/>
                <w:szCs w:val="21"/>
                <w:highlight w:val="none"/>
              </w:rPr>
              <w:t>%</w:t>
            </w:r>
          </w:p>
        </w:tc>
      </w:tr>
    </w:tbl>
    <w:p>
      <w:pPr>
        <w:pStyle w:val="6"/>
        <w:numPr>
          <w:ilvl w:val="2"/>
          <w:numId w:val="1"/>
        </w:numPr>
        <w:rPr>
          <w:szCs w:val="28"/>
          <w:highlight w:val="none"/>
        </w:rPr>
      </w:pPr>
      <w:r>
        <w:rPr>
          <w:szCs w:val="28"/>
          <w:highlight w:val="none"/>
        </w:rPr>
        <w:t>项目建设内容</w:t>
      </w:r>
      <w:r>
        <w:rPr>
          <w:rFonts w:hint="eastAsia"/>
          <w:szCs w:val="28"/>
          <w:highlight w:val="none"/>
        </w:rPr>
        <w:t>及规模</w:t>
      </w:r>
    </w:p>
    <w:p>
      <w:pPr>
        <w:ind w:firstLine="480"/>
        <w:jc w:val="both"/>
        <w:rPr>
          <w:sz w:val="24"/>
          <w:szCs w:val="24"/>
          <w:highlight w:val="none"/>
        </w:rPr>
      </w:pPr>
      <w:r>
        <w:rPr>
          <w:sz w:val="24"/>
          <w:szCs w:val="24"/>
          <w:highlight w:val="none"/>
        </w:rPr>
        <w:t>本项目</w:t>
      </w:r>
      <w:r>
        <w:rPr>
          <w:rFonts w:hint="eastAsia"/>
          <w:sz w:val="24"/>
          <w:szCs w:val="24"/>
          <w:highlight w:val="none"/>
        </w:rPr>
        <w:t>选址位于</w:t>
      </w:r>
      <w:r>
        <w:rPr>
          <w:rFonts w:hint="eastAsia"/>
          <w:bCs/>
          <w:sz w:val="24"/>
          <w:szCs w:val="24"/>
          <w:highlight w:val="none"/>
        </w:rPr>
        <w:t>遵化恒新矿业有限公司现有厂区内，不新增占地，利用现有厂房进行建设，主要对现有破碎筛分设备进行升级改造，同时新增2套精选设备，现有粗选设备保持不变</w:t>
      </w:r>
      <w:r>
        <w:rPr>
          <w:bCs/>
          <w:sz w:val="24"/>
          <w:szCs w:val="24"/>
          <w:highlight w:val="none"/>
        </w:rPr>
        <w:t>。</w:t>
      </w:r>
      <w:r>
        <w:rPr>
          <w:sz w:val="24"/>
          <w:szCs w:val="24"/>
          <w:highlight w:val="none"/>
        </w:rPr>
        <w:t>项目组成及工程内容见表3.</w:t>
      </w:r>
      <w:r>
        <w:rPr>
          <w:rFonts w:hint="eastAsia"/>
          <w:sz w:val="24"/>
          <w:szCs w:val="24"/>
          <w:highlight w:val="none"/>
        </w:rPr>
        <w:t>2</w:t>
      </w:r>
      <w:r>
        <w:rPr>
          <w:sz w:val="24"/>
          <w:szCs w:val="24"/>
          <w:highlight w:val="none"/>
        </w:rPr>
        <w:t>-2，主要建构筑物见表3.</w:t>
      </w:r>
      <w:r>
        <w:rPr>
          <w:rFonts w:hint="eastAsia"/>
          <w:sz w:val="24"/>
          <w:szCs w:val="24"/>
          <w:highlight w:val="none"/>
        </w:rPr>
        <w:t>2</w:t>
      </w:r>
      <w:r>
        <w:rPr>
          <w:sz w:val="24"/>
          <w:szCs w:val="24"/>
          <w:highlight w:val="none"/>
        </w:rPr>
        <w:t>-3。</w:t>
      </w:r>
    </w:p>
    <w:p>
      <w:pPr>
        <w:widowControl/>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表3.</w:t>
      </w:r>
      <w:r>
        <w:rPr>
          <w:rFonts w:hint="eastAsia" w:eastAsia="黑体"/>
          <w:kern w:val="2"/>
          <w:sz w:val="21"/>
          <w:szCs w:val="21"/>
          <w:highlight w:val="none"/>
        </w:rPr>
        <w:t>2</w:t>
      </w:r>
      <w:r>
        <w:rPr>
          <w:rFonts w:eastAsia="黑体"/>
          <w:kern w:val="2"/>
          <w:sz w:val="21"/>
          <w:szCs w:val="21"/>
          <w:highlight w:val="none"/>
        </w:rPr>
        <w:t xml:space="preserve">-2  </w:t>
      </w:r>
      <w:r>
        <w:rPr>
          <w:rFonts w:hint="eastAsia" w:eastAsia="黑体"/>
          <w:kern w:val="2"/>
          <w:sz w:val="21"/>
          <w:szCs w:val="21"/>
          <w:highlight w:val="none"/>
        </w:rPr>
        <w:t>改扩建</w:t>
      </w:r>
      <w:r>
        <w:rPr>
          <w:rFonts w:hint="eastAsia" w:eastAsia="黑体"/>
          <w:sz w:val="21"/>
          <w:szCs w:val="21"/>
          <w:highlight w:val="none"/>
        </w:rPr>
        <w:t>工程</w:t>
      </w:r>
      <w:r>
        <w:rPr>
          <w:rFonts w:eastAsia="黑体"/>
          <w:sz w:val="21"/>
          <w:szCs w:val="21"/>
          <w:highlight w:val="none"/>
        </w:rPr>
        <w:t>组成及内容</w:t>
      </w:r>
    </w:p>
    <w:tbl>
      <w:tblPr>
        <w:tblStyle w:val="56"/>
        <w:tblW w:w="8525"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246"/>
        <w:gridCol w:w="432"/>
        <w:gridCol w:w="1698"/>
        <w:gridCol w:w="5132"/>
        <w:gridCol w:w="10"/>
        <w:gridCol w:w="1007"/>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2376" w:type="dxa"/>
            <w:gridSpan w:val="3"/>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工程项目</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建设内容</w:t>
            </w:r>
          </w:p>
        </w:tc>
        <w:tc>
          <w:tcPr>
            <w:tcW w:w="1017" w:type="dxa"/>
            <w:gridSpan w:val="2"/>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备注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restart"/>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主体</w:t>
            </w:r>
          </w:p>
          <w:p>
            <w:pPr>
              <w:pStyle w:val="287"/>
              <w:spacing w:line="240" w:lineRule="auto"/>
              <w:rPr>
                <w:rFonts w:ascii="Times New Roman" w:eastAsia="宋体" w:cs="Times New Roman"/>
                <w:highlight w:val="none"/>
              </w:rPr>
            </w:pPr>
            <w:r>
              <w:rPr>
                <w:rFonts w:ascii="Times New Roman" w:eastAsia="宋体" w:cs="Times New Roman"/>
                <w:highlight w:val="none"/>
              </w:rPr>
              <w:t>工程</w:t>
            </w: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破碎车间</w:t>
            </w:r>
          </w:p>
        </w:tc>
        <w:tc>
          <w:tcPr>
            <w:tcW w:w="5132" w:type="dxa"/>
            <w:tcBorders>
              <w:left w:val="single" w:color="auto" w:sz="4" w:space="0"/>
              <w:right w:val="single" w:color="auto" w:sz="4" w:space="0"/>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在现有破碎车间内对破碎筛分设备进行升级改造</w:t>
            </w:r>
            <w:r>
              <w:rPr>
                <w:rFonts w:eastAsiaTheme="minorEastAsia"/>
                <w:sz w:val="21"/>
                <w:szCs w:val="21"/>
                <w:highlight w:val="none"/>
              </w:rPr>
              <w:t>，</w:t>
            </w:r>
            <w:r>
              <w:rPr>
                <w:rFonts w:hint="eastAsia" w:eastAsiaTheme="minorEastAsia"/>
                <w:sz w:val="21"/>
                <w:szCs w:val="21"/>
                <w:highlight w:val="none"/>
              </w:rPr>
              <w:t>具体情况见表3.2-4</w:t>
            </w:r>
            <w:r>
              <w:rPr>
                <w:rFonts w:eastAsiaTheme="minorEastAsia"/>
                <w:sz w:val="21"/>
                <w:szCs w:val="21"/>
                <w:highlight w:val="none"/>
              </w:rPr>
              <w:t>。</w:t>
            </w:r>
          </w:p>
        </w:tc>
        <w:tc>
          <w:tcPr>
            <w:tcW w:w="1017" w:type="dxa"/>
            <w:gridSpan w:val="2"/>
            <w:vMerge w:val="restart"/>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依托现有车间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选矿</w:t>
            </w:r>
            <w:r>
              <w:rPr>
                <w:rFonts w:ascii="Times New Roman" w:eastAsia="宋体" w:cs="Times New Roman"/>
                <w:highlight w:val="none"/>
              </w:rPr>
              <w:t>车间</w:t>
            </w:r>
          </w:p>
        </w:tc>
        <w:tc>
          <w:tcPr>
            <w:tcW w:w="5132" w:type="dxa"/>
            <w:tcBorders>
              <w:left w:val="single" w:color="auto" w:sz="4" w:space="0"/>
              <w:right w:val="single" w:color="auto" w:sz="4" w:space="0"/>
            </w:tcBorders>
            <w:vAlign w:val="center"/>
          </w:tcPr>
          <w:p>
            <w:pPr>
              <w:pStyle w:val="287"/>
              <w:spacing w:line="240" w:lineRule="auto"/>
              <w:rPr>
                <w:rFonts w:ascii="Times New Roman" w:cs="Times New Roman" w:eastAsiaTheme="minorEastAsia"/>
                <w:highlight w:val="none"/>
              </w:rPr>
            </w:pPr>
            <w:r>
              <w:rPr>
                <w:rFonts w:hint="eastAsia" w:ascii="Times New Roman" w:cs="Times New Roman" w:eastAsiaTheme="minorEastAsia"/>
                <w:highlight w:val="none"/>
              </w:rPr>
              <w:t>保持粗选设备不变</w:t>
            </w:r>
            <w:r>
              <w:rPr>
                <w:rFonts w:ascii="Times New Roman" w:cs="Times New Roman" w:eastAsiaTheme="minorEastAsia"/>
                <w:highlight w:val="none"/>
              </w:rPr>
              <w:t>，</w:t>
            </w:r>
            <w:r>
              <w:rPr>
                <w:rFonts w:hint="eastAsia" w:ascii="Times New Roman" w:cs="Times New Roman" w:eastAsiaTheme="minorEastAsia"/>
                <w:highlight w:val="none"/>
              </w:rPr>
              <w:t>新增2套精选设备</w:t>
            </w:r>
            <w:r>
              <w:rPr>
                <w:rFonts w:ascii="Times New Roman" w:cs="Times New Roman" w:eastAsiaTheme="minorEastAsia"/>
                <w:highlight w:val="none"/>
              </w:rPr>
              <w:t>。</w:t>
            </w:r>
          </w:p>
        </w:tc>
        <w:tc>
          <w:tcPr>
            <w:tcW w:w="1017"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restart"/>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储运</w:t>
            </w:r>
          </w:p>
          <w:p>
            <w:pPr>
              <w:pStyle w:val="287"/>
              <w:spacing w:line="240" w:lineRule="auto"/>
              <w:rPr>
                <w:rFonts w:ascii="Times New Roman" w:eastAsia="宋体" w:cs="Times New Roman"/>
                <w:highlight w:val="none"/>
              </w:rPr>
            </w:pPr>
            <w:r>
              <w:rPr>
                <w:rFonts w:ascii="Times New Roman" w:eastAsia="宋体" w:cs="Times New Roman"/>
                <w:highlight w:val="none"/>
              </w:rPr>
              <w:t>工程</w:t>
            </w: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原料</w:t>
            </w:r>
            <w:r>
              <w:rPr>
                <w:rFonts w:hint="eastAsia" w:ascii="Times New Roman" w:eastAsia="宋体" w:cs="Times New Roman"/>
                <w:highlight w:val="none"/>
              </w:rPr>
              <w:t>存储</w:t>
            </w:r>
          </w:p>
        </w:tc>
        <w:tc>
          <w:tcPr>
            <w:tcW w:w="5132" w:type="dxa"/>
            <w:vMerge w:val="restart"/>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破碎车间内部设有原料存储区、尾矿砂及泥饼存储区，不露天堆存，暂存于全封闭车间内</w:t>
            </w:r>
          </w:p>
          <w:p>
            <w:pPr>
              <w:pStyle w:val="287"/>
              <w:spacing w:line="240" w:lineRule="auto"/>
              <w:rPr>
                <w:rFonts w:ascii="Times New Roman" w:eastAsia="宋体" w:cs="Times New Roman"/>
                <w:highlight w:val="none"/>
              </w:rPr>
            </w:pPr>
            <w:r>
              <w:rPr>
                <w:rFonts w:hint="eastAsia" w:ascii="Times New Roman" w:eastAsia="宋体" w:cs="Times New Roman"/>
                <w:highlight w:val="none"/>
              </w:rPr>
              <w:t>原料不在厂区长期堆存，生产时原料从矿山由汽车运输进厂，原料库仅作为原料短期周转场所，保证生产的连续性，不露天堆存；尾矿砂、泥饼暂存于尾矿砂库内，作为建筑材料外售，随产随销，不长期堆存</w:t>
            </w:r>
          </w:p>
        </w:tc>
        <w:tc>
          <w:tcPr>
            <w:tcW w:w="1017" w:type="dxa"/>
            <w:gridSpan w:val="2"/>
            <w:vMerge w:val="restart"/>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依托现有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尾矿砂存储</w:t>
            </w:r>
          </w:p>
        </w:tc>
        <w:tc>
          <w:tcPr>
            <w:tcW w:w="5132" w:type="dxa"/>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c>
          <w:tcPr>
            <w:tcW w:w="1017"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lang w:val="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粗铁粉存储</w:t>
            </w:r>
          </w:p>
        </w:tc>
        <w:tc>
          <w:tcPr>
            <w:tcW w:w="5132" w:type="dxa"/>
            <w:vMerge w:val="restart"/>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选矿车间内部设有粗精粉存储区、成品存储区，不露天堆存，暂存于全封闭车间内，粗铁粉作为精选线原料，在粗铁粉库短暂存储后作为原料消耗，成品暂存区面积占地面积1750m</w:t>
            </w:r>
            <w:r>
              <w:rPr>
                <w:rFonts w:hint="eastAsia" w:ascii="Times New Roman" w:eastAsia="宋体" w:cs="Times New Roman"/>
                <w:highlight w:val="none"/>
                <w:vertAlign w:val="superscript"/>
              </w:rPr>
              <w:t>2</w:t>
            </w:r>
            <w:r>
              <w:rPr>
                <w:rFonts w:hint="eastAsia" w:ascii="Times New Roman" w:eastAsia="宋体" w:cs="Times New Roman"/>
                <w:highlight w:val="none"/>
              </w:rPr>
              <w:t>，能够满足10天的成品存储需求</w:t>
            </w:r>
          </w:p>
        </w:tc>
        <w:tc>
          <w:tcPr>
            <w:tcW w:w="1017" w:type="dxa"/>
            <w:gridSpan w:val="2"/>
            <w:vMerge w:val="restart"/>
            <w:tcBorders>
              <w:left w:val="single" w:color="auto" w:sz="4" w:space="0"/>
              <w:right w:val="single" w:color="auto" w:sz="4" w:space="0"/>
            </w:tcBorders>
            <w:vAlign w:val="center"/>
          </w:tcPr>
          <w:p>
            <w:pPr>
              <w:pStyle w:val="287"/>
              <w:spacing w:line="240" w:lineRule="auto"/>
              <w:rPr>
                <w:rFonts w:ascii="Times New Roman" w:eastAsia="宋体" w:cs="Times New Roman"/>
                <w:highlight w:val="none"/>
                <w:lang w:val="zh-CN"/>
              </w:rPr>
            </w:pPr>
            <w:r>
              <w:rPr>
                <w:rFonts w:hint="eastAsia" w:ascii="Times New Roman" w:eastAsia="宋体" w:cs="Times New Roman"/>
                <w:highlight w:val="none"/>
              </w:rPr>
              <w:t>依托现有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成品存储</w:t>
            </w:r>
          </w:p>
        </w:tc>
        <w:tc>
          <w:tcPr>
            <w:tcW w:w="5132" w:type="dxa"/>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c>
          <w:tcPr>
            <w:tcW w:w="1017"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60" w:hRule="atLeast"/>
          <w:jc w:val="center"/>
        </w:trPr>
        <w:tc>
          <w:tcPr>
            <w:tcW w:w="678" w:type="dxa"/>
            <w:gridSpan w:val="2"/>
            <w:tcBorders>
              <w:left w:val="single" w:color="auto" w:sz="4" w:space="0"/>
              <w:bottom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辅助</w:t>
            </w:r>
          </w:p>
          <w:p>
            <w:pPr>
              <w:pStyle w:val="287"/>
              <w:spacing w:line="240" w:lineRule="auto"/>
              <w:rPr>
                <w:rFonts w:ascii="Times New Roman" w:eastAsia="宋体" w:cs="Times New Roman"/>
                <w:highlight w:val="none"/>
              </w:rPr>
            </w:pPr>
            <w:r>
              <w:rPr>
                <w:rFonts w:ascii="Times New Roman" w:eastAsia="宋体" w:cs="Times New Roman"/>
                <w:highlight w:val="none"/>
              </w:rPr>
              <w:t>工程</w:t>
            </w: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eastAsiaTheme="minorEastAsia"/>
                <w:highlight w:val="none"/>
              </w:rPr>
              <w:t>尾矿</w:t>
            </w:r>
            <w:r>
              <w:rPr>
                <w:rFonts w:hint="eastAsia" w:ascii="Times New Roman" w:eastAsia="宋体" w:cs="Times New Roman"/>
                <w:highlight w:val="none"/>
              </w:rPr>
              <w:t>压滤间</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建筑面积约</w:t>
            </w:r>
            <w:r>
              <w:rPr>
                <w:rFonts w:hint="eastAsia" w:ascii="Times New Roman" w:eastAsia="宋体" w:cs="Times New Roman"/>
                <w:highlight w:val="none"/>
              </w:rPr>
              <w:t>14</w:t>
            </w:r>
            <w:r>
              <w:rPr>
                <w:rFonts w:ascii="Times New Roman" w:eastAsia="宋体" w:cs="Times New Roman"/>
                <w:highlight w:val="none"/>
              </w:rPr>
              <w:t>0m</w:t>
            </w:r>
            <w:r>
              <w:rPr>
                <w:rFonts w:ascii="Times New Roman" w:eastAsia="宋体" w:cs="Times New Roman"/>
                <w:highlight w:val="none"/>
                <w:vertAlign w:val="superscript"/>
              </w:rPr>
              <w:t>2</w:t>
            </w:r>
            <w:r>
              <w:rPr>
                <w:rFonts w:ascii="Times New Roman" w:eastAsia="宋体" w:cs="Times New Roman"/>
                <w:highlight w:val="none"/>
              </w:rPr>
              <w:t>，</w:t>
            </w:r>
            <w:r>
              <w:rPr>
                <w:rFonts w:hint="eastAsia" w:ascii="Times New Roman" w:eastAsia="宋体" w:cs="Times New Roman"/>
                <w:highlight w:val="none"/>
              </w:rPr>
              <w:t>14</w:t>
            </w:r>
            <w:r>
              <w:rPr>
                <w:rFonts w:ascii="Times New Roman" w:eastAsia="宋体" w:cs="Times New Roman"/>
                <w:highlight w:val="none"/>
              </w:rPr>
              <w:t>m×</w:t>
            </w:r>
            <w:r>
              <w:rPr>
                <w:rFonts w:hint="eastAsia" w:ascii="Times New Roman" w:eastAsia="宋体" w:cs="Times New Roman"/>
                <w:highlight w:val="none"/>
              </w:rPr>
              <w:t>10</w:t>
            </w:r>
            <w:r>
              <w:rPr>
                <w:rFonts w:ascii="Times New Roman" w:eastAsia="宋体" w:cs="Times New Roman"/>
                <w:highlight w:val="none"/>
              </w:rPr>
              <w:t>m，</w:t>
            </w:r>
            <w:r>
              <w:rPr>
                <w:rFonts w:hint="eastAsia" w:ascii="Times New Roman" w:eastAsia="宋体" w:cs="Times New Roman"/>
                <w:highlight w:val="none"/>
              </w:rPr>
              <w:t>彩钢</w:t>
            </w:r>
            <w:r>
              <w:rPr>
                <w:rFonts w:ascii="Times New Roman" w:eastAsia="宋体" w:cs="Times New Roman"/>
                <w:highlight w:val="none"/>
              </w:rPr>
              <w:t>结构</w:t>
            </w:r>
          </w:p>
        </w:tc>
        <w:tc>
          <w:tcPr>
            <w:tcW w:w="1017" w:type="dxa"/>
            <w:gridSpan w:val="2"/>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依托现有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8" w:hRule="atLeast"/>
          <w:jc w:val="center"/>
        </w:trPr>
        <w:tc>
          <w:tcPr>
            <w:tcW w:w="246" w:type="dxa"/>
            <w:vMerge w:val="restart"/>
            <w:tcBorders>
              <w:top w:val="single" w:color="auto" w:sz="4" w:space="0"/>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依托工程</w:t>
            </w:r>
          </w:p>
        </w:tc>
        <w:tc>
          <w:tcPr>
            <w:tcW w:w="432" w:type="dxa"/>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kern w:val="2"/>
                <w:sz w:val="21"/>
                <w:szCs w:val="21"/>
                <w:highlight w:val="none"/>
              </w:rPr>
            </w:pPr>
            <w:r>
              <w:rPr>
                <w:kern w:val="2"/>
                <w:sz w:val="21"/>
                <w:szCs w:val="21"/>
                <w:highlight w:val="none"/>
              </w:rPr>
              <w:t>公用</w:t>
            </w:r>
          </w:p>
          <w:p>
            <w:pPr>
              <w:spacing w:line="240" w:lineRule="auto"/>
              <w:ind w:firstLine="0" w:firstLineChars="0"/>
              <w:jc w:val="center"/>
              <w:rPr>
                <w:kern w:val="2"/>
                <w:sz w:val="21"/>
                <w:szCs w:val="21"/>
                <w:highlight w:val="none"/>
              </w:rPr>
            </w:pPr>
            <w:r>
              <w:rPr>
                <w:kern w:val="2"/>
                <w:sz w:val="21"/>
                <w:szCs w:val="21"/>
                <w:highlight w:val="none"/>
              </w:rPr>
              <w:t>工程</w:t>
            </w: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办公区</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依托现有办公区；</w:t>
            </w:r>
            <w:r>
              <w:rPr>
                <w:rFonts w:ascii="Times New Roman" w:eastAsia="宋体" w:cs="Times New Roman"/>
                <w:highlight w:val="none"/>
              </w:rPr>
              <w:t>建筑面积约</w:t>
            </w:r>
            <w:r>
              <w:rPr>
                <w:rFonts w:hint="eastAsia" w:ascii="Times New Roman" w:eastAsia="宋体" w:cs="Times New Roman"/>
                <w:highlight w:val="none"/>
              </w:rPr>
              <w:t>10</w:t>
            </w:r>
            <w:r>
              <w:rPr>
                <w:rFonts w:ascii="Times New Roman" w:eastAsia="宋体" w:cs="Times New Roman"/>
                <w:highlight w:val="none"/>
              </w:rPr>
              <w:t>0m</w:t>
            </w:r>
            <w:r>
              <w:rPr>
                <w:rFonts w:ascii="Times New Roman" w:eastAsia="宋体" w:cs="Times New Roman"/>
                <w:highlight w:val="none"/>
                <w:vertAlign w:val="superscript"/>
              </w:rPr>
              <w:t>2</w:t>
            </w:r>
            <w:r>
              <w:rPr>
                <w:rFonts w:ascii="Times New Roman" w:eastAsia="宋体" w:cs="Times New Roman"/>
                <w:highlight w:val="none"/>
              </w:rPr>
              <w:t>，20m×</w:t>
            </w:r>
            <w:r>
              <w:rPr>
                <w:rFonts w:hint="eastAsia" w:ascii="Times New Roman" w:eastAsia="宋体" w:cs="Times New Roman"/>
                <w:highlight w:val="none"/>
              </w:rPr>
              <w:t>5</w:t>
            </w:r>
            <w:r>
              <w:rPr>
                <w:rFonts w:ascii="Times New Roman" w:eastAsia="宋体" w:cs="Times New Roman"/>
                <w:highlight w:val="none"/>
              </w:rPr>
              <w:t>m，一层</w:t>
            </w:r>
          </w:p>
          <w:p>
            <w:pPr>
              <w:pStyle w:val="287"/>
              <w:spacing w:line="240" w:lineRule="auto"/>
              <w:rPr>
                <w:rFonts w:ascii="Times New Roman" w:eastAsia="宋体" w:cs="Times New Roman"/>
                <w:highlight w:val="none"/>
              </w:rPr>
            </w:pPr>
            <w:r>
              <w:rPr>
                <w:rFonts w:ascii="Times New Roman" w:eastAsia="宋体" w:cs="Times New Roman"/>
                <w:highlight w:val="none"/>
              </w:rPr>
              <w:t>砖混结构</w:t>
            </w:r>
          </w:p>
        </w:tc>
        <w:tc>
          <w:tcPr>
            <w:tcW w:w="1017" w:type="dxa"/>
            <w:gridSpan w:val="2"/>
            <w:vMerge w:val="restart"/>
            <w:tcBorders>
              <w:left w:val="single" w:color="auto" w:sz="4" w:space="0"/>
              <w:right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依托现有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46" w:type="dxa"/>
            <w:vMerge w:val="continue"/>
            <w:tcBorders>
              <w:left w:val="single" w:color="auto" w:sz="4" w:space="0"/>
              <w:right w:val="single" w:color="auto" w:sz="4" w:space="0"/>
            </w:tcBorders>
            <w:vAlign w:val="center"/>
          </w:tcPr>
          <w:p>
            <w:pPr>
              <w:spacing w:line="240" w:lineRule="auto"/>
              <w:ind w:firstLine="0" w:firstLineChars="0"/>
              <w:jc w:val="center"/>
              <w:rPr>
                <w:kern w:val="2"/>
                <w:sz w:val="21"/>
                <w:szCs w:val="21"/>
                <w:highlight w:val="none"/>
              </w:rPr>
            </w:pPr>
          </w:p>
        </w:tc>
        <w:tc>
          <w:tcPr>
            <w:tcW w:w="432" w:type="dxa"/>
            <w:vMerge w:val="continue"/>
            <w:tcBorders>
              <w:left w:val="single" w:color="auto" w:sz="4" w:space="0"/>
              <w:right w:val="single" w:color="auto" w:sz="4" w:space="0"/>
            </w:tcBorders>
            <w:vAlign w:val="center"/>
          </w:tcPr>
          <w:p>
            <w:pPr>
              <w:spacing w:line="240" w:lineRule="auto"/>
              <w:ind w:firstLine="0" w:firstLineChars="0"/>
              <w:jc w:val="center"/>
              <w:rPr>
                <w:kern w:val="2"/>
                <w:sz w:val="21"/>
                <w:szCs w:val="21"/>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供水工程</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由厂区内现有的自备井供给</w:t>
            </w:r>
          </w:p>
        </w:tc>
        <w:tc>
          <w:tcPr>
            <w:tcW w:w="1017" w:type="dxa"/>
            <w:gridSpan w:val="2"/>
            <w:vMerge w:val="continue"/>
            <w:tcBorders>
              <w:left w:val="single" w:color="auto" w:sz="4" w:space="0"/>
              <w:right w:val="single" w:color="auto" w:sz="4" w:space="0"/>
            </w:tcBorders>
            <w:vAlign w:val="center"/>
          </w:tcPr>
          <w:p>
            <w:pPr>
              <w:spacing w:line="240" w:lineRule="auto"/>
              <w:ind w:firstLine="0" w:firstLineChars="0"/>
              <w:jc w:val="center"/>
              <w:rPr>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46" w:type="dxa"/>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432" w:type="dxa"/>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供电工程</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电源引自</w:t>
            </w:r>
            <w:r>
              <w:rPr>
                <w:rFonts w:ascii="Times New Roman" w:eastAsia="宋体" w:cs="Times New Roman"/>
                <w:highlight w:val="none"/>
                <w:lang w:val="en-GB"/>
              </w:rPr>
              <w:t>当地</w:t>
            </w:r>
            <w:r>
              <w:rPr>
                <w:rFonts w:ascii="Times New Roman" w:eastAsia="宋体" w:cs="Times New Roman"/>
                <w:highlight w:val="none"/>
              </w:rPr>
              <w:t>35kV变电站，厂区内设配电室1座</w:t>
            </w:r>
          </w:p>
        </w:tc>
        <w:tc>
          <w:tcPr>
            <w:tcW w:w="1017"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46" w:type="dxa"/>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432" w:type="dxa"/>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供热设施</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生产系统无供热设施，办公区采用空调或电暖气采暖</w:t>
            </w:r>
          </w:p>
        </w:tc>
        <w:tc>
          <w:tcPr>
            <w:tcW w:w="1017"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restart"/>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环保</w:t>
            </w:r>
          </w:p>
          <w:p>
            <w:pPr>
              <w:pStyle w:val="287"/>
              <w:spacing w:line="240" w:lineRule="auto"/>
              <w:rPr>
                <w:rFonts w:ascii="Times New Roman" w:eastAsia="宋体" w:cs="Times New Roman"/>
                <w:highlight w:val="none"/>
              </w:rPr>
            </w:pPr>
            <w:r>
              <w:rPr>
                <w:rFonts w:ascii="Times New Roman" w:eastAsia="宋体" w:cs="Times New Roman"/>
                <w:highlight w:val="none"/>
              </w:rPr>
              <w:t>工程</w:t>
            </w: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破碎车间</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封闭车间，</w:t>
            </w:r>
            <w:r>
              <w:rPr>
                <w:rFonts w:hint="eastAsia" w:ascii="Times New Roman" w:eastAsia="宋体" w:cs="Times New Roman"/>
                <w:highlight w:val="none"/>
              </w:rPr>
              <w:t>破碎、筛分等</w:t>
            </w:r>
            <w:r>
              <w:rPr>
                <w:rFonts w:ascii="Times New Roman" w:eastAsia="宋体" w:cs="Times New Roman"/>
                <w:highlight w:val="none"/>
              </w:rPr>
              <w:t>各产尘点由集气罩收集进入布袋除尘器处理，</w:t>
            </w:r>
            <w:r>
              <w:rPr>
                <w:rFonts w:hint="eastAsia" w:ascii="Times New Roman" w:eastAsia="宋体" w:cs="Times New Roman"/>
                <w:highlight w:val="none"/>
              </w:rPr>
              <w:t>经1根</w:t>
            </w:r>
            <w:r>
              <w:rPr>
                <w:rFonts w:ascii="Times New Roman" w:eastAsia="宋体" w:cs="Times New Roman"/>
                <w:highlight w:val="none"/>
              </w:rPr>
              <w:t>1</w:t>
            </w:r>
            <w:r>
              <w:rPr>
                <w:rFonts w:hint="eastAsia" w:ascii="Times New Roman" w:eastAsia="宋体" w:cs="Times New Roman"/>
                <w:highlight w:val="none"/>
              </w:rPr>
              <w:t>8</w:t>
            </w:r>
            <w:r>
              <w:rPr>
                <w:rFonts w:ascii="Times New Roman" w:eastAsia="宋体" w:cs="Times New Roman"/>
                <w:highlight w:val="none"/>
              </w:rPr>
              <w:t>m高排气筒排放。</w:t>
            </w:r>
          </w:p>
        </w:tc>
        <w:tc>
          <w:tcPr>
            <w:tcW w:w="1017" w:type="dxa"/>
            <w:gridSpan w:val="2"/>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更新</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物料存储</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均存储于</w:t>
            </w:r>
            <w:r>
              <w:rPr>
                <w:rFonts w:ascii="Times New Roman" w:eastAsia="宋体" w:cs="Times New Roman"/>
                <w:highlight w:val="none"/>
              </w:rPr>
              <w:t>全封闭结构</w:t>
            </w:r>
            <w:r>
              <w:rPr>
                <w:rFonts w:hint="eastAsia" w:ascii="Times New Roman" w:eastAsia="宋体" w:cs="Times New Roman"/>
                <w:highlight w:val="none"/>
              </w:rPr>
              <w:t>车间内</w:t>
            </w:r>
            <w:r>
              <w:rPr>
                <w:rFonts w:ascii="Times New Roman" w:eastAsia="宋体" w:cs="Times New Roman"/>
                <w:highlight w:val="none"/>
              </w:rPr>
              <w:t>，并进行地面硬化，设置喷雾抑尘装置。</w:t>
            </w:r>
          </w:p>
        </w:tc>
        <w:tc>
          <w:tcPr>
            <w:tcW w:w="1017" w:type="dxa"/>
            <w:gridSpan w:val="2"/>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依托现有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生产废水</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依托厂区现有</w:t>
            </w:r>
            <w:r>
              <w:rPr>
                <w:rFonts w:ascii="Times New Roman" w:eastAsia="宋体" w:cs="Times New Roman"/>
                <w:highlight w:val="none"/>
              </w:rPr>
              <w:t>清水池</w:t>
            </w:r>
            <w:r>
              <w:rPr>
                <w:rFonts w:hint="eastAsia" w:ascii="Times New Roman" w:eastAsia="宋体" w:cs="Times New Roman"/>
                <w:highlight w:val="none"/>
              </w:rPr>
              <w:t>、</w:t>
            </w:r>
            <w:r>
              <w:rPr>
                <w:rFonts w:ascii="Times New Roman" w:eastAsia="宋体" w:cs="Times New Roman"/>
                <w:highlight w:val="none"/>
              </w:rPr>
              <w:t>浓密池。尾矿浆经</w:t>
            </w:r>
            <w:r>
              <w:rPr>
                <w:rFonts w:hint="eastAsia" w:ascii="Times New Roman" w:eastAsia="宋体" w:cs="Times New Roman"/>
                <w:highlight w:val="none"/>
              </w:rPr>
              <w:t>选砂</w:t>
            </w:r>
            <w:r>
              <w:rPr>
                <w:rFonts w:ascii="Times New Roman" w:eastAsia="宋体" w:cs="Times New Roman"/>
                <w:highlight w:val="none"/>
              </w:rPr>
              <w:t>处理后，进入</w:t>
            </w:r>
            <w:r>
              <w:rPr>
                <w:rFonts w:hint="eastAsia" w:ascii="Times New Roman" w:eastAsia="宋体" w:cs="Times New Roman"/>
                <w:highlight w:val="none"/>
              </w:rPr>
              <w:t>浓密池</w:t>
            </w:r>
            <w:r>
              <w:rPr>
                <w:rFonts w:ascii="Times New Roman" w:eastAsia="宋体" w:cs="Times New Roman"/>
                <w:highlight w:val="none"/>
              </w:rPr>
              <w:t>浓缩，浓</w:t>
            </w:r>
            <w:r>
              <w:rPr>
                <w:rFonts w:hint="eastAsia" w:ascii="Times New Roman" w:eastAsia="宋体" w:cs="Times New Roman"/>
                <w:highlight w:val="none"/>
              </w:rPr>
              <w:t>密</w:t>
            </w:r>
            <w:r>
              <w:rPr>
                <w:rFonts w:ascii="Times New Roman" w:eastAsia="宋体" w:cs="Times New Roman"/>
                <w:highlight w:val="none"/>
              </w:rPr>
              <w:t>池上清液</w:t>
            </w:r>
            <w:r>
              <w:rPr>
                <w:rFonts w:hint="eastAsia" w:ascii="Times New Roman" w:eastAsia="宋体" w:cs="Times New Roman"/>
                <w:highlight w:val="none"/>
              </w:rPr>
              <w:t>进入清水池，</w:t>
            </w:r>
            <w:r>
              <w:rPr>
                <w:rFonts w:ascii="Times New Roman" w:eastAsia="宋体" w:cs="Times New Roman"/>
                <w:highlight w:val="none"/>
              </w:rPr>
              <w:t>回用于生产工序；洗车废水沉淀</w:t>
            </w:r>
            <w:r>
              <w:rPr>
                <w:rFonts w:hint="eastAsia" w:ascii="Times New Roman" w:eastAsia="宋体" w:cs="Times New Roman"/>
                <w:highlight w:val="none"/>
              </w:rPr>
              <w:t>处理后循环利用</w:t>
            </w:r>
            <w:r>
              <w:rPr>
                <w:rFonts w:ascii="Times New Roman" w:eastAsia="宋体" w:cs="Times New Roman"/>
                <w:highlight w:val="none"/>
              </w:rPr>
              <w:t>。</w:t>
            </w:r>
          </w:p>
        </w:tc>
        <w:tc>
          <w:tcPr>
            <w:tcW w:w="1017" w:type="dxa"/>
            <w:gridSpan w:val="2"/>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依托现有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噪声</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基础减振、隔声等措施</w:t>
            </w:r>
          </w:p>
        </w:tc>
        <w:tc>
          <w:tcPr>
            <w:tcW w:w="1017" w:type="dxa"/>
            <w:gridSpan w:val="2"/>
            <w:tcBorders>
              <w:left w:val="single" w:color="auto" w:sz="4" w:space="0"/>
              <w:right w:val="single" w:color="auto" w:sz="4" w:space="0"/>
            </w:tcBorders>
          </w:tcPr>
          <w:p>
            <w:pPr>
              <w:pStyle w:val="287"/>
              <w:spacing w:line="240" w:lineRule="auto"/>
              <w:rPr>
                <w:rFonts w:ascii="Times New Roman" w:eastAsia="宋体" w:cs="Times New Roman"/>
                <w:highlight w:val="none"/>
              </w:rPr>
            </w:pPr>
            <w:r>
              <w:rPr>
                <w:rFonts w:ascii="Times New Roman" w:eastAsia="宋体" w:cs="Times New Roman"/>
                <w:highlight w:val="none"/>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固体废物</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尾矿砂</w:t>
            </w:r>
            <w:r>
              <w:rPr>
                <w:rFonts w:hint="eastAsia" w:ascii="Times New Roman" w:eastAsia="宋体" w:cs="Times New Roman"/>
                <w:highlight w:val="none"/>
              </w:rPr>
              <w:t>、泥饼存储于全封闭车间内</w:t>
            </w:r>
            <w:r>
              <w:rPr>
                <w:rFonts w:ascii="Times New Roman" w:eastAsia="宋体" w:cs="Times New Roman"/>
                <w:highlight w:val="none"/>
              </w:rPr>
              <w:t>，作为建筑生产原料综合利用</w:t>
            </w:r>
            <w:r>
              <w:rPr>
                <w:rFonts w:hint="eastAsia" w:ascii="Times New Roman" w:eastAsia="宋体" w:cs="Times New Roman"/>
                <w:highlight w:val="none"/>
              </w:rPr>
              <w:t>；废钢球厂家回收利用，除尘灰集中收集后回用于生产</w:t>
            </w:r>
            <w:r>
              <w:rPr>
                <w:rFonts w:ascii="Times New Roman" w:eastAsia="宋体" w:cs="Times New Roman"/>
                <w:highlight w:val="none"/>
              </w:rPr>
              <w:t>。</w:t>
            </w:r>
          </w:p>
        </w:tc>
        <w:tc>
          <w:tcPr>
            <w:tcW w:w="1017" w:type="dxa"/>
            <w:gridSpan w:val="2"/>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危险废物</w:t>
            </w:r>
          </w:p>
        </w:tc>
        <w:tc>
          <w:tcPr>
            <w:tcW w:w="5132"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暂存于厂区现有危险废物暂存间</w:t>
            </w:r>
            <w:r>
              <w:rPr>
                <w:rFonts w:ascii="Times New Roman" w:eastAsia="宋体" w:cs="Times New Roman"/>
                <w:highlight w:val="none"/>
              </w:rPr>
              <w:t>，</w:t>
            </w:r>
            <w:r>
              <w:rPr>
                <w:rFonts w:hint="eastAsia" w:ascii="Times New Roman" w:eastAsia="宋体" w:cs="Times New Roman"/>
                <w:highlight w:val="none"/>
              </w:rPr>
              <w:t>定期委托有资质单位处置</w:t>
            </w:r>
            <w:r>
              <w:rPr>
                <w:rFonts w:ascii="Times New Roman" w:eastAsia="宋体" w:cs="Times New Roman"/>
                <w:highlight w:val="none"/>
              </w:rPr>
              <w:t>。</w:t>
            </w:r>
          </w:p>
        </w:tc>
        <w:tc>
          <w:tcPr>
            <w:tcW w:w="1017" w:type="dxa"/>
            <w:gridSpan w:val="2"/>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依托现有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78" w:type="dxa"/>
            <w:gridSpan w:val="2"/>
            <w:vMerge w:val="continue"/>
            <w:tcBorders>
              <w:left w:val="single" w:color="auto" w:sz="4" w:space="0"/>
              <w:right w:val="single" w:color="auto" w:sz="4" w:space="0"/>
            </w:tcBorders>
            <w:vAlign w:val="center"/>
          </w:tcPr>
          <w:p>
            <w:pPr>
              <w:pStyle w:val="287"/>
              <w:spacing w:line="240" w:lineRule="auto"/>
              <w:ind w:firstLine="560"/>
              <w:rPr>
                <w:rFonts w:ascii="Times New Roman" w:eastAsia="宋体" w:cs="Times New Roman"/>
                <w:highlight w:val="none"/>
              </w:rPr>
            </w:pPr>
          </w:p>
        </w:tc>
        <w:tc>
          <w:tcPr>
            <w:tcW w:w="1698"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事故池</w:t>
            </w:r>
          </w:p>
        </w:tc>
        <w:tc>
          <w:tcPr>
            <w:tcW w:w="5142" w:type="dxa"/>
            <w:gridSpan w:val="2"/>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hint="eastAsia" w:ascii="Times New Roman" w:eastAsia="宋体" w:cs="Times New Roman"/>
                <w:highlight w:val="none"/>
              </w:rPr>
              <w:t>精选车间</w:t>
            </w:r>
            <w:r>
              <w:rPr>
                <w:rFonts w:ascii="Times New Roman" w:eastAsia="宋体" w:cs="Times New Roman"/>
                <w:highlight w:val="none"/>
              </w:rPr>
              <w:t>设一</w:t>
            </w:r>
            <w:r>
              <w:rPr>
                <w:rFonts w:hint="eastAsia" w:ascii="Times New Roman" w:eastAsia="宋体" w:cs="Times New Roman"/>
                <w:highlight w:val="none"/>
              </w:rPr>
              <w:t>座</w:t>
            </w:r>
            <w:r>
              <w:rPr>
                <w:rFonts w:ascii="Times New Roman" w:eastAsia="宋体" w:cs="Times New Roman"/>
                <w:highlight w:val="none"/>
              </w:rPr>
              <w:t>事故水池，容积为</w:t>
            </w:r>
            <w:r>
              <w:rPr>
                <w:rFonts w:hint="eastAsia" w:ascii="Times New Roman" w:eastAsia="宋体" w:cs="Times New Roman"/>
                <w:highlight w:val="none"/>
              </w:rPr>
              <w:t>25</w:t>
            </w:r>
            <w:r>
              <w:rPr>
                <w:rFonts w:ascii="Times New Roman" w:eastAsia="宋体" w:cs="Times New Roman"/>
                <w:highlight w:val="none"/>
              </w:rPr>
              <w:t>m</w:t>
            </w:r>
            <w:r>
              <w:rPr>
                <w:rFonts w:ascii="Times New Roman" w:eastAsia="宋体" w:cs="Times New Roman"/>
                <w:highlight w:val="none"/>
                <w:vertAlign w:val="superscript"/>
              </w:rPr>
              <w:t>3</w:t>
            </w:r>
            <w:r>
              <w:rPr>
                <w:rFonts w:ascii="Times New Roman" w:eastAsia="宋体" w:cs="Times New Roman"/>
                <w:highlight w:val="none"/>
              </w:rPr>
              <w:t>，用收集事故状态下的废水及浆液。</w:t>
            </w:r>
          </w:p>
        </w:tc>
        <w:tc>
          <w:tcPr>
            <w:tcW w:w="1007" w:type="dxa"/>
            <w:tcBorders>
              <w:left w:val="single" w:color="auto" w:sz="4" w:space="0"/>
              <w:right w:val="single" w:color="auto" w:sz="4" w:space="0"/>
            </w:tcBorders>
            <w:vAlign w:val="center"/>
          </w:tcPr>
          <w:p>
            <w:pPr>
              <w:pStyle w:val="287"/>
              <w:spacing w:line="240" w:lineRule="auto"/>
              <w:rPr>
                <w:rFonts w:ascii="Times New Roman" w:eastAsia="宋体" w:cs="Times New Roman"/>
                <w:highlight w:val="none"/>
              </w:rPr>
            </w:pPr>
            <w:r>
              <w:rPr>
                <w:rFonts w:ascii="Times New Roman" w:eastAsia="宋体" w:cs="Times New Roman"/>
                <w:highlight w:val="none"/>
              </w:rPr>
              <w:t>新建</w:t>
            </w:r>
          </w:p>
        </w:tc>
      </w:tr>
    </w:tbl>
    <w:p>
      <w:pPr>
        <w:widowControl/>
        <w:spacing w:before="120" w:beforeLines="50"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表3.2-3  改扩建工程实施后全厂主要建（构）筑物一览表</w:t>
      </w:r>
    </w:p>
    <w:tbl>
      <w:tblPr>
        <w:tblStyle w:val="56"/>
        <w:tblW w:w="50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9"/>
        <w:gridCol w:w="1378"/>
        <w:gridCol w:w="1238"/>
        <w:gridCol w:w="1238"/>
        <w:gridCol w:w="41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序号</w:t>
            </w:r>
          </w:p>
        </w:tc>
        <w:tc>
          <w:tcPr>
            <w:tcW w:w="811"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名称</w:t>
            </w:r>
          </w:p>
        </w:tc>
        <w:tc>
          <w:tcPr>
            <w:tcW w:w="729"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占地面积/</w:t>
            </w:r>
            <w:r>
              <w:rPr>
                <w:sz w:val="21"/>
                <w:szCs w:val="21"/>
                <w:highlight w:val="none"/>
              </w:rPr>
              <w:t>m</w:t>
            </w:r>
            <w:r>
              <w:rPr>
                <w:sz w:val="21"/>
                <w:szCs w:val="21"/>
                <w:highlight w:val="none"/>
                <w:vertAlign w:val="superscript"/>
              </w:rPr>
              <w:t>2</w:t>
            </w:r>
          </w:p>
        </w:tc>
        <w:tc>
          <w:tcPr>
            <w:tcW w:w="729"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建筑面积/</w:t>
            </w:r>
            <w:r>
              <w:rPr>
                <w:sz w:val="21"/>
                <w:szCs w:val="21"/>
                <w:highlight w:val="none"/>
              </w:rPr>
              <w:t>m</w:t>
            </w:r>
            <w:r>
              <w:rPr>
                <w:sz w:val="21"/>
                <w:szCs w:val="21"/>
                <w:highlight w:val="none"/>
                <w:vertAlign w:val="superscript"/>
              </w:rPr>
              <w:t>2</w:t>
            </w:r>
          </w:p>
        </w:tc>
        <w:tc>
          <w:tcPr>
            <w:tcW w:w="2451" w:type="pc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1</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破碎车间</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6052</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6052</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单层彩钢结构，2m砖混基础墙，</w:t>
            </w:r>
            <w:r>
              <w:rPr>
                <w:rFonts w:hint="eastAsia"/>
                <w:sz w:val="21"/>
                <w:szCs w:val="21"/>
                <w:highlight w:val="none"/>
                <w:lang w:val="en-US" w:eastAsia="zh-CN"/>
              </w:rPr>
              <w:t>89</w:t>
            </w:r>
            <w:r>
              <w:rPr>
                <w:rFonts w:hint="eastAsia"/>
                <w:sz w:val="21"/>
                <w:szCs w:val="21"/>
                <w:highlight w:val="none"/>
              </w:rPr>
              <w:t>m×</w:t>
            </w:r>
            <w:r>
              <w:rPr>
                <w:rFonts w:hint="eastAsia"/>
                <w:sz w:val="21"/>
                <w:szCs w:val="21"/>
                <w:highlight w:val="none"/>
                <w:lang w:val="en-US" w:eastAsia="zh-CN"/>
              </w:rPr>
              <w:t>68</w:t>
            </w:r>
            <w:r>
              <w:rPr>
                <w:rFonts w:hint="eastAsia"/>
                <w:sz w:val="21"/>
                <w:szCs w:val="21"/>
                <w:highlight w:val="none"/>
              </w:rPr>
              <w:t>m×14m，内部分为破碎装置区、原料存储区、干排设施区、尾矿砂及泥饼存储区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选矿车间</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7821</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7821</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单层彩钢结构，2m砖混基础墙，</w:t>
            </w:r>
            <w:r>
              <w:rPr>
                <w:rFonts w:hint="eastAsia"/>
                <w:sz w:val="21"/>
                <w:szCs w:val="21"/>
                <w:highlight w:val="none"/>
                <w:lang w:val="en-US" w:eastAsia="zh-CN"/>
              </w:rPr>
              <w:t>99</w:t>
            </w:r>
            <w:r>
              <w:rPr>
                <w:rFonts w:hint="eastAsia"/>
                <w:sz w:val="21"/>
                <w:szCs w:val="21"/>
                <w:highlight w:val="none"/>
              </w:rPr>
              <w:t>m×</w:t>
            </w:r>
            <w:r>
              <w:rPr>
                <w:rFonts w:hint="eastAsia"/>
                <w:sz w:val="21"/>
                <w:szCs w:val="21"/>
                <w:highlight w:val="none"/>
                <w:lang w:val="en-US" w:eastAsia="zh-CN"/>
              </w:rPr>
              <w:t>79</w:t>
            </w:r>
            <w:r>
              <w:rPr>
                <w:rFonts w:hint="eastAsia"/>
                <w:sz w:val="21"/>
                <w:szCs w:val="21"/>
                <w:highlight w:val="none"/>
              </w:rPr>
              <w:t>m×14m，内部分为粗选装置区、精选装置区、粗精矿存储区、成品存储区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3</w:t>
            </w:r>
          </w:p>
        </w:tc>
        <w:tc>
          <w:tcPr>
            <w:tcW w:w="811"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lang w:val="zh-CN"/>
              </w:rPr>
              <w:t>压滤间</w:t>
            </w:r>
          </w:p>
        </w:tc>
        <w:tc>
          <w:tcPr>
            <w:tcW w:w="729"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lang w:val="zh-CN"/>
              </w:rPr>
              <w:t>140</w:t>
            </w:r>
          </w:p>
        </w:tc>
        <w:tc>
          <w:tcPr>
            <w:tcW w:w="729"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lang w:val="zh-CN"/>
              </w:rPr>
              <w:t>140</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单层彩钢结构，14m×10m×9m，位于破碎车间内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rPr>
              <w:t>4</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浓密池</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254</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2451" w:type="pc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防渗混凝土浇筑</w:t>
            </w:r>
            <w:r>
              <w:rPr>
                <w:rFonts w:hint="eastAsia"/>
                <w:sz w:val="21"/>
                <w:szCs w:val="21"/>
                <w:highlight w:val="none"/>
              </w:rPr>
              <w:t>，直径</w:t>
            </w:r>
            <w:r>
              <w:rPr>
                <w:rFonts w:hint="eastAsia"/>
                <w:sz w:val="21"/>
                <w:szCs w:val="21"/>
                <w:highlight w:val="none"/>
                <w:lang w:val="en-US" w:eastAsia="zh-CN"/>
              </w:rPr>
              <w:t>18</w:t>
            </w:r>
            <w:r>
              <w:rPr>
                <w:rFonts w:hint="eastAsia"/>
                <w:sz w:val="21"/>
                <w:szCs w:val="21"/>
                <w:highlight w:val="none"/>
              </w:rPr>
              <w:t>m，深2.4-3.6m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rPr>
              <w:t>5</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清水池</w:t>
            </w:r>
          </w:p>
        </w:tc>
        <w:tc>
          <w:tcPr>
            <w:tcW w:w="729" w:type="pct"/>
            <w:tcBorders>
              <w:tl2br w:val="nil"/>
              <w:tr2bl w:val="nil"/>
            </w:tcBorders>
            <w:vAlign w:val="center"/>
          </w:tcPr>
          <w:p>
            <w:pPr>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600</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2451" w:type="pc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防渗混凝土浇筑</w:t>
            </w:r>
            <w:r>
              <w:rPr>
                <w:rFonts w:hint="eastAsia"/>
                <w:sz w:val="21"/>
                <w:szCs w:val="21"/>
                <w:highlight w:val="none"/>
              </w:rPr>
              <w:t>，</w:t>
            </w:r>
            <w:r>
              <w:rPr>
                <w:rFonts w:hint="eastAsia"/>
                <w:sz w:val="21"/>
                <w:szCs w:val="21"/>
                <w:highlight w:val="none"/>
                <w:lang w:val="en-US" w:eastAsia="zh-CN"/>
              </w:rPr>
              <w:t>20</w:t>
            </w:r>
            <w:r>
              <w:rPr>
                <w:rFonts w:hint="eastAsia"/>
                <w:sz w:val="21"/>
                <w:szCs w:val="21"/>
                <w:highlight w:val="none"/>
              </w:rPr>
              <w:t>m×</w:t>
            </w:r>
            <w:r>
              <w:rPr>
                <w:rFonts w:hint="eastAsia"/>
                <w:sz w:val="21"/>
                <w:szCs w:val="21"/>
                <w:highlight w:val="none"/>
                <w:lang w:val="en-US" w:eastAsia="zh-CN"/>
              </w:rPr>
              <w:t>30</w:t>
            </w:r>
            <w:r>
              <w:rPr>
                <w:rFonts w:hint="eastAsia"/>
                <w:sz w:val="21"/>
                <w:szCs w:val="21"/>
                <w:highlight w:val="none"/>
              </w:rPr>
              <w:t>m×</w:t>
            </w:r>
            <w:r>
              <w:rPr>
                <w:rFonts w:hint="eastAsia"/>
                <w:sz w:val="21"/>
                <w:szCs w:val="21"/>
                <w:highlight w:val="none"/>
                <w:lang w:val="en-US" w:eastAsia="zh-CN"/>
              </w:rPr>
              <w:t>5</w:t>
            </w:r>
            <w:r>
              <w:rPr>
                <w:rFonts w:hint="eastAsia"/>
                <w:sz w:val="21"/>
                <w:szCs w:val="21"/>
                <w:highlight w:val="none"/>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rPr>
              <w:t>6</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事故池</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25</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2451" w:type="pc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防渗混凝土浇筑</w:t>
            </w:r>
            <w:r>
              <w:rPr>
                <w:rFonts w:hint="eastAsia"/>
                <w:sz w:val="21"/>
                <w:szCs w:val="21"/>
                <w:highlight w:val="none"/>
              </w:rPr>
              <w:t>，3座，25m</w:t>
            </w:r>
            <w:r>
              <w:rPr>
                <w:rFonts w:hint="eastAsia"/>
                <w:sz w:val="21"/>
                <w:szCs w:val="21"/>
                <w:highlight w:val="none"/>
                <w:vertAlign w:val="superscript"/>
              </w:rPr>
              <w:t>3</w:t>
            </w:r>
            <w:r>
              <w:rPr>
                <w:rFonts w:hint="eastAsia"/>
                <w:sz w:val="21"/>
                <w:szCs w:val="21"/>
                <w:highlight w:val="none"/>
              </w:rPr>
              <w:t>×2，置于成品库内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rPr>
              <w:t>7</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危废间</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6</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6</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设于厂区南侧，地面防渗水泥浇筑，上铺一层防腐层，渗透系数小于1×10</w:t>
            </w:r>
            <w:r>
              <w:rPr>
                <w:rFonts w:hint="eastAsia"/>
                <w:sz w:val="21"/>
                <w:szCs w:val="21"/>
                <w:highlight w:val="none"/>
                <w:vertAlign w:val="superscript"/>
              </w:rPr>
              <w:t>-10</w:t>
            </w:r>
            <w:r>
              <w:rPr>
                <w:rFonts w:hint="eastAsia"/>
                <w:sz w:val="21"/>
                <w:szCs w:val="21"/>
                <w:highlight w:val="none"/>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76"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w:t>
            </w:r>
          </w:p>
        </w:tc>
        <w:tc>
          <w:tcPr>
            <w:tcW w:w="81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洗车平台</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8×2</w:t>
            </w:r>
          </w:p>
        </w:tc>
        <w:tc>
          <w:tcPr>
            <w:tcW w:w="729"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2451" w:type="pc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配套沉淀池（2座，2m×2m×2.5m）和清水池（2座，2m×2m×2.5m），置于厂区大门口和成品库门口</w:t>
            </w:r>
          </w:p>
        </w:tc>
      </w:tr>
    </w:tbl>
    <w:p>
      <w:pPr>
        <w:pStyle w:val="6"/>
        <w:numPr>
          <w:ilvl w:val="2"/>
          <w:numId w:val="1"/>
        </w:numPr>
        <w:spacing w:before="120" w:beforeLines="50"/>
        <w:rPr>
          <w:szCs w:val="28"/>
          <w:highlight w:val="none"/>
        </w:rPr>
      </w:pPr>
      <w:r>
        <w:rPr>
          <w:szCs w:val="28"/>
          <w:highlight w:val="none"/>
        </w:rPr>
        <w:t>项目主要设备</w:t>
      </w:r>
    </w:p>
    <w:p>
      <w:pPr>
        <w:ind w:firstLine="480"/>
        <w:rPr>
          <w:bCs/>
          <w:sz w:val="24"/>
          <w:szCs w:val="24"/>
          <w:highlight w:val="none"/>
        </w:rPr>
      </w:pPr>
      <w:r>
        <w:rPr>
          <w:rFonts w:hint="eastAsia"/>
          <w:bCs/>
          <w:sz w:val="24"/>
          <w:szCs w:val="24"/>
          <w:highlight w:val="none"/>
        </w:rPr>
        <w:t>改扩建工程完成后厂区主要设备</w:t>
      </w:r>
      <w:r>
        <w:rPr>
          <w:bCs/>
          <w:sz w:val="24"/>
          <w:szCs w:val="24"/>
          <w:highlight w:val="none"/>
        </w:rPr>
        <w:t>详见表3.</w:t>
      </w:r>
      <w:r>
        <w:rPr>
          <w:rFonts w:hint="eastAsia"/>
          <w:bCs/>
          <w:sz w:val="24"/>
          <w:szCs w:val="24"/>
          <w:highlight w:val="none"/>
        </w:rPr>
        <w:t>2</w:t>
      </w:r>
      <w:r>
        <w:rPr>
          <w:bCs/>
          <w:sz w:val="24"/>
          <w:szCs w:val="24"/>
          <w:highlight w:val="none"/>
        </w:rPr>
        <w:t>-4。</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3.</w:t>
      </w:r>
      <w:r>
        <w:rPr>
          <w:rFonts w:hint="eastAsia" w:eastAsia="黑体"/>
          <w:kern w:val="2"/>
          <w:sz w:val="21"/>
          <w:szCs w:val="21"/>
          <w:highlight w:val="none"/>
        </w:rPr>
        <w:t>2</w:t>
      </w:r>
      <w:r>
        <w:rPr>
          <w:rFonts w:eastAsia="黑体"/>
          <w:kern w:val="2"/>
          <w:sz w:val="21"/>
          <w:szCs w:val="21"/>
          <w:highlight w:val="none"/>
        </w:rPr>
        <w:t xml:space="preserve">-4    </w:t>
      </w:r>
      <w:r>
        <w:rPr>
          <w:rFonts w:hint="eastAsia" w:eastAsia="黑体"/>
          <w:kern w:val="2"/>
          <w:sz w:val="21"/>
          <w:szCs w:val="21"/>
          <w:highlight w:val="none"/>
        </w:rPr>
        <w:t>改扩建工程实施后全厂</w:t>
      </w:r>
      <w:r>
        <w:rPr>
          <w:rFonts w:eastAsia="黑体"/>
          <w:kern w:val="2"/>
          <w:sz w:val="21"/>
          <w:szCs w:val="21"/>
          <w:highlight w:val="none"/>
        </w:rPr>
        <w:t>主要设备一览表</w:t>
      </w:r>
    </w:p>
    <w:tbl>
      <w:tblPr>
        <w:tblStyle w:val="56"/>
        <w:tblW w:w="845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675"/>
        <w:gridCol w:w="1914"/>
        <w:gridCol w:w="2082"/>
        <w:gridCol w:w="783"/>
        <w:gridCol w:w="705"/>
        <w:gridCol w:w="1621"/>
        <w:gridCol w:w="67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序号</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名称</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型号</w:t>
            </w: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单位</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数量</w:t>
            </w:r>
          </w:p>
        </w:tc>
        <w:tc>
          <w:tcPr>
            <w:tcW w:w="2291" w:type="dxa"/>
            <w:gridSpan w:val="2"/>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1</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颚式破碎机</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75</w:t>
            </w:r>
            <w:r>
              <w:rPr>
                <w:rFonts w:eastAsiaTheme="minorEastAsia"/>
                <w:sz w:val="21"/>
                <w:szCs w:val="21"/>
                <w:highlight w:val="none"/>
              </w:rPr>
              <w:t>0*</w:t>
            </w:r>
            <w:r>
              <w:rPr>
                <w:rFonts w:hint="eastAsia" w:eastAsiaTheme="minorEastAsia"/>
                <w:sz w:val="21"/>
                <w:szCs w:val="21"/>
                <w:highlight w:val="none"/>
              </w:rPr>
              <w:t>106</w:t>
            </w:r>
            <w:r>
              <w:rPr>
                <w:rFonts w:eastAsiaTheme="minorEastAsia"/>
                <w:sz w:val="21"/>
                <w:szCs w:val="21"/>
                <w:highlight w:val="none"/>
              </w:rPr>
              <w:t>0mm</w:t>
            </w:r>
          </w:p>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/50-180t/h</w:t>
            </w: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台</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型号更新</w:t>
            </w:r>
          </w:p>
        </w:tc>
        <w:tc>
          <w:tcPr>
            <w:tcW w:w="670" w:type="dxa"/>
            <w:vMerge w:val="restart"/>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升级后的</w:t>
            </w:r>
            <w:r>
              <w:rPr>
                <w:rFonts w:eastAsiaTheme="minorEastAsia"/>
                <w:sz w:val="21"/>
                <w:szCs w:val="21"/>
                <w:highlight w:val="none"/>
              </w:rPr>
              <w:t>破碎</w:t>
            </w:r>
            <w:r>
              <w:rPr>
                <w:rFonts w:hint="eastAsia" w:eastAsiaTheme="minorEastAsia"/>
                <w:sz w:val="21"/>
                <w:szCs w:val="21"/>
                <w:highlight w:val="none"/>
              </w:rPr>
              <w:t>设备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sz w:val="21"/>
                <w:szCs w:val="21"/>
                <w:highlight w:val="none"/>
              </w:rPr>
              <w:t>锤式破碎机</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2000双轴</w:t>
            </w: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台</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型号更新</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3</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颚式破碎机</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30</w:t>
            </w:r>
            <w:r>
              <w:rPr>
                <w:rFonts w:eastAsiaTheme="minorEastAsia"/>
                <w:sz w:val="21"/>
                <w:szCs w:val="21"/>
                <w:highlight w:val="none"/>
              </w:rPr>
              <w:t>0*</w:t>
            </w:r>
            <w:r>
              <w:rPr>
                <w:rFonts w:hint="eastAsia" w:eastAsiaTheme="minorEastAsia"/>
                <w:sz w:val="21"/>
                <w:szCs w:val="21"/>
                <w:highlight w:val="none"/>
              </w:rPr>
              <w:t>150</w:t>
            </w:r>
            <w:r>
              <w:rPr>
                <w:rFonts w:eastAsiaTheme="minorEastAsia"/>
                <w:sz w:val="21"/>
                <w:szCs w:val="21"/>
                <w:highlight w:val="none"/>
              </w:rPr>
              <w:t>0mm</w:t>
            </w:r>
          </w:p>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/30-870t/h</w:t>
            </w: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台</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新增</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4</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振动筛</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2</w:t>
            </w:r>
            <w:r>
              <w:rPr>
                <w:rFonts w:hint="eastAsia" w:eastAsiaTheme="minorEastAsia"/>
                <w:sz w:val="21"/>
                <w:szCs w:val="21"/>
                <w:highlight w:val="none"/>
              </w:rPr>
              <w:t>0</w:t>
            </w:r>
            <w:r>
              <w:rPr>
                <w:rFonts w:eastAsiaTheme="minorEastAsia"/>
                <w:sz w:val="21"/>
                <w:szCs w:val="21"/>
                <w:highlight w:val="none"/>
              </w:rPr>
              <w:t>00mm×</w:t>
            </w:r>
            <w:r>
              <w:rPr>
                <w:rFonts w:hint="eastAsia" w:eastAsiaTheme="minorEastAsia"/>
                <w:sz w:val="21"/>
                <w:szCs w:val="21"/>
                <w:highlight w:val="none"/>
              </w:rPr>
              <w:t>6</w:t>
            </w:r>
            <w:r>
              <w:rPr>
                <w:rFonts w:eastAsiaTheme="minorEastAsia"/>
                <w:sz w:val="21"/>
                <w:szCs w:val="21"/>
                <w:highlight w:val="none"/>
              </w:rPr>
              <w:t>000mm</w:t>
            </w: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台</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现有不变</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5</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振动筛</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24</w:t>
            </w:r>
            <w:r>
              <w:rPr>
                <w:rFonts w:eastAsiaTheme="minorEastAsia"/>
                <w:sz w:val="21"/>
                <w:szCs w:val="21"/>
                <w:highlight w:val="none"/>
              </w:rPr>
              <w:t>00mm×</w:t>
            </w:r>
            <w:r>
              <w:rPr>
                <w:rFonts w:hint="eastAsia" w:eastAsiaTheme="minorEastAsia"/>
                <w:sz w:val="21"/>
                <w:szCs w:val="21"/>
                <w:highlight w:val="none"/>
              </w:rPr>
              <w:t>7</w:t>
            </w:r>
            <w:r>
              <w:rPr>
                <w:rFonts w:eastAsiaTheme="minorEastAsia"/>
                <w:sz w:val="21"/>
                <w:szCs w:val="21"/>
                <w:highlight w:val="none"/>
              </w:rPr>
              <w:t>000mm</w:t>
            </w: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台</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新增</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6</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磁滑轮</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台</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现有不变</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7</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振动</w:t>
            </w:r>
            <w:r>
              <w:rPr>
                <w:rFonts w:eastAsiaTheme="minorEastAsia"/>
                <w:sz w:val="21"/>
                <w:szCs w:val="21"/>
                <w:highlight w:val="none"/>
              </w:rPr>
              <w:t>给料机</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台</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现有不变</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8</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中转料仓</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5×6m</w:t>
            </w: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座</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现有不变</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9</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圆盘</w:t>
            </w:r>
            <w:r>
              <w:rPr>
                <w:rFonts w:eastAsiaTheme="minorEastAsia"/>
                <w:sz w:val="21"/>
                <w:szCs w:val="21"/>
                <w:highlight w:val="none"/>
              </w:rPr>
              <w:t>给料机</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台</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现有不变</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10</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压滤机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300m</w:t>
            </w:r>
            <w:r>
              <w:rPr>
                <w:rFonts w:hint="eastAsia"/>
                <w:sz w:val="21"/>
                <w:szCs w:val="21"/>
                <w:highlight w:val="none"/>
                <w:vertAlign w:val="superscript"/>
              </w:rPr>
              <w:t>2</w:t>
            </w: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现有不变</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bCs/>
                <w:sz w:val="21"/>
                <w:szCs w:val="21"/>
                <w:highlight w:val="none"/>
              </w:rPr>
            </w:pPr>
            <w:r>
              <w:rPr>
                <w:rFonts w:hint="eastAsia" w:eastAsiaTheme="minorEastAsia"/>
                <w:bCs/>
                <w:sz w:val="21"/>
                <w:szCs w:val="21"/>
                <w:highlight w:val="none"/>
              </w:rPr>
              <w:t>11</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皮带输送机</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条</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6</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新增2条</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bCs/>
                <w:sz w:val="21"/>
                <w:szCs w:val="21"/>
                <w:highlight w:val="none"/>
              </w:rPr>
            </w:pPr>
            <w:r>
              <w:rPr>
                <w:rFonts w:hint="eastAsia" w:eastAsiaTheme="minorEastAsia"/>
                <w:bCs/>
                <w:sz w:val="21"/>
                <w:szCs w:val="21"/>
                <w:highlight w:val="none"/>
              </w:rPr>
              <w:t>12</w:t>
            </w:r>
          </w:p>
        </w:tc>
        <w:tc>
          <w:tcPr>
            <w:tcW w:w="1914"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脉冲布袋除尘器</w:t>
            </w:r>
          </w:p>
        </w:tc>
        <w:tc>
          <w:tcPr>
            <w:tcW w:w="2082"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风量</w:t>
            </w:r>
            <w:r>
              <w:rPr>
                <w:rFonts w:hint="eastAsia" w:eastAsiaTheme="minorEastAsia"/>
                <w:bCs/>
                <w:sz w:val="21"/>
                <w:szCs w:val="21"/>
                <w:highlight w:val="none"/>
              </w:rPr>
              <w:t>65</w:t>
            </w:r>
            <w:r>
              <w:rPr>
                <w:rFonts w:eastAsiaTheme="minorEastAsia"/>
                <w:bCs/>
                <w:sz w:val="21"/>
                <w:szCs w:val="21"/>
                <w:highlight w:val="none"/>
              </w:rPr>
              <w:t>000m</w:t>
            </w:r>
            <w:r>
              <w:rPr>
                <w:rFonts w:eastAsiaTheme="minorEastAsia"/>
                <w:bCs/>
                <w:sz w:val="21"/>
                <w:szCs w:val="21"/>
                <w:highlight w:val="none"/>
                <w:vertAlign w:val="superscript"/>
              </w:rPr>
              <w:t>3</w:t>
            </w:r>
            <w:r>
              <w:rPr>
                <w:rFonts w:eastAsiaTheme="minorEastAsia"/>
                <w:bCs/>
                <w:sz w:val="21"/>
                <w:szCs w:val="21"/>
                <w:highlight w:val="none"/>
              </w:rPr>
              <w:t>/h</w:t>
            </w:r>
          </w:p>
        </w:tc>
        <w:tc>
          <w:tcPr>
            <w:tcW w:w="783"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套</w:t>
            </w:r>
          </w:p>
        </w:tc>
        <w:tc>
          <w:tcPr>
            <w:tcW w:w="70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eastAsiaTheme="minorEastAsia"/>
                <w:sz w:val="21"/>
                <w:szCs w:val="21"/>
                <w:highlight w:val="none"/>
              </w:rPr>
              <w:t>1</w:t>
            </w:r>
          </w:p>
        </w:tc>
        <w:tc>
          <w:tcPr>
            <w:tcW w:w="1621" w:type="dxa"/>
            <w:tcBorders>
              <w:righ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更新</w:t>
            </w:r>
          </w:p>
        </w:tc>
        <w:tc>
          <w:tcPr>
            <w:tcW w:w="670" w:type="dxa"/>
            <w:vMerge w:val="continue"/>
            <w:tcBorders>
              <w:left w:val="single" w:color="auto" w:sz="4" w:space="0"/>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13</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料仓</w:t>
            </w:r>
          </w:p>
        </w:tc>
        <w:tc>
          <w:tcPr>
            <w:tcW w:w="2082"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座</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2</w:t>
            </w:r>
          </w:p>
        </w:tc>
        <w:tc>
          <w:tcPr>
            <w:tcW w:w="2291" w:type="dxa"/>
            <w:gridSpan w:val="2"/>
            <w:vMerge w:val="restart"/>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新增精选设备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14</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圆盘给料机</w:t>
            </w:r>
          </w:p>
        </w:tc>
        <w:tc>
          <w:tcPr>
            <w:tcW w:w="2082"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15</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球磨机</w:t>
            </w:r>
          </w:p>
        </w:tc>
        <w:tc>
          <w:tcPr>
            <w:tcW w:w="2082" w:type="dxa"/>
            <w:tcBorders>
              <w:tl2br w:val="nil"/>
              <w:tr2bl w:val="nil"/>
            </w:tcBorders>
            <w:vAlign w:val="bottom"/>
          </w:tcPr>
          <w:p>
            <w:pPr>
              <w:spacing w:line="240" w:lineRule="auto"/>
              <w:ind w:firstLine="0" w:firstLineChars="0"/>
              <w:jc w:val="center"/>
              <w:rPr>
                <w:sz w:val="21"/>
                <w:szCs w:val="21"/>
                <w:highlight w:val="none"/>
              </w:rPr>
            </w:pPr>
            <w:r>
              <w:rPr>
                <w:rFonts w:hint="eastAsia"/>
                <w:sz w:val="21"/>
                <w:szCs w:val="21"/>
                <w:highlight w:val="none"/>
              </w:rPr>
              <w:t>1830</w:t>
            </w:r>
            <w:r>
              <w:rPr>
                <w:sz w:val="21"/>
                <w:szCs w:val="21"/>
                <w:highlight w:val="none"/>
              </w:rPr>
              <w:t>×</w:t>
            </w:r>
            <w:r>
              <w:rPr>
                <w:rFonts w:hint="eastAsia"/>
                <w:sz w:val="21"/>
                <w:szCs w:val="21"/>
                <w:highlight w:val="none"/>
              </w:rPr>
              <w:t>9</w:t>
            </w:r>
            <w:r>
              <w:rPr>
                <w:sz w:val="21"/>
                <w:szCs w:val="21"/>
                <w:highlight w:val="none"/>
              </w:rPr>
              <w:t>000mm</w:t>
            </w:r>
          </w:p>
          <w:p>
            <w:pPr>
              <w:spacing w:line="240" w:lineRule="auto"/>
              <w:ind w:firstLine="0" w:firstLineChars="0"/>
              <w:jc w:val="center"/>
              <w:rPr>
                <w:sz w:val="22"/>
                <w:szCs w:val="22"/>
                <w:highlight w:val="none"/>
              </w:rPr>
            </w:pPr>
            <w:r>
              <w:rPr>
                <w:rFonts w:hint="eastAsia" w:eastAsiaTheme="minorEastAsia"/>
                <w:sz w:val="21"/>
                <w:szCs w:val="21"/>
                <w:highlight w:val="none"/>
              </w:rPr>
              <w:t>/50-120t/h</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bookmarkStart w:id="186" w:name="_Hlk9227976"/>
            <w:bookmarkStart w:id="187" w:name="_Hlk9235912"/>
            <w:r>
              <w:rPr>
                <w:rFonts w:hint="eastAsia" w:eastAsiaTheme="minorEastAsia"/>
                <w:sz w:val="21"/>
                <w:szCs w:val="21"/>
                <w:highlight w:val="none"/>
              </w:rPr>
              <w:t>16</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球磨机</w:t>
            </w:r>
          </w:p>
        </w:tc>
        <w:tc>
          <w:tcPr>
            <w:tcW w:w="2082" w:type="dxa"/>
            <w:tcBorders>
              <w:tl2br w:val="nil"/>
              <w:tr2bl w:val="nil"/>
            </w:tcBorders>
            <w:vAlign w:val="bottom"/>
          </w:tcPr>
          <w:p>
            <w:pPr>
              <w:spacing w:line="240" w:lineRule="auto"/>
              <w:ind w:firstLine="0" w:firstLineChars="0"/>
              <w:jc w:val="center"/>
              <w:rPr>
                <w:sz w:val="21"/>
                <w:szCs w:val="21"/>
                <w:highlight w:val="none"/>
              </w:rPr>
            </w:pPr>
            <w:r>
              <w:rPr>
                <w:rFonts w:hint="eastAsia"/>
                <w:sz w:val="21"/>
                <w:szCs w:val="21"/>
                <w:highlight w:val="none"/>
              </w:rPr>
              <w:t>2100</w:t>
            </w:r>
            <w:r>
              <w:rPr>
                <w:sz w:val="21"/>
                <w:szCs w:val="21"/>
                <w:highlight w:val="none"/>
              </w:rPr>
              <w:t>×</w:t>
            </w:r>
            <w:r>
              <w:rPr>
                <w:rFonts w:hint="eastAsia"/>
                <w:sz w:val="21"/>
                <w:szCs w:val="21"/>
                <w:highlight w:val="none"/>
              </w:rPr>
              <w:t>12</w:t>
            </w:r>
            <w:r>
              <w:rPr>
                <w:sz w:val="21"/>
                <w:szCs w:val="21"/>
                <w:highlight w:val="none"/>
              </w:rPr>
              <w:t>000mm</w:t>
            </w:r>
          </w:p>
          <w:p>
            <w:pPr>
              <w:spacing w:line="240" w:lineRule="auto"/>
              <w:ind w:firstLine="0" w:firstLineChars="0"/>
              <w:jc w:val="center"/>
              <w:rPr>
                <w:sz w:val="22"/>
                <w:szCs w:val="22"/>
                <w:highlight w:val="none"/>
              </w:rPr>
            </w:pPr>
            <w:r>
              <w:rPr>
                <w:rFonts w:hint="eastAsia" w:eastAsiaTheme="minorEastAsia"/>
                <w:sz w:val="21"/>
                <w:szCs w:val="21"/>
                <w:highlight w:val="none"/>
              </w:rPr>
              <w:t>/60-180t/h</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17</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高频筛</w:t>
            </w:r>
          </w:p>
        </w:tc>
        <w:tc>
          <w:tcPr>
            <w:tcW w:w="2082" w:type="dxa"/>
            <w:tcBorders>
              <w:tl2br w:val="nil"/>
              <w:tr2bl w:val="nil"/>
            </w:tcBorders>
            <w:vAlign w:val="center"/>
          </w:tcPr>
          <w:p>
            <w:pPr>
              <w:spacing w:line="240" w:lineRule="auto"/>
              <w:ind w:firstLine="0" w:firstLineChars="0"/>
              <w:jc w:val="center"/>
              <w:rPr>
                <w:sz w:val="22"/>
                <w:szCs w:val="22"/>
                <w:highlight w:val="none"/>
              </w:rPr>
            </w:pPr>
            <w:r>
              <w:rPr>
                <w:rFonts w:hint="eastAsia"/>
                <w:sz w:val="22"/>
                <w:szCs w:val="22"/>
                <w:highlight w:val="none"/>
              </w:rPr>
              <w:t>6</w:t>
            </w:r>
            <w:r>
              <w:rPr>
                <w:rFonts w:eastAsiaTheme="minorEastAsia"/>
                <w:sz w:val="22"/>
                <w:szCs w:val="22"/>
                <w:highlight w:val="none"/>
              </w:rPr>
              <w:t>m</w:t>
            </w:r>
            <w:r>
              <w:rPr>
                <w:rFonts w:eastAsiaTheme="minorEastAsia"/>
                <w:sz w:val="22"/>
                <w:szCs w:val="22"/>
                <w:highlight w:val="none"/>
                <w:vertAlign w:val="superscript"/>
              </w:rPr>
              <w:t>2</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60</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18</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磁选机</w:t>
            </w:r>
          </w:p>
        </w:tc>
        <w:tc>
          <w:tcPr>
            <w:tcW w:w="2082" w:type="dxa"/>
            <w:tcBorders>
              <w:tl2br w:val="nil"/>
              <w:tr2bl w:val="nil"/>
            </w:tcBorders>
            <w:vAlign w:val="center"/>
          </w:tcPr>
          <w:p>
            <w:pPr>
              <w:spacing w:line="240" w:lineRule="auto"/>
              <w:ind w:firstLine="0" w:firstLineChars="0"/>
              <w:jc w:val="center"/>
              <w:rPr>
                <w:sz w:val="22"/>
                <w:szCs w:val="22"/>
                <w:highlight w:val="none"/>
              </w:rPr>
            </w:pPr>
            <w:r>
              <w:rPr>
                <w:sz w:val="22"/>
                <w:szCs w:val="22"/>
                <w:highlight w:val="none"/>
              </w:rPr>
              <w:t>1.</w:t>
            </w:r>
            <w:r>
              <w:rPr>
                <w:rFonts w:hint="eastAsia"/>
                <w:sz w:val="22"/>
                <w:szCs w:val="22"/>
                <w:highlight w:val="none"/>
              </w:rPr>
              <w:t>2</w:t>
            </w:r>
            <w:r>
              <w:rPr>
                <w:sz w:val="22"/>
                <w:szCs w:val="22"/>
                <w:highlight w:val="none"/>
              </w:rPr>
              <w:t>×</w:t>
            </w:r>
            <w:r>
              <w:rPr>
                <w:rFonts w:hint="eastAsia"/>
                <w:sz w:val="22"/>
                <w:szCs w:val="22"/>
                <w:highlight w:val="none"/>
              </w:rPr>
              <w:t>3.5</w:t>
            </w:r>
            <w:r>
              <w:rPr>
                <w:sz w:val="22"/>
                <w:szCs w:val="22"/>
                <w:highlight w:val="none"/>
              </w:rPr>
              <w:t>m</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19</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磁选机</w:t>
            </w:r>
          </w:p>
        </w:tc>
        <w:tc>
          <w:tcPr>
            <w:tcW w:w="2082" w:type="dxa"/>
            <w:tcBorders>
              <w:tl2br w:val="nil"/>
              <w:tr2bl w:val="nil"/>
            </w:tcBorders>
            <w:vAlign w:val="center"/>
          </w:tcPr>
          <w:p>
            <w:pPr>
              <w:spacing w:line="240" w:lineRule="auto"/>
              <w:ind w:firstLine="0" w:firstLineChars="0"/>
              <w:jc w:val="center"/>
              <w:rPr>
                <w:sz w:val="22"/>
                <w:szCs w:val="22"/>
                <w:highlight w:val="none"/>
              </w:rPr>
            </w:pPr>
            <w:r>
              <w:rPr>
                <w:sz w:val="22"/>
                <w:szCs w:val="22"/>
                <w:highlight w:val="none"/>
              </w:rPr>
              <w:t>1.</w:t>
            </w:r>
            <w:r>
              <w:rPr>
                <w:rFonts w:hint="eastAsia"/>
                <w:sz w:val="22"/>
                <w:szCs w:val="22"/>
                <w:highlight w:val="none"/>
              </w:rPr>
              <w:t>0</w:t>
            </w:r>
            <w:r>
              <w:rPr>
                <w:sz w:val="22"/>
                <w:szCs w:val="22"/>
                <w:highlight w:val="none"/>
              </w:rPr>
              <w:t>5×</w:t>
            </w:r>
            <w:r>
              <w:rPr>
                <w:rFonts w:hint="eastAsia"/>
                <w:sz w:val="22"/>
                <w:szCs w:val="22"/>
                <w:highlight w:val="none"/>
              </w:rPr>
              <w:t>3</w:t>
            </w:r>
            <w:r>
              <w:rPr>
                <w:sz w:val="22"/>
                <w:szCs w:val="22"/>
                <w:highlight w:val="none"/>
              </w:rPr>
              <w:t>m</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20</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磁团聚</w:t>
            </w:r>
          </w:p>
        </w:tc>
        <w:tc>
          <w:tcPr>
            <w:tcW w:w="2082" w:type="dxa"/>
            <w:tcBorders>
              <w:tl2br w:val="nil"/>
              <w:tr2bl w:val="nil"/>
            </w:tcBorders>
            <w:vAlign w:val="center"/>
          </w:tcPr>
          <w:p>
            <w:pPr>
              <w:spacing w:line="240" w:lineRule="auto"/>
              <w:ind w:firstLine="0" w:firstLineChars="0"/>
              <w:jc w:val="center"/>
              <w:rPr>
                <w:sz w:val="22"/>
                <w:szCs w:val="22"/>
                <w:highlight w:val="none"/>
              </w:rPr>
            </w:pPr>
            <w:r>
              <w:rPr>
                <w:rFonts w:hint="eastAsia"/>
                <w:sz w:val="22"/>
                <w:szCs w:val="22"/>
                <w:highlight w:val="none"/>
              </w:rPr>
              <w:t>2</w:t>
            </w:r>
            <w:r>
              <w:rPr>
                <w:sz w:val="22"/>
                <w:szCs w:val="22"/>
                <w:highlight w:val="none"/>
              </w:rPr>
              <w:t>.5×</w:t>
            </w:r>
            <w:r>
              <w:rPr>
                <w:rFonts w:hint="eastAsia"/>
                <w:sz w:val="22"/>
                <w:szCs w:val="22"/>
                <w:highlight w:val="none"/>
              </w:rPr>
              <w:t>3</w:t>
            </w:r>
            <w:r>
              <w:rPr>
                <w:sz w:val="22"/>
                <w:szCs w:val="22"/>
                <w:highlight w:val="none"/>
              </w:rPr>
              <w:t>m</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21</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过滤机</w:t>
            </w:r>
          </w:p>
        </w:tc>
        <w:tc>
          <w:tcPr>
            <w:tcW w:w="2082" w:type="dxa"/>
            <w:tcBorders>
              <w:tl2br w:val="nil"/>
              <w:tr2bl w:val="nil"/>
            </w:tcBorders>
            <w:vAlign w:val="center"/>
          </w:tcPr>
          <w:p>
            <w:pPr>
              <w:spacing w:line="240" w:lineRule="auto"/>
              <w:ind w:firstLine="0" w:firstLineChars="0"/>
              <w:jc w:val="center"/>
              <w:rPr>
                <w:sz w:val="22"/>
                <w:szCs w:val="22"/>
                <w:highlight w:val="none"/>
              </w:rPr>
            </w:pPr>
            <w:r>
              <w:rPr>
                <w:rFonts w:hint="eastAsia"/>
                <w:sz w:val="22"/>
                <w:szCs w:val="22"/>
                <w:highlight w:val="none"/>
              </w:rPr>
              <w:t>50</w:t>
            </w:r>
            <w:r>
              <w:rPr>
                <w:rFonts w:eastAsiaTheme="minorEastAsia"/>
                <w:sz w:val="22"/>
                <w:szCs w:val="22"/>
                <w:highlight w:val="none"/>
              </w:rPr>
              <w:t>m</w:t>
            </w:r>
            <w:r>
              <w:rPr>
                <w:rFonts w:eastAsiaTheme="minorEastAsia"/>
                <w:sz w:val="22"/>
                <w:szCs w:val="22"/>
                <w:highlight w:val="none"/>
                <w:vertAlign w:val="superscript"/>
              </w:rPr>
              <w:t>2</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22</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真空泵</w:t>
            </w:r>
          </w:p>
        </w:tc>
        <w:tc>
          <w:tcPr>
            <w:tcW w:w="2082" w:type="dxa"/>
            <w:tcBorders>
              <w:tl2br w:val="nil"/>
              <w:tr2bl w:val="nil"/>
            </w:tcBorders>
            <w:vAlign w:val="center"/>
          </w:tcPr>
          <w:p>
            <w:pPr>
              <w:spacing w:line="240" w:lineRule="auto"/>
              <w:ind w:firstLine="0" w:firstLineChars="0"/>
              <w:jc w:val="center"/>
              <w:rPr>
                <w:sz w:val="22"/>
                <w:szCs w:val="22"/>
                <w:highlight w:val="none"/>
              </w:rPr>
            </w:pP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4</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23</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渣浆泵</w:t>
            </w:r>
          </w:p>
        </w:tc>
        <w:tc>
          <w:tcPr>
            <w:tcW w:w="2082" w:type="dxa"/>
            <w:tcBorders>
              <w:tl2br w:val="nil"/>
              <w:tr2bl w:val="nil"/>
            </w:tcBorders>
            <w:vAlign w:val="center"/>
          </w:tcPr>
          <w:p>
            <w:pPr>
              <w:spacing w:line="240" w:lineRule="auto"/>
              <w:ind w:firstLine="0" w:firstLineChars="0"/>
              <w:jc w:val="center"/>
              <w:rPr>
                <w:sz w:val="22"/>
                <w:szCs w:val="22"/>
                <w:highlight w:val="none"/>
              </w:rPr>
            </w:pP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19</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24</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打捞机</w:t>
            </w:r>
          </w:p>
        </w:tc>
        <w:tc>
          <w:tcPr>
            <w:tcW w:w="2082" w:type="dxa"/>
            <w:tcBorders>
              <w:tl2br w:val="nil"/>
              <w:tr2bl w:val="nil"/>
            </w:tcBorders>
            <w:vAlign w:val="center"/>
          </w:tcPr>
          <w:p>
            <w:pPr>
              <w:spacing w:line="240" w:lineRule="auto"/>
              <w:ind w:firstLine="0" w:firstLineChars="0"/>
              <w:jc w:val="center"/>
              <w:rPr>
                <w:sz w:val="22"/>
                <w:szCs w:val="22"/>
                <w:highlight w:val="none"/>
              </w:rPr>
            </w:pPr>
            <w:r>
              <w:rPr>
                <w:sz w:val="22"/>
                <w:szCs w:val="22"/>
                <w:highlight w:val="none"/>
              </w:rPr>
              <w:t>1</w:t>
            </w:r>
            <w:r>
              <w:rPr>
                <w:rFonts w:hint="eastAsia"/>
                <w:sz w:val="22"/>
                <w:szCs w:val="22"/>
                <w:highlight w:val="none"/>
              </w:rPr>
              <w:t>.05</w:t>
            </w:r>
            <w:r>
              <w:rPr>
                <w:sz w:val="22"/>
                <w:szCs w:val="22"/>
                <w:highlight w:val="none"/>
              </w:rPr>
              <w:t>×</w:t>
            </w:r>
            <w:r>
              <w:rPr>
                <w:rFonts w:hint="eastAsia"/>
                <w:sz w:val="22"/>
                <w:szCs w:val="22"/>
                <w:highlight w:val="none"/>
              </w:rPr>
              <w:t>2.4</w:t>
            </w:r>
            <w:r>
              <w:rPr>
                <w:sz w:val="22"/>
                <w:szCs w:val="22"/>
                <w:highlight w:val="none"/>
              </w:rPr>
              <w:t>m</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台</w:t>
            </w:r>
          </w:p>
        </w:tc>
        <w:tc>
          <w:tcPr>
            <w:tcW w:w="705" w:type="dxa"/>
            <w:tcBorders>
              <w:tl2br w:val="nil"/>
              <w:tr2bl w:val="nil"/>
            </w:tcBorders>
            <w:vAlign w:val="bottom"/>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25</w:t>
            </w:r>
          </w:p>
        </w:tc>
        <w:tc>
          <w:tcPr>
            <w:tcW w:w="1914"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皮带输送机</w:t>
            </w:r>
          </w:p>
        </w:tc>
        <w:tc>
          <w:tcPr>
            <w:tcW w:w="2082" w:type="dxa"/>
            <w:tcBorders>
              <w:tl2br w:val="nil"/>
              <w:tr2bl w:val="nil"/>
            </w:tcBorders>
            <w:vAlign w:val="center"/>
          </w:tcPr>
          <w:p>
            <w:pPr>
              <w:spacing w:line="240" w:lineRule="auto"/>
              <w:ind w:firstLine="0" w:firstLineChars="0"/>
              <w:jc w:val="center"/>
              <w:rPr>
                <w:sz w:val="22"/>
                <w:szCs w:val="22"/>
                <w:highlight w:val="none"/>
              </w:rPr>
            </w:pPr>
            <w:r>
              <w:rPr>
                <w:sz w:val="22"/>
                <w:szCs w:val="22"/>
                <w:highlight w:val="none"/>
              </w:rPr>
              <w:t>0.8m</w:t>
            </w:r>
          </w:p>
        </w:tc>
        <w:tc>
          <w:tcPr>
            <w:tcW w:w="783"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条</w:t>
            </w:r>
          </w:p>
        </w:tc>
        <w:tc>
          <w:tcPr>
            <w:tcW w:w="705"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4</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26</w:t>
            </w:r>
          </w:p>
        </w:tc>
        <w:tc>
          <w:tcPr>
            <w:tcW w:w="1914"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圆盘给料机</w:t>
            </w:r>
          </w:p>
        </w:tc>
        <w:tc>
          <w:tcPr>
            <w:tcW w:w="2082" w:type="dxa"/>
            <w:tcBorders>
              <w:tl2br w:val="nil"/>
              <w:tr2bl w:val="nil"/>
            </w:tcBorders>
            <w:vAlign w:val="center"/>
          </w:tcPr>
          <w:p>
            <w:pPr>
              <w:spacing w:line="240" w:lineRule="auto"/>
              <w:ind w:firstLine="0" w:firstLineChars="0"/>
              <w:jc w:val="center"/>
              <w:rPr>
                <w:sz w:val="22"/>
                <w:szCs w:val="22"/>
                <w:highlight w:val="none"/>
              </w:rPr>
            </w:pPr>
          </w:p>
        </w:tc>
        <w:tc>
          <w:tcPr>
            <w:tcW w:w="783"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台</w:t>
            </w:r>
          </w:p>
        </w:tc>
        <w:tc>
          <w:tcPr>
            <w:tcW w:w="705"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27</w:t>
            </w:r>
          </w:p>
        </w:tc>
        <w:tc>
          <w:tcPr>
            <w:tcW w:w="1914"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皮带</w:t>
            </w:r>
          </w:p>
        </w:tc>
        <w:tc>
          <w:tcPr>
            <w:tcW w:w="2082" w:type="dxa"/>
            <w:tcBorders>
              <w:tl2br w:val="nil"/>
              <w:tr2bl w:val="nil"/>
            </w:tcBorders>
            <w:vAlign w:val="center"/>
          </w:tcPr>
          <w:p>
            <w:pPr>
              <w:spacing w:line="240" w:lineRule="auto"/>
              <w:ind w:firstLine="0" w:firstLineChars="0"/>
              <w:jc w:val="center"/>
              <w:rPr>
                <w:sz w:val="22"/>
                <w:szCs w:val="22"/>
                <w:highlight w:val="none"/>
              </w:rPr>
            </w:pPr>
          </w:p>
        </w:tc>
        <w:tc>
          <w:tcPr>
            <w:tcW w:w="783"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条</w:t>
            </w:r>
          </w:p>
        </w:tc>
        <w:tc>
          <w:tcPr>
            <w:tcW w:w="705"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28</w:t>
            </w:r>
          </w:p>
        </w:tc>
        <w:tc>
          <w:tcPr>
            <w:tcW w:w="1914"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混料机</w:t>
            </w:r>
          </w:p>
        </w:tc>
        <w:tc>
          <w:tcPr>
            <w:tcW w:w="2082" w:type="dxa"/>
            <w:tcBorders>
              <w:tl2br w:val="nil"/>
              <w:tr2bl w:val="nil"/>
            </w:tcBorders>
            <w:vAlign w:val="center"/>
          </w:tcPr>
          <w:p>
            <w:pPr>
              <w:spacing w:line="240" w:lineRule="auto"/>
              <w:ind w:firstLine="0" w:firstLineChars="0"/>
              <w:jc w:val="center"/>
              <w:rPr>
                <w:sz w:val="22"/>
                <w:szCs w:val="22"/>
                <w:highlight w:val="none"/>
              </w:rPr>
            </w:pPr>
          </w:p>
        </w:tc>
        <w:tc>
          <w:tcPr>
            <w:tcW w:w="783"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台</w:t>
            </w:r>
          </w:p>
        </w:tc>
        <w:tc>
          <w:tcPr>
            <w:tcW w:w="705" w:type="dxa"/>
            <w:tcBorders>
              <w:tl2br w:val="nil"/>
              <w:tr2bl w:val="nil"/>
            </w:tcBorders>
            <w:vAlign w:val="center"/>
          </w:tcPr>
          <w:p>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29</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球磨机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2"/>
                <w:szCs w:val="22"/>
                <w:highlight w:val="none"/>
              </w:rPr>
              <w:t>直径2.1m，长8m，50-150t/h（铁矿石）</w:t>
            </w: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restart"/>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现有粗选设备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30</w:t>
            </w:r>
          </w:p>
        </w:tc>
        <w:tc>
          <w:tcPr>
            <w:tcW w:w="1914"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磁选机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1.2m×3m</w:t>
            </w: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31</w:t>
            </w:r>
          </w:p>
        </w:tc>
        <w:tc>
          <w:tcPr>
            <w:tcW w:w="1914"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磁选机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1.05m×2.4m</w:t>
            </w: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32</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过滤机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16m</w:t>
            </w:r>
            <w:r>
              <w:rPr>
                <w:rFonts w:hint="eastAsia"/>
                <w:sz w:val="21"/>
                <w:szCs w:val="21"/>
                <w:highlight w:val="none"/>
                <w:vertAlign w:val="superscript"/>
              </w:rPr>
              <w:t>2</w:t>
            </w:r>
          </w:p>
        </w:tc>
        <w:tc>
          <w:tcPr>
            <w:tcW w:w="78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33</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高频振网筛</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8</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34</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渣</w:t>
            </w:r>
            <w:r>
              <w:rPr>
                <w:sz w:val="21"/>
                <w:szCs w:val="21"/>
                <w:highlight w:val="none"/>
              </w:rPr>
              <w:t>浆泵</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35</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皮带机</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条</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36</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球磨机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直径1.83m，长9m</w:t>
            </w: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restart"/>
            <w:tcBorders>
              <w:tl2br w:val="nil"/>
              <w:tr2bl w:val="nil"/>
            </w:tcBorders>
            <w:vAlign w:val="center"/>
          </w:tcPr>
          <w:p>
            <w:pPr>
              <w:spacing w:line="240" w:lineRule="auto"/>
              <w:ind w:firstLine="0" w:firstLineChars="0"/>
              <w:jc w:val="center"/>
              <w:rPr>
                <w:rFonts w:eastAsiaTheme="minorEastAsia"/>
                <w:sz w:val="21"/>
                <w:szCs w:val="21"/>
                <w:highlight w:val="none"/>
              </w:rPr>
            </w:pPr>
            <w:r>
              <w:rPr>
                <w:rFonts w:hint="eastAsia" w:eastAsiaTheme="minorEastAsia"/>
                <w:sz w:val="21"/>
                <w:szCs w:val="21"/>
                <w:highlight w:val="none"/>
              </w:rPr>
              <w:t>现有精选设备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37</w:t>
            </w:r>
          </w:p>
        </w:tc>
        <w:tc>
          <w:tcPr>
            <w:tcW w:w="1914"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磁选机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1.1m×3.05m</w:t>
            </w: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38</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盘式打捞机</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39</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磁选打捞机</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40</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混料机</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41</w:t>
            </w:r>
          </w:p>
        </w:tc>
        <w:tc>
          <w:tcPr>
            <w:tcW w:w="1914"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磁选机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1.05m×2.4m</w:t>
            </w: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4</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42</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过滤机</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43</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高频振网筛</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15</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44</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磁团聚</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45</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渣</w:t>
            </w:r>
            <w:r>
              <w:rPr>
                <w:sz w:val="21"/>
                <w:szCs w:val="21"/>
                <w:highlight w:val="none"/>
              </w:rPr>
              <w:t>浆泵</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46</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尾浆泵</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ascii="Times New Roman" w:hAnsi="Times New Roman" w:cs="Times New Roman" w:eastAsiaTheme="minorEastAsia"/>
                <w:sz w:val="21"/>
                <w:szCs w:val="21"/>
                <w:highlight w:val="none"/>
                <w:lang w:val="en-US" w:eastAsia="zh-CN" w:bidi="ar-SA"/>
              </w:rPr>
            </w:pPr>
            <w:r>
              <w:rPr>
                <w:rFonts w:hint="eastAsia" w:eastAsiaTheme="minorEastAsia"/>
                <w:sz w:val="21"/>
                <w:szCs w:val="21"/>
                <w:highlight w:val="none"/>
              </w:rPr>
              <w:t>47</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皮带机</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条</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48</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振动给料机</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49</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皮带机</w:t>
            </w:r>
          </w:p>
        </w:tc>
        <w:tc>
          <w:tcPr>
            <w:tcW w:w="2082" w:type="dxa"/>
            <w:tcBorders>
              <w:tl2br w:val="nil"/>
              <w:tr2bl w:val="nil"/>
            </w:tcBorders>
            <w:vAlign w:val="center"/>
          </w:tcPr>
          <w:p>
            <w:pPr>
              <w:spacing w:line="320" w:lineRule="exact"/>
              <w:ind w:firstLine="0" w:firstLineChars="0"/>
              <w:jc w:val="center"/>
              <w:rPr>
                <w:sz w:val="21"/>
                <w:szCs w:val="21"/>
                <w:highlight w:val="none"/>
              </w:rPr>
            </w:pPr>
          </w:p>
        </w:tc>
        <w:tc>
          <w:tcPr>
            <w:tcW w:w="783"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条</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4</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45" w:hRule="atLeast"/>
          <w:tblHeader/>
          <w:jc w:val="center"/>
        </w:trPr>
        <w:tc>
          <w:tcPr>
            <w:tcW w:w="675" w:type="dxa"/>
            <w:tcBorders>
              <w:tl2br w:val="nil"/>
              <w:tr2bl w:val="nil"/>
            </w:tcBorders>
            <w:vAlign w:val="center"/>
          </w:tcPr>
          <w:p>
            <w:pPr>
              <w:spacing w:line="240" w:lineRule="auto"/>
              <w:ind w:firstLine="0" w:firstLineChars="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50</w:t>
            </w:r>
          </w:p>
        </w:tc>
        <w:tc>
          <w:tcPr>
            <w:tcW w:w="1914"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装载机</w:t>
            </w:r>
          </w:p>
        </w:tc>
        <w:tc>
          <w:tcPr>
            <w:tcW w:w="2082"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国</w:t>
            </w:r>
            <w:r>
              <w:rPr>
                <w:rFonts w:hint="eastAsia"/>
                <w:sz w:val="21"/>
                <w:szCs w:val="21"/>
                <w:highlight w:val="none"/>
                <w:lang w:val="en-US" w:eastAsia="zh-CN"/>
              </w:rPr>
              <w:t>四</w:t>
            </w:r>
            <w:r>
              <w:rPr>
                <w:rFonts w:hint="eastAsia"/>
                <w:sz w:val="21"/>
                <w:szCs w:val="21"/>
                <w:highlight w:val="none"/>
              </w:rPr>
              <w:t>及以上排放标准</w:t>
            </w:r>
          </w:p>
        </w:tc>
        <w:tc>
          <w:tcPr>
            <w:tcW w:w="783"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台</w:t>
            </w:r>
          </w:p>
        </w:tc>
        <w:tc>
          <w:tcPr>
            <w:tcW w:w="70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w:t>
            </w:r>
          </w:p>
        </w:tc>
        <w:tc>
          <w:tcPr>
            <w:tcW w:w="2291" w:type="dxa"/>
            <w:gridSpan w:val="2"/>
            <w:vMerge w:val="continue"/>
            <w:tcBorders>
              <w:tl2br w:val="nil"/>
              <w:tr2bl w:val="nil"/>
            </w:tcBorders>
            <w:vAlign w:val="center"/>
          </w:tcPr>
          <w:p>
            <w:pPr>
              <w:spacing w:line="240" w:lineRule="auto"/>
              <w:ind w:firstLine="0" w:firstLineChars="0"/>
              <w:jc w:val="center"/>
              <w:rPr>
                <w:rFonts w:eastAsiaTheme="minorEastAsia"/>
                <w:sz w:val="21"/>
                <w:szCs w:val="21"/>
                <w:highlight w:val="none"/>
              </w:rPr>
            </w:pPr>
          </w:p>
        </w:tc>
      </w:tr>
    </w:tbl>
    <w:p>
      <w:pPr>
        <w:spacing w:line="480" w:lineRule="exact"/>
        <w:ind w:firstLine="480"/>
        <w:jc w:val="both"/>
        <w:rPr>
          <w:highlight w:val="none"/>
        </w:rPr>
      </w:pPr>
      <w:r>
        <w:rPr>
          <w:rFonts w:hint="eastAsia"/>
          <w:sz w:val="24"/>
          <w:szCs w:val="24"/>
          <w:highlight w:val="none"/>
        </w:rPr>
        <w:t>根据相关资料及与建设单位沟通了解，本项目破碎工序使用1台型号为750×1060mm的颚式破碎机，破碎处理能力约为5</w:t>
      </w:r>
      <w:r>
        <w:rPr>
          <w:sz w:val="24"/>
          <w:szCs w:val="24"/>
          <w:highlight w:val="none"/>
        </w:rPr>
        <w:t>0</w:t>
      </w:r>
      <w:r>
        <w:rPr>
          <w:rFonts w:hint="eastAsia"/>
          <w:sz w:val="24"/>
          <w:szCs w:val="24"/>
          <w:highlight w:val="none"/>
        </w:rPr>
        <w:t>-18</w:t>
      </w:r>
      <w:r>
        <w:rPr>
          <w:sz w:val="24"/>
          <w:szCs w:val="24"/>
          <w:highlight w:val="none"/>
        </w:rPr>
        <w:t>0</w:t>
      </w:r>
      <w:r>
        <w:rPr>
          <w:rFonts w:hint="eastAsia"/>
          <w:sz w:val="24"/>
          <w:szCs w:val="24"/>
          <w:highlight w:val="none"/>
        </w:rPr>
        <w:t>t/h（铁矿石），年工作280天，每天工作16小时，年破碎量为22.4-80.6万吨，能够满足本项目60万吨/年的矿石破碎处理需求。现有工程球磨工序使用1台型号为2100</w:t>
      </w:r>
      <w:r>
        <w:rPr>
          <w:rFonts w:ascii="Arial" w:hAnsi="Arial" w:cs="Arial"/>
          <w:sz w:val="24"/>
          <w:szCs w:val="24"/>
          <w:highlight w:val="none"/>
        </w:rPr>
        <w:t>×</w:t>
      </w:r>
      <w:r>
        <w:rPr>
          <w:rFonts w:hint="eastAsia"/>
          <w:sz w:val="24"/>
          <w:szCs w:val="24"/>
          <w:highlight w:val="none"/>
        </w:rPr>
        <w:t>8000mm的球磨机，处理能力为50-150t/h（铁矿石），年工作280天，每天工作24小时，年入磨处理能力为33.6-100.8万吨，可以满足本项目实施后全厂铁矿石入磨处理需求，综合分析，本项目生产设备破碎能力与球磨、磁选能力相匹配。</w:t>
      </w:r>
      <w:bookmarkEnd w:id="186"/>
      <w:bookmarkEnd w:id="187"/>
    </w:p>
    <w:p>
      <w:pPr>
        <w:pStyle w:val="6"/>
        <w:numPr>
          <w:ilvl w:val="2"/>
          <w:numId w:val="1"/>
        </w:numPr>
        <w:spacing w:line="460" w:lineRule="exact"/>
        <w:rPr>
          <w:szCs w:val="28"/>
          <w:highlight w:val="none"/>
        </w:rPr>
      </w:pPr>
      <w:r>
        <w:rPr>
          <w:szCs w:val="28"/>
          <w:highlight w:val="none"/>
        </w:rPr>
        <w:t>原辅材料及能源消耗情况</w:t>
      </w:r>
    </w:p>
    <w:p>
      <w:pPr>
        <w:spacing w:line="480" w:lineRule="exact"/>
        <w:ind w:firstLine="480"/>
        <w:jc w:val="both"/>
        <w:rPr>
          <w:sz w:val="24"/>
          <w:szCs w:val="24"/>
          <w:highlight w:val="none"/>
        </w:rPr>
      </w:pPr>
      <w:r>
        <w:rPr>
          <w:sz w:val="24"/>
          <w:szCs w:val="24"/>
          <w:highlight w:val="none"/>
        </w:rPr>
        <w:t>本项目原料矿来自遵化市恒威矿业有限公司程家沟铁矿及周边矿区，与迁西县</w:t>
      </w:r>
      <w:r>
        <w:rPr>
          <w:rFonts w:hint="eastAsia"/>
          <w:sz w:val="24"/>
          <w:szCs w:val="24"/>
          <w:highlight w:val="none"/>
        </w:rPr>
        <w:t>上营乡复兴铁矿</w:t>
      </w:r>
      <w:r>
        <w:rPr>
          <w:sz w:val="24"/>
          <w:szCs w:val="24"/>
          <w:highlight w:val="none"/>
        </w:rPr>
        <w:t>地质成因相同，</w:t>
      </w:r>
      <w:r>
        <w:rPr>
          <w:rFonts w:hint="eastAsia"/>
          <w:sz w:val="24"/>
          <w:szCs w:val="24"/>
          <w:highlight w:val="none"/>
        </w:rPr>
        <w:t>由于地质成分相同，同一区域内铁矿石成分基本相同，</w:t>
      </w:r>
      <w:r>
        <w:rPr>
          <w:sz w:val="24"/>
          <w:szCs w:val="24"/>
          <w:highlight w:val="none"/>
        </w:rPr>
        <w:t>铁矿种类为磁铁矿，主要成分为</w:t>
      </w:r>
      <w:r>
        <w:rPr>
          <w:highlight w:val="none"/>
        </w:rPr>
        <w:fldChar w:fldCharType="begin"/>
      </w:r>
      <w:r>
        <w:rPr>
          <w:highlight w:val="none"/>
        </w:rPr>
        <w:instrText xml:space="preserve"> HYPERLINK "https://baike.baidu.com/item/Fe3O4" \t "_blank" </w:instrText>
      </w:r>
      <w:r>
        <w:rPr>
          <w:highlight w:val="none"/>
        </w:rPr>
        <w:fldChar w:fldCharType="separate"/>
      </w:r>
      <w:r>
        <w:rPr>
          <w:rStyle w:val="68"/>
          <w:color w:val="auto"/>
          <w:sz w:val="24"/>
          <w:szCs w:val="24"/>
          <w:highlight w:val="none"/>
          <w:u w:val="none"/>
        </w:rPr>
        <w:t>Fe</w:t>
      </w:r>
      <w:r>
        <w:rPr>
          <w:rStyle w:val="68"/>
          <w:color w:val="auto"/>
          <w:sz w:val="24"/>
          <w:szCs w:val="24"/>
          <w:highlight w:val="none"/>
          <w:u w:val="none"/>
          <w:vertAlign w:val="subscript"/>
        </w:rPr>
        <w:t>3</w:t>
      </w:r>
      <w:r>
        <w:rPr>
          <w:rStyle w:val="68"/>
          <w:color w:val="auto"/>
          <w:sz w:val="24"/>
          <w:szCs w:val="24"/>
          <w:highlight w:val="none"/>
          <w:u w:val="none"/>
        </w:rPr>
        <w:t>O</w:t>
      </w:r>
      <w:r>
        <w:rPr>
          <w:rStyle w:val="68"/>
          <w:color w:val="auto"/>
          <w:sz w:val="24"/>
          <w:szCs w:val="24"/>
          <w:highlight w:val="none"/>
          <w:u w:val="none"/>
          <w:vertAlign w:val="subscript"/>
        </w:rPr>
        <w:t>4</w:t>
      </w:r>
      <w:r>
        <w:rPr>
          <w:rStyle w:val="68"/>
          <w:color w:val="auto"/>
          <w:sz w:val="24"/>
          <w:szCs w:val="24"/>
          <w:highlight w:val="none"/>
          <w:u w:val="none"/>
          <w:vertAlign w:val="subscript"/>
        </w:rPr>
        <w:fldChar w:fldCharType="end"/>
      </w:r>
      <w:r>
        <w:rPr>
          <w:sz w:val="24"/>
          <w:szCs w:val="24"/>
          <w:highlight w:val="none"/>
        </w:rPr>
        <w:t>，矿石粒径30cm，矿石堆积密度为3.</w:t>
      </w:r>
      <w:r>
        <w:rPr>
          <w:rFonts w:hint="eastAsia"/>
          <w:sz w:val="24"/>
          <w:szCs w:val="24"/>
          <w:highlight w:val="none"/>
        </w:rPr>
        <w:t>52</w:t>
      </w:r>
      <w:r>
        <w:rPr>
          <w:sz w:val="24"/>
          <w:szCs w:val="24"/>
          <w:highlight w:val="none"/>
        </w:rPr>
        <w:t>t/m</w:t>
      </w:r>
      <w:r>
        <w:rPr>
          <w:sz w:val="24"/>
          <w:szCs w:val="24"/>
          <w:highlight w:val="none"/>
          <w:vertAlign w:val="superscript"/>
        </w:rPr>
        <w:t>3</w:t>
      </w:r>
      <w:r>
        <w:rPr>
          <w:sz w:val="24"/>
          <w:szCs w:val="24"/>
          <w:highlight w:val="none"/>
        </w:rPr>
        <w:t>，根据迁西县</w:t>
      </w:r>
      <w:r>
        <w:rPr>
          <w:rFonts w:hint="eastAsia"/>
          <w:sz w:val="24"/>
          <w:szCs w:val="24"/>
          <w:highlight w:val="none"/>
        </w:rPr>
        <w:t>上营乡复兴铁矿</w:t>
      </w:r>
      <w:r>
        <w:rPr>
          <w:sz w:val="24"/>
          <w:szCs w:val="24"/>
          <w:highlight w:val="none"/>
        </w:rPr>
        <w:t>矿石检测报告</w:t>
      </w:r>
      <w:r>
        <w:rPr>
          <w:rFonts w:hint="eastAsia"/>
          <w:sz w:val="24"/>
          <w:szCs w:val="24"/>
          <w:highlight w:val="none"/>
        </w:rPr>
        <w:t>（见附件）</w:t>
      </w:r>
      <w:r>
        <w:rPr>
          <w:sz w:val="24"/>
          <w:szCs w:val="24"/>
          <w:highlight w:val="none"/>
        </w:rPr>
        <w:t>可知，矿石不含放射性，所以通过类比可知，本项目矿石不含放射性</w:t>
      </w:r>
      <w:r>
        <w:rPr>
          <w:rFonts w:hint="eastAsia"/>
          <w:sz w:val="24"/>
          <w:szCs w:val="24"/>
          <w:highlight w:val="none"/>
        </w:rPr>
        <w:t>。</w:t>
      </w:r>
    </w:p>
    <w:p>
      <w:pPr>
        <w:spacing w:line="480" w:lineRule="exact"/>
        <w:ind w:firstLine="480"/>
        <w:jc w:val="both"/>
        <w:rPr>
          <w:sz w:val="24"/>
          <w:szCs w:val="24"/>
          <w:highlight w:val="none"/>
        </w:rPr>
      </w:pPr>
      <w:r>
        <w:rPr>
          <w:sz w:val="24"/>
          <w:szCs w:val="24"/>
          <w:highlight w:val="none"/>
        </w:rPr>
        <w:t>根据建设单位提供的资料，原料矿的具体成分见表3.</w:t>
      </w:r>
      <w:r>
        <w:rPr>
          <w:rFonts w:hint="eastAsia"/>
          <w:sz w:val="24"/>
          <w:szCs w:val="24"/>
          <w:highlight w:val="none"/>
        </w:rPr>
        <w:t>2</w:t>
      </w:r>
      <w:r>
        <w:rPr>
          <w:sz w:val="24"/>
          <w:szCs w:val="24"/>
          <w:highlight w:val="none"/>
        </w:rPr>
        <w:t>-5。</w:t>
      </w:r>
    </w:p>
    <w:p>
      <w:pPr>
        <w:spacing w:before="120" w:beforeLines="50"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表3.</w:t>
      </w:r>
      <w:r>
        <w:rPr>
          <w:rFonts w:hint="eastAsia" w:eastAsia="黑体"/>
          <w:kern w:val="2"/>
          <w:sz w:val="21"/>
          <w:szCs w:val="21"/>
          <w:highlight w:val="none"/>
        </w:rPr>
        <w:t>2</w:t>
      </w:r>
      <w:r>
        <w:rPr>
          <w:rFonts w:eastAsia="黑体"/>
          <w:kern w:val="2"/>
          <w:sz w:val="21"/>
          <w:szCs w:val="21"/>
          <w:highlight w:val="none"/>
        </w:rPr>
        <w:t>-5原料矿成分表</w:t>
      </w:r>
    </w:p>
    <w:tbl>
      <w:tblPr>
        <w:tblStyle w:val="56"/>
        <w:tblW w:w="8744"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15" w:type="dxa"/>
          <w:left w:w="15" w:type="dxa"/>
          <w:bottom w:w="15" w:type="dxa"/>
          <w:right w:w="15" w:type="dxa"/>
        </w:tblCellMar>
      </w:tblPr>
      <w:tblGrid>
        <w:gridCol w:w="1009"/>
        <w:gridCol w:w="595"/>
        <w:gridCol w:w="595"/>
        <w:gridCol w:w="595"/>
        <w:gridCol w:w="595"/>
        <w:gridCol w:w="595"/>
        <w:gridCol w:w="595"/>
        <w:gridCol w:w="595"/>
        <w:gridCol w:w="595"/>
        <w:gridCol w:w="595"/>
        <w:gridCol w:w="595"/>
        <w:gridCol w:w="595"/>
        <w:gridCol w:w="595"/>
        <w:gridCol w:w="595"/>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86" w:hRule="atLeast"/>
          <w:jc w:val="center"/>
        </w:trPr>
        <w:tc>
          <w:tcPr>
            <w:tcW w:w="1009" w:type="dxa"/>
            <w:vMerge w:val="restart"/>
            <w:tcBorders>
              <w:left w:val="single" w:color="auto" w:sz="4" w:space="0"/>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送样号</w:t>
            </w:r>
          </w:p>
        </w:tc>
        <w:tc>
          <w:tcPr>
            <w:tcW w:w="7735" w:type="dxa"/>
            <w:gridSpan w:val="13"/>
            <w:tcBorders>
              <w:right w:val="single" w:color="auto" w:sz="4" w:space="0"/>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分析结果%</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86" w:hRule="atLeast"/>
          <w:jc w:val="center"/>
        </w:trPr>
        <w:tc>
          <w:tcPr>
            <w:tcW w:w="1009" w:type="dxa"/>
            <w:vMerge w:val="continue"/>
            <w:tcBorders>
              <w:left w:val="single" w:color="auto" w:sz="4" w:space="0"/>
            </w:tcBorders>
            <w:vAlign w:val="center"/>
          </w:tcPr>
          <w:p>
            <w:pPr>
              <w:widowControl/>
              <w:spacing w:line="240" w:lineRule="auto"/>
              <w:ind w:firstLine="0" w:firstLineChars="0"/>
              <w:jc w:val="center"/>
              <w:textAlignment w:val="auto"/>
              <w:rPr>
                <w:sz w:val="21"/>
                <w:szCs w:val="21"/>
                <w:highlight w:val="none"/>
              </w:rPr>
            </w:pP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TFe</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FeO</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SiO</w:t>
            </w:r>
            <w:r>
              <w:rPr>
                <w:sz w:val="21"/>
                <w:szCs w:val="21"/>
                <w:highlight w:val="none"/>
                <w:vertAlign w:val="subscript"/>
              </w:rPr>
              <w:t>2</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CaO</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MgO</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Al</w:t>
            </w:r>
            <w:r>
              <w:rPr>
                <w:sz w:val="21"/>
                <w:szCs w:val="21"/>
                <w:highlight w:val="none"/>
                <w:vertAlign w:val="subscript"/>
              </w:rPr>
              <w:t>2</w:t>
            </w:r>
            <w:r>
              <w:rPr>
                <w:sz w:val="21"/>
                <w:szCs w:val="21"/>
                <w:highlight w:val="none"/>
              </w:rPr>
              <w:t>O</w:t>
            </w:r>
            <w:r>
              <w:rPr>
                <w:sz w:val="21"/>
                <w:szCs w:val="21"/>
                <w:highlight w:val="none"/>
                <w:vertAlign w:val="subscript"/>
              </w:rPr>
              <w:t>3</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TiO</w:t>
            </w:r>
            <w:r>
              <w:rPr>
                <w:sz w:val="21"/>
                <w:szCs w:val="21"/>
                <w:highlight w:val="none"/>
                <w:vertAlign w:val="subscript"/>
              </w:rPr>
              <w:t>2</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MnO</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K</w:t>
            </w:r>
            <w:r>
              <w:rPr>
                <w:sz w:val="21"/>
                <w:szCs w:val="21"/>
                <w:highlight w:val="none"/>
                <w:vertAlign w:val="subscript"/>
              </w:rPr>
              <w:t>2</w:t>
            </w:r>
            <w:r>
              <w:rPr>
                <w:sz w:val="21"/>
                <w:szCs w:val="21"/>
                <w:highlight w:val="none"/>
              </w:rPr>
              <w:t>O</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Na</w:t>
            </w:r>
            <w:r>
              <w:rPr>
                <w:sz w:val="21"/>
                <w:szCs w:val="21"/>
                <w:highlight w:val="none"/>
                <w:vertAlign w:val="subscript"/>
              </w:rPr>
              <w:t>2</w:t>
            </w:r>
            <w:r>
              <w:rPr>
                <w:sz w:val="21"/>
                <w:szCs w:val="21"/>
                <w:highlight w:val="none"/>
              </w:rPr>
              <w:t>O</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S</w:t>
            </w:r>
          </w:p>
        </w:tc>
        <w:tc>
          <w:tcPr>
            <w:tcW w:w="595"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P</w:t>
            </w:r>
          </w:p>
        </w:tc>
        <w:tc>
          <w:tcPr>
            <w:tcW w:w="595" w:type="dxa"/>
            <w:tcBorders>
              <w:right w:val="single" w:color="auto" w:sz="4" w:space="0"/>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LoI</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86" w:hRule="atLeast"/>
          <w:jc w:val="center"/>
        </w:trPr>
        <w:tc>
          <w:tcPr>
            <w:tcW w:w="1009" w:type="dxa"/>
            <w:tcBorders>
              <w:left w:val="single" w:color="auto" w:sz="4" w:space="0"/>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HQ1</w:t>
            </w:r>
          </w:p>
        </w:tc>
        <w:tc>
          <w:tcPr>
            <w:tcW w:w="595" w:type="dxa"/>
            <w:vAlign w:val="center"/>
          </w:tcPr>
          <w:p>
            <w:pPr>
              <w:pStyle w:val="35"/>
              <w:snapToGrid/>
              <w:jc w:val="center"/>
              <w:rPr>
                <w:bCs/>
                <w:kern w:val="0"/>
                <w:sz w:val="21"/>
                <w:szCs w:val="21"/>
                <w:highlight w:val="none"/>
              </w:rPr>
            </w:pPr>
            <w:r>
              <w:rPr>
                <w:rFonts w:hint="eastAsia"/>
                <w:sz w:val="21"/>
                <w:szCs w:val="21"/>
                <w:highlight w:val="none"/>
              </w:rPr>
              <w:t>21.52</w:t>
            </w:r>
          </w:p>
        </w:tc>
        <w:tc>
          <w:tcPr>
            <w:tcW w:w="595" w:type="dxa"/>
            <w:vAlign w:val="center"/>
          </w:tcPr>
          <w:p>
            <w:pPr>
              <w:pStyle w:val="35"/>
              <w:snapToGrid/>
              <w:jc w:val="center"/>
              <w:rPr>
                <w:bCs/>
                <w:kern w:val="0"/>
                <w:sz w:val="21"/>
                <w:szCs w:val="21"/>
                <w:highlight w:val="none"/>
              </w:rPr>
            </w:pPr>
            <w:r>
              <w:rPr>
                <w:sz w:val="21"/>
                <w:szCs w:val="21"/>
                <w:highlight w:val="none"/>
              </w:rPr>
              <w:t>12.38</w:t>
            </w:r>
          </w:p>
        </w:tc>
        <w:tc>
          <w:tcPr>
            <w:tcW w:w="595" w:type="dxa"/>
            <w:vAlign w:val="center"/>
          </w:tcPr>
          <w:p>
            <w:pPr>
              <w:pStyle w:val="35"/>
              <w:snapToGrid/>
              <w:jc w:val="center"/>
              <w:rPr>
                <w:bCs/>
                <w:kern w:val="0"/>
                <w:sz w:val="21"/>
                <w:szCs w:val="21"/>
                <w:highlight w:val="none"/>
              </w:rPr>
            </w:pPr>
            <w:r>
              <w:rPr>
                <w:sz w:val="21"/>
                <w:szCs w:val="21"/>
                <w:highlight w:val="none"/>
              </w:rPr>
              <w:t>44.00</w:t>
            </w:r>
          </w:p>
        </w:tc>
        <w:tc>
          <w:tcPr>
            <w:tcW w:w="595" w:type="dxa"/>
            <w:vAlign w:val="center"/>
          </w:tcPr>
          <w:p>
            <w:pPr>
              <w:pStyle w:val="35"/>
              <w:snapToGrid/>
              <w:jc w:val="center"/>
              <w:rPr>
                <w:bCs/>
                <w:kern w:val="0"/>
                <w:sz w:val="21"/>
                <w:szCs w:val="21"/>
                <w:highlight w:val="none"/>
              </w:rPr>
            </w:pPr>
            <w:r>
              <w:rPr>
                <w:sz w:val="21"/>
                <w:szCs w:val="21"/>
                <w:highlight w:val="none"/>
              </w:rPr>
              <w:t>0.86</w:t>
            </w:r>
          </w:p>
        </w:tc>
        <w:tc>
          <w:tcPr>
            <w:tcW w:w="595" w:type="dxa"/>
            <w:vAlign w:val="center"/>
          </w:tcPr>
          <w:p>
            <w:pPr>
              <w:pStyle w:val="35"/>
              <w:snapToGrid/>
              <w:jc w:val="center"/>
              <w:rPr>
                <w:bCs/>
                <w:kern w:val="0"/>
                <w:sz w:val="21"/>
                <w:szCs w:val="21"/>
                <w:highlight w:val="none"/>
              </w:rPr>
            </w:pPr>
            <w:r>
              <w:rPr>
                <w:sz w:val="21"/>
                <w:szCs w:val="21"/>
                <w:highlight w:val="none"/>
              </w:rPr>
              <w:t>3.46</w:t>
            </w:r>
          </w:p>
        </w:tc>
        <w:tc>
          <w:tcPr>
            <w:tcW w:w="595" w:type="dxa"/>
            <w:vAlign w:val="center"/>
          </w:tcPr>
          <w:p>
            <w:pPr>
              <w:pStyle w:val="35"/>
              <w:snapToGrid/>
              <w:jc w:val="center"/>
              <w:rPr>
                <w:bCs/>
                <w:kern w:val="0"/>
                <w:sz w:val="21"/>
                <w:szCs w:val="21"/>
                <w:highlight w:val="none"/>
              </w:rPr>
            </w:pPr>
            <w:r>
              <w:rPr>
                <w:sz w:val="21"/>
                <w:szCs w:val="21"/>
                <w:highlight w:val="none"/>
              </w:rPr>
              <w:t>7.92</w:t>
            </w:r>
          </w:p>
        </w:tc>
        <w:tc>
          <w:tcPr>
            <w:tcW w:w="595" w:type="dxa"/>
            <w:vAlign w:val="center"/>
          </w:tcPr>
          <w:p>
            <w:pPr>
              <w:pStyle w:val="35"/>
              <w:snapToGrid/>
              <w:jc w:val="center"/>
              <w:rPr>
                <w:bCs/>
                <w:kern w:val="0"/>
                <w:sz w:val="21"/>
                <w:szCs w:val="21"/>
                <w:highlight w:val="none"/>
              </w:rPr>
            </w:pPr>
            <w:r>
              <w:rPr>
                <w:sz w:val="21"/>
                <w:szCs w:val="21"/>
                <w:highlight w:val="none"/>
              </w:rPr>
              <w:t>0.53</w:t>
            </w:r>
          </w:p>
        </w:tc>
        <w:tc>
          <w:tcPr>
            <w:tcW w:w="595" w:type="dxa"/>
            <w:vAlign w:val="center"/>
          </w:tcPr>
          <w:p>
            <w:pPr>
              <w:pStyle w:val="35"/>
              <w:snapToGrid/>
              <w:jc w:val="center"/>
              <w:rPr>
                <w:bCs/>
                <w:kern w:val="0"/>
                <w:sz w:val="21"/>
                <w:szCs w:val="21"/>
                <w:highlight w:val="none"/>
              </w:rPr>
            </w:pPr>
            <w:r>
              <w:rPr>
                <w:sz w:val="21"/>
                <w:szCs w:val="21"/>
                <w:highlight w:val="none"/>
              </w:rPr>
              <w:t>0.09</w:t>
            </w:r>
          </w:p>
        </w:tc>
        <w:tc>
          <w:tcPr>
            <w:tcW w:w="595" w:type="dxa"/>
            <w:vAlign w:val="center"/>
          </w:tcPr>
          <w:p>
            <w:pPr>
              <w:pStyle w:val="35"/>
              <w:snapToGrid/>
              <w:jc w:val="center"/>
              <w:rPr>
                <w:bCs/>
                <w:kern w:val="0"/>
                <w:sz w:val="21"/>
                <w:szCs w:val="21"/>
                <w:highlight w:val="none"/>
              </w:rPr>
            </w:pPr>
            <w:r>
              <w:rPr>
                <w:sz w:val="21"/>
                <w:szCs w:val="21"/>
                <w:highlight w:val="none"/>
              </w:rPr>
              <w:t>0.72</w:t>
            </w:r>
          </w:p>
        </w:tc>
        <w:tc>
          <w:tcPr>
            <w:tcW w:w="595" w:type="dxa"/>
            <w:vAlign w:val="center"/>
          </w:tcPr>
          <w:p>
            <w:pPr>
              <w:pStyle w:val="35"/>
              <w:snapToGrid/>
              <w:jc w:val="center"/>
              <w:rPr>
                <w:bCs/>
                <w:kern w:val="0"/>
                <w:sz w:val="21"/>
                <w:szCs w:val="21"/>
                <w:highlight w:val="none"/>
              </w:rPr>
            </w:pPr>
            <w:r>
              <w:rPr>
                <w:sz w:val="21"/>
                <w:szCs w:val="21"/>
                <w:highlight w:val="none"/>
              </w:rPr>
              <w:t>0.38</w:t>
            </w:r>
          </w:p>
        </w:tc>
        <w:tc>
          <w:tcPr>
            <w:tcW w:w="595" w:type="dxa"/>
            <w:vAlign w:val="center"/>
          </w:tcPr>
          <w:p>
            <w:pPr>
              <w:pStyle w:val="35"/>
              <w:snapToGrid/>
              <w:jc w:val="center"/>
              <w:rPr>
                <w:bCs/>
                <w:kern w:val="0"/>
                <w:sz w:val="21"/>
                <w:szCs w:val="21"/>
                <w:highlight w:val="none"/>
              </w:rPr>
            </w:pPr>
            <w:r>
              <w:rPr>
                <w:sz w:val="21"/>
                <w:szCs w:val="21"/>
                <w:highlight w:val="none"/>
              </w:rPr>
              <w:t>0.05</w:t>
            </w:r>
          </w:p>
        </w:tc>
        <w:tc>
          <w:tcPr>
            <w:tcW w:w="595" w:type="dxa"/>
            <w:vAlign w:val="center"/>
          </w:tcPr>
          <w:p>
            <w:pPr>
              <w:pStyle w:val="35"/>
              <w:snapToGrid/>
              <w:jc w:val="center"/>
              <w:rPr>
                <w:bCs/>
                <w:kern w:val="0"/>
                <w:sz w:val="21"/>
                <w:szCs w:val="21"/>
                <w:highlight w:val="none"/>
              </w:rPr>
            </w:pPr>
            <w:r>
              <w:rPr>
                <w:sz w:val="21"/>
                <w:szCs w:val="21"/>
                <w:highlight w:val="none"/>
              </w:rPr>
              <w:t>0.14</w:t>
            </w:r>
          </w:p>
        </w:tc>
        <w:tc>
          <w:tcPr>
            <w:tcW w:w="595" w:type="dxa"/>
            <w:tcBorders>
              <w:right w:val="single" w:color="auto" w:sz="4" w:space="0"/>
            </w:tcBorders>
            <w:vAlign w:val="center"/>
          </w:tcPr>
          <w:p>
            <w:pPr>
              <w:pStyle w:val="35"/>
              <w:snapToGrid/>
              <w:jc w:val="center"/>
              <w:rPr>
                <w:bCs/>
                <w:kern w:val="0"/>
                <w:sz w:val="21"/>
                <w:szCs w:val="21"/>
                <w:highlight w:val="none"/>
              </w:rPr>
            </w:pPr>
            <w:r>
              <w:rPr>
                <w:sz w:val="21"/>
                <w:szCs w:val="21"/>
                <w:highlight w:val="none"/>
              </w:rPr>
              <w:t>2.47</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86" w:hRule="atLeast"/>
          <w:jc w:val="center"/>
        </w:trPr>
        <w:tc>
          <w:tcPr>
            <w:tcW w:w="1009" w:type="dxa"/>
            <w:tcBorders>
              <w:left w:val="single" w:color="auto" w:sz="4" w:space="0"/>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HQ2</w:t>
            </w:r>
          </w:p>
        </w:tc>
        <w:tc>
          <w:tcPr>
            <w:tcW w:w="595" w:type="dxa"/>
            <w:vAlign w:val="center"/>
          </w:tcPr>
          <w:p>
            <w:pPr>
              <w:pStyle w:val="35"/>
              <w:snapToGrid/>
              <w:jc w:val="center"/>
              <w:rPr>
                <w:bCs/>
                <w:kern w:val="0"/>
                <w:sz w:val="21"/>
                <w:szCs w:val="21"/>
                <w:highlight w:val="none"/>
              </w:rPr>
            </w:pPr>
            <w:r>
              <w:rPr>
                <w:rFonts w:hint="eastAsia"/>
                <w:sz w:val="21"/>
                <w:szCs w:val="21"/>
                <w:highlight w:val="none"/>
              </w:rPr>
              <w:t>22</w:t>
            </w:r>
            <w:r>
              <w:rPr>
                <w:sz w:val="21"/>
                <w:szCs w:val="21"/>
                <w:highlight w:val="none"/>
              </w:rPr>
              <w:t>.48</w:t>
            </w:r>
          </w:p>
        </w:tc>
        <w:tc>
          <w:tcPr>
            <w:tcW w:w="595" w:type="dxa"/>
            <w:vAlign w:val="center"/>
          </w:tcPr>
          <w:p>
            <w:pPr>
              <w:pStyle w:val="35"/>
              <w:snapToGrid/>
              <w:jc w:val="center"/>
              <w:rPr>
                <w:bCs/>
                <w:kern w:val="0"/>
                <w:sz w:val="21"/>
                <w:szCs w:val="21"/>
                <w:highlight w:val="none"/>
              </w:rPr>
            </w:pPr>
            <w:r>
              <w:rPr>
                <w:sz w:val="21"/>
                <w:szCs w:val="21"/>
                <w:highlight w:val="none"/>
              </w:rPr>
              <w:t>12.62</w:t>
            </w:r>
          </w:p>
        </w:tc>
        <w:tc>
          <w:tcPr>
            <w:tcW w:w="595" w:type="dxa"/>
            <w:vAlign w:val="center"/>
          </w:tcPr>
          <w:p>
            <w:pPr>
              <w:pStyle w:val="35"/>
              <w:snapToGrid/>
              <w:jc w:val="center"/>
              <w:rPr>
                <w:bCs/>
                <w:kern w:val="0"/>
                <w:sz w:val="21"/>
                <w:szCs w:val="21"/>
                <w:highlight w:val="none"/>
              </w:rPr>
            </w:pPr>
            <w:r>
              <w:rPr>
                <w:sz w:val="21"/>
                <w:szCs w:val="21"/>
                <w:highlight w:val="none"/>
              </w:rPr>
              <w:t>44.89</w:t>
            </w:r>
          </w:p>
        </w:tc>
        <w:tc>
          <w:tcPr>
            <w:tcW w:w="595" w:type="dxa"/>
            <w:vAlign w:val="center"/>
          </w:tcPr>
          <w:p>
            <w:pPr>
              <w:pStyle w:val="35"/>
              <w:snapToGrid/>
              <w:jc w:val="center"/>
              <w:rPr>
                <w:bCs/>
                <w:kern w:val="0"/>
                <w:sz w:val="21"/>
                <w:szCs w:val="21"/>
                <w:highlight w:val="none"/>
              </w:rPr>
            </w:pPr>
            <w:r>
              <w:rPr>
                <w:sz w:val="21"/>
                <w:szCs w:val="21"/>
                <w:highlight w:val="none"/>
              </w:rPr>
              <w:t>0.78</w:t>
            </w:r>
          </w:p>
        </w:tc>
        <w:tc>
          <w:tcPr>
            <w:tcW w:w="595" w:type="dxa"/>
            <w:vAlign w:val="center"/>
          </w:tcPr>
          <w:p>
            <w:pPr>
              <w:pStyle w:val="35"/>
              <w:snapToGrid/>
              <w:jc w:val="center"/>
              <w:rPr>
                <w:bCs/>
                <w:kern w:val="0"/>
                <w:sz w:val="21"/>
                <w:szCs w:val="21"/>
                <w:highlight w:val="none"/>
              </w:rPr>
            </w:pPr>
            <w:r>
              <w:rPr>
                <w:sz w:val="21"/>
                <w:szCs w:val="21"/>
                <w:highlight w:val="none"/>
              </w:rPr>
              <w:t>3.33</w:t>
            </w:r>
          </w:p>
        </w:tc>
        <w:tc>
          <w:tcPr>
            <w:tcW w:w="595" w:type="dxa"/>
            <w:vAlign w:val="center"/>
          </w:tcPr>
          <w:p>
            <w:pPr>
              <w:pStyle w:val="35"/>
              <w:snapToGrid/>
              <w:jc w:val="center"/>
              <w:rPr>
                <w:bCs/>
                <w:kern w:val="0"/>
                <w:sz w:val="21"/>
                <w:szCs w:val="21"/>
                <w:highlight w:val="none"/>
              </w:rPr>
            </w:pPr>
            <w:r>
              <w:rPr>
                <w:sz w:val="21"/>
                <w:szCs w:val="21"/>
                <w:highlight w:val="none"/>
              </w:rPr>
              <w:t>7.80</w:t>
            </w:r>
          </w:p>
        </w:tc>
        <w:tc>
          <w:tcPr>
            <w:tcW w:w="595" w:type="dxa"/>
            <w:vAlign w:val="center"/>
          </w:tcPr>
          <w:p>
            <w:pPr>
              <w:pStyle w:val="35"/>
              <w:snapToGrid/>
              <w:jc w:val="center"/>
              <w:rPr>
                <w:bCs/>
                <w:kern w:val="0"/>
                <w:sz w:val="21"/>
                <w:szCs w:val="21"/>
                <w:highlight w:val="none"/>
              </w:rPr>
            </w:pPr>
            <w:r>
              <w:rPr>
                <w:sz w:val="21"/>
                <w:szCs w:val="21"/>
                <w:highlight w:val="none"/>
              </w:rPr>
              <w:t>0.50</w:t>
            </w:r>
          </w:p>
        </w:tc>
        <w:tc>
          <w:tcPr>
            <w:tcW w:w="595" w:type="dxa"/>
            <w:vAlign w:val="center"/>
          </w:tcPr>
          <w:p>
            <w:pPr>
              <w:pStyle w:val="35"/>
              <w:snapToGrid/>
              <w:jc w:val="center"/>
              <w:rPr>
                <w:bCs/>
                <w:kern w:val="0"/>
                <w:sz w:val="21"/>
                <w:szCs w:val="21"/>
                <w:highlight w:val="none"/>
              </w:rPr>
            </w:pPr>
            <w:r>
              <w:rPr>
                <w:sz w:val="21"/>
                <w:szCs w:val="21"/>
                <w:highlight w:val="none"/>
              </w:rPr>
              <w:t>0.07</w:t>
            </w:r>
          </w:p>
        </w:tc>
        <w:tc>
          <w:tcPr>
            <w:tcW w:w="595" w:type="dxa"/>
            <w:vAlign w:val="center"/>
          </w:tcPr>
          <w:p>
            <w:pPr>
              <w:pStyle w:val="35"/>
              <w:snapToGrid/>
              <w:jc w:val="center"/>
              <w:rPr>
                <w:bCs/>
                <w:kern w:val="0"/>
                <w:sz w:val="21"/>
                <w:szCs w:val="21"/>
                <w:highlight w:val="none"/>
              </w:rPr>
            </w:pPr>
            <w:r>
              <w:rPr>
                <w:sz w:val="21"/>
                <w:szCs w:val="21"/>
                <w:highlight w:val="none"/>
              </w:rPr>
              <w:t>0.61</w:t>
            </w:r>
          </w:p>
        </w:tc>
        <w:tc>
          <w:tcPr>
            <w:tcW w:w="595" w:type="dxa"/>
            <w:vAlign w:val="center"/>
          </w:tcPr>
          <w:p>
            <w:pPr>
              <w:pStyle w:val="35"/>
              <w:snapToGrid/>
              <w:jc w:val="center"/>
              <w:rPr>
                <w:bCs/>
                <w:kern w:val="0"/>
                <w:sz w:val="21"/>
                <w:szCs w:val="21"/>
                <w:highlight w:val="none"/>
              </w:rPr>
            </w:pPr>
            <w:r>
              <w:rPr>
                <w:sz w:val="21"/>
                <w:szCs w:val="21"/>
                <w:highlight w:val="none"/>
              </w:rPr>
              <w:t>0.32</w:t>
            </w:r>
          </w:p>
        </w:tc>
        <w:tc>
          <w:tcPr>
            <w:tcW w:w="595" w:type="dxa"/>
            <w:vAlign w:val="center"/>
          </w:tcPr>
          <w:p>
            <w:pPr>
              <w:pStyle w:val="35"/>
              <w:snapToGrid/>
              <w:jc w:val="center"/>
              <w:rPr>
                <w:bCs/>
                <w:kern w:val="0"/>
                <w:sz w:val="21"/>
                <w:szCs w:val="21"/>
                <w:highlight w:val="none"/>
              </w:rPr>
            </w:pPr>
            <w:r>
              <w:rPr>
                <w:sz w:val="21"/>
                <w:szCs w:val="21"/>
                <w:highlight w:val="none"/>
              </w:rPr>
              <w:t>0.04</w:t>
            </w:r>
          </w:p>
        </w:tc>
        <w:tc>
          <w:tcPr>
            <w:tcW w:w="595" w:type="dxa"/>
            <w:vAlign w:val="center"/>
          </w:tcPr>
          <w:p>
            <w:pPr>
              <w:pStyle w:val="35"/>
              <w:snapToGrid/>
              <w:jc w:val="center"/>
              <w:rPr>
                <w:bCs/>
                <w:kern w:val="0"/>
                <w:sz w:val="21"/>
                <w:szCs w:val="21"/>
                <w:highlight w:val="none"/>
              </w:rPr>
            </w:pPr>
            <w:r>
              <w:rPr>
                <w:sz w:val="21"/>
                <w:szCs w:val="21"/>
                <w:highlight w:val="none"/>
              </w:rPr>
              <w:t>0.12</w:t>
            </w:r>
          </w:p>
        </w:tc>
        <w:tc>
          <w:tcPr>
            <w:tcW w:w="595" w:type="dxa"/>
            <w:tcBorders>
              <w:right w:val="single" w:color="auto" w:sz="4" w:space="0"/>
            </w:tcBorders>
            <w:vAlign w:val="center"/>
          </w:tcPr>
          <w:p>
            <w:pPr>
              <w:pStyle w:val="35"/>
              <w:snapToGrid/>
              <w:jc w:val="center"/>
              <w:rPr>
                <w:bCs/>
                <w:kern w:val="0"/>
                <w:sz w:val="21"/>
                <w:szCs w:val="21"/>
                <w:highlight w:val="none"/>
              </w:rPr>
            </w:pPr>
            <w:r>
              <w:rPr>
                <w:sz w:val="21"/>
                <w:szCs w:val="21"/>
                <w:highlight w:val="none"/>
              </w:rPr>
              <w:t>2.46</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86" w:hRule="atLeast"/>
          <w:jc w:val="center"/>
        </w:trPr>
        <w:tc>
          <w:tcPr>
            <w:tcW w:w="1009" w:type="dxa"/>
            <w:tcBorders>
              <w:left w:val="single" w:color="auto" w:sz="4" w:space="0"/>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595" w:type="dxa"/>
            <w:vAlign w:val="center"/>
          </w:tcPr>
          <w:p>
            <w:pPr>
              <w:pStyle w:val="35"/>
              <w:snapToGrid/>
              <w:jc w:val="center"/>
              <w:rPr>
                <w:bCs/>
                <w:kern w:val="0"/>
                <w:sz w:val="21"/>
                <w:szCs w:val="21"/>
                <w:highlight w:val="none"/>
              </w:rPr>
            </w:pPr>
            <w:r>
              <w:rPr>
                <w:rFonts w:hint="eastAsia"/>
                <w:sz w:val="21"/>
                <w:szCs w:val="21"/>
                <w:highlight w:val="none"/>
              </w:rPr>
              <w:t>22.0</w:t>
            </w:r>
          </w:p>
        </w:tc>
        <w:tc>
          <w:tcPr>
            <w:tcW w:w="595" w:type="dxa"/>
            <w:vAlign w:val="center"/>
          </w:tcPr>
          <w:p>
            <w:pPr>
              <w:pStyle w:val="35"/>
              <w:snapToGrid/>
              <w:jc w:val="center"/>
              <w:rPr>
                <w:bCs/>
                <w:kern w:val="0"/>
                <w:sz w:val="21"/>
                <w:szCs w:val="21"/>
                <w:highlight w:val="none"/>
              </w:rPr>
            </w:pPr>
            <w:r>
              <w:rPr>
                <w:sz w:val="21"/>
                <w:szCs w:val="21"/>
                <w:highlight w:val="none"/>
              </w:rPr>
              <w:t>12.50</w:t>
            </w:r>
          </w:p>
        </w:tc>
        <w:tc>
          <w:tcPr>
            <w:tcW w:w="595" w:type="dxa"/>
            <w:vAlign w:val="center"/>
          </w:tcPr>
          <w:p>
            <w:pPr>
              <w:pStyle w:val="35"/>
              <w:snapToGrid/>
              <w:jc w:val="center"/>
              <w:rPr>
                <w:bCs/>
                <w:kern w:val="0"/>
                <w:sz w:val="21"/>
                <w:szCs w:val="21"/>
                <w:highlight w:val="none"/>
              </w:rPr>
            </w:pPr>
            <w:r>
              <w:rPr>
                <w:sz w:val="21"/>
                <w:szCs w:val="21"/>
                <w:highlight w:val="none"/>
              </w:rPr>
              <w:t>44.45</w:t>
            </w:r>
          </w:p>
        </w:tc>
        <w:tc>
          <w:tcPr>
            <w:tcW w:w="595" w:type="dxa"/>
            <w:vAlign w:val="center"/>
          </w:tcPr>
          <w:p>
            <w:pPr>
              <w:pStyle w:val="35"/>
              <w:snapToGrid/>
              <w:jc w:val="center"/>
              <w:rPr>
                <w:bCs/>
                <w:kern w:val="0"/>
                <w:sz w:val="21"/>
                <w:szCs w:val="21"/>
                <w:highlight w:val="none"/>
              </w:rPr>
            </w:pPr>
            <w:r>
              <w:rPr>
                <w:sz w:val="21"/>
                <w:szCs w:val="21"/>
                <w:highlight w:val="none"/>
              </w:rPr>
              <w:t>0.82</w:t>
            </w:r>
          </w:p>
        </w:tc>
        <w:tc>
          <w:tcPr>
            <w:tcW w:w="595" w:type="dxa"/>
            <w:vAlign w:val="center"/>
          </w:tcPr>
          <w:p>
            <w:pPr>
              <w:pStyle w:val="35"/>
              <w:snapToGrid/>
              <w:jc w:val="center"/>
              <w:rPr>
                <w:bCs/>
                <w:kern w:val="0"/>
                <w:sz w:val="21"/>
                <w:szCs w:val="21"/>
                <w:highlight w:val="none"/>
              </w:rPr>
            </w:pPr>
            <w:r>
              <w:rPr>
                <w:sz w:val="21"/>
                <w:szCs w:val="21"/>
                <w:highlight w:val="none"/>
              </w:rPr>
              <w:t>3.40</w:t>
            </w:r>
          </w:p>
        </w:tc>
        <w:tc>
          <w:tcPr>
            <w:tcW w:w="595" w:type="dxa"/>
            <w:vAlign w:val="center"/>
          </w:tcPr>
          <w:p>
            <w:pPr>
              <w:pStyle w:val="35"/>
              <w:snapToGrid/>
              <w:jc w:val="center"/>
              <w:rPr>
                <w:bCs/>
                <w:kern w:val="0"/>
                <w:sz w:val="21"/>
                <w:szCs w:val="21"/>
                <w:highlight w:val="none"/>
              </w:rPr>
            </w:pPr>
            <w:r>
              <w:rPr>
                <w:sz w:val="21"/>
                <w:szCs w:val="21"/>
                <w:highlight w:val="none"/>
              </w:rPr>
              <w:t>7.86</w:t>
            </w:r>
          </w:p>
        </w:tc>
        <w:tc>
          <w:tcPr>
            <w:tcW w:w="595" w:type="dxa"/>
            <w:vAlign w:val="center"/>
          </w:tcPr>
          <w:p>
            <w:pPr>
              <w:pStyle w:val="35"/>
              <w:snapToGrid/>
              <w:jc w:val="center"/>
              <w:rPr>
                <w:bCs/>
                <w:kern w:val="0"/>
                <w:sz w:val="21"/>
                <w:szCs w:val="21"/>
                <w:highlight w:val="none"/>
              </w:rPr>
            </w:pPr>
            <w:r>
              <w:rPr>
                <w:sz w:val="21"/>
                <w:szCs w:val="21"/>
                <w:highlight w:val="none"/>
              </w:rPr>
              <w:t>0.51</w:t>
            </w:r>
          </w:p>
        </w:tc>
        <w:tc>
          <w:tcPr>
            <w:tcW w:w="595" w:type="dxa"/>
            <w:vAlign w:val="center"/>
          </w:tcPr>
          <w:p>
            <w:pPr>
              <w:pStyle w:val="35"/>
              <w:snapToGrid/>
              <w:jc w:val="center"/>
              <w:rPr>
                <w:bCs/>
                <w:kern w:val="0"/>
                <w:sz w:val="21"/>
                <w:szCs w:val="21"/>
                <w:highlight w:val="none"/>
              </w:rPr>
            </w:pPr>
            <w:r>
              <w:rPr>
                <w:sz w:val="21"/>
                <w:szCs w:val="21"/>
                <w:highlight w:val="none"/>
              </w:rPr>
              <w:t>0.08</w:t>
            </w:r>
          </w:p>
        </w:tc>
        <w:tc>
          <w:tcPr>
            <w:tcW w:w="595" w:type="dxa"/>
            <w:vAlign w:val="center"/>
          </w:tcPr>
          <w:p>
            <w:pPr>
              <w:pStyle w:val="35"/>
              <w:snapToGrid/>
              <w:jc w:val="center"/>
              <w:rPr>
                <w:bCs/>
                <w:kern w:val="0"/>
                <w:sz w:val="21"/>
                <w:szCs w:val="21"/>
                <w:highlight w:val="none"/>
              </w:rPr>
            </w:pPr>
            <w:r>
              <w:rPr>
                <w:sz w:val="21"/>
                <w:szCs w:val="21"/>
                <w:highlight w:val="none"/>
              </w:rPr>
              <w:t>0.66</w:t>
            </w:r>
          </w:p>
        </w:tc>
        <w:tc>
          <w:tcPr>
            <w:tcW w:w="595" w:type="dxa"/>
            <w:vAlign w:val="center"/>
          </w:tcPr>
          <w:p>
            <w:pPr>
              <w:pStyle w:val="35"/>
              <w:snapToGrid/>
              <w:jc w:val="center"/>
              <w:rPr>
                <w:bCs/>
                <w:kern w:val="0"/>
                <w:sz w:val="21"/>
                <w:szCs w:val="21"/>
                <w:highlight w:val="none"/>
              </w:rPr>
            </w:pPr>
            <w:r>
              <w:rPr>
                <w:sz w:val="21"/>
                <w:szCs w:val="21"/>
                <w:highlight w:val="none"/>
              </w:rPr>
              <w:t>0.35</w:t>
            </w:r>
          </w:p>
        </w:tc>
        <w:tc>
          <w:tcPr>
            <w:tcW w:w="595" w:type="dxa"/>
            <w:vAlign w:val="center"/>
          </w:tcPr>
          <w:p>
            <w:pPr>
              <w:pStyle w:val="35"/>
              <w:snapToGrid/>
              <w:jc w:val="center"/>
              <w:rPr>
                <w:bCs/>
                <w:kern w:val="0"/>
                <w:sz w:val="21"/>
                <w:szCs w:val="21"/>
                <w:highlight w:val="none"/>
              </w:rPr>
            </w:pPr>
            <w:r>
              <w:rPr>
                <w:sz w:val="21"/>
                <w:szCs w:val="21"/>
                <w:highlight w:val="none"/>
              </w:rPr>
              <w:t>0.04</w:t>
            </w:r>
          </w:p>
        </w:tc>
        <w:tc>
          <w:tcPr>
            <w:tcW w:w="595" w:type="dxa"/>
            <w:vAlign w:val="center"/>
          </w:tcPr>
          <w:p>
            <w:pPr>
              <w:pStyle w:val="35"/>
              <w:snapToGrid/>
              <w:jc w:val="center"/>
              <w:rPr>
                <w:bCs/>
                <w:kern w:val="0"/>
                <w:sz w:val="21"/>
                <w:szCs w:val="21"/>
                <w:highlight w:val="none"/>
              </w:rPr>
            </w:pPr>
            <w:r>
              <w:rPr>
                <w:sz w:val="21"/>
                <w:szCs w:val="21"/>
                <w:highlight w:val="none"/>
              </w:rPr>
              <w:t>0.13</w:t>
            </w:r>
          </w:p>
        </w:tc>
        <w:tc>
          <w:tcPr>
            <w:tcW w:w="595" w:type="dxa"/>
            <w:tcBorders>
              <w:right w:val="single" w:color="auto" w:sz="4" w:space="0"/>
            </w:tcBorders>
            <w:vAlign w:val="center"/>
          </w:tcPr>
          <w:p>
            <w:pPr>
              <w:pStyle w:val="35"/>
              <w:snapToGrid/>
              <w:jc w:val="center"/>
              <w:rPr>
                <w:bCs/>
                <w:kern w:val="0"/>
                <w:sz w:val="21"/>
                <w:szCs w:val="21"/>
                <w:highlight w:val="none"/>
              </w:rPr>
            </w:pPr>
            <w:r>
              <w:rPr>
                <w:sz w:val="21"/>
                <w:szCs w:val="21"/>
                <w:highlight w:val="none"/>
              </w:rPr>
              <w:t>2.47</w:t>
            </w:r>
          </w:p>
        </w:tc>
      </w:tr>
    </w:tbl>
    <w:p>
      <w:pPr>
        <w:snapToGrid w:val="0"/>
        <w:ind w:firstLine="480"/>
        <w:jc w:val="both"/>
        <w:rPr>
          <w:sz w:val="24"/>
          <w:szCs w:val="24"/>
          <w:highlight w:val="none"/>
        </w:rPr>
      </w:pPr>
      <w:r>
        <w:rPr>
          <w:sz w:val="24"/>
          <w:szCs w:val="24"/>
          <w:highlight w:val="none"/>
        </w:rPr>
        <w:t>根据铁矿石全成分分析结果，原料未检出含砷、铜、铅等重金属。因铁矿石不含重金属，且铁矿石选矿过程为物理过程，不添加化学药剂，因此本项目原料不含重金属等有害元素。</w:t>
      </w:r>
    </w:p>
    <w:p>
      <w:pPr>
        <w:snapToGrid w:val="0"/>
        <w:ind w:firstLine="480"/>
        <w:jc w:val="both"/>
        <w:rPr>
          <w:rFonts w:eastAsia="黑体"/>
          <w:kern w:val="2"/>
          <w:sz w:val="21"/>
          <w:szCs w:val="21"/>
          <w:highlight w:val="none"/>
        </w:rPr>
      </w:pPr>
      <w:r>
        <w:rPr>
          <w:sz w:val="24"/>
          <w:szCs w:val="24"/>
          <w:highlight w:val="none"/>
        </w:rPr>
        <w:t>本项目</w:t>
      </w:r>
      <w:r>
        <w:rPr>
          <w:rFonts w:hint="eastAsia"/>
          <w:sz w:val="24"/>
          <w:szCs w:val="24"/>
          <w:highlight w:val="none"/>
        </w:rPr>
        <w:t>实施后全厂</w:t>
      </w:r>
      <w:r>
        <w:rPr>
          <w:sz w:val="24"/>
          <w:szCs w:val="24"/>
          <w:highlight w:val="none"/>
        </w:rPr>
        <w:t>主要原辅材料及能源消耗情况见下表。</w:t>
      </w:r>
    </w:p>
    <w:p>
      <w:pPr>
        <w:spacing w:line="240" w:lineRule="auto"/>
        <w:ind w:firstLine="0" w:firstLineChars="0"/>
        <w:jc w:val="center"/>
        <w:textAlignment w:val="auto"/>
        <w:rPr>
          <w:rFonts w:eastAsia="黑体"/>
          <w:sz w:val="21"/>
          <w:szCs w:val="21"/>
          <w:highlight w:val="none"/>
        </w:rPr>
      </w:pPr>
      <w:r>
        <w:rPr>
          <w:rFonts w:eastAsia="黑体"/>
          <w:kern w:val="2"/>
          <w:sz w:val="21"/>
          <w:szCs w:val="21"/>
          <w:highlight w:val="none"/>
        </w:rPr>
        <w:t>表3.</w:t>
      </w:r>
      <w:r>
        <w:rPr>
          <w:rFonts w:hint="eastAsia" w:eastAsia="黑体"/>
          <w:kern w:val="2"/>
          <w:sz w:val="21"/>
          <w:szCs w:val="21"/>
          <w:highlight w:val="none"/>
        </w:rPr>
        <w:t>2</w:t>
      </w:r>
      <w:r>
        <w:rPr>
          <w:rFonts w:eastAsia="黑体"/>
          <w:kern w:val="2"/>
          <w:sz w:val="21"/>
          <w:szCs w:val="21"/>
          <w:highlight w:val="none"/>
        </w:rPr>
        <w:t>-6 主要原辅材料与能源消耗一览表</w:t>
      </w:r>
    </w:p>
    <w:tbl>
      <w:tblPr>
        <w:tblStyle w:val="56"/>
        <w:tblW w:w="85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55"/>
        <w:gridCol w:w="1949"/>
        <w:gridCol w:w="1240"/>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序号</w:t>
            </w:r>
          </w:p>
        </w:tc>
        <w:tc>
          <w:tcPr>
            <w:tcW w:w="135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名称</w:t>
            </w:r>
          </w:p>
        </w:tc>
        <w:tc>
          <w:tcPr>
            <w:tcW w:w="1949"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消耗量</w:t>
            </w:r>
          </w:p>
        </w:tc>
        <w:tc>
          <w:tcPr>
            <w:tcW w:w="124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单位</w:t>
            </w:r>
          </w:p>
        </w:tc>
        <w:tc>
          <w:tcPr>
            <w:tcW w:w="334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pStyle w:val="218"/>
              <w:rPr>
                <w:highlight w:val="none"/>
              </w:rPr>
            </w:pPr>
            <w:r>
              <w:rPr>
                <w:highlight w:val="none"/>
              </w:rPr>
              <w:t>1</w:t>
            </w:r>
          </w:p>
        </w:tc>
        <w:tc>
          <w:tcPr>
            <w:tcW w:w="135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原矿</w:t>
            </w:r>
          </w:p>
        </w:tc>
        <w:tc>
          <w:tcPr>
            <w:tcW w:w="1949"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6</w:t>
            </w:r>
            <w:r>
              <w:rPr>
                <w:sz w:val="21"/>
                <w:szCs w:val="21"/>
                <w:highlight w:val="none"/>
              </w:rPr>
              <w:t>0</w:t>
            </w:r>
            <w:r>
              <w:rPr>
                <w:rFonts w:hint="eastAsia"/>
                <w:sz w:val="21"/>
                <w:szCs w:val="21"/>
                <w:highlight w:val="none"/>
              </w:rPr>
              <w:t>（新增30）</w:t>
            </w:r>
          </w:p>
        </w:tc>
        <w:tc>
          <w:tcPr>
            <w:tcW w:w="124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万t/a</w:t>
            </w:r>
          </w:p>
        </w:tc>
        <w:tc>
          <w:tcPr>
            <w:tcW w:w="334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平均品位22</w:t>
            </w:r>
            <w:r>
              <w:rPr>
                <w:sz w:val="21"/>
                <w:szCs w:val="21"/>
                <w:highlight w:val="none"/>
              </w:rPr>
              <w:t>%，</w:t>
            </w:r>
            <w:r>
              <w:rPr>
                <w:rFonts w:hint="eastAsia"/>
                <w:sz w:val="21"/>
                <w:szCs w:val="21"/>
                <w:highlight w:val="none"/>
              </w:rPr>
              <w:t>来自周边矿区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2</w:t>
            </w:r>
          </w:p>
        </w:tc>
        <w:tc>
          <w:tcPr>
            <w:tcW w:w="135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粗精矿</w:t>
            </w:r>
          </w:p>
        </w:tc>
        <w:tc>
          <w:tcPr>
            <w:tcW w:w="1949"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94（全部为新增）</w:t>
            </w:r>
          </w:p>
        </w:tc>
        <w:tc>
          <w:tcPr>
            <w:tcW w:w="124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万t/a</w:t>
            </w:r>
          </w:p>
        </w:tc>
        <w:tc>
          <w:tcPr>
            <w:tcW w:w="334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全部外购周边选矿企业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3</w:t>
            </w:r>
          </w:p>
        </w:tc>
        <w:tc>
          <w:tcPr>
            <w:tcW w:w="135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水（新水）</w:t>
            </w:r>
          </w:p>
        </w:tc>
        <w:tc>
          <w:tcPr>
            <w:tcW w:w="1949"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172956</w:t>
            </w:r>
          </w:p>
        </w:tc>
        <w:tc>
          <w:tcPr>
            <w:tcW w:w="124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m</w:t>
            </w:r>
            <w:r>
              <w:rPr>
                <w:sz w:val="21"/>
                <w:szCs w:val="21"/>
                <w:highlight w:val="none"/>
                <w:vertAlign w:val="superscript"/>
              </w:rPr>
              <w:t>3</w:t>
            </w:r>
            <w:r>
              <w:rPr>
                <w:sz w:val="21"/>
                <w:szCs w:val="21"/>
                <w:highlight w:val="none"/>
              </w:rPr>
              <w:t>/a</w:t>
            </w:r>
          </w:p>
        </w:tc>
        <w:tc>
          <w:tcPr>
            <w:tcW w:w="334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自备井提供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4</w:t>
            </w:r>
          </w:p>
        </w:tc>
        <w:tc>
          <w:tcPr>
            <w:tcW w:w="135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电</w:t>
            </w:r>
          </w:p>
        </w:tc>
        <w:tc>
          <w:tcPr>
            <w:tcW w:w="1949"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4020</w:t>
            </w:r>
          </w:p>
        </w:tc>
        <w:tc>
          <w:tcPr>
            <w:tcW w:w="124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万kW·h/a</w:t>
            </w:r>
          </w:p>
        </w:tc>
        <w:tc>
          <w:tcPr>
            <w:tcW w:w="334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当地变电站供给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5</w:t>
            </w:r>
          </w:p>
        </w:tc>
        <w:tc>
          <w:tcPr>
            <w:tcW w:w="135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絮凝剂</w:t>
            </w:r>
          </w:p>
        </w:tc>
        <w:tc>
          <w:tcPr>
            <w:tcW w:w="1949"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3</w:t>
            </w:r>
          </w:p>
        </w:tc>
        <w:tc>
          <w:tcPr>
            <w:tcW w:w="124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t/a</w:t>
            </w:r>
          </w:p>
        </w:tc>
        <w:tc>
          <w:tcPr>
            <w:tcW w:w="334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6</w:t>
            </w:r>
          </w:p>
        </w:tc>
        <w:tc>
          <w:tcPr>
            <w:tcW w:w="135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球磨(钢球)</w:t>
            </w:r>
          </w:p>
        </w:tc>
        <w:tc>
          <w:tcPr>
            <w:tcW w:w="1949"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210</w:t>
            </w:r>
          </w:p>
        </w:tc>
        <w:tc>
          <w:tcPr>
            <w:tcW w:w="1240"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t/a</w:t>
            </w:r>
          </w:p>
        </w:tc>
        <w:tc>
          <w:tcPr>
            <w:tcW w:w="3345" w:type="dxa"/>
            <w:tcBorders>
              <w:tl2br w:val="nil"/>
              <w:tr2bl w:val="nil"/>
            </w:tcBorders>
            <w:vAlign w:val="center"/>
          </w:tcPr>
          <w:p>
            <w:pPr>
              <w:spacing w:line="320" w:lineRule="exact"/>
              <w:ind w:firstLine="0" w:firstLineChars="0"/>
              <w:jc w:val="center"/>
              <w:rPr>
                <w:sz w:val="21"/>
                <w:szCs w:val="21"/>
                <w:highlight w:val="none"/>
              </w:rPr>
            </w:pPr>
            <w:r>
              <w:rPr>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0"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7</w:t>
            </w:r>
          </w:p>
        </w:tc>
        <w:tc>
          <w:tcPr>
            <w:tcW w:w="135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矿物油</w:t>
            </w:r>
          </w:p>
        </w:tc>
        <w:tc>
          <w:tcPr>
            <w:tcW w:w="1949" w:type="dxa"/>
            <w:tcBorders>
              <w:tl2br w:val="nil"/>
              <w:tr2bl w:val="nil"/>
            </w:tcBorders>
            <w:vAlign w:val="center"/>
          </w:tcPr>
          <w:p>
            <w:pPr>
              <w:spacing w:line="320" w:lineRule="exact"/>
              <w:ind w:firstLine="0" w:firstLineChars="0"/>
              <w:jc w:val="center"/>
              <w:rPr>
                <w:sz w:val="21"/>
                <w:szCs w:val="21"/>
                <w:highlight w:val="none"/>
              </w:rPr>
            </w:pPr>
            <w:r>
              <w:rPr>
                <w:rFonts w:hint="eastAsia"/>
                <w:kern w:val="24"/>
                <w:sz w:val="21"/>
                <w:szCs w:val="21"/>
                <w:highlight w:val="none"/>
              </w:rPr>
              <w:t>1.2（新增0.6）</w:t>
            </w:r>
          </w:p>
        </w:tc>
        <w:tc>
          <w:tcPr>
            <w:tcW w:w="1240" w:type="dxa"/>
            <w:tcBorders>
              <w:tl2br w:val="nil"/>
              <w:tr2bl w:val="nil"/>
            </w:tcBorders>
            <w:vAlign w:val="center"/>
          </w:tcPr>
          <w:p>
            <w:pPr>
              <w:spacing w:line="320" w:lineRule="exact"/>
              <w:ind w:firstLine="0" w:firstLineChars="0"/>
              <w:jc w:val="center"/>
              <w:rPr>
                <w:sz w:val="21"/>
                <w:szCs w:val="21"/>
                <w:highlight w:val="none"/>
              </w:rPr>
            </w:pPr>
            <w:r>
              <w:rPr>
                <w:kern w:val="24"/>
                <w:sz w:val="21"/>
                <w:szCs w:val="21"/>
                <w:highlight w:val="none"/>
              </w:rPr>
              <w:t>t/a</w:t>
            </w:r>
          </w:p>
        </w:tc>
        <w:tc>
          <w:tcPr>
            <w:tcW w:w="3345" w:type="dxa"/>
            <w:tcBorders>
              <w:tl2br w:val="nil"/>
              <w:tr2bl w:val="nil"/>
            </w:tcBorders>
            <w:vAlign w:val="center"/>
          </w:tcPr>
          <w:p>
            <w:pPr>
              <w:spacing w:line="320" w:lineRule="exact"/>
              <w:ind w:firstLine="0" w:firstLineChars="0"/>
              <w:jc w:val="center"/>
              <w:rPr>
                <w:sz w:val="21"/>
                <w:szCs w:val="21"/>
                <w:highlight w:val="none"/>
              </w:rPr>
            </w:pPr>
            <w:r>
              <w:rPr>
                <w:rFonts w:hint="eastAsia"/>
                <w:sz w:val="21"/>
                <w:szCs w:val="21"/>
                <w:highlight w:val="none"/>
              </w:rPr>
              <w:t>润滑油和液压油</w:t>
            </w:r>
          </w:p>
        </w:tc>
      </w:tr>
    </w:tbl>
    <w:p>
      <w:pPr>
        <w:pStyle w:val="6"/>
        <w:numPr>
          <w:ilvl w:val="2"/>
          <w:numId w:val="1"/>
        </w:numPr>
        <w:spacing w:before="120" w:beforeLines="50"/>
        <w:rPr>
          <w:szCs w:val="28"/>
          <w:highlight w:val="none"/>
        </w:rPr>
      </w:pPr>
      <w:bookmarkStart w:id="188" w:name="_Toc13435"/>
      <w:r>
        <w:rPr>
          <w:szCs w:val="28"/>
          <w:highlight w:val="none"/>
        </w:rPr>
        <w:t>平面布置</w:t>
      </w:r>
      <w:bookmarkEnd w:id="188"/>
    </w:p>
    <w:p>
      <w:pPr>
        <w:ind w:firstLine="480"/>
        <w:rPr>
          <w:sz w:val="24"/>
          <w:szCs w:val="24"/>
          <w:highlight w:val="none"/>
          <w:lang w:val="en-GB"/>
        </w:rPr>
      </w:pPr>
      <w:r>
        <w:rPr>
          <w:sz w:val="24"/>
          <w:szCs w:val="24"/>
          <w:highlight w:val="none"/>
        </w:rPr>
        <w:t>根据工艺生产流程和运输要求，结合该厂区场地自然条件，尽量使生产车间布置合理。本项目</w:t>
      </w:r>
      <w:r>
        <w:rPr>
          <w:rFonts w:hint="eastAsia"/>
          <w:sz w:val="24"/>
          <w:szCs w:val="24"/>
          <w:highlight w:val="none"/>
        </w:rPr>
        <w:t>新增精选车间位于厂区东北侧，现有建筑设施不变</w:t>
      </w:r>
      <w:r>
        <w:rPr>
          <w:sz w:val="24"/>
          <w:szCs w:val="24"/>
          <w:highlight w:val="none"/>
        </w:rPr>
        <w:t>。</w:t>
      </w:r>
    </w:p>
    <w:p>
      <w:pPr>
        <w:pStyle w:val="6"/>
        <w:numPr>
          <w:ilvl w:val="2"/>
          <w:numId w:val="1"/>
        </w:numPr>
        <w:rPr>
          <w:szCs w:val="28"/>
          <w:highlight w:val="none"/>
        </w:rPr>
      </w:pPr>
      <w:r>
        <w:rPr>
          <w:szCs w:val="28"/>
          <w:highlight w:val="none"/>
        </w:rPr>
        <w:t>劳动定员及工作制度</w:t>
      </w:r>
    </w:p>
    <w:p>
      <w:pPr>
        <w:ind w:firstLine="480"/>
        <w:rPr>
          <w:sz w:val="24"/>
          <w:szCs w:val="24"/>
          <w:highlight w:val="none"/>
        </w:rPr>
      </w:pPr>
      <w:r>
        <w:rPr>
          <w:rFonts w:hint="eastAsia"/>
          <w:sz w:val="24"/>
          <w:szCs w:val="24"/>
          <w:highlight w:val="none"/>
        </w:rPr>
        <w:t>员工由厂区进行调剂，不新增劳动定员，</w:t>
      </w:r>
      <w:r>
        <w:rPr>
          <w:sz w:val="24"/>
          <w:szCs w:val="24"/>
          <w:highlight w:val="none"/>
        </w:rPr>
        <w:t>年工作</w:t>
      </w:r>
      <w:r>
        <w:rPr>
          <w:rFonts w:hint="eastAsia"/>
          <w:sz w:val="24"/>
          <w:szCs w:val="24"/>
          <w:highlight w:val="none"/>
        </w:rPr>
        <w:t>28</w:t>
      </w:r>
      <w:r>
        <w:rPr>
          <w:sz w:val="24"/>
          <w:szCs w:val="24"/>
          <w:highlight w:val="none"/>
        </w:rPr>
        <w:t>0天，</w:t>
      </w:r>
      <w:r>
        <w:rPr>
          <w:rFonts w:hint="eastAsia"/>
          <w:sz w:val="24"/>
          <w:szCs w:val="24"/>
          <w:highlight w:val="none"/>
        </w:rPr>
        <w:t>破碎工序</w:t>
      </w:r>
      <w:r>
        <w:rPr>
          <w:sz w:val="24"/>
          <w:szCs w:val="24"/>
          <w:highlight w:val="none"/>
        </w:rPr>
        <w:t>每天</w:t>
      </w:r>
      <w:r>
        <w:rPr>
          <w:rFonts w:hint="eastAsia"/>
          <w:sz w:val="24"/>
          <w:szCs w:val="24"/>
          <w:highlight w:val="none"/>
        </w:rPr>
        <w:t>2</w:t>
      </w:r>
      <w:r>
        <w:rPr>
          <w:sz w:val="24"/>
          <w:szCs w:val="24"/>
          <w:highlight w:val="none"/>
        </w:rPr>
        <w:t>班，每班8小时，</w:t>
      </w:r>
      <w:r>
        <w:rPr>
          <w:rFonts w:hint="eastAsia"/>
          <w:sz w:val="24"/>
          <w:szCs w:val="24"/>
          <w:highlight w:val="none"/>
        </w:rPr>
        <w:t>选矿工序</w:t>
      </w:r>
      <w:r>
        <w:rPr>
          <w:sz w:val="24"/>
          <w:szCs w:val="24"/>
          <w:highlight w:val="none"/>
        </w:rPr>
        <w:t>每天</w:t>
      </w:r>
      <w:r>
        <w:rPr>
          <w:rFonts w:hint="eastAsia"/>
          <w:sz w:val="24"/>
          <w:szCs w:val="24"/>
          <w:highlight w:val="none"/>
        </w:rPr>
        <w:t>3</w:t>
      </w:r>
      <w:r>
        <w:rPr>
          <w:sz w:val="24"/>
          <w:szCs w:val="24"/>
          <w:highlight w:val="none"/>
        </w:rPr>
        <w:t>班，每班8小时。</w:t>
      </w:r>
    </w:p>
    <w:p>
      <w:pPr>
        <w:pStyle w:val="6"/>
        <w:numPr>
          <w:ilvl w:val="2"/>
          <w:numId w:val="1"/>
        </w:numPr>
        <w:rPr>
          <w:szCs w:val="28"/>
          <w:highlight w:val="none"/>
        </w:rPr>
      </w:pPr>
      <w:bookmarkStart w:id="189" w:name="_Toc521591760"/>
      <w:bookmarkStart w:id="190" w:name="_Toc26580"/>
      <w:r>
        <w:rPr>
          <w:szCs w:val="28"/>
          <w:highlight w:val="none"/>
        </w:rPr>
        <w:t>主要经济技术指标</w:t>
      </w:r>
      <w:bookmarkEnd w:id="189"/>
      <w:bookmarkEnd w:id="190"/>
    </w:p>
    <w:p>
      <w:pPr>
        <w:ind w:firstLine="480"/>
        <w:jc w:val="both"/>
        <w:rPr>
          <w:sz w:val="24"/>
          <w:szCs w:val="24"/>
          <w:highlight w:val="none"/>
        </w:rPr>
      </w:pPr>
      <w:r>
        <w:rPr>
          <w:sz w:val="24"/>
          <w:szCs w:val="24"/>
          <w:highlight w:val="none"/>
        </w:rPr>
        <w:t>本项目主要经济技术指标见表3.</w:t>
      </w:r>
      <w:r>
        <w:rPr>
          <w:rFonts w:hint="eastAsia"/>
          <w:sz w:val="24"/>
          <w:szCs w:val="24"/>
          <w:highlight w:val="none"/>
        </w:rPr>
        <w:t>2</w:t>
      </w:r>
      <w:r>
        <w:rPr>
          <w:sz w:val="24"/>
          <w:szCs w:val="24"/>
          <w:highlight w:val="none"/>
        </w:rPr>
        <w:t>-7。</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表3.</w:t>
      </w:r>
      <w:r>
        <w:rPr>
          <w:rFonts w:hint="eastAsia" w:eastAsia="黑体"/>
          <w:kern w:val="2"/>
          <w:sz w:val="21"/>
          <w:szCs w:val="21"/>
          <w:highlight w:val="none"/>
        </w:rPr>
        <w:t>2</w:t>
      </w:r>
      <w:r>
        <w:rPr>
          <w:rFonts w:eastAsia="黑体"/>
          <w:kern w:val="2"/>
          <w:sz w:val="21"/>
          <w:szCs w:val="21"/>
          <w:highlight w:val="none"/>
        </w:rPr>
        <w:t>-7</w:t>
      </w:r>
      <w:r>
        <w:rPr>
          <w:rFonts w:hint="eastAsia" w:eastAsia="黑体"/>
          <w:kern w:val="2"/>
          <w:sz w:val="21"/>
          <w:szCs w:val="21"/>
          <w:highlight w:val="none"/>
        </w:rPr>
        <w:t xml:space="preserve">   </w:t>
      </w:r>
      <w:r>
        <w:rPr>
          <w:rFonts w:eastAsia="黑体"/>
          <w:kern w:val="2"/>
          <w:sz w:val="21"/>
          <w:szCs w:val="21"/>
          <w:highlight w:val="none"/>
        </w:rPr>
        <w:t>项目主要经济技术参数表</w:t>
      </w:r>
    </w:p>
    <w:tbl>
      <w:tblPr>
        <w:tblStyle w:val="56"/>
        <w:tblW w:w="852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56"/>
        <w:gridCol w:w="2103"/>
        <w:gridCol w:w="1119"/>
        <w:gridCol w:w="2367"/>
        <w:gridCol w:w="217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序号</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指标名称</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单位</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指标</w:t>
            </w:r>
          </w:p>
        </w:tc>
        <w:tc>
          <w:tcPr>
            <w:tcW w:w="217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1</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设计能力</w:t>
            </w:r>
          </w:p>
        </w:tc>
        <w:tc>
          <w:tcPr>
            <w:tcW w:w="1119" w:type="dxa"/>
            <w:tcBorders>
              <w:tl2br w:val="nil"/>
              <w:tr2bl w:val="nil"/>
            </w:tcBorders>
            <w:vAlign w:val="center"/>
          </w:tcPr>
          <w:p>
            <w:pPr>
              <w:spacing w:line="240" w:lineRule="auto"/>
              <w:ind w:firstLine="420"/>
              <w:jc w:val="center"/>
              <w:rPr>
                <w:bCs/>
                <w:sz w:val="21"/>
                <w:szCs w:val="21"/>
                <w:highlight w:val="none"/>
              </w:rPr>
            </w:pPr>
          </w:p>
        </w:tc>
        <w:tc>
          <w:tcPr>
            <w:tcW w:w="2367" w:type="dxa"/>
            <w:tcBorders>
              <w:tl2br w:val="nil"/>
              <w:tr2bl w:val="nil"/>
            </w:tcBorders>
            <w:vAlign w:val="center"/>
          </w:tcPr>
          <w:p>
            <w:pPr>
              <w:spacing w:line="240" w:lineRule="auto"/>
              <w:ind w:firstLine="0" w:firstLineChars="0"/>
              <w:jc w:val="center"/>
              <w:rPr>
                <w:bCs/>
                <w:sz w:val="21"/>
                <w:szCs w:val="21"/>
                <w:highlight w:val="none"/>
              </w:rPr>
            </w:pPr>
          </w:p>
        </w:tc>
        <w:tc>
          <w:tcPr>
            <w:tcW w:w="2176" w:type="dxa"/>
            <w:tcBorders>
              <w:tl2br w:val="nil"/>
              <w:tr2bl w:val="nil"/>
            </w:tcBorders>
            <w:vAlign w:val="center"/>
          </w:tcPr>
          <w:p>
            <w:pPr>
              <w:spacing w:line="240" w:lineRule="auto"/>
              <w:ind w:firstLine="0" w:firstLineChars="0"/>
              <w:rPr>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（1）</w:t>
            </w:r>
          </w:p>
        </w:tc>
        <w:tc>
          <w:tcPr>
            <w:tcW w:w="2103" w:type="dxa"/>
            <w:vMerge w:val="restart"/>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年处理能力</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万t</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60</w:t>
            </w:r>
          </w:p>
        </w:tc>
        <w:tc>
          <w:tcPr>
            <w:tcW w:w="2176" w:type="dxa"/>
            <w:tcBorders>
              <w:tl2br w:val="nil"/>
              <w:tr2bl w:val="nil"/>
            </w:tcBorders>
            <w:vAlign w:val="center"/>
          </w:tcPr>
          <w:p>
            <w:pPr>
              <w:ind w:firstLine="630" w:firstLineChars="300"/>
              <w:jc w:val="both"/>
              <w:rPr>
                <w:bCs/>
                <w:sz w:val="21"/>
                <w:szCs w:val="21"/>
                <w:highlight w:val="none"/>
              </w:rPr>
            </w:pPr>
            <w:r>
              <w:rPr>
                <w:bCs/>
                <w:sz w:val="21"/>
                <w:szCs w:val="21"/>
                <w:highlight w:val="none"/>
              </w:rPr>
              <w:t>铁矿石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（2）</w:t>
            </w:r>
          </w:p>
        </w:tc>
        <w:tc>
          <w:tcPr>
            <w:tcW w:w="2103" w:type="dxa"/>
            <w:vMerge w:val="continue"/>
            <w:tcBorders>
              <w:tl2br w:val="nil"/>
              <w:tr2bl w:val="nil"/>
            </w:tcBorders>
            <w:vAlign w:val="center"/>
          </w:tcPr>
          <w:p>
            <w:pPr>
              <w:spacing w:line="240" w:lineRule="auto"/>
              <w:ind w:firstLine="0" w:firstLineChars="0"/>
              <w:jc w:val="center"/>
              <w:rPr>
                <w:bCs/>
                <w:sz w:val="21"/>
                <w:szCs w:val="21"/>
                <w:highlight w:val="none"/>
              </w:rPr>
            </w:pP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万t</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120</w:t>
            </w:r>
          </w:p>
        </w:tc>
        <w:tc>
          <w:tcPr>
            <w:tcW w:w="2176"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粗精矿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vMerge w:val="restart"/>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2</w:t>
            </w:r>
          </w:p>
        </w:tc>
        <w:tc>
          <w:tcPr>
            <w:tcW w:w="2103" w:type="dxa"/>
            <w:vMerge w:val="restart"/>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工作制度</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d/a，h/d</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28</w:t>
            </w:r>
            <w:r>
              <w:rPr>
                <w:bCs/>
                <w:sz w:val="21"/>
                <w:szCs w:val="21"/>
                <w:highlight w:val="none"/>
              </w:rPr>
              <w:t>0，</w:t>
            </w:r>
            <w:r>
              <w:rPr>
                <w:rFonts w:hint="eastAsia"/>
                <w:bCs/>
                <w:sz w:val="21"/>
                <w:szCs w:val="21"/>
                <w:highlight w:val="none"/>
              </w:rPr>
              <w:t>16</w:t>
            </w:r>
          </w:p>
        </w:tc>
        <w:tc>
          <w:tcPr>
            <w:tcW w:w="2176"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破碎工序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vMerge w:val="continue"/>
            <w:tcBorders>
              <w:tl2br w:val="nil"/>
              <w:tr2bl w:val="nil"/>
            </w:tcBorders>
            <w:vAlign w:val="center"/>
          </w:tcPr>
          <w:p>
            <w:pPr>
              <w:spacing w:line="240" w:lineRule="auto"/>
              <w:ind w:firstLine="0" w:firstLineChars="0"/>
              <w:jc w:val="center"/>
              <w:rPr>
                <w:bCs/>
                <w:sz w:val="21"/>
                <w:szCs w:val="21"/>
                <w:highlight w:val="none"/>
              </w:rPr>
            </w:pPr>
          </w:p>
        </w:tc>
        <w:tc>
          <w:tcPr>
            <w:tcW w:w="2103" w:type="dxa"/>
            <w:vMerge w:val="continue"/>
            <w:tcBorders>
              <w:tl2br w:val="nil"/>
              <w:tr2bl w:val="nil"/>
            </w:tcBorders>
            <w:vAlign w:val="center"/>
          </w:tcPr>
          <w:p>
            <w:pPr>
              <w:spacing w:line="240" w:lineRule="auto"/>
              <w:ind w:firstLine="0" w:firstLineChars="0"/>
              <w:jc w:val="center"/>
              <w:rPr>
                <w:bCs/>
                <w:sz w:val="21"/>
                <w:szCs w:val="21"/>
                <w:highlight w:val="none"/>
              </w:rPr>
            </w:pP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d/a，h/d</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28</w:t>
            </w:r>
            <w:r>
              <w:rPr>
                <w:bCs/>
                <w:sz w:val="21"/>
                <w:szCs w:val="21"/>
                <w:highlight w:val="none"/>
              </w:rPr>
              <w:t>0，</w:t>
            </w:r>
            <w:r>
              <w:rPr>
                <w:rFonts w:hint="eastAsia"/>
                <w:bCs/>
                <w:sz w:val="21"/>
                <w:szCs w:val="21"/>
                <w:highlight w:val="none"/>
              </w:rPr>
              <w:t>24</w:t>
            </w:r>
          </w:p>
        </w:tc>
        <w:tc>
          <w:tcPr>
            <w:tcW w:w="2176"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球磨工序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7"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3</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产品年产量</w:t>
            </w:r>
          </w:p>
        </w:tc>
        <w:tc>
          <w:tcPr>
            <w:tcW w:w="1119" w:type="dxa"/>
            <w:tcBorders>
              <w:tl2br w:val="nil"/>
              <w:tr2bl w:val="nil"/>
            </w:tcBorders>
            <w:vAlign w:val="center"/>
          </w:tcPr>
          <w:p>
            <w:pPr>
              <w:spacing w:line="240" w:lineRule="auto"/>
              <w:ind w:firstLine="0" w:firstLineChars="0"/>
              <w:jc w:val="center"/>
              <w:rPr>
                <w:bCs/>
                <w:sz w:val="21"/>
                <w:szCs w:val="21"/>
                <w:highlight w:val="none"/>
              </w:rPr>
            </w:pPr>
          </w:p>
        </w:tc>
        <w:tc>
          <w:tcPr>
            <w:tcW w:w="2367" w:type="dxa"/>
            <w:tcBorders>
              <w:tl2br w:val="nil"/>
              <w:tr2bl w:val="nil"/>
            </w:tcBorders>
            <w:vAlign w:val="center"/>
          </w:tcPr>
          <w:p>
            <w:pPr>
              <w:spacing w:line="240" w:lineRule="auto"/>
              <w:ind w:firstLine="0" w:firstLineChars="0"/>
              <w:jc w:val="center"/>
              <w:rPr>
                <w:bCs/>
                <w:sz w:val="21"/>
                <w:szCs w:val="21"/>
                <w:highlight w:val="none"/>
              </w:rPr>
            </w:pPr>
          </w:p>
        </w:tc>
        <w:tc>
          <w:tcPr>
            <w:tcW w:w="2176" w:type="dxa"/>
            <w:tcBorders>
              <w:tl2br w:val="nil"/>
              <w:tr2bl w:val="nil"/>
            </w:tcBorders>
            <w:vAlign w:val="center"/>
          </w:tcPr>
          <w:p>
            <w:pPr>
              <w:spacing w:line="240" w:lineRule="auto"/>
              <w:ind w:firstLine="0" w:firstLineChars="0"/>
              <w:rPr>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（1）</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铁精粉</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t</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1000</w:t>
            </w:r>
            <w:r>
              <w:rPr>
                <w:bCs/>
                <w:sz w:val="21"/>
                <w:szCs w:val="21"/>
                <w:highlight w:val="none"/>
              </w:rPr>
              <w:t>000</w:t>
            </w:r>
          </w:p>
        </w:tc>
        <w:tc>
          <w:tcPr>
            <w:tcW w:w="217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平均品位6</w:t>
            </w:r>
            <w:r>
              <w:rPr>
                <w:rFonts w:hint="eastAsia"/>
                <w:bCs/>
                <w:sz w:val="21"/>
                <w:szCs w:val="21"/>
                <w:highlight w:val="none"/>
              </w:rPr>
              <w:t>6</w:t>
            </w:r>
            <w:r>
              <w:rPr>
                <w:bCs/>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（2）</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尾矿砂</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t</w:t>
            </w:r>
          </w:p>
        </w:tc>
        <w:tc>
          <w:tcPr>
            <w:tcW w:w="2367" w:type="dxa"/>
            <w:tcBorders>
              <w:tl2br w:val="nil"/>
              <w:tr2bl w:val="nil"/>
            </w:tcBorders>
            <w:vAlign w:val="center"/>
          </w:tcPr>
          <w:p>
            <w:pPr>
              <w:widowControl/>
              <w:spacing w:line="240" w:lineRule="auto"/>
              <w:ind w:firstLine="0" w:firstLineChars="0"/>
              <w:jc w:val="center"/>
              <w:textAlignment w:val="auto"/>
              <w:rPr>
                <w:bCs/>
                <w:sz w:val="21"/>
                <w:szCs w:val="21"/>
                <w:highlight w:val="none"/>
              </w:rPr>
            </w:pPr>
            <w:r>
              <w:rPr>
                <w:rFonts w:hint="eastAsia"/>
                <w:sz w:val="21"/>
                <w:szCs w:val="21"/>
                <w:highlight w:val="none"/>
              </w:rPr>
              <w:t>207594</w:t>
            </w:r>
          </w:p>
        </w:tc>
        <w:tc>
          <w:tcPr>
            <w:tcW w:w="2176" w:type="dxa"/>
            <w:tcBorders>
              <w:tl2br w:val="nil"/>
              <w:tr2bl w:val="nil"/>
            </w:tcBorders>
            <w:vAlign w:val="center"/>
          </w:tcPr>
          <w:p>
            <w:pPr>
              <w:pStyle w:val="2"/>
              <w:ind w:firstLine="0" w:firstLineChars="0"/>
              <w:jc w:val="center"/>
              <w:rPr>
                <w:bCs/>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（3）</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砂石料</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t</w:t>
            </w:r>
          </w:p>
        </w:tc>
        <w:tc>
          <w:tcPr>
            <w:tcW w:w="2367"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290093.552</w:t>
            </w:r>
          </w:p>
        </w:tc>
        <w:tc>
          <w:tcPr>
            <w:tcW w:w="2176" w:type="dxa"/>
            <w:tcBorders>
              <w:tl2br w:val="nil"/>
              <w:tr2bl w:val="nil"/>
            </w:tcBorders>
            <w:vAlign w:val="center"/>
          </w:tcPr>
          <w:p>
            <w:pPr>
              <w:pStyle w:val="2"/>
              <w:ind w:firstLine="0" w:firstLineChars="0"/>
              <w:jc w:val="center"/>
              <w:rPr>
                <w:bCs/>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r>
              <w:rPr>
                <w:rFonts w:hint="eastAsia"/>
                <w:bCs/>
                <w:sz w:val="21"/>
                <w:szCs w:val="21"/>
                <w:highlight w:val="none"/>
              </w:rPr>
              <w:t>4</w:t>
            </w:r>
            <w:r>
              <w:rPr>
                <w:bCs/>
                <w:sz w:val="21"/>
                <w:szCs w:val="21"/>
                <w:highlight w:val="none"/>
              </w:rPr>
              <w:t>）</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泥饼</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t</w:t>
            </w:r>
          </w:p>
        </w:tc>
        <w:tc>
          <w:tcPr>
            <w:tcW w:w="2367" w:type="dxa"/>
            <w:tcBorders>
              <w:tl2br w:val="nil"/>
              <w:tr2bl w:val="nil"/>
            </w:tcBorders>
            <w:vAlign w:val="center"/>
          </w:tcPr>
          <w:p>
            <w:pPr>
              <w:widowControl/>
              <w:spacing w:line="240" w:lineRule="auto"/>
              <w:ind w:firstLine="0" w:firstLineChars="0"/>
              <w:jc w:val="center"/>
              <w:textAlignment w:val="auto"/>
              <w:rPr>
                <w:bCs/>
                <w:sz w:val="21"/>
                <w:szCs w:val="21"/>
                <w:highlight w:val="none"/>
              </w:rPr>
            </w:pPr>
            <w:r>
              <w:rPr>
                <w:rFonts w:hint="eastAsia"/>
                <w:sz w:val="21"/>
                <w:szCs w:val="21"/>
                <w:highlight w:val="none"/>
              </w:rPr>
              <w:t>42500</w:t>
            </w:r>
          </w:p>
        </w:tc>
        <w:tc>
          <w:tcPr>
            <w:tcW w:w="2176" w:type="dxa"/>
            <w:tcBorders>
              <w:tl2br w:val="nil"/>
              <w:tr2bl w:val="nil"/>
            </w:tcBorders>
            <w:vAlign w:val="center"/>
          </w:tcPr>
          <w:p>
            <w:pPr>
              <w:pStyle w:val="2"/>
              <w:ind w:firstLine="0" w:firstLineChars="0"/>
              <w:jc w:val="center"/>
              <w:rPr>
                <w:bCs/>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（5）</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金属回收率</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94.8</w:t>
            </w:r>
          </w:p>
        </w:tc>
        <w:tc>
          <w:tcPr>
            <w:tcW w:w="2176" w:type="dxa"/>
            <w:tcBorders>
              <w:tl2br w:val="nil"/>
              <w:tr2bl w:val="nil"/>
            </w:tcBorders>
            <w:vAlign w:val="center"/>
          </w:tcPr>
          <w:p>
            <w:pPr>
              <w:pStyle w:val="2"/>
              <w:ind w:firstLine="0" w:firstLineChars="0"/>
              <w:jc w:val="center"/>
              <w:rPr>
                <w:bCs/>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（6）</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sz w:val="21"/>
                <w:szCs w:val="21"/>
                <w:highlight w:val="none"/>
              </w:rPr>
              <w:t>尾矿综合利用率</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100</w:t>
            </w:r>
          </w:p>
        </w:tc>
        <w:tc>
          <w:tcPr>
            <w:tcW w:w="2176" w:type="dxa"/>
            <w:tcBorders>
              <w:tl2br w:val="nil"/>
              <w:tr2bl w:val="nil"/>
            </w:tcBorders>
            <w:vAlign w:val="center"/>
          </w:tcPr>
          <w:p>
            <w:pPr>
              <w:pStyle w:val="2"/>
              <w:ind w:firstLine="0" w:firstLineChars="0"/>
              <w:jc w:val="center"/>
              <w:rPr>
                <w:bCs/>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r>
              <w:rPr>
                <w:rFonts w:hint="eastAsia"/>
                <w:bCs/>
                <w:sz w:val="21"/>
                <w:szCs w:val="21"/>
                <w:highlight w:val="none"/>
              </w:rPr>
              <w:t>7</w:t>
            </w:r>
            <w:r>
              <w:rPr>
                <w:bCs/>
                <w:sz w:val="21"/>
                <w:szCs w:val="21"/>
                <w:highlight w:val="none"/>
              </w:rPr>
              <w:t>）</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sz w:val="21"/>
                <w:szCs w:val="21"/>
                <w:highlight w:val="none"/>
              </w:rPr>
              <w:t>固废综合利用率</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p>
        </w:tc>
        <w:tc>
          <w:tcPr>
            <w:tcW w:w="2367"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100</w:t>
            </w:r>
          </w:p>
        </w:tc>
        <w:tc>
          <w:tcPr>
            <w:tcW w:w="2176" w:type="dxa"/>
            <w:tcBorders>
              <w:tl2br w:val="nil"/>
              <w:tr2bl w:val="nil"/>
            </w:tcBorders>
            <w:vAlign w:val="center"/>
          </w:tcPr>
          <w:p>
            <w:pPr>
              <w:pStyle w:val="2"/>
              <w:ind w:firstLine="0" w:firstLineChars="0"/>
              <w:jc w:val="center"/>
              <w:rPr>
                <w:bCs/>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4</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用水量</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m</w:t>
            </w:r>
            <w:r>
              <w:rPr>
                <w:bCs/>
                <w:sz w:val="21"/>
                <w:szCs w:val="21"/>
                <w:highlight w:val="none"/>
                <w:vertAlign w:val="superscript"/>
              </w:rPr>
              <w:t>3</w:t>
            </w:r>
            <w:r>
              <w:rPr>
                <w:bCs/>
                <w:sz w:val="21"/>
                <w:szCs w:val="21"/>
                <w:highlight w:val="none"/>
              </w:rPr>
              <w:t>/a</w:t>
            </w:r>
          </w:p>
        </w:tc>
        <w:tc>
          <w:tcPr>
            <w:tcW w:w="2367" w:type="dxa"/>
            <w:tcBorders>
              <w:tl2br w:val="nil"/>
              <w:tr2bl w:val="nil"/>
            </w:tcBorders>
            <w:vAlign w:val="center"/>
          </w:tcPr>
          <w:p>
            <w:pPr>
              <w:widowControl/>
              <w:spacing w:line="240" w:lineRule="auto"/>
              <w:ind w:firstLine="0" w:firstLineChars="0"/>
              <w:jc w:val="center"/>
              <w:textAlignment w:val="auto"/>
              <w:rPr>
                <w:bCs/>
                <w:sz w:val="21"/>
                <w:szCs w:val="21"/>
                <w:highlight w:val="none"/>
              </w:rPr>
            </w:pPr>
            <w:r>
              <w:rPr>
                <w:rFonts w:hint="eastAsia"/>
                <w:sz w:val="21"/>
                <w:szCs w:val="21"/>
                <w:highlight w:val="none"/>
              </w:rPr>
              <w:t>172956</w:t>
            </w:r>
          </w:p>
        </w:tc>
        <w:tc>
          <w:tcPr>
            <w:tcW w:w="2176" w:type="dxa"/>
            <w:tcBorders>
              <w:tl2br w:val="nil"/>
              <w:tr2bl w:val="nil"/>
            </w:tcBorders>
            <w:vAlign w:val="center"/>
          </w:tcPr>
          <w:p>
            <w:pPr>
              <w:spacing w:line="240" w:lineRule="auto"/>
              <w:ind w:firstLine="0" w:firstLineChars="0"/>
              <w:jc w:val="center"/>
              <w:rPr>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5</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水耗</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m</w:t>
            </w:r>
            <w:r>
              <w:rPr>
                <w:bCs/>
                <w:sz w:val="21"/>
                <w:szCs w:val="21"/>
                <w:highlight w:val="none"/>
                <w:vertAlign w:val="superscript"/>
              </w:rPr>
              <w:t>3</w:t>
            </w:r>
            <w:r>
              <w:rPr>
                <w:bCs/>
                <w:sz w:val="21"/>
                <w:szCs w:val="21"/>
                <w:highlight w:val="none"/>
              </w:rPr>
              <w:t>/t</w:t>
            </w:r>
          </w:p>
        </w:tc>
        <w:tc>
          <w:tcPr>
            <w:tcW w:w="2367" w:type="dxa"/>
            <w:tcBorders>
              <w:tl2br w:val="nil"/>
              <w:tr2bl w:val="nil"/>
            </w:tcBorders>
            <w:vAlign w:val="center"/>
          </w:tcPr>
          <w:p>
            <w:pPr>
              <w:pStyle w:val="18"/>
              <w:spacing w:line="240" w:lineRule="auto"/>
              <w:ind w:left="0" w:leftChars="0" w:firstLineChars="0"/>
              <w:jc w:val="center"/>
              <w:rPr>
                <w:bCs/>
                <w:sz w:val="21"/>
                <w:szCs w:val="21"/>
                <w:highlight w:val="none"/>
              </w:rPr>
            </w:pPr>
            <w:r>
              <w:rPr>
                <w:rFonts w:hint="eastAsia"/>
                <w:sz w:val="21"/>
                <w:szCs w:val="21"/>
                <w:highlight w:val="none"/>
              </w:rPr>
              <w:t>0.08</w:t>
            </w:r>
          </w:p>
        </w:tc>
        <w:tc>
          <w:tcPr>
            <w:tcW w:w="2176" w:type="dxa"/>
            <w:tcBorders>
              <w:tl2br w:val="nil"/>
              <w:tr2bl w:val="nil"/>
            </w:tcBorders>
            <w:vAlign w:val="center"/>
          </w:tcPr>
          <w:p>
            <w:pPr>
              <w:spacing w:line="240" w:lineRule="auto"/>
              <w:ind w:firstLine="0" w:firstLineChars="0"/>
              <w:jc w:val="center"/>
              <w:rPr>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6</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用电量</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kWh/a</w:t>
            </w:r>
          </w:p>
        </w:tc>
        <w:tc>
          <w:tcPr>
            <w:tcW w:w="2367" w:type="dxa"/>
            <w:tcBorders>
              <w:tl2br w:val="nil"/>
              <w:tr2bl w:val="nil"/>
            </w:tcBorders>
            <w:vAlign w:val="center"/>
          </w:tcPr>
          <w:p>
            <w:pPr>
              <w:pStyle w:val="18"/>
              <w:spacing w:line="240" w:lineRule="auto"/>
              <w:ind w:left="0" w:leftChars="0" w:firstLineChars="0"/>
              <w:jc w:val="center"/>
              <w:rPr>
                <w:bCs/>
                <w:sz w:val="21"/>
                <w:szCs w:val="21"/>
                <w:highlight w:val="none"/>
              </w:rPr>
            </w:pPr>
            <w:r>
              <w:rPr>
                <w:rFonts w:hint="eastAsia" w:eastAsia="仿宋_GB2312"/>
                <w:sz w:val="21"/>
                <w:szCs w:val="21"/>
                <w:highlight w:val="none"/>
              </w:rPr>
              <w:t>4020</w:t>
            </w:r>
            <w:r>
              <w:rPr>
                <w:bCs/>
                <w:sz w:val="21"/>
                <w:szCs w:val="21"/>
                <w:highlight w:val="none"/>
              </w:rPr>
              <w:t>万</w:t>
            </w:r>
          </w:p>
        </w:tc>
        <w:tc>
          <w:tcPr>
            <w:tcW w:w="2176" w:type="dxa"/>
            <w:tcBorders>
              <w:tl2br w:val="nil"/>
              <w:tr2bl w:val="nil"/>
            </w:tcBorders>
            <w:vAlign w:val="center"/>
          </w:tcPr>
          <w:p>
            <w:pPr>
              <w:spacing w:line="240" w:lineRule="auto"/>
              <w:ind w:firstLine="0" w:firstLineChars="0"/>
              <w:rPr>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7</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电耗</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kWh/t</w:t>
            </w:r>
          </w:p>
        </w:tc>
        <w:tc>
          <w:tcPr>
            <w:tcW w:w="2367" w:type="dxa"/>
            <w:tcBorders>
              <w:tl2br w:val="nil"/>
              <w:tr2bl w:val="nil"/>
            </w:tcBorders>
            <w:vAlign w:val="center"/>
          </w:tcPr>
          <w:p>
            <w:pPr>
              <w:pStyle w:val="18"/>
              <w:spacing w:line="240" w:lineRule="auto"/>
              <w:ind w:left="0" w:leftChars="0" w:firstLineChars="0"/>
              <w:jc w:val="center"/>
              <w:rPr>
                <w:rFonts w:eastAsia="仿宋_GB2312"/>
                <w:sz w:val="21"/>
                <w:szCs w:val="21"/>
                <w:highlight w:val="none"/>
              </w:rPr>
            </w:pPr>
            <w:r>
              <w:rPr>
                <w:rFonts w:hint="eastAsia" w:eastAsia="仿宋_GB2312"/>
                <w:sz w:val="21"/>
                <w:szCs w:val="21"/>
                <w:highlight w:val="none"/>
              </w:rPr>
              <w:t>26.8</w:t>
            </w:r>
          </w:p>
        </w:tc>
        <w:tc>
          <w:tcPr>
            <w:tcW w:w="2176" w:type="dxa"/>
            <w:tcBorders>
              <w:tl2br w:val="nil"/>
              <w:tr2bl w:val="nil"/>
            </w:tcBorders>
            <w:vAlign w:val="center"/>
          </w:tcPr>
          <w:p>
            <w:pPr>
              <w:spacing w:line="240" w:lineRule="auto"/>
              <w:ind w:firstLine="0" w:firstLineChars="0"/>
              <w:rPr>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8</w:t>
            </w:r>
          </w:p>
        </w:tc>
        <w:tc>
          <w:tcPr>
            <w:tcW w:w="2103" w:type="dxa"/>
            <w:tcBorders>
              <w:tl2br w:val="nil"/>
              <w:tr2bl w:val="nil"/>
            </w:tcBorders>
          </w:tcPr>
          <w:p>
            <w:pPr>
              <w:spacing w:line="240" w:lineRule="auto"/>
              <w:ind w:firstLine="0" w:firstLineChars="0"/>
              <w:jc w:val="center"/>
              <w:rPr>
                <w:bCs/>
                <w:sz w:val="21"/>
                <w:szCs w:val="21"/>
                <w:highlight w:val="none"/>
              </w:rPr>
            </w:pPr>
            <w:r>
              <w:rPr>
                <w:sz w:val="21"/>
                <w:szCs w:val="21"/>
                <w:highlight w:val="none"/>
              </w:rPr>
              <w:t>工业水重复利用率</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p>
        </w:tc>
        <w:tc>
          <w:tcPr>
            <w:tcW w:w="2367" w:type="dxa"/>
            <w:tcBorders>
              <w:tl2br w:val="nil"/>
              <w:tr2bl w:val="nil"/>
            </w:tcBorders>
            <w:vAlign w:val="center"/>
          </w:tcPr>
          <w:p>
            <w:pPr>
              <w:pStyle w:val="18"/>
              <w:spacing w:line="240" w:lineRule="auto"/>
              <w:ind w:left="0" w:leftChars="0" w:firstLineChars="0"/>
              <w:jc w:val="center"/>
              <w:rPr>
                <w:rFonts w:eastAsia="仿宋_GB2312"/>
                <w:sz w:val="21"/>
                <w:szCs w:val="21"/>
                <w:highlight w:val="none"/>
              </w:rPr>
            </w:pPr>
            <w:r>
              <w:rPr>
                <w:rFonts w:hint="eastAsia" w:eastAsia="仿宋_GB2312"/>
                <w:sz w:val="21"/>
                <w:szCs w:val="21"/>
                <w:highlight w:val="none"/>
              </w:rPr>
              <w:t>92.8</w:t>
            </w:r>
          </w:p>
        </w:tc>
        <w:tc>
          <w:tcPr>
            <w:tcW w:w="2176" w:type="dxa"/>
            <w:tcBorders>
              <w:tl2br w:val="nil"/>
              <w:tr2bl w:val="nil"/>
            </w:tcBorders>
            <w:vAlign w:val="center"/>
          </w:tcPr>
          <w:p>
            <w:pPr>
              <w:spacing w:line="240" w:lineRule="auto"/>
              <w:ind w:firstLine="0" w:firstLineChars="0"/>
              <w:rPr>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9</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占地面积</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m</w:t>
            </w:r>
            <w:r>
              <w:rPr>
                <w:bCs/>
                <w:sz w:val="21"/>
                <w:szCs w:val="21"/>
                <w:highlight w:val="none"/>
                <w:vertAlign w:val="superscript"/>
              </w:rPr>
              <w:t>2</w:t>
            </w:r>
          </w:p>
        </w:tc>
        <w:tc>
          <w:tcPr>
            <w:tcW w:w="2367" w:type="dxa"/>
            <w:tcBorders>
              <w:tl2br w:val="nil"/>
              <w:tr2bl w:val="nil"/>
            </w:tcBorders>
            <w:vAlign w:val="center"/>
          </w:tcPr>
          <w:p>
            <w:pPr>
              <w:pStyle w:val="18"/>
              <w:spacing w:line="240" w:lineRule="auto"/>
              <w:ind w:left="0" w:leftChars="0" w:firstLineChars="0"/>
              <w:jc w:val="center"/>
              <w:rPr>
                <w:rFonts w:eastAsia="仿宋_GB2312"/>
                <w:sz w:val="21"/>
                <w:szCs w:val="21"/>
                <w:highlight w:val="none"/>
              </w:rPr>
            </w:pPr>
            <w:r>
              <w:rPr>
                <w:rFonts w:hint="eastAsia" w:eastAsia="仿宋_GB2312"/>
                <w:bCs/>
                <w:sz w:val="21"/>
                <w:szCs w:val="21"/>
                <w:highlight w:val="none"/>
              </w:rPr>
              <w:t>15005.46</w:t>
            </w:r>
          </w:p>
        </w:tc>
        <w:tc>
          <w:tcPr>
            <w:tcW w:w="2176" w:type="dxa"/>
            <w:tcBorders>
              <w:tl2br w:val="nil"/>
              <w:tr2bl w:val="nil"/>
            </w:tcBorders>
            <w:vAlign w:val="center"/>
          </w:tcPr>
          <w:p>
            <w:pPr>
              <w:spacing w:line="240" w:lineRule="auto"/>
              <w:ind w:firstLine="210" w:firstLineChars="100"/>
              <w:rPr>
                <w:bCs/>
                <w:sz w:val="21"/>
                <w:szCs w:val="21"/>
                <w:highlight w:val="none"/>
              </w:rPr>
            </w:pPr>
            <w:r>
              <w:rPr>
                <w:rFonts w:hint="eastAsia"/>
                <w:bCs/>
                <w:sz w:val="21"/>
                <w:szCs w:val="21"/>
                <w:highlight w:val="none"/>
              </w:rPr>
              <w:t>在现有厂区内建设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10</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劳动定员</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人</w:t>
            </w:r>
          </w:p>
        </w:tc>
        <w:tc>
          <w:tcPr>
            <w:tcW w:w="2367" w:type="dxa"/>
            <w:tcBorders>
              <w:tl2br w:val="nil"/>
              <w:tr2bl w:val="nil"/>
            </w:tcBorders>
            <w:vAlign w:val="center"/>
          </w:tcPr>
          <w:p>
            <w:pPr>
              <w:pStyle w:val="35"/>
              <w:snapToGrid/>
              <w:jc w:val="center"/>
              <w:rPr>
                <w:bCs/>
                <w:kern w:val="0"/>
                <w:sz w:val="21"/>
                <w:szCs w:val="21"/>
                <w:highlight w:val="none"/>
              </w:rPr>
            </w:pPr>
            <w:r>
              <w:rPr>
                <w:rFonts w:hint="eastAsia"/>
                <w:bCs/>
                <w:kern w:val="0"/>
                <w:sz w:val="21"/>
                <w:szCs w:val="21"/>
                <w:highlight w:val="none"/>
              </w:rPr>
              <w:t>20（全厂）</w:t>
            </w:r>
          </w:p>
        </w:tc>
        <w:tc>
          <w:tcPr>
            <w:tcW w:w="2176" w:type="dxa"/>
            <w:tcBorders>
              <w:tl2br w:val="nil"/>
              <w:tr2bl w:val="nil"/>
            </w:tcBorders>
            <w:vAlign w:val="center"/>
          </w:tcPr>
          <w:p>
            <w:pPr>
              <w:spacing w:line="240" w:lineRule="auto"/>
              <w:ind w:firstLine="0" w:firstLineChars="0"/>
              <w:jc w:val="center"/>
              <w:rPr>
                <w:bCs/>
                <w:sz w:val="21"/>
                <w:szCs w:val="21"/>
                <w:highlight w:val="none"/>
              </w:rPr>
            </w:pPr>
            <w:r>
              <w:rPr>
                <w:rFonts w:hint="eastAsia"/>
                <w:bCs/>
                <w:sz w:val="21"/>
                <w:szCs w:val="21"/>
                <w:highlight w:val="none"/>
              </w:rPr>
              <w:t>本项目不新增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11</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总投资</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万元</w:t>
            </w:r>
          </w:p>
        </w:tc>
        <w:tc>
          <w:tcPr>
            <w:tcW w:w="2367" w:type="dxa"/>
            <w:tcBorders>
              <w:tl2br w:val="nil"/>
              <w:tr2bl w:val="nil"/>
            </w:tcBorders>
            <w:vAlign w:val="center"/>
          </w:tcPr>
          <w:p>
            <w:pPr>
              <w:pStyle w:val="35"/>
              <w:snapToGrid/>
              <w:jc w:val="center"/>
              <w:rPr>
                <w:bCs/>
                <w:kern w:val="0"/>
                <w:sz w:val="21"/>
                <w:szCs w:val="21"/>
                <w:highlight w:val="none"/>
              </w:rPr>
            </w:pPr>
            <w:r>
              <w:rPr>
                <w:rFonts w:hint="eastAsia"/>
                <w:bCs/>
                <w:kern w:val="0"/>
                <w:sz w:val="21"/>
                <w:szCs w:val="21"/>
                <w:highlight w:val="none"/>
              </w:rPr>
              <w:t>28</w:t>
            </w:r>
            <w:r>
              <w:rPr>
                <w:bCs/>
                <w:kern w:val="0"/>
                <w:sz w:val="21"/>
                <w:szCs w:val="21"/>
                <w:highlight w:val="none"/>
              </w:rPr>
              <w:t>00</w:t>
            </w:r>
          </w:p>
        </w:tc>
        <w:tc>
          <w:tcPr>
            <w:tcW w:w="2176" w:type="dxa"/>
            <w:tcBorders>
              <w:tl2br w:val="nil"/>
              <w:tr2bl w:val="nil"/>
            </w:tcBorders>
            <w:vAlign w:val="center"/>
          </w:tcPr>
          <w:p>
            <w:pPr>
              <w:spacing w:line="240" w:lineRule="auto"/>
              <w:ind w:firstLine="0" w:firstLineChars="0"/>
              <w:rPr>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12</w:t>
            </w:r>
          </w:p>
        </w:tc>
        <w:tc>
          <w:tcPr>
            <w:tcW w:w="2103"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环保投资</w:t>
            </w:r>
          </w:p>
        </w:tc>
        <w:tc>
          <w:tcPr>
            <w:tcW w:w="1119"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万元</w:t>
            </w:r>
          </w:p>
        </w:tc>
        <w:tc>
          <w:tcPr>
            <w:tcW w:w="2367" w:type="dxa"/>
            <w:tcBorders>
              <w:tl2br w:val="nil"/>
              <w:tr2bl w:val="nil"/>
            </w:tcBorders>
            <w:vAlign w:val="center"/>
          </w:tcPr>
          <w:p>
            <w:pPr>
              <w:pStyle w:val="35"/>
              <w:snapToGrid/>
              <w:jc w:val="center"/>
              <w:rPr>
                <w:bCs/>
                <w:kern w:val="0"/>
                <w:sz w:val="21"/>
                <w:szCs w:val="21"/>
                <w:highlight w:val="none"/>
              </w:rPr>
            </w:pPr>
            <w:r>
              <w:rPr>
                <w:rFonts w:hint="eastAsia"/>
                <w:bCs/>
                <w:kern w:val="0"/>
                <w:sz w:val="21"/>
                <w:szCs w:val="21"/>
                <w:highlight w:val="none"/>
              </w:rPr>
              <w:t>110</w:t>
            </w:r>
          </w:p>
        </w:tc>
        <w:tc>
          <w:tcPr>
            <w:tcW w:w="2176" w:type="dxa"/>
            <w:tcBorders>
              <w:tl2br w:val="nil"/>
              <w:tr2bl w:val="nil"/>
            </w:tcBorders>
            <w:vAlign w:val="center"/>
          </w:tcPr>
          <w:p>
            <w:pPr>
              <w:spacing w:line="240" w:lineRule="auto"/>
              <w:ind w:firstLine="0" w:firstLineChars="0"/>
              <w:rPr>
                <w:bCs/>
                <w:sz w:val="21"/>
                <w:szCs w:val="21"/>
                <w:highlight w:val="none"/>
              </w:rPr>
            </w:pPr>
          </w:p>
        </w:tc>
      </w:tr>
    </w:tbl>
    <w:p>
      <w:pPr>
        <w:pStyle w:val="6"/>
        <w:numPr>
          <w:ilvl w:val="2"/>
          <w:numId w:val="1"/>
        </w:numPr>
        <w:rPr>
          <w:szCs w:val="28"/>
          <w:highlight w:val="none"/>
        </w:rPr>
      </w:pPr>
      <w:r>
        <w:rPr>
          <w:szCs w:val="28"/>
          <w:highlight w:val="none"/>
        </w:rPr>
        <w:t>公用工程</w:t>
      </w:r>
    </w:p>
    <w:p>
      <w:pPr>
        <w:pStyle w:val="3"/>
        <w:rPr>
          <w:highlight w:val="none"/>
        </w:rPr>
      </w:pPr>
      <w:r>
        <w:rPr>
          <w:highlight w:val="none"/>
        </w:rPr>
        <w:t>3.</w:t>
      </w:r>
      <w:r>
        <w:rPr>
          <w:rFonts w:hint="eastAsia"/>
          <w:highlight w:val="none"/>
        </w:rPr>
        <w:t>2</w:t>
      </w:r>
      <w:r>
        <w:rPr>
          <w:highlight w:val="none"/>
        </w:rPr>
        <w:t>.</w:t>
      </w:r>
      <w:r>
        <w:rPr>
          <w:rFonts w:hint="eastAsia"/>
          <w:highlight w:val="none"/>
        </w:rPr>
        <w:t>9</w:t>
      </w:r>
      <w:r>
        <w:rPr>
          <w:highlight w:val="none"/>
        </w:rPr>
        <w:t>.1给排水</w:t>
      </w:r>
    </w:p>
    <w:p>
      <w:pPr>
        <w:ind w:firstLine="480"/>
        <w:jc w:val="both"/>
        <w:rPr>
          <w:sz w:val="24"/>
          <w:szCs w:val="24"/>
          <w:highlight w:val="none"/>
        </w:rPr>
      </w:pPr>
      <w:r>
        <w:rPr>
          <w:sz w:val="24"/>
          <w:szCs w:val="24"/>
          <w:highlight w:val="none"/>
        </w:rPr>
        <w:t>（1）给水</w:t>
      </w:r>
    </w:p>
    <w:p>
      <w:pPr>
        <w:ind w:firstLine="480"/>
        <w:jc w:val="both"/>
        <w:rPr>
          <w:sz w:val="24"/>
          <w:szCs w:val="24"/>
          <w:highlight w:val="none"/>
        </w:rPr>
      </w:pPr>
      <w:r>
        <w:rPr>
          <w:rFonts w:hint="eastAsia"/>
          <w:sz w:val="24"/>
          <w:szCs w:val="24"/>
          <w:highlight w:val="none"/>
        </w:rPr>
        <w:t>项目</w:t>
      </w:r>
      <w:r>
        <w:rPr>
          <w:sz w:val="24"/>
          <w:szCs w:val="24"/>
          <w:highlight w:val="none"/>
        </w:rPr>
        <w:t>用水来源于厂区自备井。</w:t>
      </w:r>
    </w:p>
    <w:p>
      <w:pPr>
        <w:ind w:firstLine="480"/>
        <w:jc w:val="both"/>
        <w:rPr>
          <w:sz w:val="24"/>
          <w:szCs w:val="24"/>
          <w:highlight w:val="none"/>
        </w:rPr>
      </w:pPr>
      <w:r>
        <w:rPr>
          <w:rFonts w:hint="eastAsia"/>
          <w:sz w:val="24"/>
          <w:szCs w:val="24"/>
          <w:highlight w:val="none"/>
        </w:rPr>
        <w:t>改扩建工程不新增劳动定员，不新增生活用水量，改扩建工程实施后全厂</w:t>
      </w:r>
      <w:r>
        <w:rPr>
          <w:sz w:val="24"/>
          <w:szCs w:val="24"/>
          <w:highlight w:val="none"/>
        </w:rPr>
        <w:t>用水主要为生活用水、生产用水，总用水量约为</w:t>
      </w:r>
      <w:r>
        <w:rPr>
          <w:rFonts w:hint="eastAsia"/>
          <w:sz w:val="24"/>
          <w:szCs w:val="24"/>
          <w:highlight w:val="none"/>
        </w:rPr>
        <w:t>8522.7</w:t>
      </w:r>
      <w:r>
        <w:rPr>
          <w:sz w:val="24"/>
          <w:szCs w:val="24"/>
          <w:highlight w:val="none"/>
        </w:rPr>
        <w:t>m</w:t>
      </w:r>
      <w:r>
        <w:rPr>
          <w:sz w:val="24"/>
          <w:szCs w:val="24"/>
          <w:highlight w:val="none"/>
          <w:vertAlign w:val="superscript"/>
        </w:rPr>
        <w:t>3</w:t>
      </w:r>
      <w:r>
        <w:rPr>
          <w:sz w:val="24"/>
          <w:szCs w:val="24"/>
          <w:highlight w:val="none"/>
        </w:rPr>
        <w:t>/d</w:t>
      </w:r>
      <w:r>
        <w:rPr>
          <w:rFonts w:hint="eastAsia"/>
          <w:sz w:val="24"/>
          <w:szCs w:val="24"/>
          <w:highlight w:val="none"/>
        </w:rPr>
        <w:t>，</w:t>
      </w:r>
      <w:r>
        <w:rPr>
          <w:sz w:val="24"/>
          <w:szCs w:val="24"/>
          <w:highlight w:val="none"/>
        </w:rPr>
        <w:t>其中新鲜水用量为</w:t>
      </w:r>
      <w:r>
        <w:rPr>
          <w:rFonts w:hint="eastAsia"/>
          <w:sz w:val="24"/>
          <w:szCs w:val="24"/>
          <w:highlight w:val="none"/>
        </w:rPr>
        <w:t>617.7</w:t>
      </w:r>
      <w:r>
        <w:rPr>
          <w:sz w:val="24"/>
          <w:szCs w:val="24"/>
          <w:highlight w:val="none"/>
        </w:rPr>
        <w:t>m</w:t>
      </w:r>
      <w:r>
        <w:rPr>
          <w:sz w:val="24"/>
          <w:szCs w:val="24"/>
          <w:highlight w:val="none"/>
          <w:vertAlign w:val="superscript"/>
        </w:rPr>
        <w:t>3</w:t>
      </w:r>
      <w:r>
        <w:rPr>
          <w:sz w:val="24"/>
          <w:szCs w:val="24"/>
          <w:highlight w:val="none"/>
        </w:rPr>
        <w:t>/d、循环水量为</w:t>
      </w:r>
      <w:r>
        <w:rPr>
          <w:rFonts w:hint="eastAsia"/>
          <w:sz w:val="24"/>
          <w:szCs w:val="24"/>
          <w:highlight w:val="none"/>
        </w:rPr>
        <w:t>7905</w:t>
      </w:r>
      <w:r>
        <w:rPr>
          <w:sz w:val="24"/>
          <w:szCs w:val="24"/>
          <w:highlight w:val="none"/>
        </w:rPr>
        <w:t>m</w:t>
      </w:r>
      <w:r>
        <w:rPr>
          <w:sz w:val="24"/>
          <w:szCs w:val="24"/>
          <w:highlight w:val="none"/>
          <w:vertAlign w:val="superscript"/>
        </w:rPr>
        <w:t>3</w:t>
      </w:r>
      <w:r>
        <w:rPr>
          <w:sz w:val="24"/>
          <w:szCs w:val="24"/>
          <w:highlight w:val="none"/>
        </w:rPr>
        <w:t>/d，水循环利用率为</w:t>
      </w:r>
      <w:r>
        <w:rPr>
          <w:rFonts w:hint="eastAsia"/>
          <w:sz w:val="24"/>
          <w:szCs w:val="24"/>
          <w:highlight w:val="none"/>
        </w:rPr>
        <w:t>92.8</w:t>
      </w:r>
      <w:r>
        <w:rPr>
          <w:sz w:val="24"/>
          <w:szCs w:val="24"/>
          <w:highlight w:val="none"/>
        </w:rPr>
        <w:t>%。</w:t>
      </w:r>
    </w:p>
    <w:p>
      <w:pPr>
        <w:ind w:firstLine="480"/>
        <w:jc w:val="both"/>
        <w:rPr>
          <w:sz w:val="24"/>
          <w:szCs w:val="24"/>
          <w:highlight w:val="none"/>
        </w:rPr>
      </w:pPr>
      <w:r>
        <w:rPr>
          <w:rFonts w:hint="eastAsia" w:ascii="宋体" w:hAnsi="宋体" w:cs="宋体"/>
          <w:sz w:val="24"/>
          <w:szCs w:val="24"/>
          <w:highlight w:val="none"/>
        </w:rPr>
        <w:t>①</w:t>
      </w:r>
      <w:r>
        <w:rPr>
          <w:sz w:val="24"/>
          <w:szCs w:val="24"/>
          <w:highlight w:val="none"/>
        </w:rPr>
        <w:t>生活用水</w:t>
      </w:r>
    </w:p>
    <w:p>
      <w:pPr>
        <w:ind w:firstLine="480"/>
        <w:jc w:val="both"/>
        <w:rPr>
          <w:sz w:val="24"/>
          <w:szCs w:val="24"/>
          <w:highlight w:val="none"/>
        </w:rPr>
      </w:pPr>
      <w:r>
        <w:rPr>
          <w:sz w:val="24"/>
          <w:szCs w:val="24"/>
          <w:highlight w:val="none"/>
        </w:rPr>
        <w:t>厂区不设食堂、洗浴，厕所为旱厕，职工生活用水按</w:t>
      </w:r>
      <w:r>
        <w:rPr>
          <w:rFonts w:hint="eastAsia"/>
          <w:sz w:val="24"/>
          <w:szCs w:val="24"/>
          <w:highlight w:val="none"/>
        </w:rPr>
        <w:t>1</w:t>
      </w:r>
      <w:r>
        <w:rPr>
          <w:sz w:val="24"/>
          <w:szCs w:val="24"/>
          <w:highlight w:val="none"/>
        </w:rPr>
        <w:t>0L/人·d计，总定员</w:t>
      </w:r>
      <w:r>
        <w:rPr>
          <w:rFonts w:hint="eastAsia"/>
          <w:sz w:val="24"/>
          <w:szCs w:val="24"/>
          <w:highlight w:val="none"/>
        </w:rPr>
        <w:t>20</w:t>
      </w:r>
      <w:r>
        <w:rPr>
          <w:sz w:val="24"/>
          <w:szCs w:val="24"/>
          <w:highlight w:val="none"/>
        </w:rPr>
        <w:t>人，生活用水量</w:t>
      </w:r>
      <w:r>
        <w:rPr>
          <w:rFonts w:hint="eastAsia"/>
          <w:sz w:val="24"/>
          <w:szCs w:val="24"/>
          <w:highlight w:val="none"/>
        </w:rPr>
        <w:t>0.2</w:t>
      </w:r>
      <w:r>
        <w:rPr>
          <w:sz w:val="24"/>
          <w:szCs w:val="24"/>
          <w:highlight w:val="none"/>
        </w:rPr>
        <w:t>m</w:t>
      </w:r>
      <w:r>
        <w:rPr>
          <w:sz w:val="24"/>
          <w:szCs w:val="24"/>
          <w:highlight w:val="none"/>
          <w:vertAlign w:val="superscript"/>
        </w:rPr>
        <w:t>3</w:t>
      </w:r>
      <w:r>
        <w:rPr>
          <w:sz w:val="24"/>
          <w:szCs w:val="24"/>
          <w:highlight w:val="none"/>
        </w:rPr>
        <w:t>/d。</w:t>
      </w:r>
    </w:p>
    <w:p>
      <w:pPr>
        <w:ind w:firstLine="480"/>
        <w:jc w:val="both"/>
        <w:rPr>
          <w:sz w:val="24"/>
          <w:szCs w:val="24"/>
          <w:highlight w:val="none"/>
        </w:rPr>
      </w:pPr>
      <w:r>
        <w:rPr>
          <w:rFonts w:hint="eastAsia" w:ascii="宋体" w:hAnsi="宋体" w:cs="宋体"/>
          <w:sz w:val="24"/>
          <w:szCs w:val="24"/>
          <w:highlight w:val="none"/>
        </w:rPr>
        <w:t>②</w:t>
      </w:r>
      <w:r>
        <w:rPr>
          <w:rFonts w:hint="eastAsia"/>
          <w:sz w:val="24"/>
          <w:szCs w:val="24"/>
          <w:highlight w:val="none"/>
        </w:rPr>
        <w:t>选矿</w:t>
      </w:r>
      <w:r>
        <w:rPr>
          <w:sz w:val="24"/>
          <w:szCs w:val="24"/>
          <w:highlight w:val="none"/>
        </w:rPr>
        <w:t>用水</w:t>
      </w:r>
    </w:p>
    <w:p>
      <w:pPr>
        <w:ind w:firstLine="480"/>
        <w:jc w:val="both"/>
        <w:rPr>
          <w:sz w:val="24"/>
          <w:szCs w:val="24"/>
          <w:highlight w:val="none"/>
        </w:rPr>
      </w:pPr>
      <w:r>
        <w:rPr>
          <w:sz w:val="24"/>
          <w:szCs w:val="24"/>
          <w:highlight w:val="none"/>
        </w:rPr>
        <w:t>球磨、磁选工序用水总量</w:t>
      </w:r>
      <w:r>
        <w:rPr>
          <w:rFonts w:hint="eastAsia"/>
          <w:sz w:val="24"/>
          <w:szCs w:val="24"/>
          <w:highlight w:val="none"/>
        </w:rPr>
        <w:t>8500</w:t>
      </w:r>
      <w:r>
        <w:rPr>
          <w:sz w:val="24"/>
          <w:szCs w:val="24"/>
          <w:highlight w:val="none"/>
        </w:rPr>
        <w:t>m</w:t>
      </w:r>
      <w:r>
        <w:rPr>
          <w:sz w:val="24"/>
          <w:szCs w:val="24"/>
          <w:highlight w:val="none"/>
          <w:vertAlign w:val="superscript"/>
        </w:rPr>
        <w:t>3</w:t>
      </w:r>
      <w:r>
        <w:rPr>
          <w:sz w:val="24"/>
          <w:szCs w:val="24"/>
          <w:highlight w:val="none"/>
        </w:rPr>
        <w:t>/d，其中新鲜水用量为</w:t>
      </w:r>
      <w:r>
        <w:rPr>
          <w:rFonts w:hint="eastAsia"/>
          <w:sz w:val="24"/>
          <w:szCs w:val="24"/>
          <w:highlight w:val="none"/>
        </w:rPr>
        <w:t>600</w:t>
      </w:r>
      <w:r>
        <w:rPr>
          <w:sz w:val="24"/>
          <w:szCs w:val="24"/>
          <w:highlight w:val="none"/>
        </w:rPr>
        <w:t>m</w:t>
      </w:r>
      <w:r>
        <w:rPr>
          <w:sz w:val="24"/>
          <w:szCs w:val="24"/>
          <w:highlight w:val="none"/>
          <w:vertAlign w:val="superscript"/>
        </w:rPr>
        <w:t>3</w:t>
      </w:r>
      <w:r>
        <w:rPr>
          <w:sz w:val="24"/>
          <w:szCs w:val="24"/>
          <w:highlight w:val="none"/>
        </w:rPr>
        <w:t>/d，循环水量为</w:t>
      </w:r>
      <w:r>
        <w:rPr>
          <w:rFonts w:hint="eastAsia"/>
          <w:sz w:val="24"/>
          <w:szCs w:val="24"/>
          <w:highlight w:val="none"/>
        </w:rPr>
        <w:t>7900</w:t>
      </w:r>
      <w:r>
        <w:rPr>
          <w:sz w:val="24"/>
          <w:szCs w:val="24"/>
          <w:highlight w:val="none"/>
        </w:rPr>
        <w:t>m</w:t>
      </w:r>
      <w:r>
        <w:rPr>
          <w:sz w:val="24"/>
          <w:szCs w:val="24"/>
          <w:highlight w:val="none"/>
          <w:vertAlign w:val="superscript"/>
        </w:rPr>
        <w:t>3</w:t>
      </w:r>
      <w:r>
        <w:rPr>
          <w:sz w:val="24"/>
          <w:szCs w:val="24"/>
          <w:highlight w:val="none"/>
        </w:rPr>
        <w:t>/d。</w:t>
      </w:r>
    </w:p>
    <w:p>
      <w:pPr>
        <w:ind w:firstLine="480"/>
        <w:jc w:val="both"/>
        <w:rPr>
          <w:sz w:val="24"/>
          <w:szCs w:val="24"/>
          <w:highlight w:val="none"/>
        </w:rPr>
      </w:pPr>
      <w:r>
        <w:rPr>
          <w:rFonts w:hint="eastAsia" w:ascii="宋体" w:hAnsi="宋体" w:cs="宋体"/>
          <w:sz w:val="24"/>
          <w:szCs w:val="24"/>
          <w:highlight w:val="none"/>
        </w:rPr>
        <w:t>③</w:t>
      </w:r>
      <w:r>
        <w:rPr>
          <w:sz w:val="24"/>
          <w:szCs w:val="24"/>
          <w:highlight w:val="none"/>
        </w:rPr>
        <w:t>车间清洗用水</w:t>
      </w:r>
    </w:p>
    <w:p>
      <w:pPr>
        <w:ind w:firstLine="480"/>
        <w:jc w:val="both"/>
        <w:rPr>
          <w:sz w:val="24"/>
          <w:szCs w:val="24"/>
          <w:highlight w:val="none"/>
        </w:rPr>
      </w:pPr>
      <w:r>
        <w:rPr>
          <w:sz w:val="24"/>
          <w:szCs w:val="24"/>
          <w:highlight w:val="none"/>
        </w:rPr>
        <w:t>车间地面冲洗用水量为</w:t>
      </w:r>
      <w:r>
        <w:rPr>
          <w:rFonts w:hint="eastAsia"/>
          <w:sz w:val="24"/>
          <w:szCs w:val="24"/>
          <w:highlight w:val="none"/>
        </w:rPr>
        <w:t>5</w:t>
      </w:r>
      <w:r>
        <w:rPr>
          <w:sz w:val="24"/>
          <w:szCs w:val="24"/>
          <w:highlight w:val="none"/>
        </w:rPr>
        <w:t xml:space="preserve"> m</w:t>
      </w:r>
      <w:r>
        <w:rPr>
          <w:sz w:val="24"/>
          <w:szCs w:val="24"/>
          <w:highlight w:val="none"/>
          <w:vertAlign w:val="superscript"/>
        </w:rPr>
        <w:t>3</w:t>
      </w:r>
      <w:r>
        <w:rPr>
          <w:sz w:val="24"/>
          <w:szCs w:val="24"/>
          <w:highlight w:val="none"/>
        </w:rPr>
        <w:t>/d，</w:t>
      </w:r>
      <w:r>
        <w:rPr>
          <w:rFonts w:hint="eastAsia"/>
          <w:sz w:val="24"/>
          <w:szCs w:val="24"/>
          <w:highlight w:val="none"/>
        </w:rPr>
        <w:t>全部为</w:t>
      </w:r>
      <w:r>
        <w:rPr>
          <w:sz w:val="24"/>
          <w:szCs w:val="24"/>
          <w:highlight w:val="none"/>
        </w:rPr>
        <w:t>新鲜水。</w:t>
      </w:r>
    </w:p>
    <w:p>
      <w:pPr>
        <w:ind w:firstLine="480"/>
        <w:jc w:val="both"/>
        <w:rPr>
          <w:sz w:val="24"/>
          <w:szCs w:val="24"/>
          <w:highlight w:val="none"/>
        </w:rPr>
      </w:pPr>
      <w:r>
        <w:rPr>
          <w:rFonts w:hint="eastAsia" w:ascii="宋体" w:hAnsi="宋体" w:cs="宋体"/>
          <w:sz w:val="24"/>
          <w:szCs w:val="24"/>
          <w:highlight w:val="none"/>
        </w:rPr>
        <w:t>④</w:t>
      </w:r>
      <w:r>
        <w:rPr>
          <w:rFonts w:hint="eastAsia"/>
          <w:sz w:val="24"/>
          <w:szCs w:val="24"/>
          <w:highlight w:val="none"/>
        </w:rPr>
        <w:t>抑尘</w:t>
      </w:r>
      <w:r>
        <w:rPr>
          <w:sz w:val="24"/>
          <w:szCs w:val="24"/>
          <w:highlight w:val="none"/>
        </w:rPr>
        <w:t>用水</w:t>
      </w:r>
    </w:p>
    <w:p>
      <w:pPr>
        <w:ind w:firstLine="480"/>
        <w:jc w:val="both"/>
        <w:rPr>
          <w:highlight w:val="none"/>
        </w:rPr>
      </w:pPr>
      <w:r>
        <w:rPr>
          <w:sz w:val="24"/>
          <w:szCs w:val="24"/>
          <w:highlight w:val="none"/>
        </w:rPr>
        <w:t>厂区洒水降尘用水量为</w:t>
      </w:r>
      <w:r>
        <w:rPr>
          <w:rFonts w:hint="eastAsia"/>
          <w:sz w:val="24"/>
          <w:szCs w:val="24"/>
          <w:highlight w:val="none"/>
        </w:rPr>
        <w:t>10</w:t>
      </w:r>
      <w:r>
        <w:rPr>
          <w:sz w:val="24"/>
          <w:szCs w:val="24"/>
          <w:highlight w:val="none"/>
        </w:rPr>
        <w:t>m</w:t>
      </w:r>
      <w:r>
        <w:rPr>
          <w:sz w:val="24"/>
          <w:szCs w:val="24"/>
          <w:highlight w:val="none"/>
          <w:vertAlign w:val="superscript"/>
        </w:rPr>
        <w:t>3</w:t>
      </w:r>
      <w:r>
        <w:rPr>
          <w:sz w:val="24"/>
          <w:szCs w:val="24"/>
          <w:highlight w:val="none"/>
        </w:rPr>
        <w:t>/d，</w:t>
      </w:r>
      <w:r>
        <w:rPr>
          <w:rFonts w:hint="eastAsia"/>
          <w:sz w:val="24"/>
          <w:szCs w:val="24"/>
          <w:highlight w:val="none"/>
        </w:rPr>
        <w:t>全部为</w:t>
      </w:r>
      <w:r>
        <w:rPr>
          <w:sz w:val="24"/>
          <w:szCs w:val="24"/>
          <w:highlight w:val="none"/>
        </w:rPr>
        <w:t>新鲜水</w:t>
      </w:r>
      <w:r>
        <w:rPr>
          <w:rFonts w:hint="eastAsia"/>
          <w:sz w:val="24"/>
          <w:szCs w:val="24"/>
          <w:highlight w:val="none"/>
        </w:rPr>
        <w:t>。</w:t>
      </w:r>
    </w:p>
    <w:p>
      <w:pPr>
        <w:ind w:firstLine="480"/>
        <w:jc w:val="both"/>
        <w:rPr>
          <w:sz w:val="24"/>
          <w:szCs w:val="24"/>
          <w:highlight w:val="none"/>
        </w:rPr>
      </w:pPr>
      <w:r>
        <w:rPr>
          <w:rFonts w:hint="eastAsia" w:ascii="宋体" w:hAnsi="宋体" w:cs="宋体"/>
          <w:sz w:val="24"/>
          <w:szCs w:val="24"/>
          <w:highlight w:val="none"/>
        </w:rPr>
        <w:t>⑤</w:t>
      </w:r>
      <w:r>
        <w:rPr>
          <w:sz w:val="24"/>
          <w:szCs w:val="24"/>
          <w:highlight w:val="none"/>
        </w:rPr>
        <w:t>洗车用水</w:t>
      </w:r>
    </w:p>
    <w:p>
      <w:pPr>
        <w:ind w:firstLine="480"/>
        <w:jc w:val="both"/>
        <w:rPr>
          <w:sz w:val="24"/>
          <w:szCs w:val="24"/>
          <w:highlight w:val="none"/>
        </w:rPr>
      </w:pPr>
      <w:r>
        <w:rPr>
          <w:sz w:val="24"/>
          <w:szCs w:val="24"/>
          <w:highlight w:val="none"/>
        </w:rPr>
        <w:t>洗车平台洗车用水量为</w:t>
      </w:r>
      <w:r>
        <w:rPr>
          <w:rFonts w:hint="eastAsia"/>
          <w:sz w:val="24"/>
          <w:szCs w:val="24"/>
          <w:highlight w:val="none"/>
        </w:rPr>
        <w:t>7.5</w:t>
      </w:r>
      <w:r>
        <w:rPr>
          <w:sz w:val="24"/>
          <w:szCs w:val="24"/>
          <w:highlight w:val="none"/>
        </w:rPr>
        <w:t>m</w:t>
      </w:r>
      <w:r>
        <w:rPr>
          <w:sz w:val="24"/>
          <w:szCs w:val="24"/>
          <w:highlight w:val="none"/>
          <w:vertAlign w:val="superscript"/>
        </w:rPr>
        <w:t>3</w:t>
      </w:r>
      <w:r>
        <w:rPr>
          <w:sz w:val="24"/>
          <w:szCs w:val="24"/>
          <w:highlight w:val="none"/>
        </w:rPr>
        <w:t>/d，在洗车平台使用高压喷雾清洗轮胎，经沉淀后的洗车废水流入清水池内，清洗及沉淀过程随车辆带走及蒸发损耗水量为</w:t>
      </w:r>
      <w:r>
        <w:rPr>
          <w:rFonts w:hint="eastAsia"/>
          <w:sz w:val="24"/>
          <w:szCs w:val="24"/>
          <w:highlight w:val="none"/>
        </w:rPr>
        <w:t>2.5</w:t>
      </w:r>
      <w:r>
        <w:rPr>
          <w:sz w:val="24"/>
          <w:szCs w:val="24"/>
          <w:highlight w:val="none"/>
        </w:rPr>
        <w:t>m</w:t>
      </w:r>
      <w:r>
        <w:rPr>
          <w:sz w:val="24"/>
          <w:szCs w:val="24"/>
          <w:highlight w:val="none"/>
          <w:vertAlign w:val="superscript"/>
        </w:rPr>
        <w:t>3</w:t>
      </w:r>
      <w:r>
        <w:rPr>
          <w:sz w:val="24"/>
          <w:szCs w:val="24"/>
          <w:highlight w:val="none"/>
        </w:rPr>
        <w:t>/d，补充新水量</w:t>
      </w:r>
      <w:r>
        <w:rPr>
          <w:rFonts w:hint="eastAsia"/>
          <w:sz w:val="24"/>
          <w:szCs w:val="24"/>
          <w:highlight w:val="none"/>
        </w:rPr>
        <w:t>2.5</w:t>
      </w:r>
      <w:r>
        <w:rPr>
          <w:sz w:val="24"/>
          <w:szCs w:val="24"/>
          <w:highlight w:val="none"/>
        </w:rPr>
        <w:t>m</w:t>
      </w:r>
      <w:r>
        <w:rPr>
          <w:sz w:val="24"/>
          <w:szCs w:val="24"/>
          <w:highlight w:val="none"/>
          <w:vertAlign w:val="superscript"/>
        </w:rPr>
        <w:t>3</w:t>
      </w:r>
      <w:r>
        <w:rPr>
          <w:sz w:val="24"/>
          <w:szCs w:val="24"/>
          <w:highlight w:val="none"/>
        </w:rPr>
        <w:t>/d，循环水量为</w:t>
      </w:r>
      <w:r>
        <w:rPr>
          <w:rFonts w:hint="eastAsia"/>
          <w:sz w:val="24"/>
          <w:szCs w:val="24"/>
          <w:highlight w:val="none"/>
        </w:rPr>
        <w:t>5</w:t>
      </w:r>
      <w:r>
        <w:rPr>
          <w:sz w:val="24"/>
          <w:szCs w:val="24"/>
          <w:highlight w:val="none"/>
        </w:rPr>
        <w:t>m</w:t>
      </w:r>
      <w:r>
        <w:rPr>
          <w:sz w:val="24"/>
          <w:szCs w:val="24"/>
          <w:highlight w:val="none"/>
          <w:vertAlign w:val="superscript"/>
        </w:rPr>
        <w:t>3</w:t>
      </w:r>
      <w:r>
        <w:rPr>
          <w:sz w:val="24"/>
          <w:szCs w:val="24"/>
          <w:highlight w:val="none"/>
        </w:rPr>
        <w:t>/d，回用于运输车辆清洗。</w:t>
      </w:r>
    </w:p>
    <w:p>
      <w:pPr>
        <w:ind w:firstLine="480"/>
        <w:jc w:val="both"/>
        <w:rPr>
          <w:sz w:val="24"/>
          <w:szCs w:val="24"/>
          <w:highlight w:val="none"/>
        </w:rPr>
      </w:pPr>
      <w:r>
        <w:rPr>
          <w:sz w:val="24"/>
          <w:szCs w:val="24"/>
          <w:highlight w:val="none"/>
        </w:rPr>
        <w:t>（2）排水</w:t>
      </w:r>
    </w:p>
    <w:p>
      <w:pPr>
        <w:ind w:firstLine="480"/>
        <w:rPr>
          <w:sz w:val="24"/>
          <w:szCs w:val="24"/>
          <w:highlight w:val="none"/>
        </w:rPr>
      </w:pPr>
      <w:r>
        <w:rPr>
          <w:sz w:val="24"/>
          <w:szCs w:val="24"/>
          <w:highlight w:val="none"/>
        </w:rPr>
        <w:t>生产废水主要为铁精粉压滤废水和尾矿中的废水。其中铁精粉压滤废水返回一段磁选循环使用；粗尾矿砂脱水后的滤液进入浓密池，经过沉淀澄清、压滤机压滤后返回清水池，全部回用于生产，压滤机出水进入清水池回用于生产，车间地面清洗水进入清水池回用于生产，洗车废水排入沉淀池处理后循环利用。</w:t>
      </w:r>
    </w:p>
    <w:p>
      <w:pPr>
        <w:ind w:firstLine="480"/>
        <w:rPr>
          <w:sz w:val="24"/>
          <w:szCs w:val="24"/>
          <w:highlight w:val="none"/>
        </w:rPr>
      </w:pPr>
      <w:r>
        <w:rPr>
          <w:sz w:val="24"/>
          <w:szCs w:val="24"/>
          <w:highlight w:val="none"/>
        </w:rPr>
        <w:t>生活污水主要为职工盥洗废水，全部用于泼洒地面抑尘；厂区设防渗旱厕，定期清掏用于肥田，无生活污水外排。</w:t>
      </w:r>
    </w:p>
    <w:p>
      <w:pPr>
        <w:ind w:firstLine="480"/>
        <w:rPr>
          <w:sz w:val="24"/>
          <w:szCs w:val="24"/>
          <w:highlight w:val="none"/>
        </w:rPr>
      </w:pPr>
      <w:r>
        <w:rPr>
          <w:rFonts w:hint="eastAsia"/>
          <w:sz w:val="24"/>
          <w:szCs w:val="24"/>
          <w:highlight w:val="none"/>
        </w:rPr>
        <w:t>改扩建</w:t>
      </w:r>
      <w:r>
        <w:rPr>
          <w:sz w:val="24"/>
          <w:szCs w:val="24"/>
          <w:highlight w:val="none"/>
        </w:rPr>
        <w:t>项目</w:t>
      </w:r>
      <w:r>
        <w:rPr>
          <w:rFonts w:hint="eastAsia"/>
          <w:sz w:val="24"/>
          <w:szCs w:val="24"/>
          <w:highlight w:val="none"/>
        </w:rPr>
        <w:t>实施后全厂</w:t>
      </w:r>
      <w:r>
        <w:rPr>
          <w:sz w:val="24"/>
          <w:szCs w:val="24"/>
          <w:highlight w:val="none"/>
        </w:rPr>
        <w:t>用排水平衡情况见表3.</w:t>
      </w:r>
      <w:r>
        <w:rPr>
          <w:rFonts w:hint="eastAsia"/>
          <w:sz w:val="24"/>
          <w:szCs w:val="24"/>
          <w:highlight w:val="none"/>
        </w:rPr>
        <w:t>2</w:t>
      </w:r>
      <w:r>
        <w:rPr>
          <w:sz w:val="24"/>
          <w:szCs w:val="24"/>
          <w:highlight w:val="none"/>
        </w:rPr>
        <w:t>-8，本项目水平衡见图3.</w:t>
      </w:r>
      <w:r>
        <w:rPr>
          <w:rFonts w:hint="eastAsia"/>
          <w:sz w:val="24"/>
          <w:szCs w:val="24"/>
          <w:highlight w:val="none"/>
        </w:rPr>
        <w:t>2</w:t>
      </w:r>
      <w:r>
        <w:rPr>
          <w:sz w:val="24"/>
          <w:szCs w:val="24"/>
          <w:highlight w:val="none"/>
        </w:rPr>
        <w:t>-1。</w:t>
      </w:r>
    </w:p>
    <w:p>
      <w:pPr>
        <w:spacing w:line="240" w:lineRule="auto"/>
        <w:ind w:firstLine="0" w:firstLineChars="0"/>
        <w:jc w:val="center"/>
        <w:textAlignment w:val="auto"/>
        <w:rPr>
          <w:rFonts w:eastAsia="黑体"/>
          <w:sz w:val="21"/>
          <w:szCs w:val="21"/>
          <w:highlight w:val="none"/>
        </w:rPr>
      </w:pPr>
      <w:r>
        <w:rPr>
          <w:rFonts w:eastAsia="黑体"/>
          <w:kern w:val="2"/>
          <w:sz w:val="21"/>
          <w:szCs w:val="21"/>
          <w:highlight w:val="none"/>
        </w:rPr>
        <w:t>表3.</w:t>
      </w:r>
      <w:r>
        <w:rPr>
          <w:rFonts w:hint="eastAsia" w:eastAsia="黑体"/>
          <w:kern w:val="2"/>
          <w:sz w:val="21"/>
          <w:szCs w:val="21"/>
          <w:highlight w:val="none"/>
        </w:rPr>
        <w:t>2</w:t>
      </w:r>
      <w:r>
        <w:rPr>
          <w:rFonts w:eastAsia="黑体"/>
          <w:kern w:val="2"/>
          <w:sz w:val="21"/>
          <w:szCs w:val="21"/>
          <w:highlight w:val="none"/>
        </w:rPr>
        <w:t>-8</w:t>
      </w:r>
      <w:r>
        <w:rPr>
          <w:rFonts w:hint="eastAsia" w:eastAsia="黑体"/>
          <w:kern w:val="2"/>
          <w:sz w:val="21"/>
          <w:szCs w:val="21"/>
          <w:highlight w:val="none"/>
        </w:rPr>
        <w:t xml:space="preserve">   </w:t>
      </w:r>
      <w:r>
        <w:rPr>
          <w:rFonts w:eastAsia="黑体"/>
          <w:kern w:val="2"/>
          <w:sz w:val="21"/>
          <w:szCs w:val="21"/>
          <w:highlight w:val="none"/>
        </w:rPr>
        <w:t>用排水平衡表</w:t>
      </w:r>
      <w:r>
        <w:rPr>
          <w:rFonts w:eastAsia="黑体"/>
          <w:sz w:val="21"/>
          <w:szCs w:val="21"/>
          <w:highlight w:val="none"/>
        </w:rPr>
        <w:t>单位m</w:t>
      </w:r>
      <w:r>
        <w:rPr>
          <w:rFonts w:eastAsia="黑体"/>
          <w:sz w:val="21"/>
          <w:szCs w:val="21"/>
          <w:highlight w:val="none"/>
          <w:vertAlign w:val="superscript"/>
        </w:rPr>
        <w:t>3</w:t>
      </w:r>
      <w:r>
        <w:rPr>
          <w:rFonts w:eastAsia="黑体"/>
          <w:sz w:val="21"/>
          <w:szCs w:val="21"/>
          <w:highlight w:val="none"/>
        </w:rPr>
        <w:t>/d</w:t>
      </w:r>
    </w:p>
    <w:tbl>
      <w:tblPr>
        <w:tblStyle w:val="56"/>
        <w:tblW w:w="8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899"/>
        <w:gridCol w:w="899"/>
        <w:gridCol w:w="1045"/>
        <w:gridCol w:w="713"/>
        <w:gridCol w:w="992"/>
        <w:gridCol w:w="851"/>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用水环节</w:t>
            </w:r>
          </w:p>
        </w:tc>
        <w:tc>
          <w:tcPr>
            <w:tcW w:w="899"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总用</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水量</w:t>
            </w:r>
          </w:p>
        </w:tc>
        <w:tc>
          <w:tcPr>
            <w:tcW w:w="899"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新鲜水</w:t>
            </w:r>
          </w:p>
        </w:tc>
        <w:tc>
          <w:tcPr>
            <w:tcW w:w="1045"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循环</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水量</w:t>
            </w:r>
          </w:p>
        </w:tc>
        <w:tc>
          <w:tcPr>
            <w:tcW w:w="713"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串联用水</w:t>
            </w:r>
          </w:p>
        </w:tc>
        <w:tc>
          <w:tcPr>
            <w:tcW w:w="992"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损失量</w:t>
            </w:r>
          </w:p>
        </w:tc>
        <w:tc>
          <w:tcPr>
            <w:tcW w:w="85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排水量</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喷淋抑尘</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18</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18</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18</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球磨、磁选</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8500</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600</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7900</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604</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损失途径为物料带走和蒸发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车间地面清洗</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用水</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w:t>
            </w:r>
            <w:r>
              <w:rPr>
                <w:rFonts w:hint="eastAsia" w:ascii="宋体" w:hAnsi="宋体"/>
                <w:sz w:val="21"/>
                <w:szCs w:val="21"/>
                <w:highlight w:val="none"/>
              </w:rPr>
              <w:t>排入浓密池，回用于生产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洗车用水</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7.5</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2.5</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2.5</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生活用水</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0.2</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0.2</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w:t>
            </w:r>
          </w:p>
        </w:tc>
        <w:tc>
          <w:tcPr>
            <w:tcW w:w="713"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0</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0.2</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泼洒抑尘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1"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合计</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8530.7</w:t>
            </w:r>
          </w:p>
        </w:tc>
        <w:tc>
          <w:tcPr>
            <w:tcW w:w="899"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625.7</w:t>
            </w:r>
          </w:p>
        </w:tc>
        <w:tc>
          <w:tcPr>
            <w:tcW w:w="1045"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7905</w:t>
            </w:r>
          </w:p>
        </w:tc>
        <w:tc>
          <w:tcPr>
            <w:tcW w:w="713"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w:t>
            </w:r>
          </w:p>
        </w:tc>
        <w:tc>
          <w:tcPr>
            <w:tcW w:w="992" w:type="dxa"/>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625.7</w:t>
            </w:r>
          </w:p>
        </w:tc>
        <w:tc>
          <w:tcPr>
            <w:tcW w:w="851" w:type="dxa"/>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w:t>
            </w:r>
          </w:p>
        </w:tc>
        <w:tc>
          <w:tcPr>
            <w:tcW w:w="1670" w:type="dxa"/>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p>
        </w:tc>
      </w:tr>
    </w:tbl>
    <w:p>
      <w:pPr>
        <w:pStyle w:val="55"/>
        <w:spacing w:before="120" w:beforeLines="50"/>
        <w:ind w:left="0" w:leftChars="0" w:firstLine="0" w:firstLineChars="0"/>
        <w:rPr>
          <w:highlight w:val="none"/>
        </w:rPr>
      </w:pPr>
      <w:r>
        <w:rPr>
          <w:highlight w:val="none"/>
        </w:rPr>
        <w:drawing>
          <wp:inline distT="0" distB="0" distL="114300" distR="114300">
            <wp:extent cx="5271135" cy="5262245"/>
            <wp:effectExtent l="0" t="0" r="0" b="0"/>
            <wp:docPr id="1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2"/>
                    <pic:cNvPicPr>
                      <a:picLocks noChangeAspect="1"/>
                    </pic:cNvPicPr>
                  </pic:nvPicPr>
                  <pic:blipFill>
                    <a:blip r:embed="rId32"/>
                    <a:srcRect t="3952"/>
                    <a:stretch>
                      <a:fillRect/>
                    </a:stretch>
                  </pic:blipFill>
                  <pic:spPr>
                    <a:xfrm>
                      <a:off x="0" y="0"/>
                      <a:ext cx="5271135" cy="5262245"/>
                    </a:xfrm>
                    <a:prstGeom prst="rect">
                      <a:avLst/>
                    </a:prstGeom>
                    <a:noFill/>
                    <a:ln>
                      <a:noFill/>
                    </a:ln>
                  </pic:spPr>
                </pic:pic>
              </a:graphicData>
            </a:graphic>
          </wp:inline>
        </w:drawing>
      </w:r>
    </w:p>
    <w:p>
      <w:pPr>
        <w:spacing w:before="120" w:beforeLines="50"/>
        <w:ind w:firstLine="0" w:firstLineChars="0"/>
        <w:jc w:val="center"/>
        <w:rPr>
          <w:rFonts w:eastAsia="黑体"/>
          <w:kern w:val="2"/>
          <w:sz w:val="21"/>
          <w:szCs w:val="21"/>
          <w:highlight w:val="none"/>
        </w:rPr>
      </w:pPr>
      <w:r>
        <w:rPr>
          <w:rFonts w:eastAsia="黑体"/>
          <w:kern w:val="2"/>
          <w:sz w:val="21"/>
          <w:szCs w:val="21"/>
          <w:highlight w:val="none"/>
        </w:rPr>
        <w:t>图3.</w:t>
      </w:r>
      <w:r>
        <w:rPr>
          <w:rFonts w:hint="eastAsia" w:eastAsia="黑体"/>
          <w:kern w:val="2"/>
          <w:sz w:val="21"/>
          <w:szCs w:val="21"/>
          <w:highlight w:val="none"/>
        </w:rPr>
        <w:t>2</w:t>
      </w:r>
      <w:r>
        <w:rPr>
          <w:rFonts w:eastAsia="黑体"/>
          <w:kern w:val="2"/>
          <w:sz w:val="21"/>
          <w:szCs w:val="21"/>
          <w:highlight w:val="none"/>
        </w:rPr>
        <w:t>-1    水平衡图（单位：m</w:t>
      </w:r>
      <w:r>
        <w:rPr>
          <w:rFonts w:eastAsia="黑体"/>
          <w:kern w:val="2"/>
          <w:sz w:val="21"/>
          <w:szCs w:val="21"/>
          <w:highlight w:val="none"/>
          <w:vertAlign w:val="superscript"/>
        </w:rPr>
        <w:t>3</w:t>
      </w:r>
      <w:r>
        <w:rPr>
          <w:rFonts w:eastAsia="黑体"/>
          <w:kern w:val="2"/>
          <w:sz w:val="21"/>
          <w:szCs w:val="21"/>
          <w:highlight w:val="none"/>
        </w:rPr>
        <w:t>/d）</w:t>
      </w:r>
    </w:p>
    <w:p>
      <w:pPr>
        <w:pStyle w:val="55"/>
        <w:ind w:left="560"/>
        <w:rPr>
          <w:highlight w:val="none"/>
        </w:rPr>
      </w:pPr>
    </w:p>
    <w:p>
      <w:pPr>
        <w:pStyle w:val="5"/>
        <w:keepNext w:val="0"/>
        <w:keepLines w:val="0"/>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191" w:name="_Toc6198"/>
      <w:bookmarkStart w:id="192" w:name="_Toc524284666"/>
      <w:bookmarkStart w:id="193" w:name="_Toc28673"/>
      <w:bookmarkStart w:id="194" w:name="_Toc17143"/>
      <w:bookmarkStart w:id="195" w:name="_Toc521591763"/>
      <w:bookmarkStart w:id="196" w:name="_Toc13548"/>
      <w:r>
        <w:rPr>
          <w:rFonts w:ascii="Times New Roman" w:hAnsi="Times New Roman" w:eastAsia="宋体"/>
          <w:bCs w:val="0"/>
          <w:snapToGrid w:val="0"/>
          <w:kern w:val="0"/>
          <w:sz w:val="28"/>
          <w:szCs w:val="28"/>
          <w:highlight w:val="none"/>
        </w:rPr>
        <w:t>污染影响因素分析</w:t>
      </w:r>
      <w:bookmarkEnd w:id="191"/>
      <w:bookmarkEnd w:id="192"/>
      <w:bookmarkEnd w:id="193"/>
      <w:bookmarkEnd w:id="194"/>
      <w:bookmarkEnd w:id="195"/>
      <w:bookmarkEnd w:id="196"/>
    </w:p>
    <w:p>
      <w:pPr>
        <w:pStyle w:val="6"/>
        <w:keepNext w:val="0"/>
        <w:keepLines w:val="0"/>
        <w:numPr>
          <w:ilvl w:val="2"/>
          <w:numId w:val="1"/>
        </w:numPr>
        <w:rPr>
          <w:szCs w:val="28"/>
          <w:highlight w:val="none"/>
        </w:rPr>
      </w:pPr>
      <w:bookmarkStart w:id="197" w:name="_Toc521591764"/>
      <w:bookmarkStart w:id="198" w:name="_Toc2746"/>
      <w:r>
        <w:rPr>
          <w:szCs w:val="28"/>
          <w:highlight w:val="none"/>
        </w:rPr>
        <w:t>施工期污染影响因素分析</w:t>
      </w:r>
      <w:r>
        <w:rPr>
          <w:rFonts w:hint="eastAsia"/>
          <w:szCs w:val="28"/>
          <w:highlight w:val="none"/>
        </w:rPr>
        <w:t xml:space="preserve"> </w:t>
      </w:r>
    </w:p>
    <w:p>
      <w:pPr>
        <w:pStyle w:val="3"/>
        <w:spacing w:before="48" w:after="48"/>
        <w:rPr>
          <w:highlight w:val="none"/>
        </w:rPr>
      </w:pPr>
      <w:r>
        <w:rPr>
          <w:rFonts w:hint="eastAsia"/>
          <w:highlight w:val="none"/>
        </w:rPr>
        <w:t>3.3.1.1大气污染</w:t>
      </w:r>
    </w:p>
    <w:p>
      <w:pPr>
        <w:ind w:firstLine="480"/>
        <w:jc w:val="both"/>
        <w:rPr>
          <w:sz w:val="24"/>
          <w:szCs w:val="24"/>
          <w:highlight w:val="none"/>
        </w:rPr>
      </w:pPr>
      <w:r>
        <w:rPr>
          <w:sz w:val="24"/>
          <w:szCs w:val="24"/>
          <w:highlight w:val="none"/>
        </w:rPr>
        <w:t>工程施工过程中大气污染主要来自施工场地的扬尘，施工机械、设备及运输车辆排放的燃油（汽油、柴油）尾气。其中，施工扬尘主要来自建筑材料（白灰、水泥、沙子、石子等）的现场搬运及堆放、土石方作业、施工垃圾清理、车辆运输等活动。</w:t>
      </w:r>
    </w:p>
    <w:p>
      <w:pPr>
        <w:pStyle w:val="3"/>
        <w:spacing w:before="48" w:after="48"/>
        <w:rPr>
          <w:highlight w:val="none"/>
        </w:rPr>
      </w:pPr>
      <w:r>
        <w:rPr>
          <w:rFonts w:hint="eastAsia"/>
          <w:highlight w:val="none"/>
        </w:rPr>
        <w:t>3.3.1.2水污染</w:t>
      </w:r>
    </w:p>
    <w:p>
      <w:pPr>
        <w:ind w:firstLine="480"/>
        <w:jc w:val="both"/>
        <w:rPr>
          <w:sz w:val="24"/>
          <w:szCs w:val="24"/>
          <w:highlight w:val="none"/>
        </w:rPr>
      </w:pPr>
      <w:r>
        <w:rPr>
          <w:sz w:val="24"/>
          <w:szCs w:val="24"/>
          <w:highlight w:val="none"/>
        </w:rPr>
        <w:t>项目施工人员均为本地劳动力，故本项目不设施工营地。施工人员就餐采用订餐制，因此由施工人员产生的生活污水影响很小。施工期间主要的水污染为施工设备和运输车辆冲洗、混凝土养护产生的施工废水。生产废水主要污染物为SS、COD</w:t>
      </w:r>
      <w:r>
        <w:rPr>
          <w:sz w:val="24"/>
          <w:szCs w:val="24"/>
          <w:highlight w:val="none"/>
          <w:vertAlign w:val="subscript"/>
        </w:rPr>
        <w:t>Cr</w:t>
      </w:r>
      <w:r>
        <w:rPr>
          <w:sz w:val="24"/>
          <w:szCs w:val="24"/>
          <w:highlight w:val="none"/>
        </w:rPr>
        <w:t>和石油类</w:t>
      </w:r>
      <w:r>
        <w:rPr>
          <w:rFonts w:hint="eastAsia"/>
          <w:sz w:val="24"/>
          <w:szCs w:val="24"/>
          <w:highlight w:val="none"/>
        </w:rPr>
        <w:t>。</w:t>
      </w:r>
    </w:p>
    <w:p>
      <w:pPr>
        <w:pStyle w:val="3"/>
        <w:spacing w:before="48" w:after="48"/>
        <w:rPr>
          <w:highlight w:val="none"/>
        </w:rPr>
      </w:pPr>
      <w:r>
        <w:rPr>
          <w:rFonts w:hint="eastAsia"/>
          <w:highlight w:val="none"/>
        </w:rPr>
        <w:t>3.3.1.3噪声</w:t>
      </w:r>
    </w:p>
    <w:p>
      <w:pPr>
        <w:ind w:firstLine="480"/>
        <w:jc w:val="both"/>
        <w:rPr>
          <w:sz w:val="24"/>
          <w:szCs w:val="24"/>
          <w:highlight w:val="none"/>
        </w:rPr>
      </w:pPr>
      <w:r>
        <w:rPr>
          <w:sz w:val="24"/>
          <w:szCs w:val="24"/>
          <w:highlight w:val="none"/>
        </w:rPr>
        <w:t>施工期间噪声主要来自施工机械以及运输车辆产生的噪声</w:t>
      </w:r>
      <w:r>
        <w:rPr>
          <w:rFonts w:hint="eastAsia"/>
          <w:sz w:val="24"/>
          <w:szCs w:val="24"/>
          <w:highlight w:val="none"/>
        </w:rPr>
        <w:t>。</w:t>
      </w:r>
    </w:p>
    <w:p>
      <w:pPr>
        <w:pStyle w:val="3"/>
        <w:spacing w:before="48" w:after="48"/>
        <w:rPr>
          <w:highlight w:val="none"/>
        </w:rPr>
      </w:pPr>
      <w:r>
        <w:rPr>
          <w:rFonts w:hint="eastAsia"/>
          <w:highlight w:val="none"/>
        </w:rPr>
        <w:t>3.3.1.4固体废物</w:t>
      </w:r>
    </w:p>
    <w:p>
      <w:pPr>
        <w:ind w:firstLine="480"/>
        <w:jc w:val="both"/>
        <w:rPr>
          <w:sz w:val="24"/>
          <w:szCs w:val="24"/>
          <w:highlight w:val="none"/>
        </w:rPr>
      </w:pPr>
      <w:r>
        <w:rPr>
          <w:sz w:val="24"/>
          <w:szCs w:val="24"/>
          <w:highlight w:val="none"/>
        </w:rPr>
        <w:t>施工期的固体废物主要是建筑垃圾、废弃土石方。此外，施工人员在就餐过程中会产生少量垃圾</w:t>
      </w:r>
      <w:r>
        <w:rPr>
          <w:rFonts w:hint="eastAsia"/>
          <w:sz w:val="24"/>
          <w:szCs w:val="24"/>
          <w:highlight w:val="none"/>
        </w:rPr>
        <w:t>。</w:t>
      </w:r>
    </w:p>
    <w:p>
      <w:pPr>
        <w:pStyle w:val="6"/>
        <w:numPr>
          <w:ilvl w:val="2"/>
          <w:numId w:val="1"/>
        </w:numPr>
        <w:rPr>
          <w:szCs w:val="28"/>
          <w:highlight w:val="none"/>
        </w:rPr>
      </w:pPr>
      <w:r>
        <w:rPr>
          <w:szCs w:val="28"/>
          <w:highlight w:val="none"/>
        </w:rPr>
        <w:t>运营期污染影响因素分析</w:t>
      </w:r>
    </w:p>
    <w:p>
      <w:pPr>
        <w:pStyle w:val="3"/>
        <w:rPr>
          <w:rFonts w:eastAsiaTheme="minorEastAsia"/>
          <w:b/>
          <w:highlight w:val="none"/>
        </w:rPr>
      </w:pPr>
      <w:bookmarkStart w:id="199" w:name="_Hlk18932373"/>
      <w:bookmarkStart w:id="200" w:name="_Hlk18932144"/>
      <w:r>
        <w:rPr>
          <w:rFonts w:hint="eastAsia"/>
          <w:highlight w:val="none"/>
        </w:rPr>
        <w:t>3.3.2.1选矿工艺流程分析</w:t>
      </w:r>
      <w:bookmarkEnd w:id="197"/>
      <w:bookmarkEnd w:id="198"/>
    </w:p>
    <w:bookmarkEnd w:id="199"/>
    <w:p>
      <w:pPr>
        <w:ind w:firstLine="482"/>
        <w:jc w:val="both"/>
        <w:rPr>
          <w:sz w:val="24"/>
          <w:szCs w:val="24"/>
          <w:highlight w:val="none"/>
        </w:rPr>
      </w:pPr>
      <w:r>
        <w:rPr>
          <w:b/>
          <w:sz w:val="24"/>
          <w:szCs w:val="24"/>
          <w:highlight w:val="none"/>
        </w:rPr>
        <w:t>原料运输：</w:t>
      </w:r>
      <w:r>
        <w:rPr>
          <w:sz w:val="24"/>
          <w:szCs w:val="24"/>
          <w:highlight w:val="none"/>
        </w:rPr>
        <w:t>本项目原料主要由遵化市隆晟矿业有限公司提供，原料运输路线：邦宽线——S356省道——厂区外小路</w:t>
      </w:r>
      <w:r>
        <w:rPr>
          <w:rFonts w:hint="eastAsia"/>
          <w:sz w:val="24"/>
          <w:szCs w:val="24"/>
          <w:highlight w:val="none"/>
        </w:rPr>
        <w:t>300米</w:t>
      </w:r>
      <w:r>
        <w:rPr>
          <w:sz w:val="24"/>
          <w:szCs w:val="24"/>
          <w:highlight w:val="none"/>
        </w:rPr>
        <w:t>——本项目。原料运输过程沿线敏感点为S356省道沿线村镇。本项目生产的铁精粉在成品库装车后，铁精粉运离厂区后由厂区外小路</w:t>
      </w:r>
      <w:r>
        <w:rPr>
          <w:rFonts w:hint="eastAsia"/>
          <w:sz w:val="24"/>
          <w:szCs w:val="24"/>
          <w:highlight w:val="none"/>
        </w:rPr>
        <w:t>300米</w:t>
      </w:r>
      <w:r>
        <w:rPr>
          <w:sz w:val="24"/>
          <w:szCs w:val="24"/>
          <w:highlight w:val="none"/>
        </w:rPr>
        <w:t>转入北侧的S356省道，然后运至客户厂区，厂区外小路沿线无敏感点。</w:t>
      </w:r>
    </w:p>
    <w:p>
      <w:pPr>
        <w:ind w:firstLine="480"/>
        <w:jc w:val="both"/>
        <w:rPr>
          <w:sz w:val="24"/>
          <w:szCs w:val="24"/>
          <w:highlight w:val="none"/>
        </w:rPr>
      </w:pPr>
      <w:r>
        <w:rPr>
          <w:sz w:val="24"/>
          <w:szCs w:val="24"/>
          <w:highlight w:val="none"/>
        </w:rPr>
        <w:t>本项目</w:t>
      </w:r>
      <w:r>
        <w:rPr>
          <w:rFonts w:hint="eastAsia"/>
          <w:sz w:val="24"/>
          <w:szCs w:val="24"/>
          <w:highlight w:val="none"/>
        </w:rPr>
        <w:t>对现有破碎生产线进行完善更新，新增</w:t>
      </w:r>
      <w:r>
        <w:rPr>
          <w:sz w:val="24"/>
          <w:szCs w:val="24"/>
          <w:highlight w:val="none"/>
        </w:rPr>
        <w:t>2</w:t>
      </w:r>
      <w:r>
        <w:rPr>
          <w:rFonts w:hint="eastAsia"/>
          <w:sz w:val="24"/>
          <w:szCs w:val="24"/>
          <w:highlight w:val="none"/>
        </w:rPr>
        <w:t>条精选</w:t>
      </w:r>
      <w:r>
        <w:rPr>
          <w:sz w:val="24"/>
          <w:szCs w:val="24"/>
          <w:highlight w:val="none"/>
        </w:rPr>
        <w:t>生产线，工艺流程说明如下：</w:t>
      </w:r>
    </w:p>
    <w:p>
      <w:pPr>
        <w:widowControl/>
        <w:numPr>
          <w:ilvl w:val="0"/>
          <w:numId w:val="4"/>
        </w:numPr>
        <w:spacing w:line="460" w:lineRule="exact"/>
        <w:ind w:firstLine="480"/>
        <w:jc w:val="both"/>
        <w:textAlignment w:val="auto"/>
        <w:rPr>
          <w:sz w:val="24"/>
          <w:szCs w:val="24"/>
          <w:highlight w:val="none"/>
        </w:rPr>
      </w:pPr>
      <w:r>
        <w:rPr>
          <w:rFonts w:hint="eastAsia"/>
          <w:sz w:val="24"/>
          <w:szCs w:val="24"/>
          <w:highlight w:val="none"/>
        </w:rPr>
        <w:t>破碎粗选生产工艺流程（为保证工艺完整性，将破碎与现有粗选工艺结合叙述）</w:t>
      </w:r>
    </w:p>
    <w:p>
      <w:pPr>
        <w:widowControl/>
        <w:spacing w:line="460" w:lineRule="exact"/>
        <w:ind w:firstLine="240" w:firstLineChars="100"/>
        <w:jc w:val="both"/>
        <w:textAlignment w:val="auto"/>
        <w:rPr>
          <w:sz w:val="24"/>
          <w:szCs w:val="24"/>
          <w:highlight w:val="none"/>
        </w:rPr>
      </w:pPr>
      <w:r>
        <w:rPr>
          <w:sz w:val="24"/>
          <w:szCs w:val="24"/>
          <w:highlight w:val="none"/>
        </w:rPr>
        <w:t>（1）原料卸料：本项目原料铁矿石由汽车运输进厂，</w:t>
      </w:r>
      <w:r>
        <w:rPr>
          <w:rFonts w:hint="eastAsia"/>
          <w:sz w:val="24"/>
          <w:szCs w:val="24"/>
          <w:highlight w:val="none"/>
        </w:rPr>
        <w:t>直接进入破碎车间原料暂存区存储，</w:t>
      </w:r>
      <w:r>
        <w:rPr>
          <w:sz w:val="24"/>
          <w:szCs w:val="24"/>
          <w:highlight w:val="none"/>
        </w:rPr>
        <w:t>原料</w:t>
      </w:r>
      <w:r>
        <w:rPr>
          <w:rFonts w:hint="eastAsia"/>
          <w:sz w:val="24"/>
          <w:szCs w:val="24"/>
          <w:highlight w:val="none"/>
        </w:rPr>
        <w:t>不露天</w:t>
      </w:r>
      <w:r>
        <w:rPr>
          <w:sz w:val="24"/>
          <w:szCs w:val="24"/>
          <w:highlight w:val="none"/>
        </w:rPr>
        <w:t>堆存，</w:t>
      </w:r>
      <w:r>
        <w:rPr>
          <w:rFonts w:hint="eastAsia"/>
          <w:sz w:val="24"/>
          <w:szCs w:val="24"/>
          <w:highlight w:val="none"/>
        </w:rPr>
        <w:t>原料存储区及</w:t>
      </w:r>
      <w:r>
        <w:rPr>
          <w:sz w:val="24"/>
          <w:szCs w:val="24"/>
          <w:highlight w:val="none"/>
        </w:rPr>
        <w:t>受料仓设置喷淋抑尘装置，</w:t>
      </w:r>
      <w:r>
        <w:rPr>
          <w:rFonts w:hint="eastAsia"/>
          <w:sz w:val="24"/>
          <w:szCs w:val="24"/>
          <w:highlight w:val="none"/>
        </w:rPr>
        <w:t>可</w:t>
      </w:r>
      <w:r>
        <w:rPr>
          <w:sz w:val="24"/>
          <w:szCs w:val="24"/>
          <w:highlight w:val="none"/>
        </w:rPr>
        <w:t>有效防止卸料扬尘外溢。</w:t>
      </w:r>
    </w:p>
    <w:p>
      <w:pPr>
        <w:widowControl/>
        <w:spacing w:line="460" w:lineRule="exact"/>
        <w:ind w:firstLine="480"/>
        <w:jc w:val="both"/>
        <w:textAlignment w:val="auto"/>
        <w:rPr>
          <w:sz w:val="24"/>
          <w:szCs w:val="24"/>
          <w:highlight w:val="none"/>
        </w:rPr>
      </w:pPr>
      <w:r>
        <w:rPr>
          <w:rFonts w:hint="eastAsia"/>
          <w:sz w:val="24"/>
          <w:szCs w:val="24"/>
          <w:highlight w:val="none"/>
        </w:rPr>
        <w:t>原料运输车辆车斗采用苫布苫盖，苫布边缘至少要遮住槽帮上沿以下15cm，</w:t>
      </w:r>
      <w:r>
        <w:rPr>
          <w:rFonts w:hint="eastAsia"/>
          <w:sz w:val="24"/>
          <w:highlight w:val="none"/>
        </w:rPr>
        <w:t>原料运输采用国六标准或新能源运输工具。项目在原料库进口处设洗车平台，车辆在进出原料库进行车辆冲洗，降低车辆运输粉尘。原料卸料时采用原料区顶部设</w:t>
      </w:r>
      <w:r>
        <w:rPr>
          <w:rFonts w:hint="eastAsia"/>
          <w:sz w:val="24"/>
          <w:szCs w:val="24"/>
          <w:highlight w:val="none"/>
        </w:rPr>
        <w:t>置喷雾抑尘装置（电伴热）进行抑尘。</w:t>
      </w:r>
    </w:p>
    <w:p>
      <w:pPr>
        <w:widowControl/>
        <w:spacing w:line="460" w:lineRule="exact"/>
        <w:ind w:firstLine="480"/>
        <w:jc w:val="both"/>
        <w:textAlignment w:val="auto"/>
        <w:rPr>
          <w:sz w:val="24"/>
          <w:szCs w:val="24"/>
          <w:highlight w:val="none"/>
        </w:rPr>
      </w:pPr>
      <w:r>
        <w:rPr>
          <w:sz w:val="24"/>
          <w:szCs w:val="24"/>
          <w:highlight w:val="none"/>
        </w:rPr>
        <w:t>排污节点：原料卸车、转运、储存过程中产生的粉尘，运输车辆产生的噪声。</w:t>
      </w:r>
    </w:p>
    <w:p>
      <w:pPr>
        <w:widowControl/>
        <w:spacing w:line="460" w:lineRule="exact"/>
        <w:ind w:firstLine="480"/>
        <w:jc w:val="both"/>
        <w:textAlignment w:val="auto"/>
        <w:rPr>
          <w:sz w:val="24"/>
          <w:szCs w:val="24"/>
          <w:highlight w:val="none"/>
        </w:rPr>
      </w:pPr>
      <w:r>
        <w:rPr>
          <w:sz w:val="24"/>
          <w:szCs w:val="24"/>
          <w:highlight w:val="none"/>
        </w:rPr>
        <w:t>（2）破碎筛分：本项目</w:t>
      </w:r>
      <w:r>
        <w:rPr>
          <w:rFonts w:hint="eastAsia"/>
          <w:sz w:val="24"/>
          <w:szCs w:val="24"/>
          <w:highlight w:val="none"/>
        </w:rPr>
        <w:t>实施后</w:t>
      </w:r>
      <w:r>
        <w:rPr>
          <w:sz w:val="24"/>
          <w:szCs w:val="24"/>
          <w:highlight w:val="none"/>
        </w:rPr>
        <w:t>破碎生产线设</w:t>
      </w:r>
      <w:r>
        <w:rPr>
          <w:rFonts w:hint="eastAsia"/>
          <w:sz w:val="24"/>
          <w:szCs w:val="24"/>
          <w:highlight w:val="none"/>
        </w:rPr>
        <w:t>2</w:t>
      </w:r>
      <w:r>
        <w:rPr>
          <w:sz w:val="24"/>
          <w:szCs w:val="24"/>
          <w:highlight w:val="none"/>
        </w:rPr>
        <w:t>台颚破机、1台</w:t>
      </w:r>
      <w:r>
        <w:rPr>
          <w:rFonts w:hint="eastAsia"/>
          <w:sz w:val="24"/>
          <w:szCs w:val="24"/>
          <w:highlight w:val="none"/>
        </w:rPr>
        <w:t>锤破</w:t>
      </w:r>
      <w:r>
        <w:rPr>
          <w:sz w:val="24"/>
          <w:szCs w:val="24"/>
          <w:highlight w:val="none"/>
        </w:rPr>
        <w:t>和</w:t>
      </w:r>
      <w:r>
        <w:rPr>
          <w:rFonts w:hint="eastAsia"/>
          <w:sz w:val="24"/>
          <w:szCs w:val="24"/>
          <w:highlight w:val="none"/>
        </w:rPr>
        <w:t>2</w:t>
      </w:r>
      <w:r>
        <w:rPr>
          <w:sz w:val="24"/>
          <w:szCs w:val="24"/>
          <w:highlight w:val="none"/>
        </w:rPr>
        <w:t>台振动筛。</w:t>
      </w:r>
    </w:p>
    <w:p>
      <w:pPr>
        <w:widowControl/>
        <w:spacing w:line="460" w:lineRule="exact"/>
        <w:ind w:firstLine="480"/>
        <w:jc w:val="both"/>
        <w:textAlignment w:val="auto"/>
        <w:rPr>
          <w:sz w:val="24"/>
          <w:szCs w:val="24"/>
          <w:highlight w:val="none"/>
        </w:rPr>
      </w:pPr>
      <w:r>
        <w:rPr>
          <w:rFonts w:hint="eastAsia" w:ascii="宋体" w:hAnsi="宋体" w:cs="宋体"/>
          <w:sz w:val="24"/>
          <w:szCs w:val="24"/>
          <w:highlight w:val="none"/>
        </w:rPr>
        <w:t>①</w:t>
      </w:r>
      <w:r>
        <w:rPr>
          <w:rFonts w:hint="eastAsia"/>
          <w:sz w:val="24"/>
          <w:szCs w:val="24"/>
          <w:highlight w:val="none"/>
        </w:rPr>
        <w:t>加料：原料库内的铁矿石由工人用铲车将铁矿石送进鄂破受料仓，落入颚式破碎机内。</w:t>
      </w:r>
    </w:p>
    <w:p>
      <w:pPr>
        <w:widowControl/>
        <w:spacing w:line="460" w:lineRule="exact"/>
        <w:ind w:firstLine="480"/>
        <w:jc w:val="both"/>
        <w:textAlignment w:val="auto"/>
        <w:rPr>
          <w:sz w:val="24"/>
          <w:szCs w:val="24"/>
          <w:highlight w:val="none"/>
        </w:rPr>
      </w:pPr>
      <w:r>
        <w:rPr>
          <w:sz w:val="24"/>
          <w:szCs w:val="24"/>
          <w:highlight w:val="none"/>
        </w:rPr>
        <w:t>排污节点：铲车运输过程、给料机产生的噪声</w:t>
      </w:r>
      <w:r>
        <w:rPr>
          <w:rFonts w:hint="eastAsia"/>
          <w:sz w:val="24"/>
          <w:szCs w:val="24"/>
          <w:highlight w:val="none"/>
        </w:rPr>
        <w:t>，运输及落料过程产生的粉尘。</w:t>
      </w:r>
    </w:p>
    <w:p>
      <w:pPr>
        <w:widowControl/>
        <w:spacing w:line="460" w:lineRule="exact"/>
        <w:ind w:firstLine="480"/>
        <w:jc w:val="both"/>
        <w:textAlignment w:val="auto"/>
        <w:rPr>
          <w:sz w:val="24"/>
          <w:szCs w:val="24"/>
          <w:highlight w:val="none"/>
        </w:rPr>
      </w:pPr>
      <w:r>
        <w:rPr>
          <w:rFonts w:hint="eastAsia" w:ascii="宋体" w:hAnsi="宋体" w:cs="宋体"/>
          <w:sz w:val="24"/>
          <w:szCs w:val="24"/>
          <w:highlight w:val="none"/>
        </w:rPr>
        <w:t>②</w:t>
      </w:r>
      <w:r>
        <w:rPr>
          <w:sz w:val="24"/>
          <w:szCs w:val="24"/>
          <w:highlight w:val="none"/>
        </w:rPr>
        <w:t>颚破</w:t>
      </w:r>
      <w:r>
        <w:rPr>
          <w:rFonts w:hint="eastAsia"/>
          <w:sz w:val="24"/>
          <w:szCs w:val="24"/>
          <w:highlight w:val="none"/>
        </w:rPr>
        <w:t>、干选</w:t>
      </w:r>
      <w:r>
        <w:rPr>
          <w:sz w:val="24"/>
          <w:szCs w:val="24"/>
          <w:highlight w:val="none"/>
        </w:rPr>
        <w:t>：铁矿石首先进入颚式破碎机进行破碎，被破碎成直径</w:t>
      </w:r>
      <w:r>
        <w:rPr>
          <w:rFonts w:hint="eastAsia"/>
          <w:sz w:val="24"/>
          <w:szCs w:val="24"/>
          <w:highlight w:val="none"/>
        </w:rPr>
        <w:t>5</w:t>
      </w:r>
      <w:r>
        <w:rPr>
          <w:sz w:val="24"/>
          <w:szCs w:val="24"/>
          <w:highlight w:val="none"/>
        </w:rPr>
        <w:t>cm以下的碎石块，破碎机出口与皮带传送机相接，皮带传送机</w:t>
      </w:r>
      <w:r>
        <w:rPr>
          <w:rFonts w:hint="eastAsia"/>
          <w:sz w:val="24"/>
          <w:szCs w:val="24"/>
          <w:highlight w:val="none"/>
        </w:rPr>
        <w:t>末端设有磁滑轮，分选出废石和矿石，矿石</w:t>
      </w:r>
      <w:r>
        <w:rPr>
          <w:sz w:val="24"/>
          <w:szCs w:val="24"/>
          <w:highlight w:val="none"/>
        </w:rPr>
        <w:t>输送至2</w:t>
      </w:r>
      <w:r>
        <w:rPr>
          <w:rFonts w:hint="eastAsia"/>
          <w:sz w:val="24"/>
          <w:szCs w:val="24"/>
          <w:highlight w:val="none"/>
        </w:rPr>
        <w:t>0</w:t>
      </w:r>
      <w:r>
        <w:rPr>
          <w:sz w:val="24"/>
          <w:szCs w:val="24"/>
          <w:highlight w:val="none"/>
        </w:rPr>
        <w:t>00mm×</w:t>
      </w:r>
      <w:r>
        <w:rPr>
          <w:rFonts w:hint="eastAsia"/>
          <w:sz w:val="24"/>
          <w:szCs w:val="24"/>
          <w:highlight w:val="none"/>
        </w:rPr>
        <w:t>6</w:t>
      </w:r>
      <w:r>
        <w:rPr>
          <w:sz w:val="24"/>
          <w:szCs w:val="24"/>
          <w:highlight w:val="none"/>
        </w:rPr>
        <w:t>000mm</w:t>
      </w:r>
      <w:r>
        <w:rPr>
          <w:rFonts w:hint="eastAsia"/>
          <w:sz w:val="24"/>
          <w:szCs w:val="24"/>
          <w:highlight w:val="none"/>
        </w:rPr>
        <w:t>振动筛进行筛分，废石输送至</w:t>
      </w:r>
      <w:r>
        <w:rPr>
          <w:sz w:val="24"/>
          <w:szCs w:val="24"/>
          <w:highlight w:val="none"/>
        </w:rPr>
        <w:t>2</w:t>
      </w:r>
      <w:r>
        <w:rPr>
          <w:rFonts w:hint="eastAsia"/>
          <w:sz w:val="24"/>
          <w:szCs w:val="24"/>
          <w:highlight w:val="none"/>
        </w:rPr>
        <w:t>4</w:t>
      </w:r>
      <w:r>
        <w:rPr>
          <w:sz w:val="24"/>
          <w:szCs w:val="24"/>
          <w:highlight w:val="none"/>
        </w:rPr>
        <w:t>00mm×</w:t>
      </w:r>
      <w:r>
        <w:rPr>
          <w:rFonts w:hint="eastAsia"/>
          <w:sz w:val="24"/>
          <w:szCs w:val="24"/>
          <w:highlight w:val="none"/>
        </w:rPr>
        <w:t>7</w:t>
      </w:r>
      <w:r>
        <w:rPr>
          <w:sz w:val="24"/>
          <w:szCs w:val="24"/>
          <w:highlight w:val="none"/>
        </w:rPr>
        <w:t>000mm</w:t>
      </w:r>
      <w:r>
        <w:rPr>
          <w:rFonts w:hint="eastAsia"/>
          <w:sz w:val="24"/>
          <w:szCs w:val="24"/>
          <w:highlight w:val="none"/>
        </w:rPr>
        <w:t>振动筛进行筛分。</w:t>
      </w:r>
    </w:p>
    <w:p>
      <w:pPr>
        <w:widowControl/>
        <w:spacing w:line="460" w:lineRule="exact"/>
        <w:ind w:firstLine="480"/>
        <w:jc w:val="both"/>
        <w:textAlignment w:val="auto"/>
        <w:rPr>
          <w:sz w:val="24"/>
          <w:szCs w:val="24"/>
          <w:highlight w:val="none"/>
        </w:rPr>
      </w:pPr>
      <w:r>
        <w:rPr>
          <w:sz w:val="24"/>
          <w:szCs w:val="24"/>
          <w:highlight w:val="none"/>
        </w:rPr>
        <w:t>排污节点：</w:t>
      </w:r>
      <w:r>
        <w:rPr>
          <w:rFonts w:hint="eastAsia"/>
          <w:sz w:val="24"/>
          <w:szCs w:val="24"/>
          <w:highlight w:val="none"/>
        </w:rPr>
        <w:t>颚</w:t>
      </w:r>
      <w:r>
        <w:rPr>
          <w:sz w:val="24"/>
          <w:szCs w:val="24"/>
          <w:highlight w:val="none"/>
        </w:rPr>
        <w:t>破</w:t>
      </w:r>
      <w:r>
        <w:rPr>
          <w:rFonts w:hint="eastAsia"/>
          <w:sz w:val="24"/>
          <w:szCs w:val="24"/>
          <w:highlight w:val="none"/>
        </w:rPr>
        <w:t>、干选</w:t>
      </w:r>
      <w:r>
        <w:rPr>
          <w:sz w:val="24"/>
          <w:szCs w:val="24"/>
          <w:highlight w:val="none"/>
        </w:rPr>
        <w:t>过程产生的粉尘、噪声以及除尘器收集的除尘灰。</w:t>
      </w:r>
    </w:p>
    <w:p>
      <w:pPr>
        <w:widowControl/>
        <w:spacing w:line="460" w:lineRule="exact"/>
        <w:ind w:firstLine="480"/>
        <w:jc w:val="both"/>
        <w:textAlignment w:val="auto"/>
        <w:rPr>
          <w:sz w:val="24"/>
          <w:szCs w:val="24"/>
          <w:highlight w:val="none"/>
        </w:rPr>
      </w:pPr>
      <w:r>
        <w:rPr>
          <w:rFonts w:hint="eastAsia" w:ascii="宋体" w:hAnsi="宋体" w:cs="宋体"/>
          <w:sz w:val="24"/>
          <w:szCs w:val="24"/>
          <w:highlight w:val="none"/>
        </w:rPr>
        <w:t>③矿石</w:t>
      </w:r>
      <w:r>
        <w:rPr>
          <w:sz w:val="24"/>
          <w:szCs w:val="24"/>
          <w:highlight w:val="none"/>
        </w:rPr>
        <w:t>筛分</w:t>
      </w:r>
      <w:r>
        <w:rPr>
          <w:rFonts w:hint="eastAsia"/>
          <w:sz w:val="24"/>
          <w:szCs w:val="24"/>
          <w:highlight w:val="none"/>
        </w:rPr>
        <w:t>、细破</w:t>
      </w:r>
      <w:r>
        <w:rPr>
          <w:sz w:val="24"/>
          <w:szCs w:val="24"/>
          <w:highlight w:val="none"/>
        </w:rPr>
        <w:t>：</w:t>
      </w:r>
      <w:r>
        <w:rPr>
          <w:rFonts w:hint="eastAsia"/>
          <w:sz w:val="24"/>
          <w:szCs w:val="24"/>
          <w:highlight w:val="none"/>
        </w:rPr>
        <w:t>干选出</w:t>
      </w:r>
      <w:r>
        <w:rPr>
          <w:sz w:val="24"/>
          <w:szCs w:val="24"/>
          <w:highlight w:val="none"/>
        </w:rPr>
        <w:t>的矿石由皮带送入2</w:t>
      </w:r>
      <w:r>
        <w:rPr>
          <w:rFonts w:hint="eastAsia"/>
          <w:sz w:val="24"/>
          <w:szCs w:val="24"/>
          <w:highlight w:val="none"/>
        </w:rPr>
        <w:t>0</w:t>
      </w:r>
      <w:r>
        <w:rPr>
          <w:sz w:val="24"/>
          <w:szCs w:val="24"/>
          <w:highlight w:val="none"/>
        </w:rPr>
        <w:t>00mm×</w:t>
      </w:r>
      <w:r>
        <w:rPr>
          <w:rFonts w:hint="eastAsia"/>
          <w:sz w:val="24"/>
          <w:szCs w:val="24"/>
          <w:highlight w:val="none"/>
        </w:rPr>
        <w:t>6</w:t>
      </w:r>
      <w:r>
        <w:rPr>
          <w:sz w:val="24"/>
          <w:szCs w:val="24"/>
          <w:highlight w:val="none"/>
        </w:rPr>
        <w:t>000mm</w:t>
      </w:r>
      <w:r>
        <w:rPr>
          <w:rFonts w:hint="eastAsia"/>
          <w:sz w:val="24"/>
          <w:szCs w:val="24"/>
          <w:highlight w:val="none"/>
        </w:rPr>
        <w:t>振动筛进行筛分，筛上物料</w:t>
      </w:r>
      <w:r>
        <w:rPr>
          <w:sz w:val="24"/>
          <w:szCs w:val="24"/>
          <w:highlight w:val="none"/>
        </w:rPr>
        <w:t>（</w:t>
      </w:r>
      <w:r>
        <w:rPr>
          <w:rFonts w:hint="eastAsia"/>
          <w:sz w:val="24"/>
          <w:szCs w:val="24"/>
          <w:highlight w:val="none"/>
        </w:rPr>
        <w:t>粒径</w:t>
      </w:r>
      <w:r>
        <w:rPr>
          <w:sz w:val="24"/>
          <w:szCs w:val="24"/>
          <w:highlight w:val="none"/>
        </w:rPr>
        <w:t>&gt;</w:t>
      </w:r>
      <w:r>
        <w:rPr>
          <w:rFonts w:hint="eastAsia"/>
          <w:sz w:val="24"/>
          <w:szCs w:val="24"/>
          <w:highlight w:val="none"/>
        </w:rPr>
        <w:t>2</w:t>
      </w:r>
      <w:r>
        <w:rPr>
          <w:sz w:val="24"/>
          <w:szCs w:val="24"/>
          <w:highlight w:val="none"/>
        </w:rPr>
        <w:t>cm）</w:t>
      </w:r>
      <w:r>
        <w:rPr>
          <w:rFonts w:hint="eastAsia"/>
          <w:sz w:val="24"/>
          <w:szCs w:val="24"/>
          <w:highlight w:val="none"/>
        </w:rPr>
        <w:t>经皮带转运至锤式破碎机进一步破碎，破碎后直接落入鄂破与振动筛之间的皮带上，返回振动筛进行筛分，筛下物料</w:t>
      </w:r>
      <w:r>
        <w:rPr>
          <w:sz w:val="24"/>
          <w:szCs w:val="24"/>
          <w:highlight w:val="none"/>
        </w:rPr>
        <w:t>（</w:t>
      </w:r>
      <w:r>
        <w:rPr>
          <w:rFonts w:hint="eastAsia"/>
          <w:sz w:val="24"/>
          <w:szCs w:val="24"/>
          <w:highlight w:val="none"/>
        </w:rPr>
        <w:t>粒径</w:t>
      </w:r>
      <w:r>
        <w:rPr>
          <w:sz w:val="24"/>
          <w:szCs w:val="24"/>
          <w:highlight w:val="none"/>
        </w:rPr>
        <w:t>≤</w:t>
      </w:r>
      <w:r>
        <w:rPr>
          <w:rFonts w:hint="eastAsia"/>
          <w:sz w:val="24"/>
          <w:szCs w:val="24"/>
          <w:highlight w:val="none"/>
        </w:rPr>
        <w:t>2</w:t>
      </w:r>
      <w:r>
        <w:rPr>
          <w:sz w:val="24"/>
          <w:szCs w:val="24"/>
          <w:highlight w:val="none"/>
        </w:rPr>
        <w:t>cm）</w:t>
      </w:r>
      <w:r>
        <w:rPr>
          <w:rFonts w:hint="eastAsia"/>
          <w:sz w:val="24"/>
          <w:szCs w:val="24"/>
          <w:highlight w:val="none"/>
        </w:rPr>
        <w:t>进入中转料仓准备进入球磨工序。</w:t>
      </w:r>
    </w:p>
    <w:p>
      <w:pPr>
        <w:widowControl/>
        <w:spacing w:line="460" w:lineRule="exact"/>
        <w:ind w:firstLine="480"/>
        <w:jc w:val="both"/>
        <w:textAlignment w:val="auto"/>
        <w:rPr>
          <w:sz w:val="24"/>
          <w:szCs w:val="24"/>
          <w:highlight w:val="none"/>
        </w:rPr>
      </w:pPr>
      <w:r>
        <w:rPr>
          <w:sz w:val="24"/>
          <w:szCs w:val="24"/>
          <w:highlight w:val="none"/>
        </w:rPr>
        <w:t>排污节点：</w:t>
      </w:r>
      <w:r>
        <w:rPr>
          <w:rFonts w:hint="eastAsia"/>
          <w:sz w:val="24"/>
          <w:szCs w:val="24"/>
          <w:highlight w:val="none"/>
        </w:rPr>
        <w:t>锤破过程产生的粉尘、噪声；</w:t>
      </w:r>
      <w:r>
        <w:rPr>
          <w:sz w:val="24"/>
          <w:szCs w:val="24"/>
          <w:highlight w:val="none"/>
        </w:rPr>
        <w:t>筛分过程产生的粉尘、噪声</w:t>
      </w:r>
      <w:r>
        <w:rPr>
          <w:rFonts w:hint="eastAsia"/>
          <w:sz w:val="24"/>
          <w:szCs w:val="24"/>
          <w:highlight w:val="none"/>
        </w:rPr>
        <w:t>；</w:t>
      </w:r>
      <w:r>
        <w:rPr>
          <w:sz w:val="24"/>
          <w:szCs w:val="24"/>
          <w:highlight w:val="none"/>
        </w:rPr>
        <w:t>除尘器收集的除尘灰</w:t>
      </w:r>
      <w:r>
        <w:rPr>
          <w:rFonts w:hint="eastAsia"/>
          <w:sz w:val="24"/>
          <w:szCs w:val="24"/>
          <w:highlight w:val="none"/>
        </w:rPr>
        <w:t>。</w:t>
      </w:r>
    </w:p>
    <w:p>
      <w:pPr>
        <w:widowControl/>
        <w:spacing w:line="460" w:lineRule="exact"/>
        <w:ind w:firstLine="480"/>
        <w:jc w:val="both"/>
        <w:textAlignment w:val="auto"/>
        <w:rPr>
          <w:sz w:val="24"/>
          <w:szCs w:val="24"/>
          <w:highlight w:val="none"/>
        </w:rPr>
      </w:pPr>
      <w:r>
        <w:rPr>
          <w:rFonts w:hint="eastAsia"/>
          <w:sz w:val="24"/>
          <w:szCs w:val="24"/>
          <w:highlight w:val="none"/>
        </w:rPr>
        <w:t>④废石筛分、细破：干选出的废石由皮带送入2400mm×7000mm振动筛进行筛分，筛上物料（粒径&gt;3cm）经皮带转运至300mm*1500mm颚式破碎机进一步破碎，破碎后直接落入鄂破与振动筛之间的皮带上，返回振动筛进行筛分，筛下物料暂存于砂石料存储区。</w:t>
      </w:r>
    </w:p>
    <w:p>
      <w:pPr>
        <w:widowControl/>
        <w:spacing w:line="460" w:lineRule="exact"/>
        <w:ind w:firstLine="480"/>
        <w:jc w:val="both"/>
        <w:textAlignment w:val="auto"/>
        <w:rPr>
          <w:sz w:val="24"/>
          <w:szCs w:val="24"/>
          <w:highlight w:val="none"/>
        </w:rPr>
      </w:pPr>
      <w:r>
        <w:rPr>
          <w:rFonts w:hint="eastAsia"/>
          <w:sz w:val="24"/>
          <w:szCs w:val="24"/>
          <w:highlight w:val="none"/>
        </w:rPr>
        <w:t>排污节点：鄂破过程产生的粉尘、噪声；筛分过程产生的粉尘、噪声；除尘器收集的除尘灰。</w:t>
      </w:r>
    </w:p>
    <w:p>
      <w:pPr>
        <w:widowControl/>
        <w:spacing w:line="460" w:lineRule="exact"/>
        <w:ind w:firstLine="480"/>
        <w:jc w:val="both"/>
        <w:textAlignment w:val="auto"/>
        <w:rPr>
          <w:sz w:val="24"/>
          <w:szCs w:val="24"/>
          <w:highlight w:val="none"/>
        </w:rPr>
      </w:pPr>
      <w:r>
        <w:rPr>
          <w:sz w:val="24"/>
          <w:szCs w:val="24"/>
          <w:highlight w:val="none"/>
        </w:rPr>
        <w:t>（2）球磨：</w:t>
      </w:r>
      <w:r>
        <w:rPr>
          <w:rFonts w:hint="eastAsia"/>
          <w:sz w:val="24"/>
          <w:szCs w:val="24"/>
          <w:highlight w:val="none"/>
        </w:rPr>
        <w:t>破碎车间</w:t>
      </w:r>
      <w:r>
        <w:rPr>
          <w:sz w:val="24"/>
          <w:szCs w:val="24"/>
          <w:highlight w:val="none"/>
        </w:rPr>
        <w:t>经破碎筛分后的矿石经</w:t>
      </w:r>
      <w:r>
        <w:rPr>
          <w:rFonts w:hint="eastAsia"/>
          <w:sz w:val="24"/>
          <w:szCs w:val="24"/>
          <w:highlight w:val="none"/>
        </w:rPr>
        <w:t>中转</w:t>
      </w:r>
      <w:r>
        <w:rPr>
          <w:sz w:val="24"/>
          <w:szCs w:val="24"/>
          <w:highlight w:val="none"/>
        </w:rPr>
        <w:t>仓由皮带给入球磨机</w:t>
      </w:r>
      <w:r>
        <w:rPr>
          <w:rFonts w:hint="eastAsia"/>
          <w:sz w:val="24"/>
          <w:szCs w:val="24"/>
          <w:highlight w:val="none"/>
        </w:rPr>
        <w:t>。</w:t>
      </w:r>
      <w:r>
        <w:rPr>
          <w:sz w:val="24"/>
          <w:szCs w:val="24"/>
          <w:highlight w:val="none"/>
        </w:rPr>
        <w:t>入料同时加水和钢球，经球磨机进行湿式球磨。球磨后的粉矿浆由矿浆泵输送至一段磁选。</w:t>
      </w:r>
    </w:p>
    <w:p>
      <w:pPr>
        <w:widowControl/>
        <w:spacing w:line="460" w:lineRule="exact"/>
        <w:ind w:firstLine="480"/>
        <w:jc w:val="both"/>
        <w:textAlignment w:val="auto"/>
        <w:rPr>
          <w:sz w:val="24"/>
          <w:szCs w:val="24"/>
          <w:highlight w:val="none"/>
        </w:rPr>
      </w:pPr>
      <w:r>
        <w:rPr>
          <w:sz w:val="24"/>
          <w:szCs w:val="24"/>
          <w:highlight w:val="none"/>
        </w:rPr>
        <w:t>排污节点：球磨机噪声、废钢球。</w:t>
      </w:r>
    </w:p>
    <w:p>
      <w:pPr>
        <w:widowControl/>
        <w:spacing w:line="460" w:lineRule="exact"/>
        <w:ind w:firstLine="480"/>
        <w:jc w:val="both"/>
        <w:textAlignment w:val="auto"/>
        <w:rPr>
          <w:sz w:val="24"/>
          <w:szCs w:val="24"/>
          <w:highlight w:val="none"/>
        </w:rPr>
      </w:pPr>
      <w:r>
        <w:rPr>
          <w:sz w:val="24"/>
          <w:szCs w:val="24"/>
          <w:highlight w:val="none"/>
        </w:rPr>
        <w:t>（3）磁选：经过球磨的粉矿浆进入磁选机磁选，该工序磁选机串联式组合，共四段磁选。粉矿浆首先进入一段湿式磁选，一段磁选的精矿由渣浆泵泵入高频振动筛，筛上物重新返回球磨机球磨，筛下再经二、三段磁选，</w:t>
      </w:r>
      <w:r>
        <w:rPr>
          <w:rFonts w:hint="eastAsia"/>
          <w:sz w:val="24"/>
          <w:szCs w:val="24"/>
          <w:highlight w:val="none"/>
        </w:rPr>
        <w:t>三</w:t>
      </w:r>
      <w:r>
        <w:rPr>
          <w:sz w:val="24"/>
          <w:szCs w:val="24"/>
          <w:highlight w:val="none"/>
        </w:rPr>
        <w:t>段磁选产生的精矿进入过滤机脱水，得到铁精粉，铁精粉经皮带输送至精粉库，在精粉库内暂存。过滤机脱出的尾矿浆通过渣浆泵输送到</w:t>
      </w:r>
      <w:r>
        <w:rPr>
          <w:rFonts w:hint="eastAsia"/>
          <w:sz w:val="24"/>
          <w:szCs w:val="24"/>
          <w:highlight w:val="none"/>
        </w:rPr>
        <w:t>球磨机</w:t>
      </w:r>
      <w:r>
        <w:rPr>
          <w:sz w:val="24"/>
          <w:szCs w:val="24"/>
          <w:highlight w:val="none"/>
        </w:rPr>
        <w:t>。</w:t>
      </w:r>
    </w:p>
    <w:p>
      <w:pPr>
        <w:widowControl/>
        <w:spacing w:line="460" w:lineRule="exact"/>
        <w:ind w:firstLine="480"/>
        <w:jc w:val="both"/>
        <w:textAlignment w:val="auto"/>
        <w:rPr>
          <w:sz w:val="24"/>
          <w:szCs w:val="24"/>
          <w:highlight w:val="none"/>
        </w:rPr>
      </w:pPr>
      <w:r>
        <w:rPr>
          <w:sz w:val="24"/>
          <w:szCs w:val="24"/>
          <w:highlight w:val="none"/>
        </w:rPr>
        <w:t>排污节点：磁选过程产生尾矿浆和设备运行噪声。</w:t>
      </w:r>
    </w:p>
    <w:p>
      <w:pPr>
        <w:widowControl/>
        <w:spacing w:line="460" w:lineRule="exact"/>
        <w:ind w:firstLine="480"/>
        <w:jc w:val="both"/>
        <w:textAlignment w:val="auto"/>
        <w:rPr>
          <w:sz w:val="24"/>
          <w:szCs w:val="24"/>
          <w:highlight w:val="none"/>
        </w:rPr>
      </w:pPr>
      <w:r>
        <w:rPr>
          <w:sz w:val="24"/>
          <w:szCs w:val="24"/>
          <w:highlight w:val="none"/>
        </w:rPr>
        <w:t>（4）磁选尾矿脱水</w:t>
      </w:r>
    </w:p>
    <w:p>
      <w:pPr>
        <w:widowControl/>
        <w:spacing w:line="460" w:lineRule="exact"/>
        <w:ind w:firstLine="480"/>
        <w:jc w:val="both"/>
        <w:textAlignment w:val="auto"/>
        <w:rPr>
          <w:sz w:val="24"/>
          <w:szCs w:val="24"/>
          <w:highlight w:val="none"/>
        </w:rPr>
      </w:pPr>
      <w:r>
        <w:rPr>
          <w:rFonts w:hint="eastAsia"/>
          <w:sz w:val="24"/>
          <w:szCs w:val="24"/>
          <w:highlight w:val="none"/>
        </w:rPr>
        <w:t>各磁选环节产生的尾矿浆由渣浆泵输送到沉淀罐进行初步沉淀分离，粗尾矿砂沉淀至罐底，顶部溢流尾矿浆进入浓密池进行沉淀。</w:t>
      </w:r>
    </w:p>
    <w:p>
      <w:pPr>
        <w:widowControl/>
        <w:spacing w:line="460" w:lineRule="exact"/>
        <w:ind w:firstLine="480"/>
        <w:jc w:val="both"/>
        <w:textAlignment w:val="auto"/>
        <w:rPr>
          <w:sz w:val="24"/>
          <w:highlight w:val="none"/>
        </w:rPr>
      </w:pPr>
      <w:r>
        <w:rPr>
          <w:rFonts w:hint="eastAsia"/>
          <w:sz w:val="24"/>
          <w:szCs w:val="24"/>
          <w:highlight w:val="none"/>
        </w:rPr>
        <w:t>沉淀罐底的粗尾矿砂再经脱水筛分离。筛上粗颗粒外售附近建材企业综合利用；滤液进入浓密池进行沉淀处理。浓密池中上清液自流至清水池回用于生产，沉淀在浓密池底的细尾矿砂经压滤机压滤脱水处理，形成的</w:t>
      </w:r>
      <w:bookmarkStart w:id="201" w:name="_Hlk4967768"/>
      <w:r>
        <w:rPr>
          <w:rFonts w:hint="eastAsia"/>
          <w:sz w:val="24"/>
          <w:szCs w:val="24"/>
          <w:highlight w:val="none"/>
        </w:rPr>
        <w:t>泥饼</w:t>
      </w:r>
      <w:bookmarkEnd w:id="201"/>
      <w:r>
        <w:rPr>
          <w:rFonts w:hint="eastAsia"/>
          <w:sz w:val="24"/>
          <w:szCs w:val="24"/>
          <w:highlight w:val="none"/>
        </w:rPr>
        <w:t>作为建筑材料外售，压滤机出水进入清水池回用于生产，</w:t>
      </w:r>
      <w:r>
        <w:rPr>
          <w:rFonts w:hint="eastAsia"/>
          <w:sz w:val="24"/>
          <w:highlight w:val="none"/>
        </w:rPr>
        <w:t>厂区现有干排系统处理能力能够满足厂区生产废水处理需求。</w:t>
      </w:r>
    </w:p>
    <w:bookmarkEnd w:id="200"/>
    <w:p>
      <w:pPr>
        <w:widowControl/>
        <w:spacing w:line="460" w:lineRule="exact"/>
        <w:ind w:firstLine="480"/>
        <w:jc w:val="both"/>
        <w:textAlignment w:val="auto"/>
        <w:rPr>
          <w:sz w:val="24"/>
          <w:szCs w:val="24"/>
          <w:highlight w:val="none"/>
        </w:rPr>
      </w:pPr>
      <w:r>
        <w:rPr>
          <w:rFonts w:hint="eastAsia"/>
          <w:sz w:val="24"/>
          <w:szCs w:val="24"/>
          <w:highlight w:val="none"/>
        </w:rPr>
        <w:t>破碎粗选生产工艺流程及产排污环节见图3.2-1。</w:t>
      </w:r>
    </w:p>
    <w:p>
      <w:pPr>
        <w:pStyle w:val="55"/>
        <w:ind w:left="560" w:firstLine="480"/>
        <w:rPr>
          <w:sz w:val="24"/>
          <w:highlight w:val="none"/>
        </w:rPr>
      </w:pPr>
      <w:r>
        <w:rPr>
          <w:sz w:val="24"/>
          <w:highlight w:val="none"/>
        </w:rPr>
        <mc:AlternateContent>
          <mc:Choice Requires="wps">
            <w:drawing>
              <wp:anchor distT="0" distB="0" distL="114300" distR="114300" simplePos="0" relativeHeight="251676672" behindDoc="0" locked="0" layoutInCell="1" allowOverlap="1">
                <wp:simplePos x="0" y="0"/>
                <wp:positionH relativeFrom="column">
                  <wp:posOffset>2266315</wp:posOffset>
                </wp:positionH>
                <wp:positionV relativeFrom="paragraph">
                  <wp:posOffset>154305</wp:posOffset>
                </wp:positionV>
                <wp:extent cx="6350" cy="209550"/>
                <wp:effectExtent l="35560" t="0" r="34290" b="0"/>
                <wp:wrapNone/>
                <wp:docPr id="15" name="直接箭头连接符 15"/>
                <wp:cNvGraphicFramePr/>
                <a:graphic xmlns:a="http://schemas.openxmlformats.org/drawingml/2006/main">
                  <a:graphicData uri="http://schemas.microsoft.com/office/word/2010/wordprocessingShape">
                    <wps:wsp>
                      <wps:cNvCnPr/>
                      <wps:spPr>
                        <a:xfrm flipH="1">
                          <a:off x="3398520" y="1017905"/>
                          <a:ext cx="635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8.45pt;margin-top:12.15pt;height:16.5pt;width:0.5pt;z-index:251676672;mso-width-relative:page;mso-height-relative:page;" filled="f" stroked="t" coordsize="21600,21600" o:gfxdata="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kws/LZAAAACQEAAA8AAAAAAAAA&#10;AQAgAAAAIgAAAGRycy9kb3ducmV2LnhtbFBLAQIUABQAAAAIAIdO4kD0BAs/EAIAAOQDAAAOAAAA&#10;AAAAAAEAIAAAACgBAABkcnMvZTJvRG9jLnhtbFBLBQYAAAAABgAGAFkBAACqBQ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673600" behindDoc="0" locked="0" layoutInCell="1" allowOverlap="1">
                <wp:simplePos x="0" y="0"/>
                <wp:positionH relativeFrom="column">
                  <wp:posOffset>2057400</wp:posOffset>
                </wp:positionH>
                <wp:positionV relativeFrom="paragraph">
                  <wp:posOffset>22225</wp:posOffset>
                </wp:positionV>
                <wp:extent cx="478790" cy="147955"/>
                <wp:effectExtent l="0" t="0" r="16510" b="4445"/>
                <wp:wrapNone/>
                <wp:docPr id="2" name="文本框 2"/>
                <wp:cNvGraphicFramePr/>
                <a:graphic xmlns:a="http://schemas.openxmlformats.org/drawingml/2006/main">
                  <a:graphicData uri="http://schemas.microsoft.com/office/word/2010/wordprocessingShape">
                    <wps:wsp>
                      <wps:cNvSpPr txBox="1"/>
                      <wps:spPr>
                        <a:xfrm>
                          <a:off x="0" y="0"/>
                          <a:ext cx="4787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矿石入库</w:t>
                            </w:r>
                          </w:p>
                        </w:txbxContent>
                      </wps:txbx>
                      <wps:bodyPr lIns="0" tIns="0" rIns="0" bIns="0" upright="1"/>
                    </wps:wsp>
                  </a:graphicData>
                </a:graphic>
              </wp:anchor>
            </w:drawing>
          </mc:Choice>
          <mc:Fallback>
            <w:pict>
              <v:shape id="_x0000_s1026" o:spid="_x0000_s1026" o:spt="202" type="#_x0000_t202" style="position:absolute;left:0pt;margin-left:162pt;margin-top:1.75pt;height:11.65pt;width:37.7pt;z-index:251673600;mso-width-relative:page;mso-height-relative:page;" filled="f" stroked="f" coordsize="21600,21600" o:gfxdata="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aO85zYAAAACAEAAA8AAAAAAAAAAQAgAAAAIgAAAGRycy9kb3ducmV2LnhtbFBLAQIU&#10;ABQAAAAIAIdO4kDsb+ZGugEAAHEDAAAOAAAAAAAAAAEAIAAAACc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矿石入库</w:t>
                      </w:r>
                    </w:p>
                  </w:txbxContent>
                </v:textbox>
              </v:shape>
            </w:pict>
          </mc:Fallback>
        </mc:AlternateContent>
      </w:r>
    </w:p>
    <w:p>
      <w:pPr>
        <w:pStyle w:val="55"/>
        <w:ind w:left="560" w:firstLine="480"/>
        <w:rPr>
          <w:sz w:val="24"/>
          <w:highlight w:val="none"/>
        </w:rPr>
      </w:pPr>
      <w:r>
        <w:rPr>
          <w:sz w:val="24"/>
          <w:highlight w:val="none"/>
        </w:rPr>
        <mc:AlternateContent>
          <mc:Choice Requires="wps">
            <w:drawing>
              <wp:anchor distT="0" distB="0" distL="114300" distR="114300" simplePos="0" relativeHeight="251707392" behindDoc="0" locked="0" layoutInCell="1" allowOverlap="1">
                <wp:simplePos x="0" y="0"/>
                <wp:positionH relativeFrom="column">
                  <wp:posOffset>2908300</wp:posOffset>
                </wp:positionH>
                <wp:positionV relativeFrom="paragraph">
                  <wp:posOffset>113030</wp:posOffset>
                </wp:positionV>
                <wp:extent cx="267335" cy="1270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267335" cy="127000"/>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G1</w:t>
                            </w:r>
                          </w:p>
                        </w:txbxContent>
                      </wps:txbx>
                      <wps:bodyPr lIns="0" tIns="0" rIns="0" bIns="0" upright="1"/>
                    </wps:wsp>
                  </a:graphicData>
                </a:graphic>
              </wp:anchor>
            </w:drawing>
          </mc:Choice>
          <mc:Fallback>
            <w:pict>
              <v:shape id="_x0000_s1026" o:spid="_x0000_s1026" o:spt="202" type="#_x0000_t202" style="position:absolute;left:0pt;margin-left:229pt;margin-top:8.9pt;height:10pt;width:21.05pt;z-index:251707392;mso-width-relative:page;mso-height-relative:page;" filled="f" stroked="f" coordsize="21600,21600" o:gfxdata="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lcUkNcAAAAJAQAADwAAAAAAAAABACAAAAAiAAAAZHJzL2Rvd25yZXYueG1sUEsB&#10;AhQAFAAAAAgAh07iQOKpFkC9AQAAcwMAAA4AAAAAAAAAAQAgAAAAJgEAAGRycy9lMm9Eb2MueG1s&#10;UEsFBgAAAAAGAAYAWQEAAFUFA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G1</w:t>
                      </w:r>
                    </w:p>
                  </w:txbxContent>
                </v:textbox>
              </v:shape>
            </w:pict>
          </mc:Fallback>
        </mc:AlternateContent>
      </w:r>
      <w:r>
        <w:rPr>
          <w:sz w:val="24"/>
          <w:highlight w:val="none"/>
        </w:rPr>
        <mc:AlternateContent>
          <mc:Choice Requires="wps">
            <w:drawing>
              <wp:anchor distT="0" distB="0" distL="114300" distR="114300" simplePos="0" relativeHeight="251706368" behindDoc="0" locked="0" layoutInCell="1" allowOverlap="1">
                <wp:simplePos x="0" y="0"/>
                <wp:positionH relativeFrom="column">
                  <wp:posOffset>2526030</wp:posOffset>
                </wp:positionH>
                <wp:positionV relativeFrom="paragraph">
                  <wp:posOffset>188595</wp:posOffset>
                </wp:positionV>
                <wp:extent cx="349250" cy="0"/>
                <wp:effectExtent l="0" t="38100" r="12700" b="38100"/>
                <wp:wrapNone/>
                <wp:docPr id="73" name="直接箭头连接符 73"/>
                <wp:cNvGraphicFramePr/>
                <a:graphic xmlns:a="http://schemas.openxmlformats.org/drawingml/2006/main">
                  <a:graphicData uri="http://schemas.microsoft.com/office/word/2010/wordprocessingShape">
                    <wps:wsp>
                      <wps:cNvCnPr/>
                      <wps:spPr>
                        <a:xfrm>
                          <a:off x="3859530" y="1637030"/>
                          <a:ext cx="34925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8.9pt;margin-top:14.85pt;height:0pt;width:27.5pt;z-index:251706368;mso-width-relative:page;mso-height-relative:page;" filled="f" stroked="t" coordsize="21600,21600" o:gfxdata="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Uj9jrXAAAACQEAAA8AAAAAAAAAAQAgAAAAIgAA&#10;AGRycy9kb3ducmV2LnhtbFBLAQIUABQAAAAIAIdO4kA5fumiCQIAANkDAAAOAAAAAAAAAAEAIAAA&#10;ACYBAABkcnMvZTJvRG9jLnhtbFBLBQYAAAAABgAGAFkBAAChBQ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679744" behindDoc="0" locked="0" layoutInCell="1" allowOverlap="1">
                <wp:simplePos x="0" y="0"/>
                <wp:positionH relativeFrom="column">
                  <wp:posOffset>2061845</wp:posOffset>
                </wp:positionH>
                <wp:positionV relativeFrom="paragraph">
                  <wp:posOffset>93345</wp:posOffset>
                </wp:positionV>
                <wp:extent cx="447040" cy="157480"/>
                <wp:effectExtent l="4445" t="4445" r="5715" b="9525"/>
                <wp:wrapNone/>
                <wp:docPr id="14" name="文本框 14"/>
                <wp:cNvGraphicFramePr/>
                <a:graphic xmlns:a="http://schemas.openxmlformats.org/drawingml/2006/main">
                  <a:graphicData uri="http://schemas.microsoft.com/office/word/2010/wordprocessingShape">
                    <wps:wsp>
                      <wps:cNvSpPr txBox="1"/>
                      <wps:spPr>
                        <a:xfrm>
                          <a:off x="0" y="0"/>
                          <a:ext cx="447040" cy="157480"/>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受料仓</w:t>
                            </w:r>
                          </w:p>
                        </w:txbxContent>
                      </wps:txbx>
                      <wps:bodyPr lIns="0" tIns="0" rIns="0" bIns="0" upright="1"/>
                    </wps:wsp>
                  </a:graphicData>
                </a:graphic>
              </wp:anchor>
            </w:drawing>
          </mc:Choice>
          <mc:Fallback>
            <w:pict>
              <v:shape id="_x0000_s1026" o:spid="_x0000_s1026" o:spt="202" type="#_x0000_t202" style="position:absolute;left:0pt;margin-left:162.35pt;margin-top:7.35pt;height:12.4pt;width:35.2pt;z-index:251679744;mso-width-relative:page;mso-height-relative:page;" filled="f" stroked="t" coordsize="21600,21600" o:gfxdata="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ql2H2AAAAAkBAAAPAAAAAAAAAAEAIAAAACIA&#10;AABkcnMvZG93bnJldi54bWxQSwECFAAUAAAACACHTuJAepjb29ABAACcAwAADgAAAAAAAAABACAA&#10;AAAnAQAAZHJzL2Uyb0RvYy54bWxQSwUGAAAAAAYABgBZAQAAaQU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受料仓</w:t>
                      </w:r>
                    </w:p>
                  </w:txbxContent>
                </v:textbox>
              </v:shape>
            </w:pict>
          </mc:Fallback>
        </mc:AlternateContent>
      </w:r>
    </w:p>
    <w:p>
      <w:pPr>
        <w:pStyle w:val="55"/>
        <w:ind w:left="560" w:firstLine="480"/>
        <w:rPr>
          <w:sz w:val="24"/>
          <w:highlight w:val="none"/>
        </w:rPr>
      </w:pPr>
      <w:r>
        <w:rPr>
          <w:sz w:val="24"/>
          <w:highlight w:val="none"/>
        </w:rPr>
        <mc:AlternateContent>
          <mc:Choice Requires="wps">
            <w:drawing>
              <wp:anchor distT="0" distB="0" distL="114300" distR="114300" simplePos="0" relativeHeight="251714560" behindDoc="0" locked="0" layoutInCell="1" allowOverlap="1">
                <wp:simplePos x="0" y="0"/>
                <wp:positionH relativeFrom="column">
                  <wp:posOffset>508635</wp:posOffset>
                </wp:positionH>
                <wp:positionV relativeFrom="paragraph">
                  <wp:posOffset>180975</wp:posOffset>
                </wp:positionV>
                <wp:extent cx="404495" cy="14795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404495" cy="147955"/>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G5、N3</w:t>
                            </w:r>
                          </w:p>
                          <w:p>
                            <w:pPr>
                              <w:widowControl/>
                              <w:spacing w:line="240" w:lineRule="atLeast"/>
                              <w:ind w:firstLine="0" w:firstLineChars="0"/>
                              <w:textAlignment w:val="auto"/>
                              <w:rPr>
                                <w:color w:val="0000FF"/>
                                <w:sz w:val="15"/>
                                <w:szCs w:val="15"/>
                              </w:rPr>
                            </w:pPr>
                          </w:p>
                        </w:txbxContent>
                      </wps:txbx>
                      <wps:bodyPr lIns="0" tIns="0" rIns="0" bIns="0" upright="1"/>
                    </wps:wsp>
                  </a:graphicData>
                </a:graphic>
              </wp:anchor>
            </w:drawing>
          </mc:Choice>
          <mc:Fallback>
            <w:pict>
              <v:shape id="_x0000_s1026" o:spid="_x0000_s1026" o:spt="202" type="#_x0000_t202" style="position:absolute;left:0pt;margin-left:40.05pt;margin-top:14.25pt;height:11.65pt;width:31.85pt;z-index:251714560;mso-width-relative:page;mso-height-relative:page;" filled="f" stroked="f" coordsize="21600,21600" o:gfxdata="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1lX1wAAAAgBAAAPAAAAAAAAAAEAIAAAACIAAABkcnMvZG93bnJldi54bWxQSwEC&#10;FAAUAAAACACHTuJANvXac7wBAABzAwAADgAAAAAAAAABACAAAAAmAQAAZHJzL2Uyb0RvYy54bWxQ&#10;SwUGAAAAAAYABgBZAQAAVAU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G5、N3</w:t>
                      </w:r>
                    </w:p>
                    <w:p>
                      <w:pPr>
                        <w:widowControl/>
                        <w:spacing w:line="240" w:lineRule="atLeast"/>
                        <w:ind w:firstLine="0" w:firstLineChars="0"/>
                        <w:textAlignment w:val="auto"/>
                        <w:rPr>
                          <w:color w:val="0000FF"/>
                          <w:sz w:val="15"/>
                          <w:szCs w:val="15"/>
                        </w:rPr>
                      </w:pPr>
                    </w:p>
                  </w:txbxContent>
                </v:textbox>
              </v:shape>
            </w:pict>
          </mc:Fallback>
        </mc:AlternateContent>
      </w:r>
      <w:r>
        <w:rPr>
          <w:sz w:val="24"/>
          <w:highlight w:val="none"/>
        </w:rPr>
        <mc:AlternateContent>
          <mc:Choice Requires="wps">
            <w:drawing>
              <wp:anchor distT="0" distB="0" distL="114300" distR="114300" simplePos="0" relativeHeight="251719680" behindDoc="0" locked="0" layoutInCell="1" allowOverlap="1">
                <wp:simplePos x="0" y="0"/>
                <wp:positionH relativeFrom="column">
                  <wp:posOffset>1350645</wp:posOffset>
                </wp:positionH>
                <wp:positionV relativeFrom="paragraph">
                  <wp:posOffset>198120</wp:posOffset>
                </wp:positionV>
                <wp:extent cx="404495" cy="14795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404495" cy="147955"/>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G4、N2</w:t>
                            </w:r>
                          </w:p>
                          <w:p>
                            <w:pPr>
                              <w:widowControl/>
                              <w:spacing w:line="240" w:lineRule="atLeast"/>
                              <w:ind w:firstLine="0" w:firstLineChars="0"/>
                              <w:textAlignment w:val="auto"/>
                              <w:rPr>
                                <w:color w:val="0000FF"/>
                                <w:sz w:val="15"/>
                                <w:szCs w:val="15"/>
                              </w:rPr>
                            </w:pPr>
                          </w:p>
                        </w:txbxContent>
                      </wps:txbx>
                      <wps:bodyPr lIns="0" tIns="0" rIns="0" bIns="0" upright="1"/>
                    </wps:wsp>
                  </a:graphicData>
                </a:graphic>
              </wp:anchor>
            </w:drawing>
          </mc:Choice>
          <mc:Fallback>
            <w:pict>
              <v:shape id="_x0000_s1026" o:spid="_x0000_s1026" o:spt="202" type="#_x0000_t202" style="position:absolute;left:0pt;margin-left:106.35pt;margin-top:15.6pt;height:11.65pt;width:31.85pt;z-index:251719680;mso-width-relative:page;mso-height-relative:page;" filled="f" stroked="f" coordsize="21600,21600" o:gfxdata="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g3X5jZAAAACQEAAA8AAAAAAAAAAQAgAAAAIgAAAGRycy9kb3ducmV2LnhtbFBL&#10;AQIUABQAAAAIAIdO4kBr9czOvAEAAHMDAAAOAAAAAAAAAAEAIAAAACgBAABkcnMvZTJvRG9jLnht&#10;bFBLBQYAAAAABgAGAFkBAABWBQ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G4、N2</w:t>
                      </w:r>
                    </w:p>
                    <w:p>
                      <w:pPr>
                        <w:widowControl/>
                        <w:spacing w:line="240" w:lineRule="atLeast"/>
                        <w:ind w:firstLine="0" w:firstLineChars="0"/>
                        <w:textAlignment w:val="auto"/>
                        <w:rPr>
                          <w:color w:val="0000FF"/>
                          <w:sz w:val="15"/>
                          <w:szCs w:val="15"/>
                        </w:rPr>
                      </w:pPr>
                    </w:p>
                  </w:txbxContent>
                </v:textbox>
              </v:shape>
            </w:pict>
          </mc:Fallback>
        </mc:AlternateContent>
      </w:r>
      <w:r>
        <w:rPr>
          <w:sz w:val="24"/>
          <w:highlight w:val="none"/>
        </w:rPr>
        <mc:AlternateContent>
          <mc:Choice Requires="wps">
            <w:drawing>
              <wp:anchor distT="0" distB="0" distL="114300" distR="114300" simplePos="0" relativeHeight="251709440" behindDoc="0" locked="0" layoutInCell="1" allowOverlap="1">
                <wp:simplePos x="0" y="0"/>
                <wp:positionH relativeFrom="column">
                  <wp:posOffset>2870200</wp:posOffset>
                </wp:positionH>
                <wp:positionV relativeFrom="paragraph">
                  <wp:posOffset>236220</wp:posOffset>
                </wp:positionV>
                <wp:extent cx="404495" cy="14795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404495" cy="147955"/>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G2、N1</w:t>
                            </w:r>
                          </w:p>
                          <w:p>
                            <w:pPr>
                              <w:widowControl/>
                              <w:spacing w:line="240" w:lineRule="atLeast"/>
                              <w:ind w:firstLine="0" w:firstLineChars="0"/>
                              <w:textAlignment w:val="auto"/>
                              <w:rPr>
                                <w:color w:val="0000FF"/>
                                <w:sz w:val="15"/>
                                <w:szCs w:val="15"/>
                              </w:rPr>
                            </w:pPr>
                          </w:p>
                        </w:txbxContent>
                      </wps:txbx>
                      <wps:bodyPr lIns="0" tIns="0" rIns="0" bIns="0" upright="1"/>
                    </wps:wsp>
                  </a:graphicData>
                </a:graphic>
              </wp:anchor>
            </w:drawing>
          </mc:Choice>
          <mc:Fallback>
            <w:pict>
              <v:shape id="_x0000_s1026" o:spid="_x0000_s1026" o:spt="202" type="#_x0000_t202" style="position:absolute;left:0pt;margin-left:226pt;margin-top:18.6pt;height:11.65pt;width:31.85pt;z-index:251709440;mso-width-relative:page;mso-height-relative:page;" filled="f" stroked="f" coordsize="21600,21600" o:gfxdata="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uPj9LZAAAACQEAAA8AAAAAAAAAAQAgAAAAIgAAAGRycy9kb3ducmV2LnhtbFBL&#10;AQIUABQAAAAIAIdO4kDrYhLVvAEAAHMDAAAOAAAAAAAAAAEAIAAAACgBAABkcnMvZTJvRG9jLnht&#10;bFBLBQYAAAAABgAGAFkBAABWBQ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G2、N1</w:t>
                      </w:r>
                    </w:p>
                    <w:p>
                      <w:pPr>
                        <w:widowControl/>
                        <w:spacing w:line="240" w:lineRule="atLeast"/>
                        <w:ind w:firstLine="0" w:firstLineChars="0"/>
                        <w:textAlignment w:val="auto"/>
                        <w:rPr>
                          <w:color w:val="0000FF"/>
                          <w:sz w:val="15"/>
                          <w:szCs w:val="15"/>
                        </w:rPr>
                      </w:pPr>
                    </w:p>
                  </w:txbxContent>
                </v:textbox>
              </v:shape>
            </w:pict>
          </mc:Fallback>
        </mc:AlternateContent>
      </w:r>
      <w:r>
        <w:rPr>
          <w:sz w:val="24"/>
          <w:highlight w:val="none"/>
        </w:rPr>
        <mc:AlternateContent>
          <mc:Choice Requires="wps">
            <w:drawing>
              <wp:anchor distT="0" distB="0" distL="114300" distR="114300" simplePos="0" relativeHeight="251681792" behindDoc="0" locked="0" layoutInCell="1" allowOverlap="1">
                <wp:simplePos x="0" y="0"/>
                <wp:positionH relativeFrom="column">
                  <wp:posOffset>2125345</wp:posOffset>
                </wp:positionH>
                <wp:positionV relativeFrom="paragraph">
                  <wp:posOffset>227330</wp:posOffset>
                </wp:positionV>
                <wp:extent cx="320675" cy="157480"/>
                <wp:effectExtent l="4445" t="4445" r="17780" b="9525"/>
                <wp:wrapNone/>
                <wp:docPr id="18" name="文本框 18"/>
                <wp:cNvGraphicFramePr/>
                <a:graphic xmlns:a="http://schemas.openxmlformats.org/drawingml/2006/main">
                  <a:graphicData uri="http://schemas.microsoft.com/office/word/2010/wordprocessingShape">
                    <wps:wsp>
                      <wps:cNvSpPr txBox="1"/>
                      <wps:spPr>
                        <a:xfrm>
                          <a:off x="0" y="0"/>
                          <a:ext cx="320675" cy="157480"/>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鄂破</w:t>
                            </w:r>
                          </w:p>
                        </w:txbxContent>
                      </wps:txbx>
                      <wps:bodyPr lIns="0" tIns="0" rIns="0" bIns="0" upright="1"/>
                    </wps:wsp>
                  </a:graphicData>
                </a:graphic>
              </wp:anchor>
            </w:drawing>
          </mc:Choice>
          <mc:Fallback>
            <w:pict>
              <v:shape id="_x0000_s1026" o:spid="_x0000_s1026" o:spt="202" type="#_x0000_t202" style="position:absolute;left:0pt;margin-left:167.35pt;margin-top:17.9pt;height:12.4pt;width:25.25pt;z-index:251681792;mso-width-relative:page;mso-height-relative:page;" filled="f" stroked="t" coordsize="21600,21600" o:gfxdata="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aUU6S2QAAAAkBAAAPAAAAAAAAAAEAIAAA&#10;ACIAAABkcnMvZG93bnJldi54bWxQSwECFAAUAAAACACHTuJAKIua0dIBAACcAwAADgAAAAAAAAAB&#10;ACAAAAAoAQAAZHJzL2Uyb0RvYy54bWxQSwUGAAAAAAYABgBZAQAAbAU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鄂破</w:t>
                      </w:r>
                    </w:p>
                  </w:txbxContent>
                </v:textbox>
              </v:shape>
            </w:pict>
          </mc:Fallback>
        </mc:AlternateContent>
      </w:r>
      <w:r>
        <w:rPr>
          <w:sz w:val="24"/>
          <w:highlight w:val="none"/>
        </w:rPr>
        <mc:AlternateContent>
          <mc:Choice Requires="wps">
            <w:drawing>
              <wp:anchor distT="0" distB="0" distL="114300" distR="114300" simplePos="0" relativeHeight="251680768" behindDoc="0" locked="0" layoutInCell="1" allowOverlap="1">
                <wp:simplePos x="0" y="0"/>
                <wp:positionH relativeFrom="column">
                  <wp:posOffset>2259330</wp:posOffset>
                </wp:positionH>
                <wp:positionV relativeFrom="paragraph">
                  <wp:posOffset>15240</wp:posOffset>
                </wp:positionV>
                <wp:extent cx="6350" cy="209550"/>
                <wp:effectExtent l="35560" t="0" r="34290" b="0"/>
                <wp:wrapNone/>
                <wp:docPr id="17" name="直接箭头连接符 17"/>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7.9pt;margin-top:1.2pt;height:16.5pt;width:0.5pt;z-index:251680768;mso-width-relative:page;mso-height-relative:page;" filled="f" stroked="t" coordsize="21600,21600" o:gfxdata="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3ujgTXAAAACAEAAA8AAAAAAAAAAQAgAAAAIgAAAGRycy9k&#10;b3ducmV2LnhtbFBLAQIUABQAAAAIAIdO4kBhQcomAwIAANgDAAAOAAAAAAAAAAEAIAAAACYBAABk&#10;cnMvZTJvRG9jLnhtbFBLBQYAAAAABgAGAFkBAACbBQAAAAA=&#10;">
                <v:fill on="f" focussize="0,0"/>
                <v:stroke color="#000000 [3213]" joinstyle="round" endarrow="block"/>
                <v:imagedata o:title=""/>
                <o:lock v:ext="edit" aspectratio="f"/>
              </v:shape>
            </w:pict>
          </mc:Fallback>
        </mc:AlternateContent>
      </w:r>
    </w:p>
    <w:p>
      <w:pPr>
        <w:pStyle w:val="55"/>
        <w:ind w:left="560" w:firstLine="480"/>
        <w:rPr>
          <w:sz w:val="24"/>
          <w:highlight w:val="none"/>
        </w:rPr>
      </w:pPr>
      <w:r>
        <w:rPr>
          <w:sz w:val="24"/>
          <w:highlight w:val="none"/>
        </w:rPr>
        <mc:AlternateContent>
          <mc:Choice Requires="wps">
            <w:drawing>
              <wp:anchor distT="0" distB="0" distL="114300" distR="114300" simplePos="0" relativeHeight="251713536" behindDoc="0" locked="0" layoutInCell="1" allowOverlap="1">
                <wp:simplePos x="0" y="0"/>
                <wp:positionH relativeFrom="column">
                  <wp:posOffset>595630</wp:posOffset>
                </wp:positionH>
                <wp:positionV relativeFrom="paragraph">
                  <wp:posOffset>187325</wp:posOffset>
                </wp:positionV>
                <wp:extent cx="215900" cy="0"/>
                <wp:effectExtent l="38100" t="0" r="38100" b="12700"/>
                <wp:wrapNone/>
                <wp:docPr id="83" name="直接箭头连接符 83"/>
                <wp:cNvGraphicFramePr/>
                <a:graphic xmlns:a="http://schemas.openxmlformats.org/drawingml/2006/main">
                  <a:graphicData uri="http://schemas.microsoft.com/office/word/2010/wordprocessingShape">
                    <wps:wsp>
                      <wps:cNvCnPr/>
                      <wps:spPr>
                        <a:xfrm rot="16200000">
                          <a:off x="0" y="0"/>
                          <a:ext cx="21590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6.9pt;margin-top:14.75pt;height:0pt;width:17pt;rotation:-5898240f;z-index:251713536;mso-width-relative:page;mso-height-relative:page;" filled="f" stroked="t" coordsize="21600,21600" o:gfxdata="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IkHztUAAAAIAQAADwAAAAAAAAABACAAAAAiAAAAZHJz&#10;L2Rvd25yZXYueG1sUEsBAhQAFAAAAAgAh07iQFJHEeIHAgAA3AMAAA4AAAAAAAAAAQAgAAAAJAEA&#10;AGRycy9lMm9Eb2MueG1sUEsFBgAAAAAGAAYAWQEAAJ0FA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717632" behindDoc="0" locked="0" layoutInCell="1" allowOverlap="1">
                <wp:simplePos x="0" y="0"/>
                <wp:positionH relativeFrom="column">
                  <wp:posOffset>1385570</wp:posOffset>
                </wp:positionH>
                <wp:positionV relativeFrom="paragraph">
                  <wp:posOffset>216535</wp:posOffset>
                </wp:positionV>
                <wp:extent cx="215900" cy="0"/>
                <wp:effectExtent l="38100" t="0" r="38100" b="12700"/>
                <wp:wrapNone/>
                <wp:docPr id="81" name="直接箭头连接符 81"/>
                <wp:cNvGraphicFramePr/>
                <a:graphic xmlns:a="http://schemas.openxmlformats.org/drawingml/2006/main">
                  <a:graphicData uri="http://schemas.microsoft.com/office/word/2010/wordprocessingShape">
                    <wps:wsp>
                      <wps:cNvCnPr/>
                      <wps:spPr>
                        <a:xfrm rot="16200000">
                          <a:off x="0" y="0"/>
                          <a:ext cx="21590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9.1pt;margin-top:17.05pt;height:0pt;width:17pt;rotation:-5898240f;z-index:251717632;mso-width-relative:page;mso-height-relative:page;" filled="f" stroked="t" coordsize="21600,21600" o:gfxdata="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&#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2XvTWAAAACQEAAA8AAAAAAAAAAQAgAAAAIgAAAGRy&#10;cy9kb3ducmV2LnhtbFBLAQIUABQAAAAIAIdO4kDjWOjBBwIAANwDAAAOAAAAAAAAAAEAIAAAACUB&#10;AABkcnMvZTJvRG9jLnhtbFBLBQYAAAAABgAGAFkBAACeBQ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708416" behindDoc="0" locked="0" layoutInCell="1" allowOverlap="1">
                <wp:simplePos x="0" y="0"/>
                <wp:positionH relativeFrom="column">
                  <wp:posOffset>2466975</wp:posOffset>
                </wp:positionH>
                <wp:positionV relativeFrom="paragraph">
                  <wp:posOffset>60325</wp:posOffset>
                </wp:positionV>
                <wp:extent cx="349250" cy="0"/>
                <wp:effectExtent l="0" t="38100" r="12700" b="38100"/>
                <wp:wrapNone/>
                <wp:docPr id="75" name="直接箭头连接符 75"/>
                <wp:cNvGraphicFramePr/>
                <a:graphic xmlns:a="http://schemas.openxmlformats.org/drawingml/2006/main">
                  <a:graphicData uri="http://schemas.microsoft.com/office/word/2010/wordprocessingShape">
                    <wps:wsp>
                      <wps:cNvCnPr/>
                      <wps:spPr>
                        <a:xfrm>
                          <a:off x="0" y="0"/>
                          <a:ext cx="34925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25pt;margin-top:4.75pt;height:0pt;width:27.5pt;z-index:251708416;mso-width-relative:page;mso-height-relative:page;" filled="f" stroked="t" coordsize="21600,21600" o:gfxdata="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o4+xdYAAAAHAQAADwAAAAAAAAABACAAAAAiAAAAZHJzL2Rvd25yZXYu&#10;eG1sUEsBAhQAFAAAAAgAh07iQN8FZdX9AQAAzQMAAA4AAAAAAAAAAQAgAAAAJQEAAGRycy9lMm9E&#10;b2MueG1sUEsFBgAAAAAGAAYAWQEAAJQFA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700224" behindDoc="0" locked="0" layoutInCell="1" allowOverlap="1">
                <wp:simplePos x="0" y="0"/>
                <wp:positionH relativeFrom="column">
                  <wp:posOffset>994410</wp:posOffset>
                </wp:positionH>
                <wp:positionV relativeFrom="paragraph">
                  <wp:posOffset>226060</wp:posOffset>
                </wp:positionV>
                <wp:extent cx="288290" cy="14795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筛上</w:t>
                            </w:r>
                          </w:p>
                        </w:txbxContent>
                      </wps:txbx>
                      <wps:bodyPr lIns="0" tIns="0" rIns="0" bIns="0" upright="1"/>
                    </wps:wsp>
                  </a:graphicData>
                </a:graphic>
              </wp:anchor>
            </w:drawing>
          </mc:Choice>
          <mc:Fallback>
            <w:pict>
              <v:shape id="_x0000_s1026" o:spid="_x0000_s1026" o:spt="202" type="#_x0000_t202" style="position:absolute;left:0pt;margin-left:78.3pt;margin-top:17.8pt;height:11.65pt;width:22.7pt;z-index:251700224;mso-width-relative:page;mso-height-relative:page;" filled="f" stroked="f" coordsize="21600,21600" o:gfxdata="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NkbD7XAAAACQEAAA8AAAAAAAAAAQAgAAAAIgAAAGRycy9kb3ducmV2LnhtbFBLAQIU&#10;ABQAAAAIAIdO4kDszTUOuwEAAHMDAAAOAAAAAAAAAAEAIAAAACY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筛上</w:t>
                      </w:r>
                    </w:p>
                  </w:txbxContent>
                </v:textbox>
              </v:shape>
            </w:pict>
          </mc:Fallback>
        </mc:AlternateContent>
      </w:r>
      <w:r>
        <w:rPr>
          <w:sz w:val="24"/>
          <w:highlight w:val="none"/>
        </w:rPr>
        <mc:AlternateContent>
          <mc:Choice Requires="wps">
            <w:drawing>
              <wp:anchor distT="0" distB="0" distL="114300" distR="114300" simplePos="0" relativeHeight="251683840" behindDoc="0" locked="0" layoutInCell="1" allowOverlap="1">
                <wp:simplePos x="0" y="0"/>
                <wp:positionH relativeFrom="column">
                  <wp:posOffset>2294255</wp:posOffset>
                </wp:positionH>
                <wp:positionV relativeFrom="paragraph">
                  <wp:posOffset>161290</wp:posOffset>
                </wp:positionV>
                <wp:extent cx="288290" cy="14795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皮带</w:t>
                            </w:r>
                          </w:p>
                        </w:txbxContent>
                      </wps:txbx>
                      <wps:bodyPr lIns="0" tIns="0" rIns="0" bIns="0" upright="1"/>
                    </wps:wsp>
                  </a:graphicData>
                </a:graphic>
              </wp:anchor>
            </w:drawing>
          </mc:Choice>
          <mc:Fallback>
            <w:pict>
              <v:shape id="_x0000_s1026" o:spid="_x0000_s1026" o:spt="202" type="#_x0000_t202" style="position:absolute;left:0pt;margin-left:180.65pt;margin-top:12.7pt;height:11.65pt;width:22.7pt;z-index:251683840;mso-width-relative:page;mso-height-relative:page;" filled="f" stroked="f" coordsize="21600,21600" o:gfxdata="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7bMY2QAAAAkBAAAPAAAAAAAAAAEAIAAAACIAAABkcnMvZG93bnJldi54bWxQSwEC&#10;FAAUAAAACACHTuJA+pyncroBAABzAwAADgAAAAAAAAABACAAAAAoAQAAZHJzL2Uyb0RvYy54bWxQ&#10;SwUGAAAAAAYABgBZAQAAVAU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皮带</w:t>
                      </w:r>
                    </w:p>
                  </w:txbxContent>
                </v:textbox>
              </v:shape>
            </w:pict>
          </mc:Fallback>
        </mc:AlternateContent>
      </w:r>
      <w:r>
        <w:rPr>
          <w:sz w:val="24"/>
          <w:highlight w:val="none"/>
        </w:rPr>
        <mc:AlternateContent>
          <mc:Choice Requires="wps">
            <w:drawing>
              <wp:anchor distT="0" distB="0" distL="114300" distR="114300" simplePos="0" relativeHeight="251682816" behindDoc="0" locked="0" layoutInCell="1" allowOverlap="1">
                <wp:simplePos x="0" y="0"/>
                <wp:positionH relativeFrom="column">
                  <wp:posOffset>2252980</wp:posOffset>
                </wp:positionH>
                <wp:positionV relativeFrom="paragraph">
                  <wp:posOffset>160020</wp:posOffset>
                </wp:positionV>
                <wp:extent cx="6350" cy="209550"/>
                <wp:effectExtent l="35560" t="0" r="34290" b="0"/>
                <wp:wrapNone/>
                <wp:docPr id="19" name="直接箭头连接符 19"/>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7.4pt;margin-top:12.6pt;height:16.5pt;width:0.5pt;z-index:251682816;mso-width-relative:page;mso-height-relative:page;" filled="f" stroked="t" coordsize="21600,21600" o:gfxdata="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jNyX2AAAAAkBAAAPAAAAAAAAAAEAIAAAACIAAABkcnMv&#10;ZG93bnJldi54bWxQSwECFAAUAAAACACHTuJAXqZmpgMCAADYAwAADgAAAAAAAAABACAAAAAnAQAA&#10;ZHJzL2Uyb0RvYy54bWxQSwUGAAAAAAYABgBZAQAAnAUAAAAA&#10;">
                <v:fill on="f" focussize="0,0"/>
                <v:stroke color="#000000 [3213]" joinstyle="round" endarrow="block"/>
                <v:imagedata o:title=""/>
                <o:lock v:ext="edit" aspectratio="f"/>
              </v:shape>
            </w:pict>
          </mc:Fallback>
        </mc:AlternateContent>
      </w:r>
    </w:p>
    <w:p>
      <w:pPr>
        <w:pStyle w:val="55"/>
        <w:ind w:left="560" w:firstLine="480"/>
        <w:rPr>
          <w:sz w:val="24"/>
          <w:highlight w:val="none"/>
        </w:rPr>
      </w:pPr>
      <w:r>
        <w:rPr>
          <w:sz w:val="24"/>
          <w:highlight w:val="none"/>
        </w:rPr>
        <mc:AlternateContent>
          <mc:Choice Requires="wps">
            <w:drawing>
              <wp:anchor distT="0" distB="0" distL="114300" distR="114300" simplePos="0" relativeHeight="251711488" behindDoc="0" locked="0" layoutInCell="1" allowOverlap="1">
                <wp:simplePos x="0" y="0"/>
                <wp:positionH relativeFrom="column">
                  <wp:posOffset>2842895</wp:posOffset>
                </wp:positionH>
                <wp:positionV relativeFrom="paragraph">
                  <wp:posOffset>129540</wp:posOffset>
                </wp:positionV>
                <wp:extent cx="331470" cy="13716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31470" cy="137160"/>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G3</w:t>
                            </w:r>
                          </w:p>
                        </w:txbxContent>
                      </wps:txbx>
                      <wps:bodyPr lIns="0" tIns="0" rIns="0" bIns="0" upright="1"/>
                    </wps:wsp>
                  </a:graphicData>
                </a:graphic>
              </wp:anchor>
            </w:drawing>
          </mc:Choice>
          <mc:Fallback>
            <w:pict>
              <v:shape id="_x0000_s1026" o:spid="_x0000_s1026" o:spt="202" type="#_x0000_t202" style="position:absolute;left:0pt;margin-left:223.85pt;margin-top:10.2pt;height:10.8pt;width:26.1pt;z-index:251711488;mso-width-relative:page;mso-height-relative:page;" filled="f" stroked="f" coordsize="21600,21600" o:gfxdata="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Fia82AAAAAkBAAAPAAAAAAAAAAEAIAAAACIAAABkcnMvZG93bnJldi54bWxQSwEC&#10;FAAUAAAACACHTuJAXmw7tLsBAABzAwAADgAAAAAAAAABACAAAAAnAQAAZHJzL2Uyb0RvYy54bWxQ&#10;SwUGAAAAAAYABgBZAQAAVAU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G3</w:t>
                      </w:r>
                    </w:p>
                  </w:txbxContent>
                </v:textbox>
              </v:shape>
            </w:pict>
          </mc:Fallback>
        </mc:AlternateContent>
      </w:r>
      <w:r>
        <w:rPr>
          <w:sz w:val="24"/>
          <w:highlight w:val="none"/>
        </w:rPr>
        <mc:AlternateContent>
          <mc:Choice Requires="wps">
            <w:drawing>
              <wp:anchor distT="0" distB="0" distL="114300" distR="114300" simplePos="0" relativeHeight="251710464" behindDoc="0" locked="0" layoutInCell="1" allowOverlap="1">
                <wp:simplePos x="0" y="0"/>
                <wp:positionH relativeFrom="column">
                  <wp:posOffset>2460625</wp:posOffset>
                </wp:positionH>
                <wp:positionV relativeFrom="paragraph">
                  <wp:posOffset>204470</wp:posOffset>
                </wp:positionV>
                <wp:extent cx="349250" cy="0"/>
                <wp:effectExtent l="0" t="38100" r="12700" b="38100"/>
                <wp:wrapNone/>
                <wp:docPr id="77" name="直接箭头连接符 77"/>
                <wp:cNvGraphicFramePr/>
                <a:graphic xmlns:a="http://schemas.openxmlformats.org/drawingml/2006/main">
                  <a:graphicData uri="http://schemas.microsoft.com/office/word/2010/wordprocessingShape">
                    <wps:wsp>
                      <wps:cNvCnPr/>
                      <wps:spPr>
                        <a:xfrm>
                          <a:off x="0" y="0"/>
                          <a:ext cx="34925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3.75pt;margin-top:16.1pt;height:0pt;width:27.5pt;z-index:251710464;mso-width-relative:page;mso-height-relative:page;" filled="f" stroked="t" coordsize="21600,21600" o:gfxdata="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rYLW2AAAAAkBAAAPAAAAAAAAAAEAIAAAACIAAABkcnMvZG93bnJl&#10;di54bWxQSwECFAAUAAAACACHTuJAy9Amq/0BAADNAwAADgAAAAAAAAABACAAAAAnAQAAZHJzL2Uy&#10;b0RvYy54bWxQSwUGAAAAAAYABgBZAQAAlgU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702272" behindDoc="0" locked="0" layoutInCell="1" allowOverlap="1">
                <wp:simplePos x="0" y="0"/>
                <wp:positionH relativeFrom="column">
                  <wp:posOffset>1431925</wp:posOffset>
                </wp:positionH>
                <wp:positionV relativeFrom="paragraph">
                  <wp:posOffset>250825</wp:posOffset>
                </wp:positionV>
                <wp:extent cx="635" cy="252095"/>
                <wp:effectExtent l="38100" t="0" r="37465" b="14605"/>
                <wp:wrapNone/>
                <wp:docPr id="69" name="直接箭头连接符 69"/>
                <wp:cNvGraphicFramePr/>
                <a:graphic xmlns:a="http://schemas.openxmlformats.org/drawingml/2006/main">
                  <a:graphicData uri="http://schemas.microsoft.com/office/word/2010/wordprocessingShape">
                    <wps:wsp>
                      <wps:cNvCnPr/>
                      <wps:spPr>
                        <a:xfrm flipH="1">
                          <a:off x="0" y="0"/>
                          <a:ext cx="635" cy="2520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2.75pt;margin-top:19.75pt;height:19.85pt;width:0.05pt;z-index:251702272;mso-width-relative:page;mso-height-relative:page;" filled="f" stroked="t" coordsize="21600,21600" o:gfxdata="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CTWj2AAAAAkBAAAPAAAAAAAAAAEAIAAAACIAAABkcnMv&#10;ZG93bnJldi54bWxQSwECFAAUAAAACACHTuJA3Lo6OQMCAADXAwAADgAAAAAAAAABACAAAAAnAQAA&#10;ZHJzL2Uyb0RvYy54bWxQSwUGAAAAAAYABgBZAQAAnAU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701248" behindDoc="0" locked="0" layoutInCell="1" allowOverlap="1">
                <wp:simplePos x="0" y="0"/>
                <wp:positionH relativeFrom="column">
                  <wp:posOffset>904240</wp:posOffset>
                </wp:positionH>
                <wp:positionV relativeFrom="paragraph">
                  <wp:posOffset>208280</wp:posOffset>
                </wp:positionV>
                <wp:extent cx="431800" cy="635"/>
                <wp:effectExtent l="0" t="37465" r="6350" b="38100"/>
                <wp:wrapNone/>
                <wp:docPr id="68" name="直接箭头连接符 68"/>
                <wp:cNvGraphicFramePr/>
                <a:graphic xmlns:a="http://schemas.openxmlformats.org/drawingml/2006/main">
                  <a:graphicData uri="http://schemas.microsoft.com/office/word/2010/wordprocessingShape">
                    <wps:wsp>
                      <wps:cNvCnPr/>
                      <wps:spPr>
                        <a:xfrm>
                          <a:off x="0" y="0"/>
                          <a:ext cx="431800"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1.2pt;margin-top:16.4pt;height:0.05pt;width:34pt;z-index:251701248;mso-width-relative:page;mso-height-relative:page;" filled="f" stroked="t" coordsize="21600,21600" o:gfxdata="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xLZddcAAAAJAQAADwAAAAAAAAABACAAAAAiAAAAZHJzL2Rvd25yZXYu&#10;eG1sUEsBAhQAFAAAAAgAh07iQEGO0On8AQAAzQMAAA4AAAAAAAAAAQAgAAAAJgEAAGRycy9lMm9E&#10;b2MueG1sUEsFBgAAAAAGAAYAWQEAAJQFA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699200" behindDoc="0" locked="0" layoutInCell="1" allowOverlap="1">
                <wp:simplePos x="0" y="0"/>
                <wp:positionH relativeFrom="column">
                  <wp:posOffset>552450</wp:posOffset>
                </wp:positionH>
                <wp:positionV relativeFrom="paragraph">
                  <wp:posOffset>78105</wp:posOffset>
                </wp:positionV>
                <wp:extent cx="320675" cy="157480"/>
                <wp:effectExtent l="4445" t="4445" r="17780" b="9525"/>
                <wp:wrapNone/>
                <wp:docPr id="66" name="文本框 66"/>
                <wp:cNvGraphicFramePr/>
                <a:graphic xmlns:a="http://schemas.openxmlformats.org/drawingml/2006/main">
                  <a:graphicData uri="http://schemas.microsoft.com/office/word/2010/wordprocessingShape">
                    <wps:wsp>
                      <wps:cNvSpPr txBox="1"/>
                      <wps:spPr>
                        <a:xfrm>
                          <a:off x="0" y="0"/>
                          <a:ext cx="320675" cy="157480"/>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鄂破</w:t>
                            </w:r>
                          </w:p>
                        </w:txbxContent>
                      </wps:txbx>
                      <wps:bodyPr lIns="0" tIns="0" rIns="0" bIns="0" upright="1"/>
                    </wps:wsp>
                  </a:graphicData>
                </a:graphic>
              </wp:anchor>
            </w:drawing>
          </mc:Choice>
          <mc:Fallback>
            <w:pict>
              <v:shape id="_x0000_s1026" o:spid="_x0000_s1026" o:spt="202" type="#_x0000_t202" style="position:absolute;left:0pt;margin-left:43.5pt;margin-top:6.15pt;height:12.4pt;width:25.25pt;z-index:251699200;mso-width-relative:page;mso-height-relative:page;" filled="f" stroked="t" coordsize="21600,21600" o:gfxdata="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BIlUTYAAAACAEAAA8AAAAAAAAAAQAgAAAA&#10;IgAAAGRycy9kb3ducmV2LnhtbFBLAQIUABQAAAAIAIdO4kAgp0q30gEAAJwDAAAOAAAAAAAAAAEA&#10;IAAAACcBAABkcnMvZTJvRG9jLnhtbFBLBQYAAAAABgAGAFkBAABrBQ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鄂破</w:t>
                      </w:r>
                    </w:p>
                  </w:txbxContent>
                </v:textbox>
              </v:shape>
            </w:pict>
          </mc:Fallback>
        </mc:AlternateContent>
      </w:r>
      <w:r>
        <w:rPr>
          <w:sz w:val="24"/>
          <w:highlight w:val="none"/>
        </w:rPr>
        <mc:AlternateContent>
          <mc:Choice Requires="wps">
            <w:drawing>
              <wp:anchor distT="0" distB="0" distL="114300" distR="114300" simplePos="0" relativeHeight="251698176" behindDoc="0" locked="0" layoutInCell="1" allowOverlap="1">
                <wp:simplePos x="0" y="0"/>
                <wp:positionH relativeFrom="column">
                  <wp:posOffset>889635</wp:posOffset>
                </wp:positionH>
                <wp:positionV relativeFrom="paragraph">
                  <wp:posOffset>161290</wp:posOffset>
                </wp:positionV>
                <wp:extent cx="431800" cy="635"/>
                <wp:effectExtent l="0" t="38100" r="6350" b="37465"/>
                <wp:wrapNone/>
                <wp:docPr id="65" name="直接箭头连接符 65"/>
                <wp:cNvGraphicFramePr/>
                <a:graphic xmlns:a="http://schemas.openxmlformats.org/drawingml/2006/main">
                  <a:graphicData uri="http://schemas.microsoft.com/office/word/2010/wordprocessingShape">
                    <wps:wsp>
                      <wps:cNvCnPr/>
                      <wps:spPr>
                        <a:xfrm rot="10800000">
                          <a:off x="0" y="0"/>
                          <a:ext cx="431800"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0.05pt;margin-top:12.7pt;height:0.05pt;width:34pt;rotation:11796480f;z-index:251698176;mso-width-relative:page;mso-height-relative:page;" filled="f" stroked="t" coordsize="21600,21600" o:gfxdata="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ZWbSPXAAAACQEAAA8AAAAAAAAAAQAgAAAAIgAAAGRy&#10;cy9kb3ducmV2LnhtbFBLAQIUABQAAAAIAIdO4kBllueWBgIAANwDAAAOAAAAAAAAAAEAIAAAACYB&#10;AABkcnMvZTJvRG9jLnhtbFBLBQYAAAAABgAGAFkBAACeBQ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697152" behindDoc="0" locked="0" layoutInCell="1" allowOverlap="1">
                <wp:simplePos x="0" y="0"/>
                <wp:positionH relativeFrom="column">
                  <wp:posOffset>1307465</wp:posOffset>
                </wp:positionH>
                <wp:positionV relativeFrom="paragraph">
                  <wp:posOffset>88900</wp:posOffset>
                </wp:positionV>
                <wp:extent cx="384175" cy="168275"/>
                <wp:effectExtent l="4445" t="4445" r="11430" b="17780"/>
                <wp:wrapNone/>
                <wp:docPr id="63" name="文本框 63"/>
                <wp:cNvGraphicFramePr/>
                <a:graphic xmlns:a="http://schemas.openxmlformats.org/drawingml/2006/main">
                  <a:graphicData uri="http://schemas.microsoft.com/office/word/2010/wordprocessingShape">
                    <wps:wsp>
                      <wps:cNvSpPr txBox="1"/>
                      <wps:spPr>
                        <a:xfrm>
                          <a:off x="0" y="0"/>
                          <a:ext cx="384175" cy="168275"/>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振动筛</w:t>
                            </w:r>
                          </w:p>
                        </w:txbxContent>
                      </wps:txbx>
                      <wps:bodyPr lIns="0" tIns="0" rIns="0" bIns="0" upright="1"/>
                    </wps:wsp>
                  </a:graphicData>
                </a:graphic>
              </wp:anchor>
            </w:drawing>
          </mc:Choice>
          <mc:Fallback>
            <w:pict>
              <v:shape id="_x0000_s1026" o:spid="_x0000_s1026" o:spt="202" type="#_x0000_t202" style="position:absolute;left:0pt;margin-left:102.95pt;margin-top:7pt;height:13.25pt;width:30.25pt;z-index:251697152;mso-width-relative:page;mso-height-relative:page;" filled="f" stroked="t" coordsize="21600,21600" o:gfxdata="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PrDZNkAAAAJAQAADwAAAAAAAAABACAAAAAi&#10;AAAAZHJzL2Rvd25yZXYueG1sUEsBAhQAFAAAAAgAh07iQH9izTPQAQAAnAMAAA4AAAAAAAAAAQAg&#10;AAAAKAEAAGRycy9lMm9Eb2MueG1sUEsFBgAAAAAGAAYAWQEAAGoFA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振动筛</w:t>
                      </w:r>
                    </w:p>
                  </w:txbxContent>
                </v:textbox>
              </v:shape>
            </w:pict>
          </mc:Fallback>
        </mc:AlternateContent>
      </w:r>
      <w:r>
        <w:rPr>
          <w:sz w:val="24"/>
          <w:highlight w:val="none"/>
        </w:rPr>
        <mc:AlternateContent>
          <mc:Choice Requires="wps">
            <w:drawing>
              <wp:anchor distT="0" distB="0" distL="114300" distR="114300" simplePos="0" relativeHeight="251696128" behindDoc="0" locked="0" layoutInCell="1" allowOverlap="1">
                <wp:simplePos x="0" y="0"/>
                <wp:positionH relativeFrom="column">
                  <wp:posOffset>1783715</wp:posOffset>
                </wp:positionH>
                <wp:positionV relativeFrom="paragraph">
                  <wp:posOffset>2540</wp:posOffset>
                </wp:positionV>
                <wp:extent cx="288290" cy="15875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288290" cy="158750"/>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废石</w:t>
                            </w:r>
                          </w:p>
                        </w:txbxContent>
                      </wps:txbx>
                      <wps:bodyPr lIns="0" tIns="0" rIns="0" bIns="0" upright="1"/>
                    </wps:wsp>
                  </a:graphicData>
                </a:graphic>
              </wp:anchor>
            </w:drawing>
          </mc:Choice>
          <mc:Fallback>
            <w:pict>
              <v:shape id="_x0000_s1026" o:spid="_x0000_s1026" o:spt="202" type="#_x0000_t202" style="position:absolute;left:0pt;margin-left:140.45pt;margin-top:0.2pt;height:12.5pt;width:22.7pt;z-index:251696128;mso-width-relative:page;mso-height-relative:page;" filled="f" stroked="f" coordsize="21600,21600" o:gfxdata="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w+IrtYAAAAHAQAADwAAAAAAAAABACAAAAAiAAAAZHJzL2Rvd25yZXYueG1sUEsBAhQA&#10;FAAAAAgAh07iQPFNHHy7AQAAcwMAAA4AAAAAAAAAAQAgAAAAJQEAAGRycy9lMm9Eb2MueG1sUEsF&#10;BgAAAAAGAAYAWQEAAFIFA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废石</w:t>
                      </w:r>
                    </w:p>
                  </w:txbxContent>
                </v:textbox>
              </v:shape>
            </w:pict>
          </mc:Fallback>
        </mc:AlternateContent>
      </w:r>
      <w:r>
        <w:rPr>
          <w:sz w:val="24"/>
          <w:highlight w:val="none"/>
        </w:rPr>
        <mc:AlternateContent>
          <mc:Choice Requires="wps">
            <w:drawing>
              <wp:anchor distT="0" distB="0" distL="114300" distR="114300" simplePos="0" relativeHeight="251695104" behindDoc="0" locked="0" layoutInCell="1" allowOverlap="1">
                <wp:simplePos x="0" y="0"/>
                <wp:positionH relativeFrom="column">
                  <wp:posOffset>1699895</wp:posOffset>
                </wp:positionH>
                <wp:positionV relativeFrom="paragraph">
                  <wp:posOffset>178435</wp:posOffset>
                </wp:positionV>
                <wp:extent cx="431800" cy="635"/>
                <wp:effectExtent l="0" t="38100" r="6350" b="37465"/>
                <wp:wrapNone/>
                <wp:docPr id="59" name="直接箭头连接符 59"/>
                <wp:cNvGraphicFramePr/>
                <a:graphic xmlns:a="http://schemas.openxmlformats.org/drawingml/2006/main">
                  <a:graphicData uri="http://schemas.microsoft.com/office/word/2010/wordprocessingShape">
                    <wps:wsp>
                      <wps:cNvCnPr/>
                      <wps:spPr>
                        <a:xfrm rot="10800000">
                          <a:off x="0" y="0"/>
                          <a:ext cx="431800"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3.85pt;margin-top:14.05pt;height:0.05pt;width:34pt;rotation:11796480f;z-index:251695104;mso-width-relative:page;mso-height-relative:page;" filled="f" stroked="t" coordsize="21600,21600" o:gfxdata="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3hMwvYAAAACQEAAA8AAAAAAAAAAQAgAAAAIgAAAGRy&#10;cy9kb3ducmV2LnhtbFBLAQIUABQAAAAIAIdO4kDkky5RBQIAANwDAAAOAAAAAAAAAAEAIAAAACcB&#10;AABkcnMvZTJvRG9jLnhtbFBLBQYAAAAABgAGAFkBAACeBQ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684864" behindDoc="0" locked="0" layoutInCell="1" allowOverlap="1">
                <wp:simplePos x="0" y="0"/>
                <wp:positionH relativeFrom="column">
                  <wp:posOffset>2118995</wp:posOffset>
                </wp:positionH>
                <wp:positionV relativeFrom="paragraph">
                  <wp:posOffset>120015</wp:posOffset>
                </wp:positionV>
                <wp:extent cx="320675" cy="157480"/>
                <wp:effectExtent l="4445" t="4445" r="17780" b="9525"/>
                <wp:wrapNone/>
                <wp:docPr id="23" name="文本框 23"/>
                <wp:cNvGraphicFramePr/>
                <a:graphic xmlns:a="http://schemas.openxmlformats.org/drawingml/2006/main">
                  <a:graphicData uri="http://schemas.microsoft.com/office/word/2010/wordprocessingShape">
                    <wps:wsp>
                      <wps:cNvSpPr txBox="1"/>
                      <wps:spPr>
                        <a:xfrm>
                          <a:off x="0" y="0"/>
                          <a:ext cx="320675" cy="157480"/>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干选</w:t>
                            </w:r>
                          </w:p>
                        </w:txbxContent>
                      </wps:txbx>
                      <wps:bodyPr lIns="0" tIns="0" rIns="0" bIns="0" upright="1"/>
                    </wps:wsp>
                  </a:graphicData>
                </a:graphic>
              </wp:anchor>
            </w:drawing>
          </mc:Choice>
          <mc:Fallback>
            <w:pict>
              <v:shape id="_x0000_s1026" o:spid="_x0000_s1026" o:spt="202" type="#_x0000_t202" style="position:absolute;left:0pt;margin-left:166.85pt;margin-top:9.45pt;height:12.4pt;width:25.25pt;z-index:251684864;mso-width-relative:page;mso-height-relative:page;" filled="f" stroked="t" coordsize="21600,21600" o:gfxdata="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AcGG02AAAAAkBAAAPAAAAAAAAAAEAIAAA&#10;ACIAAABkcnMvZG93bnJldi54bWxQSwECFAAUAAAACACHTuJAJKoDHtMBAACcAwAADgAAAAAAAAAB&#10;ACAAAAAnAQAAZHJzL2Uyb0RvYy54bWxQSwUGAAAAAAYABgBZAQAAbAU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干选</w:t>
                      </w:r>
                    </w:p>
                  </w:txbxContent>
                </v:textbox>
              </v:shape>
            </w:pict>
          </mc:Fallback>
        </mc:AlternateContent>
      </w:r>
    </w:p>
    <w:p>
      <w:pPr>
        <w:ind w:firstLine="480"/>
        <w:rPr>
          <w:sz w:val="24"/>
          <w:szCs w:val="24"/>
          <w:highlight w:val="none"/>
        </w:rPr>
      </w:pPr>
      <w:r>
        <w:rPr>
          <w:sz w:val="24"/>
          <w:highlight w:val="none"/>
        </w:rPr>
        <mc:AlternateContent>
          <mc:Choice Requires="wps">
            <w:drawing>
              <wp:anchor distT="0" distB="0" distL="114300" distR="114300" simplePos="0" relativeHeight="251723776" behindDoc="0" locked="0" layoutInCell="1" allowOverlap="1">
                <wp:simplePos x="0" y="0"/>
                <wp:positionH relativeFrom="column">
                  <wp:posOffset>1441450</wp:posOffset>
                </wp:positionH>
                <wp:positionV relativeFrom="paragraph">
                  <wp:posOffset>13335</wp:posOffset>
                </wp:positionV>
                <wp:extent cx="288290" cy="14795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筛下</w:t>
                            </w:r>
                          </w:p>
                        </w:txbxContent>
                      </wps:txbx>
                      <wps:bodyPr lIns="0" tIns="0" rIns="0" bIns="0" upright="1"/>
                    </wps:wsp>
                  </a:graphicData>
                </a:graphic>
              </wp:anchor>
            </w:drawing>
          </mc:Choice>
          <mc:Fallback>
            <w:pict>
              <v:shape id="_x0000_s1026" o:spid="_x0000_s1026" o:spt="202" type="#_x0000_t202" style="position:absolute;left:0pt;margin-left:113.5pt;margin-top:1.05pt;height:11.65pt;width:22.7pt;z-index:251723776;mso-width-relative:page;mso-height-relative:page;" filled="f" stroked="f" coordsize="21600,21600" o:gfxdata="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pWLmbXAAAACAEAAA8AAAAAAAAAAQAgAAAAIgAAAGRycy9kb3ducmV2LnhtbFBLAQIU&#10;ABQAAAAIAIdO4kC5rSYouwEAAHMDAAAOAAAAAAAAAAEAIAAAACY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筛下</w:t>
                      </w:r>
                    </w:p>
                  </w:txbxContent>
                </v:textbox>
              </v:shape>
            </w:pict>
          </mc:Fallback>
        </mc:AlternateContent>
      </w:r>
      <w:r>
        <w:rPr>
          <w:sz w:val="24"/>
          <w:highlight w:val="none"/>
        </w:rPr>
        <mc:AlternateContent>
          <mc:Choice Requires="wps">
            <w:drawing>
              <wp:anchor distT="0" distB="0" distL="114300" distR="114300" simplePos="0" relativeHeight="251703296" behindDoc="0" locked="0" layoutInCell="1" allowOverlap="1">
                <wp:simplePos x="0" y="0"/>
                <wp:positionH relativeFrom="column">
                  <wp:posOffset>1216660</wp:posOffset>
                </wp:positionH>
                <wp:positionV relativeFrom="paragraph">
                  <wp:posOffset>210185</wp:posOffset>
                </wp:positionV>
                <wp:extent cx="361315" cy="16954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361315" cy="16954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砂石料</w:t>
                            </w:r>
                          </w:p>
                        </w:txbxContent>
                      </wps:txbx>
                      <wps:bodyPr lIns="0" tIns="0" rIns="0" bIns="0" upright="1"/>
                    </wps:wsp>
                  </a:graphicData>
                </a:graphic>
              </wp:anchor>
            </w:drawing>
          </mc:Choice>
          <mc:Fallback>
            <w:pict>
              <v:shape id="_x0000_s1026" o:spid="_x0000_s1026" o:spt="202" type="#_x0000_t202" style="position:absolute;left:0pt;margin-left:95.8pt;margin-top:16.55pt;height:13.35pt;width:28.45pt;z-index:251703296;mso-width-relative:page;mso-height-relative:page;" filled="f" stroked="f" coordsize="21600,21600" o:gfxdata="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u8FgtkAAAAJAQAADwAAAAAAAAABACAAAAAiAAAAZHJzL2Rvd25yZXYueG1sUEsB&#10;AhQAFAAAAAgAh07iQFIKzEm7AQAAcwMAAA4AAAAAAAAAAQAgAAAAKAEAAGRycy9lMm9Eb2MueG1s&#10;UEsFBgAAAAAGAAYAWQEAAFUFA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砂石料</w:t>
                      </w:r>
                    </w:p>
                  </w:txbxContent>
                </v:textbox>
              </v:shape>
            </w:pict>
          </mc:Fallback>
        </mc:AlternateContent>
      </w:r>
      <w:r>
        <w:rPr>
          <w:sz w:val="24"/>
          <w:highlight w:val="none"/>
        </w:rPr>
        <mc:AlternateContent>
          <mc:Choice Requires="wps">
            <w:drawing>
              <wp:anchor distT="0" distB="0" distL="114300" distR="114300" simplePos="0" relativeHeight="251693056" behindDoc="0" locked="0" layoutInCell="1" allowOverlap="1">
                <wp:simplePos x="0" y="0"/>
                <wp:positionH relativeFrom="column">
                  <wp:posOffset>2630805</wp:posOffset>
                </wp:positionH>
                <wp:positionV relativeFrom="paragraph">
                  <wp:posOffset>142240</wp:posOffset>
                </wp:positionV>
                <wp:extent cx="288290" cy="14795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筛上</w:t>
                            </w:r>
                          </w:p>
                        </w:txbxContent>
                      </wps:txbx>
                      <wps:bodyPr lIns="0" tIns="0" rIns="0" bIns="0" upright="1"/>
                    </wps:wsp>
                  </a:graphicData>
                </a:graphic>
              </wp:anchor>
            </w:drawing>
          </mc:Choice>
          <mc:Fallback>
            <w:pict>
              <v:shape id="_x0000_s1026" o:spid="_x0000_s1026" o:spt="202" type="#_x0000_t202" style="position:absolute;left:0pt;margin-left:207.15pt;margin-top:11.2pt;height:11.65pt;width:22.7pt;z-index:251693056;mso-width-relative:page;mso-height-relative:page;" filled="f" stroked="f" coordsize="21600,21600" o:gfxdata="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lNRhtkAAAAJAQAADwAAAAAAAAABACAAAAAiAAAAZHJzL2Rvd25yZXYueG1sUEsB&#10;AhQAFAAAAAgAh07iQK2vADG7AQAAcwMAAA4AAAAAAAAAAQAgAAAAKAEAAGRycy9lMm9Eb2MueG1s&#10;UEsFBgAAAAAGAAYAWQEAAFUFA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筛上</w:t>
                      </w:r>
                    </w:p>
                  </w:txbxContent>
                </v:textbox>
              </v:shape>
            </w:pict>
          </mc:Fallback>
        </mc:AlternateContent>
      </w:r>
      <w:r>
        <w:rPr>
          <w:sz w:val="24"/>
          <w:highlight w:val="none"/>
        </w:rPr>
        <mc:AlternateContent>
          <mc:Choice Requires="wps">
            <w:drawing>
              <wp:anchor distT="0" distB="0" distL="114300" distR="114300" simplePos="0" relativeHeight="251689984" behindDoc="0" locked="0" layoutInCell="1" allowOverlap="1">
                <wp:simplePos x="0" y="0"/>
                <wp:positionH relativeFrom="column">
                  <wp:posOffset>3042920</wp:posOffset>
                </wp:positionH>
                <wp:positionV relativeFrom="paragraph">
                  <wp:posOffset>259080</wp:posOffset>
                </wp:positionV>
                <wp:extent cx="436880" cy="189865"/>
                <wp:effectExtent l="4445" t="4445" r="15875" b="15240"/>
                <wp:wrapNone/>
                <wp:docPr id="52" name="文本框 52"/>
                <wp:cNvGraphicFramePr/>
                <a:graphic xmlns:a="http://schemas.openxmlformats.org/drawingml/2006/main">
                  <a:graphicData uri="http://schemas.microsoft.com/office/word/2010/wordprocessingShape">
                    <wps:wsp>
                      <wps:cNvSpPr txBox="1"/>
                      <wps:spPr>
                        <a:xfrm>
                          <a:off x="0" y="0"/>
                          <a:ext cx="436880" cy="189865"/>
                        </a:xfrm>
                        <a:prstGeom prst="rect">
                          <a:avLst/>
                        </a:prstGeom>
                        <a:noFill/>
                        <a:ln>
                          <a:solidFill>
                            <a:schemeClr val="tx1"/>
                          </a:solidFill>
                        </a:ln>
                      </wps:spPr>
                      <wps:txbx>
                        <w:txbxContent>
                          <w:p>
                            <w:pPr>
                              <w:widowControl/>
                              <w:spacing w:line="240" w:lineRule="atLeast"/>
                              <w:ind w:firstLine="180" w:firstLineChars="100"/>
                              <w:textAlignment w:val="auto"/>
                              <w:rPr>
                                <w:sz w:val="18"/>
                                <w:szCs w:val="18"/>
                              </w:rPr>
                            </w:pPr>
                            <w:r>
                              <w:rPr>
                                <w:rFonts w:hint="eastAsia"/>
                                <w:sz w:val="18"/>
                                <w:szCs w:val="18"/>
                              </w:rPr>
                              <w:t>锤破</w:t>
                            </w:r>
                          </w:p>
                        </w:txbxContent>
                      </wps:txbx>
                      <wps:bodyPr lIns="0" tIns="0" rIns="0" bIns="0" upright="1"/>
                    </wps:wsp>
                  </a:graphicData>
                </a:graphic>
              </wp:anchor>
            </w:drawing>
          </mc:Choice>
          <mc:Fallback>
            <w:pict>
              <v:shape id="_x0000_s1026" o:spid="_x0000_s1026" o:spt="202" type="#_x0000_t202" style="position:absolute;left:0pt;margin-left:239.6pt;margin-top:20.4pt;height:14.95pt;width:34.4pt;z-index:251689984;mso-width-relative:page;mso-height-relative:page;" filled="f" stroked="t" coordsize="21600,21600" o:gfxdata="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VgdK62AAAAAkBAAAPAAAAAAAAAAEAIAAAACIA&#10;AABkcnMvZG93bnJldi54bWxQSwECFAAUAAAACACHTuJADbmhJdABAACcAwAADgAAAAAAAAABACAA&#10;AAAnAQAAZHJzL2Uyb0RvYy54bWxQSwUGAAAAAAYABgBZAQAAaQUAAAAA&#10;">
                <v:fill on="f" focussize="0,0"/>
                <v:stroke color="#000000 [3213]" joinstyle="round"/>
                <v:imagedata o:title=""/>
                <o:lock v:ext="edit" aspectratio="f"/>
                <v:textbox inset="0mm,0mm,0mm,0mm">
                  <w:txbxContent>
                    <w:p>
                      <w:pPr>
                        <w:widowControl/>
                        <w:spacing w:line="240" w:lineRule="atLeast"/>
                        <w:ind w:firstLine="180" w:firstLineChars="100"/>
                        <w:textAlignment w:val="auto"/>
                        <w:rPr>
                          <w:sz w:val="18"/>
                          <w:szCs w:val="18"/>
                        </w:rPr>
                      </w:pPr>
                      <w:r>
                        <w:rPr>
                          <w:rFonts w:hint="eastAsia"/>
                          <w:sz w:val="18"/>
                          <w:szCs w:val="18"/>
                        </w:rPr>
                        <w:t>锤破</w:t>
                      </w:r>
                    </w:p>
                  </w:txbxContent>
                </v:textbox>
              </v:shape>
            </w:pict>
          </mc:Fallback>
        </mc:AlternateContent>
      </w:r>
      <w:r>
        <w:rPr>
          <w:sz w:val="24"/>
          <w:highlight w:val="none"/>
        </w:rPr>
        <mc:AlternateContent>
          <mc:Choice Requires="wps">
            <w:drawing>
              <wp:anchor distT="0" distB="0" distL="114300" distR="114300" simplePos="0" relativeHeight="251686912" behindDoc="0" locked="0" layoutInCell="1" allowOverlap="1">
                <wp:simplePos x="0" y="0"/>
                <wp:positionH relativeFrom="column">
                  <wp:posOffset>2287905</wp:posOffset>
                </wp:positionH>
                <wp:positionV relativeFrom="paragraph">
                  <wp:posOffset>43180</wp:posOffset>
                </wp:positionV>
                <wp:extent cx="288290" cy="14795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矿石</w:t>
                            </w:r>
                          </w:p>
                        </w:txbxContent>
                      </wps:txbx>
                      <wps:bodyPr lIns="0" tIns="0" rIns="0" bIns="0" upright="1"/>
                    </wps:wsp>
                  </a:graphicData>
                </a:graphic>
              </wp:anchor>
            </w:drawing>
          </mc:Choice>
          <mc:Fallback>
            <w:pict>
              <v:shape id="_x0000_s1026" o:spid="_x0000_s1026" o:spt="202" type="#_x0000_t202" style="position:absolute;left:0pt;margin-left:180.15pt;margin-top:3.4pt;height:11.65pt;width:22.7pt;z-index:251686912;mso-width-relative:page;mso-height-relative:page;" filled="f" stroked="f" coordsize="21600,21600" o:gfxdata="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6QgKNYAAAAIAQAADwAAAAAAAAABACAAAAAiAAAAZHJzL2Rvd25yZXYueG1sUEsBAhQA&#10;FAAAAAgAh07iQHJrfPK7AQAAcwMAAA4AAAAAAAAAAQAgAAAAJQEAAGRycy9lMm9Eb2MueG1sUEsF&#10;BgAAAAAGAAYAWQEAAFIFA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矿石</w:t>
                      </w:r>
                    </w:p>
                  </w:txbxContent>
                </v:textbox>
              </v:shape>
            </w:pict>
          </mc:Fallback>
        </mc:AlternateContent>
      </w:r>
      <w:r>
        <w:rPr>
          <w:sz w:val="24"/>
          <w:highlight w:val="none"/>
        </w:rPr>
        <mc:AlternateContent>
          <mc:Choice Requires="wps">
            <w:drawing>
              <wp:anchor distT="0" distB="0" distL="114300" distR="114300" simplePos="0" relativeHeight="251685888" behindDoc="0" locked="0" layoutInCell="1" allowOverlap="1">
                <wp:simplePos x="0" y="0"/>
                <wp:positionH relativeFrom="column">
                  <wp:posOffset>2252980</wp:posOffset>
                </wp:positionH>
                <wp:positionV relativeFrom="paragraph">
                  <wp:posOffset>37465</wp:posOffset>
                </wp:positionV>
                <wp:extent cx="6350" cy="209550"/>
                <wp:effectExtent l="35560" t="0" r="34290" b="0"/>
                <wp:wrapNone/>
                <wp:docPr id="24" name="直接箭头连接符 24"/>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7.4pt;margin-top:2.95pt;height:16.5pt;width:0.5pt;z-index:251685888;mso-width-relative:page;mso-height-relative:page;" filled="f" stroked="t" coordsize="21600,21600" o:gfxdata="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ROwRNgAAAAIAQAADwAAAAAAAAABACAAAAAiAAAAZHJz&#10;L2Rvd25yZXYueG1sUEsBAhQAFAAAAAgAh07iQAYEdoEEAgAA2AMAAA4AAAAAAAAAAQAgAAAAJwEA&#10;AGRycy9lMm9Eb2MueG1sUEsFBgAAAAAGAAYAWQEAAJ0FAAAAAA==&#10;">
                <v:fill on="f" focussize="0,0"/>
                <v:stroke color="#000000 [3213]" joinstyle="round" endarrow="block"/>
                <v:imagedata o:title=""/>
                <o:lock v:ext="edit" aspectratio="f"/>
              </v:shape>
            </w:pict>
          </mc:Fallback>
        </mc:AlternateContent>
      </w:r>
    </w:p>
    <w:p>
      <w:pPr>
        <w:pStyle w:val="2"/>
        <w:ind w:firstLine="480"/>
        <w:rPr>
          <w:sz w:val="24"/>
          <w:szCs w:val="24"/>
          <w:highlight w:val="none"/>
        </w:rPr>
      </w:pPr>
      <w:r>
        <w:rPr>
          <w:sz w:val="24"/>
          <w:highlight w:val="none"/>
        </w:rPr>
        <mc:AlternateContent>
          <mc:Choice Requires="wps">
            <w:drawing>
              <wp:anchor distT="0" distB="0" distL="114300" distR="114300" simplePos="0" relativeHeight="251720704" behindDoc="0" locked="0" layoutInCell="1" allowOverlap="1">
                <wp:simplePos x="0" y="0"/>
                <wp:positionH relativeFrom="column">
                  <wp:posOffset>1524635</wp:posOffset>
                </wp:positionH>
                <wp:positionV relativeFrom="paragraph">
                  <wp:posOffset>22225</wp:posOffset>
                </wp:positionV>
                <wp:extent cx="404495" cy="14795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404495" cy="147955"/>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G6、N4</w:t>
                            </w:r>
                          </w:p>
                          <w:p>
                            <w:pPr>
                              <w:widowControl/>
                              <w:spacing w:line="240" w:lineRule="atLeast"/>
                              <w:ind w:firstLine="0" w:firstLineChars="0"/>
                              <w:textAlignment w:val="auto"/>
                              <w:rPr>
                                <w:color w:val="0000FF"/>
                                <w:sz w:val="15"/>
                                <w:szCs w:val="15"/>
                              </w:rPr>
                            </w:pPr>
                          </w:p>
                        </w:txbxContent>
                      </wps:txbx>
                      <wps:bodyPr lIns="0" tIns="0" rIns="0" bIns="0" upright="1"/>
                    </wps:wsp>
                  </a:graphicData>
                </a:graphic>
              </wp:anchor>
            </w:drawing>
          </mc:Choice>
          <mc:Fallback>
            <w:pict>
              <v:shape id="_x0000_s1026" o:spid="_x0000_s1026" o:spt="202" type="#_x0000_t202" style="position:absolute;left:0pt;margin-left:120.05pt;margin-top:1.75pt;height:11.65pt;width:31.85pt;z-index:251720704;mso-width-relative:page;mso-height-relative:page;" filled="f" stroked="f" coordsize="21600,21600" o:gfxdata="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dMwxPWAAAACAEAAA8AAAAAAAAAAQAgAAAAIgAAAGRycy9kb3ducmV2LnhtbFBLAQIU&#10;ABQAAAAIAIdO4kD9CtcYvAEAAHMDAAAOAAAAAAAAAAEAIAAAACU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G6、N4</w:t>
                      </w:r>
                    </w:p>
                    <w:p>
                      <w:pPr>
                        <w:widowControl/>
                        <w:spacing w:line="240" w:lineRule="atLeast"/>
                        <w:ind w:firstLine="0" w:firstLineChars="0"/>
                        <w:textAlignment w:val="auto"/>
                        <w:rPr>
                          <w:color w:val="0000FF"/>
                          <w:sz w:val="15"/>
                          <w:szCs w:val="15"/>
                        </w:rPr>
                      </w:pPr>
                    </w:p>
                  </w:txbxContent>
                </v:textbox>
              </v:shape>
            </w:pict>
          </mc:Fallback>
        </mc:AlternateContent>
      </w:r>
      <w:r>
        <w:rPr>
          <w:sz w:val="24"/>
          <w:highlight w:val="none"/>
        </w:rPr>
        <mc:AlternateContent>
          <mc:Choice Requires="wps">
            <w:drawing>
              <wp:anchor distT="0" distB="0" distL="114300" distR="114300" simplePos="0" relativeHeight="251722752" behindDoc="0" locked="0" layoutInCell="1" allowOverlap="1">
                <wp:simplePos x="0" y="0"/>
                <wp:positionH relativeFrom="column">
                  <wp:posOffset>1865630</wp:posOffset>
                </wp:positionH>
                <wp:positionV relativeFrom="paragraph">
                  <wp:posOffset>100965</wp:posOffset>
                </wp:positionV>
                <wp:extent cx="215900" cy="0"/>
                <wp:effectExtent l="0" t="38100" r="12700" b="38100"/>
                <wp:wrapNone/>
                <wp:docPr id="85" name="直接箭头连接符 85"/>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46.9pt;margin-top:7.95pt;height:0pt;width:17pt;z-index:251722752;mso-width-relative:page;mso-height-relative:page;" filled="f" stroked="t" coordsize="21600,21600" o:gfxdata="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jpg9zWAAAACQEAAA8AAAAAAAAAAQAgAAAAIgAAAGRycy9k&#10;b3ducmV2LnhtbFBLAQIUABQAAAAIAIdO4kAcmZfiBAIAANcDAAAOAAAAAAAAAAEAIAAAACUBAABk&#10;cnMvZTJvRG9jLnhtbFBLBQYAAAAABgAGAFkBAACbBQ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715584" behindDoc="0" locked="0" layoutInCell="1" allowOverlap="1">
                <wp:simplePos x="0" y="0"/>
                <wp:positionH relativeFrom="column">
                  <wp:posOffset>3852545</wp:posOffset>
                </wp:positionH>
                <wp:positionV relativeFrom="paragraph">
                  <wp:posOffset>32385</wp:posOffset>
                </wp:positionV>
                <wp:extent cx="331470" cy="13716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331470" cy="137160"/>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G7、N5</w:t>
                            </w:r>
                          </w:p>
                        </w:txbxContent>
                      </wps:txbx>
                      <wps:bodyPr lIns="0" tIns="0" rIns="0" bIns="0" upright="1"/>
                    </wps:wsp>
                  </a:graphicData>
                </a:graphic>
              </wp:anchor>
            </w:drawing>
          </mc:Choice>
          <mc:Fallback>
            <w:pict>
              <v:shape id="_x0000_s1026" o:spid="_x0000_s1026" o:spt="202" type="#_x0000_t202" style="position:absolute;left:0pt;margin-left:303.35pt;margin-top:2.55pt;height:10.8pt;width:26.1pt;z-index:251715584;mso-width-relative:page;mso-height-relative:page;" filled="f" stroked="f" coordsize="21600,21600" o:gfxdata="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L7MNtcAAAAIAQAADwAAAAAAAAABACAAAAAiAAAAZHJzL2Rvd25yZXYueG1sUEsBAhQA&#10;FAAAAAgAh07iQCX9uA66AQAAcwMAAA4AAAAAAAAAAQAgAAAAJgEAAGRycy9lMm9Eb2MueG1sUEsF&#10;BgAAAAAGAAYAWQEAAFIFA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G7、N5</w:t>
                      </w:r>
                    </w:p>
                  </w:txbxContent>
                </v:textbox>
              </v:shape>
            </w:pict>
          </mc:Fallback>
        </mc:AlternateContent>
      </w:r>
      <w:r>
        <w:rPr>
          <w:sz w:val="24"/>
          <w:highlight w:val="none"/>
        </w:rPr>
        <mc:AlternateContent>
          <mc:Choice Requires="wps">
            <w:drawing>
              <wp:anchor distT="0" distB="0" distL="114300" distR="114300" simplePos="0" relativeHeight="251712512" behindDoc="0" locked="0" layoutInCell="1" allowOverlap="1">
                <wp:simplePos x="0" y="0"/>
                <wp:positionH relativeFrom="column">
                  <wp:posOffset>3491230</wp:posOffset>
                </wp:positionH>
                <wp:positionV relativeFrom="paragraph">
                  <wp:posOffset>96520</wp:posOffset>
                </wp:positionV>
                <wp:extent cx="349250" cy="0"/>
                <wp:effectExtent l="0" t="38100" r="12700" b="38100"/>
                <wp:wrapNone/>
                <wp:docPr id="79" name="直接箭头连接符 79"/>
                <wp:cNvGraphicFramePr/>
                <a:graphic xmlns:a="http://schemas.openxmlformats.org/drawingml/2006/main">
                  <a:graphicData uri="http://schemas.microsoft.com/office/word/2010/wordprocessingShape">
                    <wps:wsp>
                      <wps:cNvCnPr/>
                      <wps:spPr>
                        <a:xfrm>
                          <a:off x="0" y="0"/>
                          <a:ext cx="34925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4.9pt;margin-top:7.6pt;height:0pt;width:27.5pt;z-index:251712512;mso-width-relative:page;mso-height-relative:page;" filled="f" stroked="t" coordsize="21600,21600" o:gfxdata="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6nWmvXAAAACQEAAA8AAAAAAAAAAQAgAAAAIgAAAGRycy9kb3ducmV2&#10;LnhtbFBLAQIUABQAAAAIAIdO4kDm/ZwL/QEAAM0DAAAOAAAAAAAAAAEAIAAAACYBAABkcnMvZTJv&#10;RG9jLnhtbFBLBQYAAAAABgAGAFkBAACVBQ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692032" behindDoc="0" locked="0" layoutInCell="1" allowOverlap="1">
                <wp:simplePos x="0" y="0"/>
                <wp:positionH relativeFrom="column">
                  <wp:posOffset>2474595</wp:posOffset>
                </wp:positionH>
                <wp:positionV relativeFrom="paragraph">
                  <wp:posOffset>135890</wp:posOffset>
                </wp:positionV>
                <wp:extent cx="572135" cy="635"/>
                <wp:effectExtent l="0" t="38100" r="18415" b="37465"/>
                <wp:wrapNone/>
                <wp:docPr id="55" name="直接箭头连接符 55"/>
                <wp:cNvGraphicFramePr/>
                <a:graphic xmlns:a="http://schemas.openxmlformats.org/drawingml/2006/main">
                  <a:graphicData uri="http://schemas.microsoft.com/office/word/2010/wordprocessingShape">
                    <wps:wsp>
                      <wps:cNvCnPr/>
                      <wps:spPr>
                        <a:xfrm rot="10800000">
                          <a:off x="0" y="0"/>
                          <a:ext cx="572135"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85pt;margin-top:10.7pt;height:0.05pt;width:45.05pt;rotation:11796480f;z-index:251692032;mso-width-relative:page;mso-height-relative:page;" filled="f" stroked="t" coordsize="21600,21600" o:gfxdata="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3sco2AAAAAkBAAAPAAAAAAAAAAEAIAAAACIAAABkcnMv&#10;ZG93bnJldi54bWxQSwECFAAUAAAACACHTuJAwhcIBgMCAADcAwAADgAAAAAAAAABACAAAAAnAQAA&#10;ZHJzL2Uyb0RvYy54bWxQSwUGAAAAAAYABgBZAQAAnAU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691008" behindDoc="0" locked="0" layoutInCell="1" allowOverlap="1">
                <wp:simplePos x="0" y="0"/>
                <wp:positionH relativeFrom="column">
                  <wp:posOffset>2470785</wp:posOffset>
                </wp:positionH>
                <wp:positionV relativeFrom="paragraph">
                  <wp:posOffset>46990</wp:posOffset>
                </wp:positionV>
                <wp:extent cx="572135" cy="635"/>
                <wp:effectExtent l="0" t="37465" r="18415" b="38100"/>
                <wp:wrapNone/>
                <wp:docPr id="54" name="直接箭头连接符 54"/>
                <wp:cNvGraphicFramePr/>
                <a:graphic xmlns:a="http://schemas.openxmlformats.org/drawingml/2006/main">
                  <a:graphicData uri="http://schemas.microsoft.com/office/word/2010/wordprocessingShape">
                    <wps:wsp>
                      <wps:cNvCnPr/>
                      <wps:spPr>
                        <a:xfrm>
                          <a:off x="3613785" y="2773045"/>
                          <a:ext cx="572135"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55pt;margin-top:3.7pt;height:0.05pt;width:45.05pt;z-index:251691008;mso-width-relative:page;mso-height-relative:page;" filled="f" stroked="t" coordsize="21600,21600" o:gfxdata="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MP24NgAAAAHAQAADwAAAAAAAAABACAAAAAi&#10;AAAAZHJzL2Rvd25yZXYueG1sUEsBAhQAFAAAAAgAh07iQGKbELcKAgAA2QMAAA4AAAAAAAAAAQAg&#10;AAAAJwEAAGRycy9lMm9Eb2MueG1sUEsFBgAAAAAGAAYAWQEAAKMFA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688960" behindDoc="0" locked="0" layoutInCell="1" allowOverlap="1">
                <wp:simplePos x="0" y="0"/>
                <wp:positionH relativeFrom="column">
                  <wp:posOffset>2246630</wp:posOffset>
                </wp:positionH>
                <wp:positionV relativeFrom="paragraph">
                  <wp:posOffset>170180</wp:posOffset>
                </wp:positionV>
                <wp:extent cx="635" cy="288290"/>
                <wp:effectExtent l="38100" t="0" r="37465" b="16510"/>
                <wp:wrapNone/>
                <wp:docPr id="47" name="直接箭头连接符 47"/>
                <wp:cNvGraphicFramePr/>
                <a:graphic xmlns:a="http://schemas.openxmlformats.org/drawingml/2006/main">
                  <a:graphicData uri="http://schemas.microsoft.com/office/word/2010/wordprocessingShape">
                    <wps:wsp>
                      <wps:cNvCnPr/>
                      <wps:spPr>
                        <a:xfrm flipH="1">
                          <a:off x="0" y="0"/>
                          <a:ext cx="635" cy="288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6.9pt;margin-top:13.4pt;height:22.7pt;width:0.05pt;z-index:251688960;mso-width-relative:page;mso-height-relative:page;" filled="f" stroked="t" coordsize="21600,21600" o:gfxdata="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&#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MbEjZAAAACQEAAA8AAAAAAAAAAQAgAAAAIgAAAGRy&#10;cy9kb3ducmV2LnhtbFBLAQIUABQAAAAIAIdO4kDLyBlgBAIAANcDAAAOAAAAAAAAAAEAIAAAACgB&#10;AABkcnMvZTJvRG9jLnhtbFBLBQYAAAAABgAGAFkBAACeBQ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687936" behindDoc="0" locked="0" layoutInCell="1" allowOverlap="1">
                <wp:simplePos x="0" y="0"/>
                <wp:positionH relativeFrom="column">
                  <wp:posOffset>2086610</wp:posOffset>
                </wp:positionH>
                <wp:positionV relativeFrom="paragraph">
                  <wp:posOffset>3175</wp:posOffset>
                </wp:positionV>
                <wp:extent cx="384175" cy="168275"/>
                <wp:effectExtent l="4445" t="4445" r="11430" b="17780"/>
                <wp:wrapNone/>
                <wp:docPr id="46" name="文本框 46"/>
                <wp:cNvGraphicFramePr/>
                <a:graphic xmlns:a="http://schemas.openxmlformats.org/drawingml/2006/main">
                  <a:graphicData uri="http://schemas.microsoft.com/office/word/2010/wordprocessingShape">
                    <wps:wsp>
                      <wps:cNvSpPr txBox="1"/>
                      <wps:spPr>
                        <a:xfrm>
                          <a:off x="0" y="0"/>
                          <a:ext cx="384175" cy="168275"/>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振动筛</w:t>
                            </w:r>
                          </w:p>
                        </w:txbxContent>
                      </wps:txbx>
                      <wps:bodyPr lIns="0" tIns="0" rIns="0" bIns="0" upright="1"/>
                    </wps:wsp>
                  </a:graphicData>
                </a:graphic>
              </wp:anchor>
            </w:drawing>
          </mc:Choice>
          <mc:Fallback>
            <w:pict>
              <v:shape id="_x0000_s1026" o:spid="_x0000_s1026" o:spt="202" type="#_x0000_t202" style="position:absolute;left:0pt;margin-left:164.3pt;margin-top:0.25pt;height:13.25pt;width:30.25pt;z-index:251687936;mso-width-relative:page;mso-height-relative:page;" filled="f" stroked="t" coordsize="21600,21600" o:gfxdata="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1eam7XAAAABwEAAA8AAAAAAAAAAQAgAAAAIgAA&#10;AGRycy9kb3ducmV2LnhtbFBLAQIUABQAAAAIAIdO4kBtkzqB0AEAAJwDAAAOAAAAAAAAAAEAIAAA&#10;ACYBAABkcnMvZTJvRG9jLnhtbFBLBQYAAAAABgAGAFkBAABoBQ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振动筛</w:t>
                      </w:r>
                    </w:p>
                  </w:txbxContent>
                </v:textbox>
              </v:shape>
            </w:pict>
          </mc:Fallback>
        </mc:AlternateContent>
      </w:r>
    </w:p>
    <w:p>
      <w:pPr>
        <w:ind w:firstLine="480"/>
        <w:rPr>
          <w:highlight w:val="none"/>
        </w:rPr>
      </w:pPr>
      <w:r>
        <w:rPr>
          <w:sz w:val="24"/>
          <w:highlight w:val="none"/>
        </w:rPr>
        <mc:AlternateContent>
          <mc:Choice Requires="wps">
            <w:drawing>
              <wp:anchor distT="0" distB="0" distL="114300" distR="114300" simplePos="0" relativeHeight="251694080" behindDoc="0" locked="0" layoutInCell="1" allowOverlap="1">
                <wp:simplePos x="0" y="0"/>
                <wp:positionH relativeFrom="column">
                  <wp:posOffset>2273935</wp:posOffset>
                </wp:positionH>
                <wp:positionV relativeFrom="paragraph">
                  <wp:posOffset>68580</wp:posOffset>
                </wp:positionV>
                <wp:extent cx="288290" cy="14795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筛下</w:t>
                            </w:r>
                          </w:p>
                        </w:txbxContent>
                      </wps:txbx>
                      <wps:bodyPr lIns="0" tIns="0" rIns="0" bIns="0" upright="1"/>
                    </wps:wsp>
                  </a:graphicData>
                </a:graphic>
              </wp:anchor>
            </w:drawing>
          </mc:Choice>
          <mc:Fallback>
            <w:pict>
              <v:shape id="_x0000_s1026" o:spid="_x0000_s1026" o:spt="202" type="#_x0000_t202" style="position:absolute;left:0pt;margin-left:179.05pt;margin-top:5.4pt;height:11.65pt;width:22.7pt;z-index:251694080;mso-width-relative:page;mso-height-relative:page;" filled="f" stroked="f" coordsize="21600,21600" o:gfxdata="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xvBWXXAAAACQEAAA8AAAAAAAAAAQAgAAAAIgAAAGRycy9kb3ducmV2LnhtbFBLAQIU&#10;ABQAAAAIAIdO4kBo0z7puwEAAHMDAAAOAAAAAAAAAAEAIAAAACY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筛下</w:t>
                      </w:r>
                    </w:p>
                  </w:txbxContent>
                </v:textbox>
              </v:shape>
            </w:pict>
          </mc:Fallback>
        </mc:AlternateContent>
      </w:r>
    </w:p>
    <w:p>
      <w:pPr>
        <w:pStyle w:val="2"/>
        <w:ind w:firstLine="480"/>
        <w:rPr>
          <w:highlight w:val="none"/>
        </w:rPr>
      </w:pPr>
      <w:r>
        <w:rPr>
          <w:sz w:val="24"/>
          <w:highlight w:val="none"/>
        </w:rPr>
        <mc:AlternateContent>
          <mc:Choice Requires="wps">
            <w:drawing>
              <wp:anchor distT="0" distB="0" distL="114300" distR="114300" simplePos="0" relativeHeight="251721728" behindDoc="0" locked="0" layoutInCell="1" allowOverlap="1">
                <wp:simplePos x="0" y="0"/>
                <wp:positionH relativeFrom="column">
                  <wp:posOffset>2819400</wp:posOffset>
                </wp:positionH>
                <wp:positionV relativeFrom="paragraph">
                  <wp:posOffset>11430</wp:posOffset>
                </wp:positionV>
                <wp:extent cx="331470" cy="13716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331470" cy="137160"/>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G8</w:t>
                            </w:r>
                          </w:p>
                        </w:txbxContent>
                      </wps:txbx>
                      <wps:bodyPr lIns="0" tIns="0" rIns="0" bIns="0" upright="1"/>
                    </wps:wsp>
                  </a:graphicData>
                </a:graphic>
              </wp:anchor>
            </w:drawing>
          </mc:Choice>
          <mc:Fallback>
            <w:pict>
              <v:shape id="_x0000_s1026" o:spid="_x0000_s1026" o:spt="202" type="#_x0000_t202" style="position:absolute;left:0pt;margin-left:222pt;margin-top:0.9pt;height:10.8pt;width:26.1pt;z-index:251721728;mso-width-relative:page;mso-height-relative:page;" filled="f" stroked="f" coordsize="21600,21600" o:gfxdata="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uN54vXAAAACAEAAA8AAAAAAAAAAQAgAAAAIgAAAGRycy9kb3ducmV2LnhtbFBLAQIU&#10;ABQAAAAIAIdO4kCjiVA9uwEAAHMDAAAOAAAAAAAAAAEAIAAAACY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G8</w:t>
                      </w:r>
                    </w:p>
                  </w:txbxContent>
                </v:textbox>
              </v:shape>
            </w:pict>
          </mc:Fallback>
        </mc:AlternateContent>
      </w:r>
      <w:r>
        <w:rPr>
          <w:sz w:val="24"/>
          <w:highlight w:val="none"/>
        </w:rPr>
        <mc:AlternateContent>
          <mc:Choice Requires="wps">
            <w:drawing>
              <wp:anchor distT="0" distB="0" distL="114300" distR="114300" simplePos="0" relativeHeight="251724800" behindDoc="0" locked="0" layoutInCell="1" allowOverlap="1">
                <wp:simplePos x="0" y="0"/>
                <wp:positionH relativeFrom="column">
                  <wp:posOffset>2458720</wp:posOffset>
                </wp:positionH>
                <wp:positionV relativeFrom="paragraph">
                  <wp:posOffset>85725</wp:posOffset>
                </wp:positionV>
                <wp:extent cx="349250" cy="0"/>
                <wp:effectExtent l="0" t="38100" r="12700" b="38100"/>
                <wp:wrapNone/>
                <wp:docPr id="90" name="直接箭头连接符 90"/>
                <wp:cNvGraphicFramePr/>
                <a:graphic xmlns:a="http://schemas.openxmlformats.org/drawingml/2006/main">
                  <a:graphicData uri="http://schemas.microsoft.com/office/word/2010/wordprocessingShape">
                    <wps:wsp>
                      <wps:cNvCnPr/>
                      <wps:spPr>
                        <a:xfrm>
                          <a:off x="0" y="0"/>
                          <a:ext cx="34925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3.6pt;margin-top:6.75pt;height:0pt;width:27.5pt;z-index:251724800;mso-width-relative:page;mso-height-relative:page;" filled="f" stroked="t" coordsize="21600,21600" o:gfxdata="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joyBdcAAAAJAQAADwAAAAAAAAABACAAAAAiAAAAZHJzL2Rvd25yZXYu&#10;eG1sUEsBAhQAFAAAAAgAh07iQCWjvFP8AQAAzQMAAA4AAAAAAAAAAQAgAAAAJgEAAGRycy9lMm9E&#10;b2MueG1sUEsFBgAAAAAGAAYAWQEAAJQFAAAAAA==&#10;">
                <v:fill on="f" focussize="0,0"/>
                <v:stroke weight="1pt" color="#0070C0 [3204]" joinstyle="round" dashstyle="longDash" endarrow="block"/>
                <v:imagedata o:title=""/>
                <o:lock v:ext="edit" aspectratio="f"/>
              </v:shape>
            </w:pict>
          </mc:Fallback>
        </mc:AlternateContent>
      </w:r>
      <w:r>
        <w:rPr>
          <w:highlight w:val="none"/>
        </w:rPr>
        <w:drawing>
          <wp:anchor distT="0" distB="0" distL="114300" distR="114300" simplePos="0" relativeHeight="251705344" behindDoc="0" locked="0" layoutInCell="1" allowOverlap="1">
            <wp:simplePos x="0" y="0"/>
            <wp:positionH relativeFrom="column">
              <wp:posOffset>664210</wp:posOffset>
            </wp:positionH>
            <wp:positionV relativeFrom="paragraph">
              <wp:posOffset>187325</wp:posOffset>
            </wp:positionV>
            <wp:extent cx="4324350" cy="3557905"/>
            <wp:effectExtent l="0" t="0" r="0" b="0"/>
            <wp:wrapNone/>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33"/>
                    <a:srcRect t="44079" b="583"/>
                    <a:stretch>
                      <a:fillRect/>
                    </a:stretch>
                  </pic:blipFill>
                  <pic:spPr>
                    <a:xfrm>
                      <a:off x="0" y="0"/>
                      <a:ext cx="4324350" cy="3557905"/>
                    </a:xfrm>
                    <a:prstGeom prst="roundRect">
                      <a:avLst/>
                    </a:prstGeom>
                    <a:noFill/>
                    <a:ln>
                      <a:noFill/>
                    </a:ln>
                  </pic:spPr>
                </pic:pic>
              </a:graphicData>
            </a:graphic>
          </wp:anchor>
        </w:drawing>
      </w:r>
      <w:r>
        <w:rPr>
          <w:sz w:val="24"/>
          <w:highlight w:val="none"/>
        </w:rPr>
        <mc:AlternateContent>
          <mc:Choice Requires="wps">
            <w:drawing>
              <wp:anchor distT="0" distB="0" distL="114300" distR="114300" simplePos="0" relativeHeight="251704320" behindDoc="0" locked="0" layoutInCell="1" allowOverlap="1">
                <wp:simplePos x="0" y="0"/>
                <wp:positionH relativeFrom="column">
                  <wp:posOffset>2069465</wp:posOffset>
                </wp:positionH>
                <wp:positionV relativeFrom="paragraph">
                  <wp:posOffset>1905</wp:posOffset>
                </wp:positionV>
                <wp:extent cx="384175" cy="168275"/>
                <wp:effectExtent l="4445" t="4445" r="11430" b="17780"/>
                <wp:wrapNone/>
                <wp:docPr id="72" name="文本框 72"/>
                <wp:cNvGraphicFramePr/>
                <a:graphic xmlns:a="http://schemas.openxmlformats.org/drawingml/2006/main">
                  <a:graphicData uri="http://schemas.microsoft.com/office/word/2010/wordprocessingShape">
                    <wps:wsp>
                      <wps:cNvSpPr txBox="1"/>
                      <wps:spPr>
                        <a:xfrm>
                          <a:off x="0" y="0"/>
                          <a:ext cx="384175" cy="168275"/>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中转仓</w:t>
                            </w:r>
                          </w:p>
                        </w:txbxContent>
                      </wps:txbx>
                      <wps:bodyPr lIns="0" tIns="0" rIns="0" bIns="0" upright="1"/>
                    </wps:wsp>
                  </a:graphicData>
                </a:graphic>
              </wp:anchor>
            </w:drawing>
          </mc:Choice>
          <mc:Fallback>
            <w:pict>
              <v:shape id="_x0000_s1026" o:spid="_x0000_s1026" o:spt="202" type="#_x0000_t202" style="position:absolute;left:0pt;margin-left:162.95pt;margin-top:0.15pt;height:13.25pt;width:30.25pt;z-index:251704320;mso-width-relative:page;mso-height-relative:page;" filled="f" stroked="t" coordsize="21600,21600" o:gfxdata="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9TzwNcAAAAHAQAADwAAAAAAAAABACAAAAAiAAAA&#10;ZHJzL2Rvd25yZXYueG1sUEsBAhQAFAAAAAgAh07iQABbdFnPAQAAnAMAAA4AAAAAAAAAAQAgAAAA&#10;JgEAAGRycy9lMm9Eb2MueG1sUEsFBgAAAAAGAAYAWQEAAGcFA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中转仓</w:t>
                      </w:r>
                    </w:p>
                  </w:txbxContent>
                </v:textbox>
              </v:shape>
            </w:pict>
          </mc:Fallback>
        </mc:AlternateContent>
      </w:r>
    </w:p>
    <w:p>
      <w:pPr>
        <w:ind w:firstLine="480"/>
        <w:rPr>
          <w:highlight w:val="none"/>
        </w:rPr>
      </w:pPr>
      <w:r>
        <w:rPr>
          <w:sz w:val="24"/>
          <w:highlight w:val="none"/>
        </w:rPr>
        <mc:AlternateContent>
          <mc:Choice Requires="wps">
            <w:drawing>
              <wp:anchor distT="0" distB="0" distL="114300" distR="114300" simplePos="0" relativeHeight="251716608" behindDoc="0" locked="0" layoutInCell="1" allowOverlap="1">
                <wp:simplePos x="0" y="0"/>
                <wp:positionH relativeFrom="column">
                  <wp:posOffset>2724150</wp:posOffset>
                </wp:positionH>
                <wp:positionV relativeFrom="paragraph">
                  <wp:posOffset>187960</wp:posOffset>
                </wp:positionV>
                <wp:extent cx="331470" cy="13716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331470" cy="137160"/>
                        </a:xfrm>
                        <a:prstGeom prst="rect">
                          <a:avLst/>
                        </a:prstGeom>
                        <a:solidFill>
                          <a:schemeClr val="bg1"/>
                        </a:solid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N6</w:t>
                            </w:r>
                          </w:p>
                        </w:txbxContent>
                      </wps:txbx>
                      <wps:bodyPr lIns="0" tIns="0" rIns="0" bIns="0" upright="1"/>
                    </wps:wsp>
                  </a:graphicData>
                </a:graphic>
              </wp:anchor>
            </w:drawing>
          </mc:Choice>
          <mc:Fallback>
            <w:pict>
              <v:shape id="_x0000_s1026" o:spid="_x0000_s1026" o:spt="202" type="#_x0000_t202" style="position:absolute;left:0pt;margin-left:214.5pt;margin-top:14.8pt;height:10.8pt;width:26.1pt;z-index:251716608;mso-width-relative:page;mso-height-relative:page;" fillcolor="#FFFFFF [3212]" filled="t" stroked="f" coordsize="21600,21600" o:gfxdata="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N8A99kAAAAJAQAADwAAAAAAAAABACAAAAAi&#10;AAAAZHJzL2Rvd25yZXYueG1sUEsBAhQAFAAAAAgAh07iQMViH5LQAQAAnAMAAA4AAAAAAAAAAQAg&#10;AAAAKAEAAGRycy9lMm9Eb2MueG1sUEsFBgAAAAAGAAYAWQEAAGoFAAAAAA==&#10;">
                <v:fill on="t"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N6</w:t>
                      </w:r>
                    </w:p>
                  </w:txbxContent>
                </v:textbox>
              </v:shape>
            </w:pict>
          </mc:Fallback>
        </mc:AlternateContent>
      </w:r>
    </w:p>
    <w:p>
      <w:pPr>
        <w:pStyle w:val="55"/>
        <w:ind w:left="560" w:firstLine="480"/>
        <w:rPr>
          <w:sz w:val="24"/>
          <w:highlight w:val="none"/>
        </w:rPr>
      </w:pPr>
    </w:p>
    <w:p>
      <w:pPr>
        <w:ind w:firstLine="480"/>
        <w:rPr>
          <w:sz w:val="24"/>
          <w:szCs w:val="24"/>
          <w:highlight w:val="none"/>
        </w:rPr>
      </w:pPr>
      <w:r>
        <w:rPr>
          <w:sz w:val="24"/>
          <w:highlight w:val="none"/>
        </w:rPr>
        <mc:AlternateContent>
          <mc:Choice Requires="wps">
            <w:drawing>
              <wp:anchor distT="0" distB="0" distL="114300" distR="114300" simplePos="0" relativeHeight="251718656" behindDoc="0" locked="0" layoutInCell="1" allowOverlap="1">
                <wp:simplePos x="0" y="0"/>
                <wp:positionH relativeFrom="column">
                  <wp:posOffset>2485390</wp:posOffset>
                </wp:positionH>
                <wp:positionV relativeFrom="paragraph">
                  <wp:posOffset>100965</wp:posOffset>
                </wp:positionV>
                <wp:extent cx="404495" cy="168910"/>
                <wp:effectExtent l="0" t="0" r="14605" b="2540"/>
                <wp:wrapNone/>
                <wp:docPr id="89" name="文本框 89"/>
                <wp:cNvGraphicFramePr/>
                <a:graphic xmlns:a="http://schemas.openxmlformats.org/drawingml/2006/main">
                  <a:graphicData uri="http://schemas.microsoft.com/office/word/2010/wordprocessingShape">
                    <wps:wsp>
                      <wps:cNvSpPr txBox="1"/>
                      <wps:spPr>
                        <a:xfrm>
                          <a:off x="0" y="0"/>
                          <a:ext cx="404495" cy="168910"/>
                        </a:xfrm>
                        <a:prstGeom prst="rect">
                          <a:avLst/>
                        </a:prstGeom>
                        <a:solidFill>
                          <a:schemeClr val="bg1"/>
                        </a:solidFill>
                        <a:ln>
                          <a:noFill/>
                        </a:ln>
                      </wps:spPr>
                      <wps:txbx>
                        <w:txbxContent>
                          <w:p>
                            <w:pPr>
                              <w:widowControl/>
                              <w:spacing w:line="240" w:lineRule="atLeast"/>
                              <w:ind w:firstLine="0" w:firstLineChars="0"/>
                              <w:textAlignment w:val="auto"/>
                              <w:rPr>
                                <w:color w:val="0000FF"/>
                                <w:sz w:val="15"/>
                                <w:szCs w:val="15"/>
                              </w:rPr>
                            </w:pPr>
                          </w:p>
                        </w:txbxContent>
                      </wps:txbx>
                      <wps:bodyPr lIns="0" tIns="0" rIns="0" bIns="0" upright="1"/>
                    </wps:wsp>
                  </a:graphicData>
                </a:graphic>
              </wp:anchor>
            </w:drawing>
          </mc:Choice>
          <mc:Fallback>
            <w:pict>
              <v:shape id="_x0000_s1026" o:spid="_x0000_s1026" o:spt="202" type="#_x0000_t202" style="position:absolute;left:0pt;margin-left:195.7pt;margin-top:7.95pt;height:13.3pt;width:31.85pt;z-index:251718656;mso-width-relative:page;mso-height-relative:page;" fillcolor="#FFFFFF [3212]" filled="t" stroked="f" coordsize="21600,21600" o:gfxdata="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SuGsjYAAAACQEAAA8AAAAAAAAAAQAgAAAA&#10;IgAAAGRycy9kb3ducmV2LnhtbFBLAQIUABQAAAAIAIdO4kCVzRrx0gEAAJwDAAAOAAAAAAAAAAEA&#10;IAAAACcBAABkcnMvZTJvRG9jLnhtbFBLBQYAAAAABgAGAFkBAABrBQAAAAA=&#10;">
                <v:fill on="t"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p>
                  </w:txbxContent>
                </v:textbox>
              </v:shape>
            </w:pict>
          </mc:Fallback>
        </mc:AlternateContent>
      </w:r>
    </w:p>
    <w:p>
      <w:pPr>
        <w:pStyle w:val="2"/>
        <w:ind w:firstLine="480"/>
        <w:rPr>
          <w:sz w:val="24"/>
          <w:szCs w:val="24"/>
          <w:highlight w:val="none"/>
        </w:rPr>
      </w:pPr>
    </w:p>
    <w:p>
      <w:pPr>
        <w:ind w:firstLine="480"/>
        <w:rPr>
          <w:sz w:val="24"/>
          <w:szCs w:val="24"/>
          <w:highlight w:val="none"/>
        </w:rPr>
      </w:pPr>
    </w:p>
    <w:p>
      <w:pPr>
        <w:pStyle w:val="2"/>
        <w:ind w:firstLine="480"/>
        <w:rPr>
          <w:sz w:val="24"/>
          <w:szCs w:val="24"/>
          <w:highlight w:val="none"/>
        </w:rPr>
      </w:pPr>
    </w:p>
    <w:p>
      <w:pPr>
        <w:ind w:firstLine="480"/>
        <w:rPr>
          <w:sz w:val="24"/>
          <w:szCs w:val="24"/>
          <w:highlight w:val="none"/>
        </w:rPr>
      </w:pPr>
    </w:p>
    <w:p>
      <w:pPr>
        <w:pStyle w:val="2"/>
        <w:ind w:firstLine="480"/>
        <w:rPr>
          <w:sz w:val="24"/>
          <w:szCs w:val="24"/>
          <w:highlight w:val="none"/>
        </w:rPr>
      </w:pPr>
    </w:p>
    <w:p>
      <w:pPr>
        <w:ind w:firstLine="480"/>
        <w:rPr>
          <w:sz w:val="24"/>
          <w:szCs w:val="24"/>
          <w:highlight w:val="none"/>
        </w:rPr>
      </w:pPr>
    </w:p>
    <w:p>
      <w:pPr>
        <w:pStyle w:val="2"/>
        <w:ind w:firstLine="480"/>
        <w:rPr>
          <w:sz w:val="24"/>
          <w:szCs w:val="24"/>
          <w:highlight w:val="none"/>
        </w:rPr>
      </w:pPr>
    </w:p>
    <w:p>
      <w:pPr>
        <w:ind w:firstLine="480"/>
        <w:rPr>
          <w:sz w:val="24"/>
          <w:szCs w:val="24"/>
          <w:highlight w:val="none"/>
        </w:rPr>
      </w:pPr>
    </w:p>
    <w:p>
      <w:pPr>
        <w:pStyle w:val="2"/>
        <w:ind w:firstLine="480"/>
        <w:rPr>
          <w:sz w:val="24"/>
          <w:szCs w:val="24"/>
          <w:highlight w:val="none"/>
        </w:rPr>
      </w:pPr>
    </w:p>
    <w:p>
      <w:pPr>
        <w:ind w:firstLine="480"/>
        <w:rPr>
          <w:sz w:val="24"/>
          <w:szCs w:val="24"/>
          <w:highlight w:val="none"/>
        </w:rPr>
      </w:pPr>
    </w:p>
    <w:p>
      <w:pPr>
        <w:pStyle w:val="2"/>
        <w:ind w:firstLine="560"/>
        <w:rPr>
          <w:highlight w:val="none"/>
        </w:rPr>
      </w:pPr>
    </w:p>
    <w:p>
      <w:pPr>
        <w:pStyle w:val="3"/>
        <w:rPr>
          <w:highlight w:val="none"/>
        </w:rPr>
      </w:pPr>
    </w:p>
    <w:p>
      <w:pPr>
        <w:pStyle w:val="55"/>
        <w:ind w:left="560" w:firstLine="480"/>
        <w:rPr>
          <w:rFonts w:eastAsia="黑体"/>
          <w:szCs w:val="21"/>
          <w:highlight w:val="none"/>
        </w:rPr>
      </w:pPr>
      <w:r>
        <w:rPr>
          <w:sz w:val="24"/>
          <w:highlight w:val="none"/>
        </w:rPr>
        <mc:AlternateContent>
          <mc:Choice Requires="wps">
            <w:drawing>
              <wp:anchor distT="0" distB="0" distL="114300" distR="114300" simplePos="0" relativeHeight="251677696" behindDoc="0" locked="0" layoutInCell="1" allowOverlap="1">
                <wp:simplePos x="0" y="0"/>
                <wp:positionH relativeFrom="column">
                  <wp:posOffset>3261360</wp:posOffset>
                </wp:positionH>
                <wp:positionV relativeFrom="paragraph">
                  <wp:posOffset>4490085</wp:posOffset>
                </wp:positionV>
                <wp:extent cx="835660" cy="201930"/>
                <wp:effectExtent l="0" t="0" r="2540" b="7620"/>
                <wp:wrapNone/>
                <wp:docPr id="1" name="文本框 1"/>
                <wp:cNvGraphicFramePr/>
                <a:graphic xmlns:a="http://schemas.openxmlformats.org/drawingml/2006/main">
                  <a:graphicData uri="http://schemas.microsoft.com/office/word/2010/wordprocessingShape">
                    <wps:wsp>
                      <wps:cNvSpPr txBox="1"/>
                      <wps:spPr>
                        <a:xfrm>
                          <a:off x="721360" y="5209540"/>
                          <a:ext cx="835660" cy="201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80" w:firstLineChars="100"/>
                              <w:rPr>
                                <w:sz w:val="18"/>
                                <w:szCs w:val="18"/>
                              </w:rPr>
                            </w:pPr>
                            <w:r>
                              <w:rPr>
                                <w:rFonts w:hint="eastAsia"/>
                                <w:sz w:val="18"/>
                                <w:szCs w:val="18"/>
                              </w:rPr>
                              <w:t>综合利用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8pt;margin-top:353.55pt;height:15.9pt;width:65.8pt;z-index:251677696;mso-width-relative:page;mso-height-relative:page;" fillcolor="#FFFFFF [3201]" filled="t" stroked="f" coordsize="21600,21600" o:gfxdata="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feYLdcA&#10;AAALAQAADwAAAAAAAAABACAAAAAiAAAAZHJzL2Rvd25yZXYueG1sUEsBAhQAFAAAAAgAh07iQM2l&#10;HPVZAgAAmQQAAA4AAAAAAAAAAQAgAAAAJgEAAGRycy9lMm9Eb2MueG1sUEsFBgAAAAAGAAYAWQEA&#10;APEFAAAAAA==&#10;">
                <v:fill on="t" focussize="0,0"/>
                <v:stroke on="f" weight="0.5pt"/>
                <v:imagedata o:title=""/>
                <o:lock v:ext="edit" aspectratio="f"/>
                <v:textbox>
                  <w:txbxContent>
                    <w:p>
                      <w:pPr>
                        <w:ind w:firstLine="180" w:firstLineChars="100"/>
                        <w:rPr>
                          <w:sz w:val="18"/>
                          <w:szCs w:val="18"/>
                        </w:rPr>
                      </w:pPr>
                      <w:r>
                        <w:rPr>
                          <w:rFonts w:hint="eastAsia"/>
                          <w:sz w:val="18"/>
                          <w:szCs w:val="18"/>
                        </w:rPr>
                        <w:t>综合利用</w:t>
                      </w:r>
                    </w:p>
                  </w:txbxContent>
                </v:textbox>
              </v:shape>
            </w:pict>
          </mc:Fallback>
        </mc:AlternateContent>
      </w:r>
    </w:p>
    <w:p>
      <w:pPr>
        <w:ind w:firstLine="0" w:firstLineChars="0"/>
        <w:jc w:val="center"/>
        <w:rPr>
          <w:rFonts w:eastAsia="黑体"/>
          <w:kern w:val="2"/>
          <w:sz w:val="21"/>
          <w:szCs w:val="21"/>
          <w:highlight w:val="none"/>
        </w:rPr>
      </w:pPr>
      <w:r>
        <w:rPr>
          <w:rFonts w:eastAsia="黑体"/>
          <w:kern w:val="2"/>
          <w:sz w:val="21"/>
          <w:szCs w:val="21"/>
          <w:highlight w:val="none"/>
        </w:rPr>
        <w:t>图3.</w:t>
      </w:r>
      <w:r>
        <w:rPr>
          <w:rFonts w:hint="eastAsia" w:eastAsia="黑体"/>
          <w:kern w:val="2"/>
          <w:sz w:val="21"/>
          <w:szCs w:val="21"/>
          <w:highlight w:val="none"/>
        </w:rPr>
        <w:t>3</w:t>
      </w:r>
      <w:r>
        <w:rPr>
          <w:rFonts w:eastAsia="黑体"/>
          <w:kern w:val="2"/>
          <w:sz w:val="21"/>
          <w:szCs w:val="21"/>
          <w:highlight w:val="none"/>
        </w:rPr>
        <w:t xml:space="preserve">-1    </w:t>
      </w:r>
      <w:r>
        <w:rPr>
          <w:rFonts w:hint="eastAsia" w:eastAsia="黑体"/>
          <w:kern w:val="2"/>
          <w:sz w:val="21"/>
          <w:szCs w:val="21"/>
          <w:highlight w:val="none"/>
        </w:rPr>
        <w:t>破碎粗选</w:t>
      </w:r>
      <w:r>
        <w:rPr>
          <w:rFonts w:eastAsia="黑体"/>
          <w:kern w:val="2"/>
          <w:sz w:val="21"/>
          <w:szCs w:val="21"/>
          <w:highlight w:val="none"/>
        </w:rPr>
        <w:t>生产工艺流程及产排污环节分析</w:t>
      </w:r>
    </w:p>
    <w:p>
      <w:pPr>
        <w:widowControl/>
        <w:numPr>
          <w:ilvl w:val="0"/>
          <w:numId w:val="4"/>
        </w:numPr>
        <w:spacing w:line="460" w:lineRule="exact"/>
        <w:ind w:firstLine="480"/>
        <w:jc w:val="both"/>
        <w:textAlignment w:val="auto"/>
        <w:rPr>
          <w:sz w:val="24"/>
          <w:szCs w:val="24"/>
          <w:highlight w:val="none"/>
        </w:rPr>
      </w:pPr>
      <w:r>
        <w:rPr>
          <w:rFonts w:hint="eastAsia"/>
          <w:sz w:val="24"/>
          <w:szCs w:val="24"/>
          <w:highlight w:val="none"/>
        </w:rPr>
        <w:t>精选生产工艺流程</w:t>
      </w:r>
    </w:p>
    <w:p>
      <w:pPr>
        <w:widowControl/>
        <w:spacing w:line="460" w:lineRule="exact"/>
        <w:ind w:firstLine="480"/>
        <w:jc w:val="both"/>
        <w:textAlignment w:val="auto"/>
        <w:rPr>
          <w:sz w:val="24"/>
          <w:szCs w:val="24"/>
          <w:highlight w:val="none"/>
        </w:rPr>
      </w:pPr>
      <w:r>
        <w:rPr>
          <w:rFonts w:hint="eastAsia"/>
          <w:sz w:val="24"/>
          <w:szCs w:val="24"/>
          <w:highlight w:val="none"/>
        </w:rPr>
        <w:t>（1）原料装卸与储存：本项目精选生产线以自产及外购的粗精粉为原料，粗铁粉暂存于全封闭生产车间内。</w:t>
      </w:r>
    </w:p>
    <w:p>
      <w:pPr>
        <w:widowControl/>
        <w:spacing w:line="460" w:lineRule="exact"/>
        <w:ind w:firstLine="480"/>
        <w:jc w:val="both"/>
        <w:textAlignment w:val="auto"/>
        <w:rPr>
          <w:sz w:val="24"/>
          <w:szCs w:val="24"/>
          <w:highlight w:val="none"/>
        </w:rPr>
      </w:pPr>
      <w:r>
        <w:rPr>
          <w:rFonts w:hint="eastAsia"/>
          <w:sz w:val="24"/>
          <w:szCs w:val="24"/>
          <w:highlight w:val="none"/>
        </w:rPr>
        <w:t>排污节点：原料卸车、转运、储存过程中产生的扬尘，运输车辆、皮带输送机产生的噪声、扬尘。</w:t>
      </w:r>
    </w:p>
    <w:p>
      <w:pPr>
        <w:widowControl/>
        <w:spacing w:line="460" w:lineRule="exact"/>
        <w:ind w:firstLine="480"/>
        <w:jc w:val="both"/>
        <w:textAlignment w:val="auto"/>
        <w:rPr>
          <w:sz w:val="24"/>
          <w:szCs w:val="24"/>
          <w:highlight w:val="none"/>
        </w:rPr>
      </w:pPr>
      <w:r>
        <w:rPr>
          <w:rFonts w:hint="eastAsia"/>
          <w:sz w:val="24"/>
          <w:szCs w:val="24"/>
          <w:highlight w:val="none"/>
        </w:rPr>
        <w:t>（2）加料：生产时通过装载机将粗粉送入受料仓内，受料仓内的粗粉自动落料落至皮带上，由皮带输送至球磨机进行球磨。该项目精选生产线配套受料仓供上料用。</w:t>
      </w:r>
    </w:p>
    <w:p>
      <w:pPr>
        <w:widowControl/>
        <w:spacing w:line="460" w:lineRule="exact"/>
        <w:ind w:firstLine="480"/>
        <w:jc w:val="both"/>
        <w:textAlignment w:val="auto"/>
        <w:rPr>
          <w:sz w:val="24"/>
          <w:szCs w:val="24"/>
          <w:highlight w:val="none"/>
        </w:rPr>
      </w:pPr>
      <w:r>
        <w:rPr>
          <w:rFonts w:hint="eastAsia"/>
          <w:sz w:val="24"/>
          <w:szCs w:val="24"/>
          <w:highlight w:val="none"/>
        </w:rPr>
        <w:t>排污节点：皮带输送机产生的噪声、加料过程产生的扬尘。</w:t>
      </w:r>
    </w:p>
    <w:p>
      <w:pPr>
        <w:widowControl/>
        <w:spacing w:line="460" w:lineRule="exact"/>
        <w:ind w:firstLine="480"/>
        <w:jc w:val="both"/>
        <w:textAlignment w:val="auto"/>
        <w:rPr>
          <w:sz w:val="24"/>
          <w:szCs w:val="24"/>
          <w:highlight w:val="none"/>
        </w:rPr>
      </w:pPr>
      <w:r>
        <w:rPr>
          <w:rFonts w:hint="eastAsia"/>
          <w:sz w:val="24"/>
          <w:szCs w:val="24"/>
          <w:highlight w:val="none"/>
        </w:rPr>
        <w:t>（3）球磨：粗粉自料仓通过皮带输送进入球磨机进行球磨，入料同时加水，湿式球磨后的粉矿浆经磨头筛筛分后，粒径符合要求的粉矿浆自流进入下一道工序，不符合要求的粉矿由皮带输送机输送回球磨机进一步球磨。</w:t>
      </w:r>
    </w:p>
    <w:p>
      <w:pPr>
        <w:widowControl/>
        <w:spacing w:line="460" w:lineRule="exact"/>
        <w:ind w:firstLine="480"/>
        <w:jc w:val="both"/>
        <w:textAlignment w:val="auto"/>
        <w:rPr>
          <w:sz w:val="24"/>
          <w:szCs w:val="24"/>
          <w:highlight w:val="none"/>
        </w:rPr>
      </w:pPr>
      <w:r>
        <w:rPr>
          <w:rFonts w:hint="eastAsia"/>
          <w:sz w:val="24"/>
          <w:szCs w:val="24"/>
          <w:highlight w:val="none"/>
        </w:rPr>
        <w:t>排污节点：球磨落料产生的粉尘、皮带输送机、球磨机产生的噪声。</w:t>
      </w:r>
    </w:p>
    <w:p>
      <w:pPr>
        <w:widowControl/>
        <w:spacing w:line="460" w:lineRule="exact"/>
        <w:ind w:firstLine="480"/>
        <w:jc w:val="both"/>
        <w:textAlignment w:val="auto"/>
        <w:rPr>
          <w:sz w:val="24"/>
          <w:szCs w:val="24"/>
          <w:highlight w:val="none"/>
        </w:rPr>
      </w:pPr>
      <w:r>
        <w:rPr>
          <w:rFonts w:hint="eastAsia"/>
          <w:sz w:val="24"/>
          <w:szCs w:val="24"/>
          <w:highlight w:val="none"/>
        </w:rPr>
        <w:t>（4）一级磁选、高频筛：经过球磨的粉矿浆在料箱内中转，由渣浆泵打入一级磁选，粗选出来的粉矿自流至高频筛，高频筛进行筛分，筛下物进入磁团聚，筛上物再经过一道磁选实现含铁成分与不含铁成分的分离，含铁成分返回球磨机进一步球磨，不含铁部分流入打捞机。此工序单条精选线设置1台高频筛、2台强磁选机。</w:t>
      </w:r>
    </w:p>
    <w:p>
      <w:pPr>
        <w:widowControl/>
        <w:spacing w:line="460" w:lineRule="exact"/>
        <w:ind w:firstLine="480"/>
        <w:jc w:val="both"/>
        <w:textAlignment w:val="auto"/>
        <w:rPr>
          <w:sz w:val="24"/>
          <w:szCs w:val="24"/>
          <w:highlight w:val="none"/>
        </w:rPr>
      </w:pPr>
      <w:r>
        <w:rPr>
          <w:rFonts w:hint="eastAsia"/>
          <w:sz w:val="24"/>
          <w:szCs w:val="24"/>
          <w:highlight w:val="none"/>
        </w:rPr>
        <w:t>排污节点：高频筛、渣浆泵、磁选机运行过程中产生的噪声，一级磁选过程中产生的尾矿浆。</w:t>
      </w:r>
    </w:p>
    <w:p>
      <w:pPr>
        <w:widowControl/>
        <w:spacing w:line="460" w:lineRule="exact"/>
        <w:ind w:firstLine="480"/>
        <w:jc w:val="both"/>
        <w:textAlignment w:val="auto"/>
        <w:rPr>
          <w:sz w:val="24"/>
          <w:szCs w:val="24"/>
          <w:highlight w:val="none"/>
        </w:rPr>
      </w:pPr>
      <w:r>
        <w:rPr>
          <w:rFonts w:hint="eastAsia"/>
          <w:sz w:val="24"/>
          <w:szCs w:val="24"/>
          <w:highlight w:val="none"/>
        </w:rPr>
        <w:t>（5）磁团聚：高频筛筛下物自流进入磁团聚。流入磁团聚的粉矿利用铁矿颗粒的综合磁团聚力、剪切力和重力等多种力进行分选，分选时采用高浓度分选制度，一方面可增加磁团聚的磁性诱导作用，降低所必须的磁化强度，提高磁团聚的稳定性与均匀性；另一方面使分选矿浆处于重介质的分选作用下；同时还不断对矿浆施加剪切作用力，以打破磁团聚。这样使铁矿颗粒形成"分散—团聚—分散"的反复状态，从而使磁团不断得以净化。</w:t>
      </w:r>
    </w:p>
    <w:p>
      <w:pPr>
        <w:widowControl/>
        <w:spacing w:line="460" w:lineRule="exact"/>
        <w:ind w:firstLine="480"/>
        <w:jc w:val="both"/>
        <w:textAlignment w:val="auto"/>
        <w:rPr>
          <w:sz w:val="24"/>
          <w:szCs w:val="24"/>
          <w:highlight w:val="none"/>
        </w:rPr>
      </w:pPr>
      <w:r>
        <w:rPr>
          <w:rFonts w:hint="eastAsia"/>
          <w:sz w:val="24"/>
          <w:szCs w:val="24"/>
          <w:highlight w:val="none"/>
        </w:rPr>
        <w:t>排污节点：磁团聚运行过程中产生的噪声及该过程产生的尾矿浆。</w:t>
      </w:r>
    </w:p>
    <w:p>
      <w:pPr>
        <w:widowControl/>
        <w:spacing w:line="460" w:lineRule="exact"/>
        <w:ind w:firstLine="480"/>
        <w:jc w:val="both"/>
        <w:textAlignment w:val="auto"/>
        <w:rPr>
          <w:sz w:val="24"/>
          <w:szCs w:val="24"/>
          <w:highlight w:val="none"/>
        </w:rPr>
      </w:pPr>
      <w:r>
        <w:rPr>
          <w:rFonts w:hint="eastAsia"/>
          <w:sz w:val="24"/>
          <w:szCs w:val="24"/>
          <w:highlight w:val="none"/>
        </w:rPr>
        <w:t>（6）二级磁选、磁团聚：该工序设1台磁选机和1台磁团聚进行串联式组合，经上一道工序分选出来的粉矿在该工序中经磁选、磁团聚处理后，进一步实现铁精矿与尾矿浆的分离。经磁选下来的铁精粉通过管道自流进入三级磁选，磁选后的尾矿浆进入打捞机进一步处理。</w:t>
      </w:r>
    </w:p>
    <w:p>
      <w:pPr>
        <w:widowControl/>
        <w:spacing w:line="460" w:lineRule="exact"/>
        <w:ind w:firstLine="480"/>
        <w:jc w:val="both"/>
        <w:textAlignment w:val="auto"/>
        <w:rPr>
          <w:sz w:val="24"/>
          <w:szCs w:val="24"/>
          <w:highlight w:val="none"/>
        </w:rPr>
      </w:pPr>
      <w:r>
        <w:rPr>
          <w:rFonts w:hint="eastAsia"/>
          <w:sz w:val="24"/>
          <w:szCs w:val="24"/>
          <w:highlight w:val="none"/>
        </w:rPr>
        <w:t>排污节点：磁选机运行过程产生的噪声以及磁选过程产生的尾矿浆。</w:t>
      </w:r>
    </w:p>
    <w:p>
      <w:pPr>
        <w:widowControl/>
        <w:spacing w:line="460" w:lineRule="exact"/>
        <w:ind w:firstLine="480"/>
        <w:jc w:val="both"/>
        <w:textAlignment w:val="auto"/>
        <w:rPr>
          <w:sz w:val="24"/>
          <w:szCs w:val="24"/>
          <w:highlight w:val="none"/>
        </w:rPr>
      </w:pPr>
      <w:r>
        <w:rPr>
          <w:rFonts w:hint="eastAsia"/>
          <w:sz w:val="24"/>
          <w:szCs w:val="24"/>
          <w:highlight w:val="none"/>
        </w:rPr>
        <w:t>三级磁选、过滤：为使铁精矿纯度更高，本项目在二磁、磁团聚后设置一道三级磁选，经三级磁选后的铁精粉自流进过滤机过滤脱水，脱水后即为成品，通过皮带输送至精选成品库；尾矿浆排入打捞机。</w:t>
      </w:r>
    </w:p>
    <w:p>
      <w:pPr>
        <w:widowControl/>
        <w:spacing w:line="460" w:lineRule="exact"/>
        <w:ind w:firstLine="480"/>
        <w:jc w:val="both"/>
        <w:textAlignment w:val="auto"/>
        <w:rPr>
          <w:sz w:val="24"/>
          <w:szCs w:val="24"/>
          <w:highlight w:val="none"/>
        </w:rPr>
      </w:pPr>
      <w:r>
        <w:rPr>
          <w:rFonts w:hint="eastAsia"/>
          <w:sz w:val="24"/>
          <w:szCs w:val="24"/>
          <w:highlight w:val="none"/>
        </w:rPr>
        <w:t>排污节点：磁选机、过滤机运行过程产生的噪声以及该过程产生的尾矿浆。</w:t>
      </w:r>
    </w:p>
    <w:p>
      <w:pPr>
        <w:widowControl/>
        <w:spacing w:line="460" w:lineRule="exact"/>
        <w:ind w:firstLine="480"/>
        <w:jc w:val="both"/>
        <w:textAlignment w:val="auto"/>
        <w:rPr>
          <w:sz w:val="24"/>
          <w:szCs w:val="24"/>
          <w:highlight w:val="none"/>
        </w:rPr>
      </w:pPr>
      <w:r>
        <w:rPr>
          <w:rFonts w:hint="eastAsia"/>
          <w:sz w:val="24"/>
          <w:szCs w:val="24"/>
          <w:highlight w:val="none"/>
        </w:rPr>
        <w:t>（8）尾矿干排：经一级磁选、磁团聚、二级磁选、磁团聚、三级磁选及过滤产生的尾矿浆均自流进入打捞机，打捞机回收的铁粉由渣浆泵通过管道打回到高频筛进一步筛选、磁选，尾矿浆自流进入尾矿干排系统处理。打捞机原理：打捞机是由主机、卸矿装置、集矿槽、溜槽及机架五大部分组成。其工作原理是矿浆中磁性矿物被磁盘吸附，剩下非磁性矿物的矿浆从另一端流出，将吸附的磁性矿物抛入集矿槽中，由集矿槽收集输出。</w:t>
      </w:r>
    </w:p>
    <w:p>
      <w:pPr>
        <w:widowControl/>
        <w:spacing w:line="460" w:lineRule="exact"/>
        <w:ind w:firstLine="480"/>
        <w:jc w:val="both"/>
        <w:textAlignment w:val="auto"/>
        <w:rPr>
          <w:sz w:val="24"/>
          <w:szCs w:val="24"/>
          <w:highlight w:val="none"/>
        </w:rPr>
      </w:pPr>
      <w:r>
        <w:rPr>
          <w:rFonts w:hint="eastAsia"/>
          <w:sz w:val="24"/>
          <w:szCs w:val="24"/>
          <w:highlight w:val="none"/>
        </w:rPr>
        <w:t>排污节点：打捞机、渣浆泵运行过程产生的噪声。</w:t>
      </w:r>
    </w:p>
    <w:p>
      <w:pPr>
        <w:pStyle w:val="55"/>
        <w:ind w:left="560" w:firstLine="480"/>
        <w:rPr>
          <w:bCs/>
          <w:highlight w:val="none"/>
        </w:rPr>
      </w:pPr>
      <w:r>
        <w:rPr>
          <w:sz w:val="24"/>
          <w:highlight w:val="none"/>
        </w:rPr>
        <mc:AlternateContent>
          <mc:Choice Requires="wps">
            <w:drawing>
              <wp:anchor distT="0" distB="0" distL="114300" distR="114300" simplePos="0" relativeHeight="251678720" behindDoc="0" locked="0" layoutInCell="1" allowOverlap="1">
                <wp:simplePos x="0" y="0"/>
                <wp:positionH relativeFrom="column">
                  <wp:posOffset>3219450</wp:posOffset>
                </wp:positionH>
                <wp:positionV relativeFrom="paragraph">
                  <wp:posOffset>7776210</wp:posOffset>
                </wp:positionV>
                <wp:extent cx="1078865" cy="264795"/>
                <wp:effectExtent l="0" t="0" r="6985" b="1905"/>
                <wp:wrapNone/>
                <wp:docPr id="5" name="文本框 5"/>
                <wp:cNvGraphicFramePr/>
                <a:graphic xmlns:a="http://schemas.openxmlformats.org/drawingml/2006/main">
                  <a:graphicData uri="http://schemas.microsoft.com/office/word/2010/wordprocessingShape">
                    <wps:wsp>
                      <wps:cNvSpPr txBox="1"/>
                      <wps:spPr>
                        <a:xfrm>
                          <a:off x="0" y="0"/>
                          <a:ext cx="1078865" cy="2647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240" w:firstLineChars="100"/>
                              <w:rPr>
                                <w:sz w:val="24"/>
                                <w:szCs w:val="24"/>
                              </w:rPr>
                            </w:pPr>
                            <w:r>
                              <w:rPr>
                                <w:rFonts w:hint="eastAsia"/>
                                <w:sz w:val="24"/>
                                <w:szCs w:val="24"/>
                              </w:rPr>
                              <w:t>综合利用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5pt;margin-top:612.3pt;height:20.85pt;width:84.95pt;z-index:251678720;mso-width-relative:page;mso-height-relative:page;" fillcolor="#FFFFFF [3201]" filled="t" stroked="f" coordsize="21600,21600" o:gfxdata="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B2RBnXAAAADQEAAA8A&#10;AAAAAAAAAQAgAAAAIgAAAGRycy9kb3ducmV2LnhtbFBLAQIUABQAAAAIAIdO4kBs0n1VUQIAAI8E&#10;AAAOAAAAAAAAAAEAIAAAACYBAABkcnMvZTJvRG9jLnhtbFBLBQYAAAAABgAGAFkBAADpBQAAAAA=&#10;">
                <v:fill on="t" focussize="0,0"/>
                <v:stroke on="f" weight="0.5pt"/>
                <v:imagedata o:title=""/>
                <o:lock v:ext="edit" aspectratio="f"/>
                <v:textbox>
                  <w:txbxContent>
                    <w:p>
                      <w:pPr>
                        <w:ind w:firstLine="240" w:firstLineChars="100"/>
                        <w:rPr>
                          <w:sz w:val="24"/>
                          <w:szCs w:val="24"/>
                        </w:rPr>
                      </w:pPr>
                      <w:r>
                        <w:rPr>
                          <w:rFonts w:hint="eastAsia"/>
                          <w:sz w:val="24"/>
                          <w:szCs w:val="24"/>
                        </w:rPr>
                        <w:t>综合利用</w:t>
                      </w:r>
                    </w:p>
                  </w:txbxContent>
                </v:textbox>
              </v:shape>
            </w:pict>
          </mc:Fallback>
        </mc:AlternateContent>
      </w:r>
      <w:r>
        <w:rPr>
          <w:bCs/>
          <w:highlight w:val="none"/>
        </w:rPr>
        <w:object>
          <v:shape id="_x0000_i1026" o:spt="75" type="#_x0000_t75" style="height:635.25pt;width:330pt;" o:ole="t" filled="f" o:preferrelative="t" stroked="f" coordsize="21600,21600">
            <v:path/>
            <v:fill on="f" focussize="0,0"/>
            <v:stroke on="f" joinstyle="miter"/>
            <v:imagedata r:id="rId35" o:title=""/>
            <o:lock v:ext="edit" aspectratio="f"/>
            <w10:wrap type="none"/>
            <w10:anchorlock/>
          </v:shape>
          <o:OLEObject Type="Embed" ProgID="Visio.Drawing.15" ShapeID="_x0000_i1026" DrawAspect="Content" ObjectID="_1468075726" r:id="rId34">
            <o:LockedField>false</o:LockedField>
          </o:OLEObject>
        </w:object>
      </w:r>
    </w:p>
    <w:p>
      <w:pPr>
        <w:ind w:firstLine="420"/>
        <w:jc w:val="center"/>
        <w:rPr>
          <w:rFonts w:eastAsia="黑体"/>
          <w:kern w:val="2"/>
          <w:sz w:val="21"/>
          <w:szCs w:val="21"/>
          <w:highlight w:val="none"/>
        </w:rPr>
      </w:pPr>
      <w:r>
        <w:rPr>
          <w:rFonts w:eastAsia="黑体"/>
          <w:kern w:val="2"/>
          <w:sz w:val="21"/>
          <w:szCs w:val="21"/>
          <w:highlight w:val="none"/>
        </w:rPr>
        <w:t>图3.</w:t>
      </w:r>
      <w:r>
        <w:rPr>
          <w:rFonts w:hint="eastAsia" w:eastAsia="黑体"/>
          <w:kern w:val="2"/>
          <w:sz w:val="21"/>
          <w:szCs w:val="21"/>
          <w:highlight w:val="none"/>
        </w:rPr>
        <w:t>3</w:t>
      </w:r>
      <w:r>
        <w:rPr>
          <w:rFonts w:eastAsia="黑体"/>
          <w:kern w:val="2"/>
          <w:sz w:val="21"/>
          <w:szCs w:val="21"/>
          <w:highlight w:val="none"/>
        </w:rPr>
        <w:t>-</w:t>
      </w:r>
      <w:r>
        <w:rPr>
          <w:rFonts w:hint="eastAsia" w:eastAsia="黑体"/>
          <w:kern w:val="2"/>
          <w:sz w:val="21"/>
          <w:szCs w:val="21"/>
          <w:highlight w:val="none"/>
        </w:rPr>
        <w:t>2</w:t>
      </w:r>
      <w:r>
        <w:rPr>
          <w:rFonts w:eastAsia="黑体"/>
          <w:kern w:val="2"/>
          <w:sz w:val="21"/>
          <w:szCs w:val="21"/>
          <w:highlight w:val="none"/>
        </w:rPr>
        <w:t xml:space="preserve">    </w:t>
      </w:r>
      <w:r>
        <w:rPr>
          <w:rFonts w:hint="eastAsia" w:eastAsia="黑体"/>
          <w:kern w:val="2"/>
          <w:sz w:val="21"/>
          <w:szCs w:val="21"/>
          <w:highlight w:val="none"/>
        </w:rPr>
        <w:t>精选</w:t>
      </w:r>
      <w:r>
        <w:rPr>
          <w:rFonts w:eastAsia="黑体"/>
          <w:kern w:val="2"/>
          <w:sz w:val="21"/>
          <w:szCs w:val="21"/>
          <w:highlight w:val="none"/>
        </w:rPr>
        <w:t>生产工艺流程及产排污环节分析</w:t>
      </w:r>
    </w:p>
    <w:p>
      <w:pPr>
        <w:widowControl/>
        <w:numPr>
          <w:ilvl w:val="0"/>
          <w:numId w:val="4"/>
        </w:numPr>
        <w:spacing w:line="460" w:lineRule="exact"/>
        <w:ind w:firstLine="480"/>
        <w:jc w:val="both"/>
        <w:textAlignment w:val="auto"/>
        <w:rPr>
          <w:sz w:val="24"/>
          <w:szCs w:val="24"/>
          <w:highlight w:val="none"/>
        </w:rPr>
      </w:pPr>
      <w:r>
        <w:rPr>
          <w:rFonts w:hint="eastAsia"/>
          <w:sz w:val="24"/>
          <w:szCs w:val="24"/>
          <w:highlight w:val="none"/>
        </w:rPr>
        <w:t>尾矿干排系统工艺流程</w:t>
      </w:r>
    </w:p>
    <w:p>
      <w:pPr>
        <w:widowControl/>
        <w:spacing w:line="460" w:lineRule="exact"/>
        <w:ind w:firstLine="480"/>
        <w:jc w:val="both"/>
        <w:textAlignment w:val="auto"/>
        <w:rPr>
          <w:sz w:val="24"/>
          <w:szCs w:val="24"/>
          <w:highlight w:val="none"/>
        </w:rPr>
      </w:pPr>
      <w:r>
        <w:rPr>
          <w:rFonts w:hint="eastAsia"/>
          <w:sz w:val="24"/>
          <w:szCs w:val="24"/>
          <w:highlight w:val="none"/>
        </w:rPr>
        <w:t>尾矿干排系统主要设备有渣浆泵、强力过滤机、刮泥机等，主要设施有浓密池、清水池。打捞机后的废水排入浓缩罐内，浓缩罐的下层浊液进入脱水筛进行筛分脱水，筛分出的尾矿砂由皮带输送机送至库房内暂存待售，过滤机脱出水、脱水筛脱出水及浓缩罐上层清液泵入浓密池。</w:t>
      </w:r>
    </w:p>
    <w:p>
      <w:pPr>
        <w:widowControl/>
        <w:spacing w:line="460" w:lineRule="exact"/>
        <w:ind w:firstLine="480"/>
        <w:jc w:val="both"/>
        <w:textAlignment w:val="auto"/>
        <w:rPr>
          <w:sz w:val="24"/>
          <w:szCs w:val="24"/>
          <w:highlight w:val="none"/>
        </w:rPr>
      </w:pPr>
      <w:r>
        <w:rPr>
          <w:rFonts w:hint="eastAsia"/>
          <w:sz w:val="24"/>
          <w:szCs w:val="24"/>
          <w:highlight w:val="none"/>
        </w:rPr>
        <w:t>工艺简述如下：尾矿浆通过管道由渣浆泵泵入浓密池内，经沉降后，上清液溢流进入清水池循环使用，底泥在刮泥机的作用下由浓密池池底排入压滤机进行压滤，项目设有1台300m</w:t>
      </w:r>
      <w:r>
        <w:rPr>
          <w:rFonts w:hint="eastAsia"/>
          <w:sz w:val="24"/>
          <w:szCs w:val="24"/>
          <w:highlight w:val="none"/>
          <w:vertAlign w:val="superscript"/>
        </w:rPr>
        <w:t>2</w:t>
      </w:r>
      <w:r>
        <w:rPr>
          <w:rFonts w:hint="eastAsia"/>
          <w:sz w:val="24"/>
          <w:szCs w:val="24"/>
          <w:highlight w:val="none"/>
        </w:rPr>
        <w:t>压滤机，处理能力为14方/小时，能够满足本项目6.3方方/小时的处理需求，压滤后即为泥饼作为建筑材料外售，泥饼暂存于破碎车间泥饼暂存区，随产随销、不长期存储。</w:t>
      </w:r>
    </w:p>
    <w:p>
      <w:pPr>
        <w:pStyle w:val="3"/>
        <w:spacing w:before="120" w:beforeLines="50"/>
        <w:rPr>
          <w:highlight w:val="none"/>
        </w:rPr>
      </w:pPr>
      <w:bookmarkStart w:id="202" w:name="_Toc521591765"/>
      <w:bookmarkStart w:id="203" w:name="_Toc23645"/>
      <w:bookmarkStart w:id="204" w:name="_Hlk18932388"/>
      <w:r>
        <w:rPr>
          <w:rFonts w:hint="eastAsia"/>
          <w:highlight w:val="none"/>
        </w:rPr>
        <w:t>3</w:t>
      </w:r>
      <w:r>
        <w:rPr>
          <w:highlight w:val="none"/>
        </w:rPr>
        <w:t>.</w:t>
      </w:r>
      <w:r>
        <w:rPr>
          <w:rFonts w:hint="eastAsia"/>
          <w:highlight w:val="none"/>
        </w:rPr>
        <w:t>3</w:t>
      </w:r>
      <w:r>
        <w:rPr>
          <w:highlight w:val="none"/>
        </w:rPr>
        <w:t>.2.2产污节点</w:t>
      </w:r>
      <w:bookmarkEnd w:id="202"/>
      <w:bookmarkEnd w:id="203"/>
    </w:p>
    <w:bookmarkEnd w:id="204"/>
    <w:p>
      <w:pPr>
        <w:ind w:firstLine="480"/>
        <w:rPr>
          <w:highlight w:val="none"/>
        </w:rPr>
      </w:pPr>
      <w:r>
        <w:rPr>
          <w:sz w:val="24"/>
          <w:szCs w:val="24"/>
          <w:highlight w:val="none"/>
        </w:rPr>
        <w:t>本项目产污节点见表3.</w:t>
      </w:r>
      <w:r>
        <w:rPr>
          <w:rFonts w:hint="eastAsia"/>
          <w:sz w:val="24"/>
          <w:szCs w:val="24"/>
          <w:highlight w:val="none"/>
        </w:rPr>
        <w:t>3</w:t>
      </w:r>
      <w:r>
        <w:rPr>
          <w:sz w:val="24"/>
          <w:szCs w:val="24"/>
          <w:highlight w:val="none"/>
        </w:rPr>
        <w:t>-1。</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表3.</w:t>
      </w:r>
      <w:r>
        <w:rPr>
          <w:rFonts w:hint="eastAsia" w:eastAsia="黑体"/>
          <w:kern w:val="2"/>
          <w:sz w:val="21"/>
          <w:szCs w:val="21"/>
          <w:highlight w:val="none"/>
        </w:rPr>
        <w:t>3</w:t>
      </w:r>
      <w:r>
        <w:rPr>
          <w:rFonts w:eastAsia="黑体"/>
          <w:kern w:val="2"/>
          <w:sz w:val="21"/>
          <w:szCs w:val="21"/>
          <w:highlight w:val="none"/>
        </w:rPr>
        <w:t>-1    产污节点及治理措施一览表</w:t>
      </w:r>
    </w:p>
    <w:tbl>
      <w:tblPr>
        <w:tblStyle w:val="56"/>
        <w:tblW w:w="852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59"/>
        <w:gridCol w:w="1845"/>
        <w:gridCol w:w="964"/>
        <w:gridCol w:w="4126"/>
        <w:gridCol w:w="10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bookmarkStart w:id="205" w:name="_Toc521591766"/>
            <w:bookmarkStart w:id="206" w:name="_Toc30053"/>
            <w:bookmarkStart w:id="207" w:name="_Hlk18932451"/>
            <w:r>
              <w:rPr>
                <w:rFonts w:hint="eastAsia" w:ascii="宋体" w:hAnsi="宋体" w:cs="宋体"/>
                <w:sz w:val="21"/>
                <w:szCs w:val="21"/>
                <w:highlight w:val="none"/>
              </w:rPr>
              <w:t>类型</w:t>
            </w: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污染源</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主要污染物</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治理措施</w:t>
            </w:r>
          </w:p>
        </w:tc>
        <w:tc>
          <w:tcPr>
            <w:tcW w:w="103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治理效果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气</w:t>
            </w: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车辆运输</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运输车辆车斗采用苫布苫盖，厂区地面全部硬化，洒水降尘、保持清洁；设置洗车台</w:t>
            </w:r>
          </w:p>
        </w:tc>
        <w:tc>
          <w:tcPr>
            <w:tcW w:w="1034"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达标</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鄂式破碎</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经集气罩收集后送入离线清灰脉冲布袋除尘器处理+18m排气筒</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锤式破碎</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筛分</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干选</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中转仓</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受料仓</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设置喷雾抑尘设施</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输送物料</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输送皮带全封闭</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原料存储</w:t>
            </w:r>
          </w:p>
        </w:tc>
        <w:tc>
          <w:tcPr>
            <w:tcW w:w="964"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w:t>
            </w:r>
          </w:p>
        </w:tc>
        <w:tc>
          <w:tcPr>
            <w:tcW w:w="4126"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全部存储于全封闭破碎车间内对应物料存储区，加装喷淋抑尘装置</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砂石料存储</w:t>
            </w:r>
          </w:p>
        </w:tc>
        <w:tc>
          <w:tcPr>
            <w:tcW w:w="96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4126"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尾矿砂、泥饼存储</w:t>
            </w:r>
          </w:p>
        </w:tc>
        <w:tc>
          <w:tcPr>
            <w:tcW w:w="96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4126"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粗精粉存储</w:t>
            </w:r>
          </w:p>
        </w:tc>
        <w:tc>
          <w:tcPr>
            <w:tcW w:w="96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4126" w:type="dxa"/>
            <w:vMerge w:val="restart"/>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ascii="宋体" w:hAnsi="宋体" w:cs="宋体"/>
                <w:sz w:val="21"/>
                <w:szCs w:val="21"/>
                <w:highlight w:val="none"/>
              </w:rPr>
              <w:t>全部存储于全封闭选矿车间内对应物料存储区，加装喷淋抑尘装置</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成品库</w:t>
            </w:r>
          </w:p>
        </w:tc>
        <w:tc>
          <w:tcPr>
            <w:tcW w:w="96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4126"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水</w:t>
            </w: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磁选</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尾矿浆</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经浓缩罐、脱水筛、浓密池、过滤机脱出清水回用于生产</w:t>
            </w:r>
          </w:p>
        </w:tc>
        <w:tc>
          <w:tcPr>
            <w:tcW w:w="1034"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循环回用，不外排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洗车</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废水</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沉淀池沉淀后回用</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喷雾抑尘</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废水</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蒸发损耗</w:t>
            </w:r>
          </w:p>
        </w:tc>
        <w:tc>
          <w:tcPr>
            <w:tcW w:w="103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车间冲洗</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废水</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排入浓密池沉淀后，用作球磨工序生产用水</w:t>
            </w:r>
          </w:p>
        </w:tc>
        <w:tc>
          <w:tcPr>
            <w:tcW w:w="103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噪</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声</w:t>
            </w: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生产设备</w:t>
            </w:r>
          </w:p>
        </w:tc>
        <w:tc>
          <w:tcPr>
            <w:tcW w:w="964"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噪声</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基础减震、封闭彩钢车间隔声</w:t>
            </w:r>
          </w:p>
        </w:tc>
        <w:tc>
          <w:tcPr>
            <w:tcW w:w="1034"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噪声厂界达标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水泵、渣浆泵</w:t>
            </w:r>
          </w:p>
        </w:tc>
        <w:tc>
          <w:tcPr>
            <w:tcW w:w="96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置于水下，设置软连接等</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运输车辆、铲车</w:t>
            </w:r>
          </w:p>
        </w:tc>
        <w:tc>
          <w:tcPr>
            <w:tcW w:w="96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加强管理，定期检修</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固废</w:t>
            </w: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除尘器</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除尘灰</w:t>
            </w:r>
          </w:p>
        </w:tc>
        <w:tc>
          <w:tcPr>
            <w:tcW w:w="4126" w:type="dxa"/>
            <w:tcBorders>
              <w:bottom w:val="single" w:color="auto" w:sz="4" w:space="0"/>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集中收集，回用于生产</w:t>
            </w:r>
          </w:p>
        </w:tc>
        <w:tc>
          <w:tcPr>
            <w:tcW w:w="1034"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妥善</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生产过程</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尾矿砂</w:t>
            </w:r>
          </w:p>
        </w:tc>
        <w:tc>
          <w:tcPr>
            <w:tcW w:w="4126" w:type="dxa"/>
            <w:tcBorders>
              <w:top w:val="single" w:color="auto" w:sz="4" w:space="0"/>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作为建筑材料外售</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泥饼</w:t>
            </w:r>
          </w:p>
        </w:tc>
        <w:tc>
          <w:tcPr>
            <w:tcW w:w="4126" w:type="dxa"/>
            <w:tcBorders>
              <w:top w:val="single" w:color="auto" w:sz="4" w:space="0"/>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作为建筑材料外售</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砂石料</w:t>
            </w:r>
          </w:p>
        </w:tc>
        <w:tc>
          <w:tcPr>
            <w:tcW w:w="4126" w:type="dxa"/>
            <w:tcBorders>
              <w:top w:val="single" w:color="auto" w:sz="4" w:space="0"/>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作为建筑材料外售</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废钢球</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由厂家回收利用</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vMerge w:val="restart"/>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设备维护</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废矿物油</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危废暂存间暂存后交有资质单位处理</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845"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废油桶</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危废间暂存，由厂家回收</w:t>
            </w:r>
          </w:p>
        </w:tc>
        <w:tc>
          <w:tcPr>
            <w:tcW w:w="1034" w:type="dxa"/>
            <w:vMerge w:val="continue"/>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9"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其他</w:t>
            </w:r>
          </w:p>
        </w:tc>
        <w:tc>
          <w:tcPr>
            <w:tcW w:w="1845"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非正常工况</w:t>
            </w:r>
          </w:p>
        </w:tc>
        <w:tc>
          <w:tcPr>
            <w:tcW w:w="96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尾矿</w:t>
            </w:r>
          </w:p>
        </w:tc>
        <w:tc>
          <w:tcPr>
            <w:tcW w:w="4126"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设置</w:t>
            </w:r>
            <w:r>
              <w:rPr>
                <w:sz w:val="21"/>
                <w:szCs w:val="21"/>
                <w:highlight w:val="none"/>
              </w:rPr>
              <w:t>25m</w:t>
            </w:r>
            <w:r>
              <w:rPr>
                <w:sz w:val="21"/>
                <w:szCs w:val="21"/>
                <w:highlight w:val="none"/>
                <w:vertAlign w:val="superscript"/>
              </w:rPr>
              <w:t>3</w:t>
            </w:r>
            <w:r>
              <w:rPr>
                <w:rFonts w:hint="eastAsia" w:ascii="宋体" w:hAnsi="宋体" w:cs="宋体"/>
                <w:sz w:val="21"/>
                <w:szCs w:val="21"/>
                <w:highlight w:val="none"/>
              </w:rPr>
              <w:t>事故池1座</w:t>
            </w:r>
          </w:p>
        </w:tc>
        <w:tc>
          <w:tcPr>
            <w:tcW w:w="1034" w:type="dxa"/>
            <w:tcBorders>
              <w:tl2br w:val="nil"/>
              <w:tr2bl w:val="nil"/>
            </w:tcBorders>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降低风险影响</w:t>
            </w:r>
          </w:p>
        </w:tc>
      </w:tr>
    </w:tbl>
    <w:p>
      <w:pPr>
        <w:pStyle w:val="6"/>
        <w:numPr>
          <w:ilvl w:val="2"/>
          <w:numId w:val="1"/>
        </w:numPr>
        <w:rPr>
          <w:szCs w:val="28"/>
          <w:highlight w:val="none"/>
        </w:rPr>
      </w:pPr>
      <w:r>
        <w:rPr>
          <w:szCs w:val="28"/>
          <w:highlight w:val="none"/>
        </w:rPr>
        <w:t>物料平衡</w:t>
      </w:r>
      <w:bookmarkEnd w:id="205"/>
      <w:bookmarkEnd w:id="206"/>
    </w:p>
    <w:p>
      <w:pPr>
        <w:ind w:firstLine="480"/>
        <w:jc w:val="both"/>
        <w:rPr>
          <w:sz w:val="24"/>
          <w:szCs w:val="24"/>
          <w:highlight w:val="none"/>
        </w:rPr>
      </w:pPr>
      <w:r>
        <w:rPr>
          <w:rFonts w:hint="eastAsia"/>
          <w:sz w:val="24"/>
          <w:szCs w:val="24"/>
          <w:highlight w:val="none"/>
        </w:rPr>
        <w:t>本项目实施后破碎生产线年处理铁矿石60万吨，精选生产线年处理粗精矿120万吨（含外购94万吨粗精矿），</w:t>
      </w:r>
      <w:r>
        <w:rPr>
          <w:sz w:val="24"/>
          <w:szCs w:val="24"/>
          <w:highlight w:val="none"/>
        </w:rPr>
        <w:t>物料平衡表见表3.</w:t>
      </w:r>
      <w:r>
        <w:rPr>
          <w:rFonts w:hint="eastAsia"/>
          <w:sz w:val="24"/>
          <w:szCs w:val="24"/>
          <w:highlight w:val="none"/>
        </w:rPr>
        <w:t>3</w:t>
      </w:r>
      <w:r>
        <w:rPr>
          <w:sz w:val="24"/>
          <w:szCs w:val="24"/>
          <w:highlight w:val="none"/>
        </w:rPr>
        <w:t>-2，铁元素平衡见表3.</w:t>
      </w:r>
      <w:r>
        <w:rPr>
          <w:rFonts w:hint="eastAsia"/>
          <w:sz w:val="24"/>
          <w:szCs w:val="24"/>
          <w:highlight w:val="none"/>
        </w:rPr>
        <w:t>3</w:t>
      </w:r>
      <w:r>
        <w:rPr>
          <w:sz w:val="24"/>
          <w:szCs w:val="24"/>
          <w:highlight w:val="none"/>
        </w:rPr>
        <w:t>-3。</w:t>
      </w:r>
    </w:p>
    <w:p>
      <w:pPr>
        <w:spacing w:line="240" w:lineRule="auto"/>
        <w:ind w:firstLine="0" w:firstLineChars="0"/>
        <w:jc w:val="center"/>
        <w:textAlignment w:val="auto"/>
        <w:rPr>
          <w:rFonts w:eastAsia="黑体"/>
          <w:kern w:val="2"/>
          <w:sz w:val="21"/>
          <w:szCs w:val="21"/>
          <w:highlight w:val="none"/>
        </w:rPr>
      </w:pPr>
      <w:bookmarkStart w:id="208" w:name="OLE_LINK1"/>
      <w:bookmarkStart w:id="209" w:name="OLE_LINK2"/>
      <w:r>
        <w:rPr>
          <w:rFonts w:eastAsia="黑体"/>
          <w:kern w:val="2"/>
          <w:sz w:val="21"/>
          <w:szCs w:val="21"/>
          <w:highlight w:val="none"/>
        </w:rPr>
        <w:t>表3.</w:t>
      </w:r>
      <w:r>
        <w:rPr>
          <w:rFonts w:hint="eastAsia" w:eastAsia="黑体"/>
          <w:kern w:val="2"/>
          <w:sz w:val="21"/>
          <w:szCs w:val="21"/>
          <w:highlight w:val="none"/>
        </w:rPr>
        <w:t>3</w:t>
      </w:r>
      <w:r>
        <w:rPr>
          <w:rFonts w:eastAsia="黑体"/>
          <w:kern w:val="2"/>
          <w:sz w:val="21"/>
          <w:szCs w:val="21"/>
          <w:highlight w:val="none"/>
        </w:rPr>
        <w:t>-2   物料平衡表</w:t>
      </w:r>
    </w:p>
    <w:tbl>
      <w:tblPr>
        <w:tblStyle w:val="56"/>
        <w:tblW w:w="8522" w:type="dxa"/>
        <w:tblInd w:w="0" w:type="dxa"/>
        <w:tblLayout w:type="fixed"/>
        <w:tblCellMar>
          <w:top w:w="0" w:type="dxa"/>
          <w:left w:w="108" w:type="dxa"/>
          <w:bottom w:w="0" w:type="dxa"/>
          <w:right w:w="108" w:type="dxa"/>
        </w:tblCellMar>
      </w:tblPr>
      <w:tblGrid>
        <w:gridCol w:w="1525"/>
        <w:gridCol w:w="1277"/>
        <w:gridCol w:w="992"/>
        <w:gridCol w:w="2195"/>
        <w:gridCol w:w="2533"/>
      </w:tblGrid>
      <w:tr>
        <w:tblPrEx>
          <w:tblCellMar>
            <w:top w:w="0" w:type="dxa"/>
            <w:left w:w="108" w:type="dxa"/>
            <w:bottom w:w="0" w:type="dxa"/>
            <w:right w:w="108" w:type="dxa"/>
          </w:tblCellMar>
        </w:tblPrEx>
        <w:trPr>
          <w:trHeight w:val="340" w:hRule="atLeast"/>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投入</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收入项（t/a）</w:t>
            </w:r>
          </w:p>
        </w:tc>
        <w:tc>
          <w:tcPr>
            <w:tcW w:w="318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产出</w:t>
            </w:r>
          </w:p>
        </w:tc>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支出项（t/a）</w:t>
            </w:r>
          </w:p>
        </w:tc>
      </w:tr>
      <w:tr>
        <w:tblPrEx>
          <w:tblCellMar>
            <w:top w:w="0" w:type="dxa"/>
            <w:left w:w="108" w:type="dxa"/>
            <w:bottom w:w="0" w:type="dxa"/>
            <w:right w:w="108" w:type="dxa"/>
          </w:tblCellMar>
        </w:tblPrEx>
        <w:trPr>
          <w:trHeight w:val="340" w:hRule="atLeast"/>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铁矿石</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w:t>
            </w:r>
            <w:r>
              <w:rPr>
                <w:sz w:val="21"/>
                <w:szCs w:val="21"/>
                <w:highlight w:val="none"/>
              </w:rPr>
              <w:t>0000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1</w:t>
            </w:r>
          </w:p>
        </w:tc>
        <w:tc>
          <w:tcPr>
            <w:tcW w:w="21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铁精粉</w:t>
            </w:r>
          </w:p>
        </w:tc>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1000</w:t>
            </w:r>
            <w:r>
              <w:rPr>
                <w:sz w:val="21"/>
                <w:szCs w:val="21"/>
                <w:highlight w:val="none"/>
              </w:rPr>
              <w:t>000</w:t>
            </w:r>
          </w:p>
        </w:tc>
      </w:tr>
      <w:tr>
        <w:tblPrEx>
          <w:tblCellMar>
            <w:top w:w="0" w:type="dxa"/>
            <w:left w:w="108" w:type="dxa"/>
            <w:bottom w:w="0" w:type="dxa"/>
            <w:right w:w="108" w:type="dxa"/>
          </w:tblCellMar>
        </w:tblPrEx>
        <w:trPr>
          <w:trHeight w:val="340" w:hRule="atLeast"/>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粗精粉</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940000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2</w:t>
            </w:r>
          </w:p>
        </w:tc>
        <w:tc>
          <w:tcPr>
            <w:tcW w:w="21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尾矿砂</w:t>
            </w:r>
          </w:p>
        </w:tc>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207594</w:t>
            </w:r>
          </w:p>
        </w:tc>
      </w:tr>
      <w:tr>
        <w:tblPrEx>
          <w:tblCellMar>
            <w:top w:w="0" w:type="dxa"/>
            <w:left w:w="108" w:type="dxa"/>
            <w:bottom w:w="0" w:type="dxa"/>
            <w:right w:w="108" w:type="dxa"/>
          </w:tblCellMar>
        </w:tblPrEx>
        <w:trPr>
          <w:trHeight w:val="340" w:hRule="atLeast"/>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钢球</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210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3</w:t>
            </w:r>
          </w:p>
        </w:tc>
        <w:tc>
          <w:tcPr>
            <w:tcW w:w="21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砂石料</w:t>
            </w:r>
          </w:p>
        </w:tc>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290093.552</w:t>
            </w:r>
          </w:p>
        </w:tc>
      </w:tr>
      <w:tr>
        <w:tblPrEx>
          <w:tblCellMar>
            <w:top w:w="0" w:type="dxa"/>
            <w:left w:w="108" w:type="dxa"/>
            <w:bottom w:w="0" w:type="dxa"/>
            <w:right w:w="108" w:type="dxa"/>
          </w:tblCellMar>
        </w:tblPrEx>
        <w:trPr>
          <w:trHeight w:val="362" w:hRule="atLeast"/>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w:t>
            </w:r>
          </w:p>
        </w:tc>
        <w:tc>
          <w:tcPr>
            <w:tcW w:w="21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泥饼</w:t>
            </w:r>
          </w:p>
        </w:tc>
        <w:tc>
          <w:tcPr>
            <w:tcW w:w="253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42500</w:t>
            </w:r>
          </w:p>
        </w:tc>
      </w:tr>
      <w:tr>
        <w:tblPrEx>
          <w:tblCellMar>
            <w:top w:w="0" w:type="dxa"/>
            <w:left w:w="108" w:type="dxa"/>
            <w:bottom w:w="0" w:type="dxa"/>
            <w:right w:w="108" w:type="dxa"/>
          </w:tblCellMar>
        </w:tblPrEx>
        <w:trPr>
          <w:trHeight w:val="362" w:hRule="atLeast"/>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w:t>
            </w:r>
          </w:p>
        </w:tc>
        <w:tc>
          <w:tcPr>
            <w:tcW w:w="21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外排</w:t>
            </w:r>
            <w:r>
              <w:rPr>
                <w:sz w:val="21"/>
                <w:szCs w:val="21"/>
                <w:highlight w:val="none"/>
              </w:rPr>
              <w:t>粉尘</w:t>
            </w:r>
          </w:p>
        </w:tc>
        <w:tc>
          <w:tcPr>
            <w:tcW w:w="253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1.448</w:t>
            </w:r>
          </w:p>
        </w:tc>
      </w:tr>
      <w:tr>
        <w:tblPrEx>
          <w:tblCellMar>
            <w:top w:w="0" w:type="dxa"/>
            <w:left w:w="108" w:type="dxa"/>
            <w:bottom w:w="0" w:type="dxa"/>
            <w:right w:w="108" w:type="dxa"/>
          </w:tblCellMar>
        </w:tblPrEx>
        <w:trPr>
          <w:trHeight w:val="340" w:hRule="atLeast"/>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p>
        </w:tc>
        <w:tc>
          <w:tcPr>
            <w:tcW w:w="21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废钢球</w:t>
            </w:r>
          </w:p>
        </w:tc>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21</w:t>
            </w:r>
          </w:p>
        </w:tc>
      </w:tr>
      <w:tr>
        <w:tblPrEx>
          <w:tblCellMar>
            <w:top w:w="0" w:type="dxa"/>
            <w:left w:w="108" w:type="dxa"/>
            <w:bottom w:w="0" w:type="dxa"/>
            <w:right w:w="108" w:type="dxa"/>
          </w:tblCellMar>
        </w:tblPrEx>
        <w:trPr>
          <w:trHeight w:val="340" w:hRule="atLeast"/>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合计</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1540210</w:t>
            </w:r>
          </w:p>
        </w:tc>
        <w:tc>
          <w:tcPr>
            <w:tcW w:w="318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合计</w:t>
            </w:r>
          </w:p>
        </w:tc>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1540210</w:t>
            </w:r>
          </w:p>
        </w:tc>
      </w:tr>
      <w:bookmarkEnd w:id="208"/>
      <w:bookmarkEnd w:id="209"/>
    </w:tbl>
    <w:p>
      <w:pPr>
        <w:spacing w:line="240" w:lineRule="auto"/>
        <w:ind w:firstLine="0" w:firstLineChars="0"/>
        <w:jc w:val="center"/>
        <w:textAlignment w:val="baseline"/>
        <w:rPr>
          <w:rFonts w:eastAsia="黑体"/>
          <w:bCs/>
          <w:sz w:val="24"/>
          <w:highlight w:val="none"/>
        </w:rPr>
      </w:pP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表3.</w:t>
      </w:r>
      <w:r>
        <w:rPr>
          <w:rFonts w:hint="eastAsia" w:eastAsia="黑体"/>
          <w:kern w:val="2"/>
          <w:sz w:val="21"/>
          <w:szCs w:val="21"/>
          <w:highlight w:val="none"/>
        </w:rPr>
        <w:t>3</w:t>
      </w:r>
      <w:r>
        <w:rPr>
          <w:rFonts w:eastAsia="黑体"/>
          <w:kern w:val="2"/>
          <w:sz w:val="21"/>
          <w:szCs w:val="21"/>
          <w:highlight w:val="none"/>
        </w:rPr>
        <w:t>-3    铁元素平衡计算表（t/a）</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701"/>
        <w:gridCol w:w="2693"/>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87" w:type="dxa"/>
            <w:gridSpan w:val="3"/>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元素名称</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restart"/>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投入部分</w:t>
            </w:r>
          </w:p>
        </w:tc>
        <w:tc>
          <w:tcPr>
            <w:tcW w:w="1701" w:type="dxa"/>
            <w:vMerge w:val="restart"/>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铁</w:t>
            </w:r>
            <w:r>
              <w:rPr>
                <w:sz w:val="21"/>
                <w:szCs w:val="21"/>
                <w:highlight w:val="none"/>
              </w:rPr>
              <w:t>矿石</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w:t>
            </w:r>
            <w:r>
              <w:rPr>
                <w:sz w:val="21"/>
                <w:szCs w:val="21"/>
                <w:highlight w:val="none"/>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22</w:t>
            </w: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132000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restart"/>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粗精粉</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94</w:t>
            </w:r>
            <w:r>
              <w:rPr>
                <w:sz w:val="21"/>
                <w:szCs w:val="21"/>
                <w:highlight w:val="none"/>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w:t>
            </w: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564000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restart"/>
            <w:tcBorders>
              <w:tl2br w:val="nil"/>
              <w:tr2bl w:val="nil"/>
            </w:tcBorders>
            <w:shd w:val="clear" w:color="auto" w:fill="auto"/>
            <w:noWrap/>
            <w:vAlign w:val="center"/>
          </w:tcPr>
          <w:p>
            <w:pPr>
              <w:widowControl/>
              <w:spacing w:line="240" w:lineRule="auto"/>
              <w:ind w:firstLine="0" w:firstLineChars="0"/>
              <w:jc w:val="center"/>
              <w:textAlignment w:val="auto"/>
              <w:rPr>
                <w:sz w:val="22"/>
                <w:szCs w:val="22"/>
                <w:highlight w:val="none"/>
              </w:rPr>
            </w:pPr>
            <w:r>
              <w:rPr>
                <w:rFonts w:hint="eastAsia"/>
                <w:sz w:val="21"/>
                <w:szCs w:val="21"/>
                <w:highlight w:val="none"/>
              </w:rPr>
              <w:t>钢球</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2"/>
                <w:szCs w:val="22"/>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2"/>
                <w:szCs w:val="22"/>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合计</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696210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restart"/>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产出部分</w:t>
            </w:r>
          </w:p>
        </w:tc>
        <w:tc>
          <w:tcPr>
            <w:tcW w:w="1701" w:type="dxa"/>
            <w:vMerge w:val="restart"/>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铁精粉</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1000</w:t>
            </w:r>
            <w:r>
              <w:rPr>
                <w:sz w:val="21"/>
                <w:szCs w:val="21"/>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66</w:t>
            </w: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restart"/>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尾矿砂</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207594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6.6</w:t>
            </w: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13757.13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restart"/>
            <w:tcBorders>
              <w:tl2br w:val="nil"/>
              <w:tr2bl w:val="nil"/>
            </w:tcBorders>
            <w:vAlign w:val="center"/>
          </w:tcPr>
          <w:p>
            <w:pPr>
              <w:widowControl/>
              <w:spacing w:line="240" w:lineRule="auto"/>
              <w:ind w:firstLine="420"/>
              <w:textAlignment w:val="auto"/>
              <w:rPr>
                <w:sz w:val="21"/>
                <w:szCs w:val="21"/>
                <w:highlight w:val="none"/>
              </w:rPr>
            </w:pPr>
            <w:r>
              <w:rPr>
                <w:rFonts w:hint="eastAsia"/>
                <w:sz w:val="21"/>
                <w:szCs w:val="21"/>
                <w:highlight w:val="none"/>
              </w:rPr>
              <w:t>砂石料</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290093.552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7</w:t>
            </w: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20306.55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restart"/>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泥饼</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6.35</w:t>
            </w: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restart"/>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外排</w:t>
            </w:r>
            <w:r>
              <w:rPr>
                <w:sz w:val="21"/>
                <w:szCs w:val="21"/>
                <w:highlight w:val="none"/>
              </w:rPr>
              <w:t>粉尘</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22</w:t>
            </w: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restart"/>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废钢球</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平均品位</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093"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1701"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合计</w:t>
            </w:r>
          </w:p>
        </w:tc>
        <w:tc>
          <w:tcPr>
            <w:tcW w:w="2693"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元素质量</w:t>
            </w:r>
          </w:p>
        </w:tc>
        <w:tc>
          <w:tcPr>
            <w:tcW w:w="2035"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696210</w:t>
            </w:r>
          </w:p>
        </w:tc>
      </w:tr>
    </w:tbl>
    <w:p>
      <w:pPr>
        <w:spacing w:line="240" w:lineRule="auto"/>
        <w:ind w:firstLine="0" w:firstLineChars="0"/>
        <w:jc w:val="center"/>
        <w:textAlignment w:val="auto"/>
        <w:rPr>
          <w:rFonts w:eastAsia="黑体"/>
          <w:kern w:val="2"/>
          <w:sz w:val="21"/>
          <w:szCs w:val="21"/>
          <w:highlight w:val="none"/>
        </w:rPr>
      </w:pPr>
    </w:p>
    <w:bookmarkEnd w:id="207"/>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210" w:name="_Toc9834"/>
      <w:bookmarkStart w:id="211" w:name="_Toc22360"/>
      <w:bookmarkStart w:id="212" w:name="_Toc24701"/>
      <w:bookmarkStart w:id="213" w:name="_Toc524284667"/>
      <w:bookmarkStart w:id="214" w:name="_Toc20353"/>
      <w:bookmarkStart w:id="215" w:name="_Toc521591767"/>
      <w:r>
        <w:rPr>
          <w:rFonts w:ascii="Times New Roman" w:hAnsi="Times New Roman" w:eastAsia="宋体"/>
          <w:bCs w:val="0"/>
          <w:snapToGrid w:val="0"/>
          <w:kern w:val="0"/>
          <w:sz w:val="28"/>
          <w:szCs w:val="28"/>
          <w:highlight w:val="none"/>
        </w:rPr>
        <w:t>污染源源强核算</w:t>
      </w:r>
      <w:bookmarkEnd w:id="210"/>
      <w:bookmarkEnd w:id="211"/>
      <w:bookmarkEnd w:id="212"/>
      <w:bookmarkEnd w:id="213"/>
      <w:bookmarkEnd w:id="214"/>
      <w:bookmarkEnd w:id="215"/>
    </w:p>
    <w:p>
      <w:pPr>
        <w:pStyle w:val="6"/>
        <w:numPr>
          <w:ilvl w:val="2"/>
          <w:numId w:val="1"/>
        </w:numPr>
        <w:rPr>
          <w:highlight w:val="none"/>
        </w:rPr>
      </w:pPr>
      <w:bookmarkStart w:id="216" w:name="_Toc27951"/>
      <w:r>
        <w:rPr>
          <w:szCs w:val="28"/>
          <w:highlight w:val="none"/>
        </w:rPr>
        <w:t>施工期污染源强核算</w:t>
      </w:r>
      <w:bookmarkEnd w:id="216"/>
    </w:p>
    <w:p>
      <w:pPr>
        <w:ind w:firstLine="480"/>
        <w:jc w:val="both"/>
        <w:rPr>
          <w:bCs/>
          <w:sz w:val="24"/>
          <w:szCs w:val="24"/>
          <w:highlight w:val="none"/>
        </w:rPr>
      </w:pPr>
      <w:r>
        <w:rPr>
          <w:bCs/>
          <w:sz w:val="24"/>
          <w:szCs w:val="24"/>
          <w:highlight w:val="none"/>
        </w:rPr>
        <w:t>本项目</w:t>
      </w:r>
      <w:r>
        <w:rPr>
          <w:rFonts w:hint="eastAsia"/>
          <w:bCs/>
          <w:sz w:val="24"/>
          <w:szCs w:val="24"/>
          <w:highlight w:val="none"/>
        </w:rPr>
        <w:t>在现有厂房内进行建设，</w:t>
      </w:r>
      <w:r>
        <w:rPr>
          <w:bCs/>
          <w:sz w:val="24"/>
          <w:szCs w:val="24"/>
          <w:highlight w:val="none"/>
        </w:rPr>
        <w:t>施工期</w:t>
      </w:r>
      <w:r>
        <w:rPr>
          <w:rFonts w:hint="eastAsia"/>
          <w:bCs/>
          <w:sz w:val="24"/>
          <w:szCs w:val="24"/>
          <w:highlight w:val="none"/>
        </w:rPr>
        <w:t>主要为设备安装，施工期短暂，涉及污染源主要为设备安装噪声</w:t>
      </w:r>
      <w:r>
        <w:rPr>
          <w:bCs/>
          <w:sz w:val="24"/>
          <w:szCs w:val="24"/>
          <w:highlight w:val="none"/>
        </w:rPr>
        <w:t>。</w:t>
      </w:r>
    </w:p>
    <w:p>
      <w:pPr>
        <w:ind w:firstLine="480"/>
        <w:jc w:val="both"/>
        <w:rPr>
          <w:bCs/>
          <w:sz w:val="24"/>
          <w:szCs w:val="24"/>
          <w:highlight w:val="none"/>
        </w:rPr>
      </w:pPr>
      <w:r>
        <w:rPr>
          <w:bCs/>
          <w:sz w:val="24"/>
          <w:szCs w:val="24"/>
          <w:highlight w:val="none"/>
        </w:rPr>
        <w:t>施工期噪声主要为施工现场的各类机械设备噪声以及物料运输过程中的交通噪声。</w:t>
      </w:r>
    </w:p>
    <w:p>
      <w:pPr>
        <w:ind w:firstLine="480"/>
        <w:jc w:val="both"/>
        <w:rPr>
          <w:bCs/>
          <w:sz w:val="24"/>
          <w:szCs w:val="24"/>
          <w:highlight w:val="none"/>
        </w:rPr>
      </w:pPr>
      <w:r>
        <w:rPr>
          <w:bCs/>
          <w:sz w:val="24"/>
          <w:szCs w:val="24"/>
          <w:highlight w:val="none"/>
        </w:rPr>
        <w:t>施工现场噪声通常以施工机械噪声为主。根据本项目施工的特点，施工场地的主要噪声源为各类高噪声机械设备，如挖掘机、装载机等。施工机械的噪声特点是间歇或阵发性的，并具有流动性、噪声较高的特征，噪声值一般均高于80dB（A）。施工期间另一个重要的噪声源是施工运输车辆产生的交通噪声，一般声级可达到85-90dB（A）。</w:t>
      </w:r>
    </w:p>
    <w:p>
      <w:pPr>
        <w:pStyle w:val="6"/>
        <w:numPr>
          <w:ilvl w:val="2"/>
          <w:numId w:val="1"/>
        </w:numPr>
        <w:rPr>
          <w:szCs w:val="28"/>
          <w:highlight w:val="none"/>
        </w:rPr>
      </w:pPr>
      <w:bookmarkStart w:id="217" w:name="_Toc24781"/>
      <w:bookmarkStart w:id="218" w:name="_Toc521591769"/>
      <w:r>
        <w:rPr>
          <w:szCs w:val="28"/>
          <w:highlight w:val="none"/>
        </w:rPr>
        <w:t>运营期环境影响因素及污染源强核算</w:t>
      </w:r>
      <w:bookmarkEnd w:id="217"/>
      <w:bookmarkEnd w:id="218"/>
    </w:p>
    <w:p>
      <w:pPr>
        <w:pStyle w:val="3"/>
        <w:rPr>
          <w:rFonts w:eastAsia="宋体"/>
          <w:b/>
          <w:highlight w:val="none"/>
        </w:rPr>
      </w:pPr>
      <w:bookmarkStart w:id="219" w:name="_Hlk18932817"/>
      <w:r>
        <w:rPr>
          <w:rFonts w:eastAsia="宋体"/>
          <w:b/>
          <w:highlight w:val="none"/>
        </w:rPr>
        <w:t>3.</w:t>
      </w:r>
      <w:r>
        <w:rPr>
          <w:rFonts w:hint="eastAsia" w:eastAsia="宋体"/>
          <w:b/>
          <w:highlight w:val="none"/>
        </w:rPr>
        <w:t>4</w:t>
      </w:r>
      <w:r>
        <w:rPr>
          <w:rFonts w:eastAsia="宋体"/>
          <w:b/>
          <w:highlight w:val="none"/>
        </w:rPr>
        <w:t>.2.1</w:t>
      </w:r>
      <w:bookmarkEnd w:id="219"/>
      <w:bookmarkStart w:id="220" w:name="_Hlk18932793"/>
      <w:r>
        <w:rPr>
          <w:rFonts w:eastAsia="宋体"/>
          <w:b/>
          <w:highlight w:val="none"/>
        </w:rPr>
        <w:t>大气污染物分析及源强核算</w:t>
      </w:r>
    </w:p>
    <w:p>
      <w:pPr>
        <w:ind w:firstLine="480"/>
        <w:jc w:val="both"/>
        <w:rPr>
          <w:bCs/>
          <w:sz w:val="24"/>
          <w:szCs w:val="24"/>
          <w:highlight w:val="none"/>
        </w:rPr>
      </w:pPr>
      <w:r>
        <w:rPr>
          <w:bCs/>
          <w:sz w:val="24"/>
          <w:szCs w:val="24"/>
          <w:highlight w:val="none"/>
        </w:rPr>
        <w:t>（1）有组织排放颗粒物</w:t>
      </w:r>
    </w:p>
    <w:p>
      <w:pPr>
        <w:ind w:firstLine="480"/>
        <w:jc w:val="both"/>
        <w:rPr>
          <w:bCs/>
          <w:sz w:val="24"/>
          <w:szCs w:val="24"/>
          <w:highlight w:val="none"/>
        </w:rPr>
      </w:pPr>
      <w:r>
        <w:rPr>
          <w:bCs/>
          <w:sz w:val="24"/>
          <w:szCs w:val="24"/>
          <w:highlight w:val="none"/>
        </w:rPr>
        <w:t>本项目在矿石破碎、筛分等生产过程中会产生颗粒物，各工序产尘点源强估算如下：</w:t>
      </w:r>
    </w:p>
    <w:p>
      <w:pPr>
        <w:ind w:firstLine="480"/>
        <w:jc w:val="both"/>
        <w:rPr>
          <w:bCs/>
          <w:sz w:val="24"/>
          <w:szCs w:val="24"/>
          <w:highlight w:val="none"/>
        </w:rPr>
      </w:pPr>
      <w:r>
        <w:rPr>
          <w:rFonts w:hint="eastAsia"/>
          <w:bCs/>
          <w:sz w:val="24"/>
          <w:szCs w:val="24"/>
          <w:highlight w:val="none"/>
        </w:rPr>
        <w:t>①</w:t>
      </w:r>
      <w:r>
        <w:rPr>
          <w:bCs/>
          <w:sz w:val="24"/>
          <w:szCs w:val="24"/>
          <w:highlight w:val="none"/>
        </w:rPr>
        <w:t>破碎过程产生的源强参照《工业污染源核算》（毛应准，中国环境科学出版社，2007）的相关参数。其中，鄂式破碎工序颗粒物产生量为0.2kg/t矿石，圆锥</w:t>
      </w:r>
      <w:r>
        <w:rPr>
          <w:rFonts w:hint="eastAsia"/>
          <w:bCs/>
          <w:sz w:val="24"/>
          <w:szCs w:val="24"/>
          <w:highlight w:val="none"/>
        </w:rPr>
        <w:t>、锤式</w:t>
      </w:r>
      <w:r>
        <w:rPr>
          <w:bCs/>
          <w:sz w:val="24"/>
          <w:szCs w:val="24"/>
          <w:highlight w:val="none"/>
        </w:rPr>
        <w:t>破碎工序颗粒物产生量为0.5kg/t矿石。</w:t>
      </w:r>
    </w:p>
    <w:p>
      <w:pPr>
        <w:ind w:firstLine="480"/>
        <w:jc w:val="both"/>
        <w:rPr>
          <w:bCs/>
          <w:sz w:val="24"/>
          <w:szCs w:val="24"/>
          <w:highlight w:val="none"/>
        </w:rPr>
      </w:pPr>
      <w:r>
        <w:rPr>
          <w:rFonts w:hint="eastAsia"/>
          <w:bCs/>
          <w:sz w:val="24"/>
          <w:szCs w:val="24"/>
          <w:highlight w:val="none"/>
        </w:rPr>
        <w:t>②筛分过程产生的颗粒物参照《采石场大气污染物源强分析研究》（资源调查与环境，2003年，第24卷第4期），筛分工序颗粒物产生量为筛分物料的0.05%。</w:t>
      </w:r>
    </w:p>
    <w:p>
      <w:pPr>
        <w:ind w:firstLine="480"/>
        <w:jc w:val="both"/>
        <w:rPr>
          <w:bCs/>
          <w:sz w:val="24"/>
          <w:szCs w:val="24"/>
          <w:highlight w:val="none"/>
        </w:rPr>
      </w:pPr>
      <w:r>
        <w:rPr>
          <w:rFonts w:hint="eastAsia"/>
          <w:bCs/>
          <w:sz w:val="24"/>
          <w:szCs w:val="24"/>
          <w:highlight w:val="none"/>
        </w:rPr>
        <w:t>③</w:t>
      </w:r>
      <w:r>
        <w:rPr>
          <w:bCs/>
          <w:sz w:val="24"/>
          <w:szCs w:val="24"/>
          <w:highlight w:val="none"/>
        </w:rPr>
        <w:t>类比其他资料，</w:t>
      </w:r>
      <w:r>
        <w:rPr>
          <w:rFonts w:hint="eastAsia"/>
          <w:bCs/>
          <w:sz w:val="24"/>
          <w:szCs w:val="24"/>
          <w:highlight w:val="none"/>
        </w:rPr>
        <w:t>干选及</w:t>
      </w:r>
      <w:r>
        <w:rPr>
          <w:bCs/>
          <w:sz w:val="24"/>
          <w:szCs w:val="24"/>
          <w:highlight w:val="none"/>
        </w:rPr>
        <w:t>中转仓入料、出料过程产生的颗粒物为原料量为0.01%。</w:t>
      </w:r>
    </w:p>
    <w:p>
      <w:pPr>
        <w:ind w:firstLine="480"/>
        <w:jc w:val="both"/>
        <w:rPr>
          <w:bCs/>
          <w:sz w:val="24"/>
          <w:szCs w:val="24"/>
          <w:highlight w:val="none"/>
        </w:rPr>
      </w:pPr>
      <w:r>
        <w:rPr>
          <w:bCs/>
          <w:sz w:val="24"/>
          <w:szCs w:val="24"/>
          <w:highlight w:val="none"/>
        </w:rPr>
        <w:t>本项目</w:t>
      </w:r>
      <w:r>
        <w:rPr>
          <w:rFonts w:hint="eastAsia"/>
          <w:bCs/>
          <w:sz w:val="24"/>
          <w:szCs w:val="24"/>
          <w:highlight w:val="none"/>
        </w:rPr>
        <w:t>实施后</w:t>
      </w:r>
      <w:r>
        <w:rPr>
          <w:bCs/>
          <w:sz w:val="24"/>
          <w:szCs w:val="24"/>
          <w:highlight w:val="none"/>
        </w:rPr>
        <w:t>破碎筛分生产线处理铁矿石规模为</w:t>
      </w:r>
      <w:r>
        <w:rPr>
          <w:rFonts w:hint="eastAsia"/>
          <w:bCs/>
          <w:sz w:val="24"/>
          <w:szCs w:val="24"/>
          <w:highlight w:val="none"/>
        </w:rPr>
        <w:t>60</w:t>
      </w:r>
      <w:r>
        <w:rPr>
          <w:bCs/>
          <w:sz w:val="24"/>
          <w:szCs w:val="24"/>
          <w:highlight w:val="none"/>
        </w:rPr>
        <w:t>万t/a，主要产尘节点包括：鄂破机入料、破碎、出料过程，</w:t>
      </w:r>
      <w:r>
        <w:rPr>
          <w:rFonts w:hint="eastAsia"/>
          <w:bCs/>
          <w:sz w:val="24"/>
          <w:szCs w:val="24"/>
          <w:highlight w:val="none"/>
        </w:rPr>
        <w:t>锤式</w:t>
      </w:r>
      <w:r>
        <w:rPr>
          <w:bCs/>
          <w:sz w:val="24"/>
          <w:szCs w:val="24"/>
          <w:highlight w:val="none"/>
        </w:rPr>
        <w:t>破碎机入料、破碎、出料过程，振动筛筛分、入料、出料过程，</w:t>
      </w:r>
      <w:r>
        <w:rPr>
          <w:rFonts w:hint="eastAsia"/>
          <w:bCs/>
          <w:sz w:val="24"/>
          <w:szCs w:val="24"/>
          <w:highlight w:val="none"/>
        </w:rPr>
        <w:t>磁滑轮</w:t>
      </w:r>
      <w:r>
        <w:rPr>
          <w:bCs/>
          <w:sz w:val="24"/>
          <w:szCs w:val="24"/>
          <w:highlight w:val="none"/>
        </w:rPr>
        <w:t>入料、出料过程</w:t>
      </w:r>
      <w:r>
        <w:rPr>
          <w:rFonts w:hint="eastAsia"/>
          <w:bCs/>
          <w:sz w:val="24"/>
          <w:szCs w:val="24"/>
          <w:highlight w:val="none"/>
        </w:rPr>
        <w:t>，</w:t>
      </w:r>
      <w:r>
        <w:rPr>
          <w:bCs/>
          <w:sz w:val="24"/>
          <w:szCs w:val="24"/>
          <w:highlight w:val="none"/>
        </w:rPr>
        <w:t>中转仓入料、出料过程。</w:t>
      </w:r>
    </w:p>
    <w:p>
      <w:pPr>
        <w:ind w:firstLine="480"/>
        <w:jc w:val="both"/>
        <w:rPr>
          <w:bCs/>
          <w:sz w:val="24"/>
          <w:szCs w:val="24"/>
          <w:highlight w:val="none"/>
        </w:rPr>
      </w:pPr>
      <w:r>
        <w:rPr>
          <w:bCs/>
          <w:sz w:val="24"/>
          <w:szCs w:val="24"/>
          <w:highlight w:val="none"/>
        </w:rPr>
        <w:t>除尘器的设计风量参照《唐山市人民政府关于对采石场实施环节保护专项整治行动的通知》（唐政</w:t>
      </w:r>
      <w:r>
        <w:rPr>
          <w:rFonts w:hint="eastAsia"/>
          <w:bCs/>
          <w:sz w:val="24"/>
          <w:szCs w:val="24"/>
          <w:highlight w:val="none"/>
        </w:rPr>
        <w:t>[</w:t>
      </w:r>
      <w:r>
        <w:rPr>
          <w:bCs/>
          <w:sz w:val="24"/>
          <w:szCs w:val="24"/>
          <w:highlight w:val="none"/>
        </w:rPr>
        <w:t>2013</w:t>
      </w:r>
      <w:r>
        <w:rPr>
          <w:rFonts w:hint="eastAsia"/>
          <w:bCs/>
          <w:sz w:val="24"/>
          <w:szCs w:val="24"/>
          <w:highlight w:val="none"/>
        </w:rPr>
        <w:t>]</w:t>
      </w:r>
      <w:r>
        <w:rPr>
          <w:bCs/>
          <w:sz w:val="24"/>
          <w:szCs w:val="24"/>
          <w:highlight w:val="none"/>
        </w:rPr>
        <w:t>128号）中“采石场环境保护专项整治标准”第八条“单台破碎、筛分设备的除尘设计风量按大于12000m</w:t>
      </w:r>
      <w:r>
        <w:rPr>
          <w:bCs/>
          <w:sz w:val="24"/>
          <w:szCs w:val="24"/>
          <w:highlight w:val="none"/>
          <w:vertAlign w:val="superscript"/>
        </w:rPr>
        <w:t>3</w:t>
      </w:r>
      <w:r>
        <w:rPr>
          <w:bCs/>
          <w:sz w:val="24"/>
          <w:szCs w:val="24"/>
          <w:highlight w:val="none"/>
        </w:rPr>
        <w:t>/h计算”。</w:t>
      </w:r>
    </w:p>
    <w:p>
      <w:pPr>
        <w:ind w:firstLine="480"/>
        <w:jc w:val="both"/>
        <w:rPr>
          <w:highlight w:val="none"/>
        </w:rPr>
      </w:pPr>
      <w:r>
        <w:rPr>
          <w:bCs/>
          <w:sz w:val="24"/>
          <w:szCs w:val="24"/>
          <w:highlight w:val="none"/>
        </w:rPr>
        <w:t>本项目</w:t>
      </w:r>
      <w:r>
        <w:rPr>
          <w:rFonts w:hint="eastAsia"/>
          <w:bCs/>
          <w:sz w:val="24"/>
          <w:szCs w:val="24"/>
          <w:highlight w:val="none"/>
        </w:rPr>
        <w:t>主要设有2台颚式破碎机、1台锤式破碎机、2台振动筛、1台磁滑轮、1座中转仓，其中磁滑轮、中转仓工序合计风量为</w:t>
      </w:r>
      <w:r>
        <w:rPr>
          <w:rFonts w:hint="eastAsia"/>
          <w:sz w:val="24"/>
          <w:szCs w:val="24"/>
          <w:highlight w:val="none"/>
        </w:rPr>
        <w:t>5</w:t>
      </w:r>
      <w:r>
        <w:rPr>
          <w:sz w:val="24"/>
          <w:szCs w:val="24"/>
          <w:highlight w:val="none"/>
        </w:rPr>
        <w:t>000m</w:t>
      </w:r>
      <w:r>
        <w:rPr>
          <w:sz w:val="24"/>
          <w:szCs w:val="24"/>
          <w:highlight w:val="none"/>
          <w:vertAlign w:val="superscript"/>
        </w:rPr>
        <w:t>3</w:t>
      </w:r>
      <w:r>
        <w:rPr>
          <w:sz w:val="24"/>
          <w:szCs w:val="24"/>
          <w:highlight w:val="none"/>
        </w:rPr>
        <w:t>/h</w:t>
      </w:r>
      <w:r>
        <w:rPr>
          <w:rFonts w:hint="eastAsia"/>
          <w:sz w:val="24"/>
          <w:szCs w:val="24"/>
          <w:highlight w:val="none"/>
        </w:rPr>
        <w:t>，破碎筛分工序设计风量为60</w:t>
      </w:r>
      <w:r>
        <w:rPr>
          <w:sz w:val="24"/>
          <w:szCs w:val="24"/>
          <w:highlight w:val="none"/>
        </w:rPr>
        <w:t>000m</w:t>
      </w:r>
      <w:r>
        <w:rPr>
          <w:sz w:val="24"/>
          <w:szCs w:val="24"/>
          <w:highlight w:val="none"/>
          <w:vertAlign w:val="superscript"/>
        </w:rPr>
        <w:t>3</w:t>
      </w:r>
      <w:r>
        <w:rPr>
          <w:sz w:val="24"/>
          <w:szCs w:val="24"/>
          <w:highlight w:val="none"/>
        </w:rPr>
        <w:t>/h</w:t>
      </w:r>
      <w:r>
        <w:rPr>
          <w:rFonts w:hint="eastAsia"/>
          <w:sz w:val="24"/>
          <w:szCs w:val="24"/>
          <w:highlight w:val="none"/>
        </w:rPr>
        <w:t>，</w:t>
      </w:r>
      <w:r>
        <w:rPr>
          <w:rFonts w:hint="eastAsia"/>
          <w:bCs/>
          <w:sz w:val="24"/>
          <w:szCs w:val="24"/>
          <w:highlight w:val="none"/>
        </w:rPr>
        <w:t>由此</w:t>
      </w:r>
      <w:r>
        <w:rPr>
          <w:rFonts w:hint="eastAsia"/>
          <w:sz w:val="24"/>
          <w:szCs w:val="24"/>
          <w:highlight w:val="none"/>
        </w:rPr>
        <w:t>确定</w:t>
      </w:r>
      <w:r>
        <w:rPr>
          <w:sz w:val="24"/>
          <w:szCs w:val="24"/>
          <w:highlight w:val="none"/>
        </w:rPr>
        <w:t>除尘器设计风量为</w:t>
      </w:r>
      <w:r>
        <w:rPr>
          <w:rFonts w:hint="eastAsia"/>
          <w:sz w:val="24"/>
          <w:szCs w:val="24"/>
          <w:highlight w:val="none"/>
        </w:rPr>
        <w:t>65</w:t>
      </w:r>
      <w:r>
        <w:rPr>
          <w:sz w:val="24"/>
          <w:szCs w:val="24"/>
          <w:highlight w:val="none"/>
        </w:rPr>
        <w:t>000m</w:t>
      </w:r>
      <w:r>
        <w:rPr>
          <w:sz w:val="24"/>
          <w:szCs w:val="24"/>
          <w:highlight w:val="none"/>
          <w:vertAlign w:val="superscript"/>
        </w:rPr>
        <w:t>3</w:t>
      </w:r>
      <w:r>
        <w:rPr>
          <w:sz w:val="24"/>
          <w:szCs w:val="24"/>
          <w:highlight w:val="none"/>
        </w:rPr>
        <w:t>/h，</w:t>
      </w:r>
      <w:r>
        <w:rPr>
          <w:bCs/>
          <w:sz w:val="24"/>
          <w:szCs w:val="24"/>
          <w:highlight w:val="none"/>
        </w:rPr>
        <w:t>集气罩集气效率按95%计，离线清灰脉冲除尘器除尘效率按99.</w:t>
      </w:r>
      <w:r>
        <w:rPr>
          <w:rFonts w:hint="eastAsia"/>
          <w:bCs/>
          <w:sz w:val="24"/>
          <w:szCs w:val="24"/>
          <w:highlight w:val="none"/>
        </w:rPr>
        <w:t>9</w:t>
      </w:r>
      <w:r>
        <w:rPr>
          <w:bCs/>
          <w:sz w:val="24"/>
          <w:szCs w:val="24"/>
          <w:highlight w:val="none"/>
        </w:rPr>
        <w:t>%计。</w:t>
      </w:r>
    </w:p>
    <w:p>
      <w:pPr>
        <w:ind w:firstLine="480"/>
        <w:jc w:val="both"/>
        <w:rPr>
          <w:bCs/>
          <w:sz w:val="24"/>
          <w:szCs w:val="24"/>
          <w:highlight w:val="none"/>
        </w:rPr>
      </w:pPr>
      <w:r>
        <w:rPr>
          <w:bCs/>
          <w:sz w:val="24"/>
          <w:szCs w:val="24"/>
          <w:highlight w:val="none"/>
        </w:rPr>
        <w:t>本项目</w:t>
      </w:r>
      <w:r>
        <w:rPr>
          <w:rFonts w:hint="eastAsia"/>
          <w:bCs/>
          <w:sz w:val="24"/>
          <w:szCs w:val="24"/>
          <w:highlight w:val="none"/>
        </w:rPr>
        <w:t>破碎</w:t>
      </w:r>
      <w:r>
        <w:rPr>
          <w:bCs/>
          <w:sz w:val="24"/>
          <w:szCs w:val="24"/>
          <w:highlight w:val="none"/>
        </w:rPr>
        <w:t>车间颗粒物产生量情况见表3.</w:t>
      </w:r>
      <w:r>
        <w:rPr>
          <w:rFonts w:hint="eastAsia"/>
          <w:bCs/>
          <w:sz w:val="24"/>
          <w:szCs w:val="24"/>
          <w:highlight w:val="none"/>
        </w:rPr>
        <w:t>4</w:t>
      </w:r>
      <w:r>
        <w:rPr>
          <w:bCs/>
          <w:sz w:val="24"/>
          <w:szCs w:val="24"/>
          <w:highlight w:val="none"/>
        </w:rPr>
        <w:t>-1，车间除尘器配置情况及颗粒物达标分析见表3.</w:t>
      </w:r>
      <w:r>
        <w:rPr>
          <w:rFonts w:hint="eastAsia"/>
          <w:bCs/>
          <w:sz w:val="24"/>
          <w:szCs w:val="24"/>
          <w:highlight w:val="none"/>
        </w:rPr>
        <w:t>4</w:t>
      </w:r>
      <w:r>
        <w:rPr>
          <w:bCs/>
          <w:sz w:val="24"/>
          <w:szCs w:val="24"/>
          <w:highlight w:val="none"/>
        </w:rPr>
        <w:t>-2。</w:t>
      </w:r>
    </w:p>
    <w:p>
      <w:pPr>
        <w:spacing w:line="240" w:lineRule="auto"/>
        <w:ind w:firstLine="420" w:firstLineChars="0"/>
        <w:jc w:val="center"/>
        <w:textAlignment w:val="baseline"/>
        <w:rPr>
          <w:rFonts w:eastAsia="黑体"/>
          <w:bCs/>
          <w:kern w:val="2"/>
          <w:sz w:val="21"/>
          <w:szCs w:val="21"/>
          <w:highlight w:val="none"/>
        </w:rPr>
      </w:pPr>
      <w:r>
        <w:rPr>
          <w:rFonts w:eastAsia="黑体"/>
          <w:bCs/>
          <w:kern w:val="2"/>
          <w:sz w:val="21"/>
          <w:szCs w:val="21"/>
          <w:highlight w:val="none"/>
        </w:rPr>
        <w:t>表3.</w:t>
      </w:r>
      <w:r>
        <w:rPr>
          <w:rFonts w:hint="eastAsia" w:eastAsia="黑体"/>
          <w:bCs/>
          <w:kern w:val="2"/>
          <w:sz w:val="21"/>
          <w:szCs w:val="21"/>
          <w:highlight w:val="none"/>
        </w:rPr>
        <w:t>4</w:t>
      </w:r>
      <w:r>
        <w:rPr>
          <w:rFonts w:eastAsia="黑体"/>
          <w:bCs/>
          <w:kern w:val="2"/>
          <w:sz w:val="21"/>
          <w:szCs w:val="21"/>
          <w:highlight w:val="none"/>
        </w:rPr>
        <w:t>-1</w:t>
      </w:r>
      <w:r>
        <w:rPr>
          <w:rFonts w:hint="eastAsia" w:eastAsia="黑体"/>
          <w:bCs/>
          <w:kern w:val="2"/>
          <w:sz w:val="21"/>
          <w:szCs w:val="21"/>
          <w:highlight w:val="none"/>
        </w:rPr>
        <w:t xml:space="preserve">   </w:t>
      </w:r>
      <w:r>
        <w:rPr>
          <w:rFonts w:eastAsia="黑体"/>
          <w:bCs/>
          <w:kern w:val="2"/>
          <w:sz w:val="21"/>
          <w:szCs w:val="21"/>
          <w:highlight w:val="none"/>
        </w:rPr>
        <w:t>破碎筛分生产线有组织废气排放情况表</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2386"/>
        <w:gridCol w:w="1534"/>
        <w:gridCol w:w="1534"/>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生产线</w:t>
            </w:r>
          </w:p>
        </w:tc>
        <w:tc>
          <w:tcPr>
            <w:tcW w:w="2386"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产尘点</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物料处理量（万</w:t>
            </w:r>
            <w:r>
              <w:rPr>
                <w:sz w:val="21"/>
                <w:szCs w:val="21"/>
                <w:highlight w:val="none"/>
              </w:rPr>
              <w:t>t/a</w:t>
            </w:r>
            <w:r>
              <w:rPr>
                <w:rFonts w:hint="eastAsia" w:ascii="宋体" w:hAnsi="宋体"/>
                <w:sz w:val="21"/>
                <w:szCs w:val="21"/>
                <w:highlight w:val="none"/>
              </w:rPr>
              <w:t>）</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产尘系数</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颗粒物产生量（</w:t>
            </w:r>
            <w:r>
              <w:rPr>
                <w:sz w:val="21"/>
                <w:szCs w:val="21"/>
                <w:highlight w:val="none"/>
              </w:rPr>
              <w:t>t/a</w:t>
            </w:r>
            <w:r>
              <w:rPr>
                <w:rFonts w:hint="eastAsia" w:ascii="宋体" w:hAnsi="宋体"/>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34" w:type="dxa"/>
            <w:vMerge w:val="restart"/>
            <w:tcBorders>
              <w:tl2br w:val="nil"/>
              <w:tr2bl w:val="nil"/>
            </w:tcBorders>
            <w:shd w:val="clear" w:color="auto" w:fill="auto"/>
            <w:vAlign w:val="center"/>
          </w:tcPr>
          <w:p>
            <w:pPr>
              <w:widowControl/>
              <w:spacing w:line="240" w:lineRule="auto"/>
              <w:ind w:firstLine="0" w:firstLineChars="0"/>
              <w:jc w:val="center"/>
              <w:textAlignment w:val="auto"/>
              <w:rPr>
                <w:rFonts w:ascii="宋体" w:hAnsi="宋体"/>
                <w:sz w:val="21"/>
                <w:szCs w:val="21"/>
                <w:highlight w:val="none"/>
              </w:rPr>
            </w:pPr>
            <w:r>
              <w:rPr>
                <w:rFonts w:hint="eastAsia" w:ascii="宋体" w:hAnsi="宋体"/>
                <w:sz w:val="21"/>
                <w:szCs w:val="21"/>
                <w:highlight w:val="none"/>
              </w:rPr>
              <w:t>破碎筛分</w:t>
            </w:r>
          </w:p>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生产线</w:t>
            </w:r>
          </w:p>
        </w:tc>
        <w:tc>
          <w:tcPr>
            <w:tcW w:w="2386"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1#颚式破碎机</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0.2kg/t</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34" w:type="dxa"/>
            <w:vMerge w:val="continue"/>
            <w:tcBorders>
              <w:tl2br w:val="nil"/>
              <w:tr2bl w:val="nil"/>
            </w:tcBorders>
            <w:shd w:val="clear" w:color="auto" w:fill="auto"/>
            <w:vAlign w:val="center"/>
          </w:tcPr>
          <w:p>
            <w:pPr>
              <w:widowControl/>
              <w:spacing w:line="240" w:lineRule="auto"/>
              <w:ind w:firstLine="0" w:firstLineChars="0"/>
              <w:jc w:val="center"/>
              <w:textAlignment w:val="auto"/>
              <w:rPr>
                <w:rFonts w:ascii="宋体" w:hAnsi="宋体"/>
                <w:sz w:val="21"/>
                <w:szCs w:val="21"/>
                <w:highlight w:val="none"/>
              </w:rPr>
            </w:pPr>
          </w:p>
        </w:tc>
        <w:tc>
          <w:tcPr>
            <w:tcW w:w="2386"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2#颚式破碎机</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18</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0.2kg/t</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534"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386"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锤式破碎机</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18</w:t>
            </w:r>
          </w:p>
        </w:tc>
        <w:tc>
          <w:tcPr>
            <w:tcW w:w="1534" w:type="dxa"/>
            <w:tcBorders>
              <w:tl2br w:val="nil"/>
              <w:tr2bl w:val="nil"/>
            </w:tcBorders>
            <w:shd w:val="clear" w:color="auto" w:fill="auto"/>
            <w:noWrap/>
            <w:vAlign w:val="center"/>
          </w:tcPr>
          <w:p>
            <w:pPr>
              <w:widowControl/>
              <w:spacing w:line="240" w:lineRule="auto"/>
              <w:ind w:firstLine="0" w:firstLineChars="0"/>
              <w:jc w:val="center"/>
              <w:textAlignment w:val="auto"/>
              <w:rPr>
                <w:sz w:val="21"/>
                <w:szCs w:val="21"/>
                <w:highlight w:val="none"/>
              </w:rPr>
            </w:pPr>
            <w:r>
              <w:rPr>
                <w:sz w:val="21"/>
                <w:szCs w:val="21"/>
                <w:highlight w:val="none"/>
              </w:rPr>
              <w:t>0.5kg/t</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34"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386"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1#振动筛</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48</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0.0</w:t>
            </w:r>
            <w:r>
              <w:rPr>
                <w:rFonts w:hint="eastAsia"/>
                <w:sz w:val="21"/>
                <w:szCs w:val="21"/>
                <w:highlight w:val="none"/>
              </w:rPr>
              <w:t>5</w:t>
            </w:r>
            <w:r>
              <w:rPr>
                <w:sz w:val="21"/>
                <w:szCs w:val="21"/>
                <w:highlight w:val="none"/>
              </w:rPr>
              <w:t>%</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34"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386"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sz w:val="21"/>
                <w:szCs w:val="21"/>
                <w:highlight w:val="none"/>
              </w:rPr>
              <w:t>2#振动筛</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48</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0.0</w:t>
            </w:r>
            <w:r>
              <w:rPr>
                <w:rFonts w:hint="eastAsia"/>
                <w:sz w:val="21"/>
                <w:szCs w:val="21"/>
                <w:highlight w:val="none"/>
              </w:rPr>
              <w:t>5</w:t>
            </w:r>
            <w:r>
              <w:rPr>
                <w:sz w:val="21"/>
                <w:szCs w:val="21"/>
                <w:highlight w:val="none"/>
              </w:rPr>
              <w:t>%</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34"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386" w:type="dxa"/>
            <w:tcBorders>
              <w:tl2br w:val="nil"/>
              <w:tr2bl w:val="nil"/>
            </w:tcBorders>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磁滑轮</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0.01%</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34"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2386" w:type="dxa"/>
            <w:tcBorders>
              <w:tl2br w:val="nil"/>
              <w:tr2bl w:val="nil"/>
            </w:tcBorders>
            <w:shd w:val="clear" w:color="auto" w:fill="auto"/>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中转料仓</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30</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sz w:val="21"/>
                <w:szCs w:val="21"/>
                <w:highlight w:val="none"/>
              </w:rPr>
              <w:t>0.01%</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34" w:type="dxa"/>
            <w:vMerge w:val="continue"/>
            <w:tcBorders>
              <w:tl2br w:val="nil"/>
              <w:tr2bl w:val="nil"/>
            </w:tcBorders>
            <w:vAlign w:val="center"/>
          </w:tcPr>
          <w:p>
            <w:pPr>
              <w:widowControl/>
              <w:spacing w:line="240" w:lineRule="auto"/>
              <w:ind w:firstLine="0" w:firstLineChars="0"/>
              <w:textAlignment w:val="auto"/>
              <w:rPr>
                <w:sz w:val="21"/>
                <w:szCs w:val="21"/>
                <w:highlight w:val="none"/>
              </w:rPr>
            </w:pPr>
          </w:p>
        </w:tc>
        <w:tc>
          <w:tcPr>
            <w:tcW w:w="5454" w:type="dxa"/>
            <w:gridSpan w:val="3"/>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ascii="宋体" w:hAnsi="宋体" w:cs="宋体"/>
                <w:sz w:val="21"/>
                <w:szCs w:val="21"/>
                <w:highlight w:val="none"/>
              </w:rPr>
              <w:t>合计</w:t>
            </w:r>
          </w:p>
        </w:tc>
        <w:tc>
          <w:tcPr>
            <w:tcW w:w="1534" w:type="dxa"/>
            <w:tcBorders>
              <w:tl2br w:val="nil"/>
              <w:tr2bl w:val="nil"/>
            </w:tcBorders>
            <w:shd w:val="clear" w:color="auto" w:fill="auto"/>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816</w:t>
            </w:r>
          </w:p>
        </w:tc>
      </w:tr>
    </w:tbl>
    <w:p>
      <w:pPr>
        <w:spacing w:line="240" w:lineRule="auto"/>
        <w:ind w:firstLine="420" w:firstLineChars="0"/>
        <w:jc w:val="left"/>
        <w:textAlignment w:val="baseline"/>
        <w:rPr>
          <w:rFonts w:hint="eastAsia" w:eastAsia="宋体"/>
          <w:bCs/>
          <w:sz w:val="24"/>
          <w:szCs w:val="24"/>
          <w:highlight w:val="none"/>
          <w:lang w:eastAsia="zh-CN"/>
        </w:rPr>
        <w:sectPr>
          <w:pgSz w:w="11906" w:h="16838"/>
          <w:pgMar w:top="1440" w:right="1800" w:bottom="1276" w:left="1800" w:header="851" w:footer="992" w:gutter="0"/>
          <w:cols w:space="720" w:num="1"/>
          <w:docGrid w:linePitch="312" w:charSpace="0"/>
        </w:sectPr>
      </w:pPr>
      <w:r>
        <w:rPr>
          <w:rFonts w:hint="eastAsia" w:eastAsia="黑体"/>
          <w:bCs/>
          <w:kern w:val="2"/>
          <w:sz w:val="21"/>
          <w:szCs w:val="21"/>
          <w:highlight w:val="none"/>
          <w:lang w:val="en-US" w:eastAsia="zh-CN"/>
        </w:rPr>
        <w:t>备注：磁滑轮选出矿石按30万吨/年计，筛上返料按60%计</w:t>
      </w:r>
      <w:r>
        <w:rPr>
          <w:rFonts w:hint="eastAsia"/>
          <w:bCs/>
          <w:sz w:val="24"/>
          <w:szCs w:val="24"/>
          <w:highlight w:val="none"/>
          <w:lang w:eastAsia="zh-CN"/>
        </w:rPr>
        <w:t>。</w:t>
      </w:r>
    </w:p>
    <w:p>
      <w:pPr>
        <w:spacing w:line="240" w:lineRule="auto"/>
        <w:ind w:firstLine="0" w:firstLineChars="0"/>
        <w:jc w:val="center"/>
        <w:rPr>
          <w:highlight w:val="none"/>
        </w:rPr>
      </w:pPr>
      <w:r>
        <w:rPr>
          <w:rFonts w:eastAsia="黑体"/>
          <w:bCs/>
          <w:kern w:val="2"/>
          <w:sz w:val="21"/>
          <w:szCs w:val="21"/>
          <w:highlight w:val="none"/>
        </w:rPr>
        <w:t>表3.</w:t>
      </w:r>
      <w:r>
        <w:rPr>
          <w:rFonts w:hint="eastAsia" w:eastAsia="黑体"/>
          <w:bCs/>
          <w:kern w:val="2"/>
          <w:sz w:val="21"/>
          <w:szCs w:val="21"/>
          <w:highlight w:val="none"/>
        </w:rPr>
        <w:t>4</w:t>
      </w:r>
      <w:r>
        <w:rPr>
          <w:rFonts w:eastAsia="黑体"/>
          <w:bCs/>
          <w:kern w:val="2"/>
          <w:sz w:val="21"/>
          <w:szCs w:val="21"/>
          <w:highlight w:val="none"/>
        </w:rPr>
        <w:t>-2  生产过程废气（颗粒物）产排污节点一览表</w:t>
      </w:r>
    </w:p>
    <w:tbl>
      <w:tblPr>
        <w:tblStyle w:val="56"/>
        <w:tblW w:w="14066"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1024"/>
        <w:gridCol w:w="1000"/>
        <w:gridCol w:w="1315"/>
        <w:gridCol w:w="669"/>
        <w:gridCol w:w="2229"/>
        <w:gridCol w:w="1560"/>
        <w:gridCol w:w="1499"/>
        <w:gridCol w:w="831"/>
        <w:gridCol w:w="1036"/>
        <w:gridCol w:w="831"/>
        <w:gridCol w:w="1036"/>
        <w:gridCol w:w="10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blHeader/>
        </w:trPr>
        <w:tc>
          <w:tcPr>
            <w:tcW w:w="2024" w:type="dxa"/>
            <w:gridSpan w:val="2"/>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工序</w:t>
            </w:r>
          </w:p>
        </w:tc>
        <w:tc>
          <w:tcPr>
            <w:tcW w:w="1315"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节点</w:t>
            </w:r>
          </w:p>
        </w:tc>
        <w:tc>
          <w:tcPr>
            <w:tcW w:w="66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排放</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特征</w:t>
            </w:r>
          </w:p>
        </w:tc>
        <w:tc>
          <w:tcPr>
            <w:tcW w:w="222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颗粒物收集方式</w:t>
            </w:r>
          </w:p>
        </w:tc>
        <w:tc>
          <w:tcPr>
            <w:tcW w:w="1560"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废气处理方式</w:t>
            </w:r>
          </w:p>
        </w:tc>
        <w:tc>
          <w:tcPr>
            <w:tcW w:w="149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废气处理量及处理效率</w:t>
            </w:r>
          </w:p>
        </w:tc>
        <w:tc>
          <w:tcPr>
            <w:tcW w:w="831"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产生量</w:t>
            </w:r>
          </w:p>
        </w:tc>
        <w:tc>
          <w:tcPr>
            <w:tcW w:w="1036"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产生浓度</w:t>
            </w:r>
          </w:p>
        </w:tc>
        <w:tc>
          <w:tcPr>
            <w:tcW w:w="831"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排放量</w:t>
            </w:r>
          </w:p>
        </w:tc>
        <w:tc>
          <w:tcPr>
            <w:tcW w:w="1036"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排放浓度</w:t>
            </w:r>
          </w:p>
        </w:tc>
        <w:tc>
          <w:tcPr>
            <w:tcW w:w="1036"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排放标准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blHeader/>
        </w:trPr>
        <w:tc>
          <w:tcPr>
            <w:tcW w:w="2024" w:type="dxa"/>
            <w:gridSpan w:val="2"/>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66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222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831"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sz w:val="21"/>
                <w:szCs w:val="21"/>
                <w:highlight w:val="none"/>
              </w:rPr>
              <w:t>t/a</w:t>
            </w:r>
          </w:p>
        </w:tc>
        <w:tc>
          <w:tcPr>
            <w:tcW w:w="1036"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sz w:val="21"/>
                <w:szCs w:val="21"/>
                <w:highlight w:val="none"/>
              </w:rPr>
              <w:t>mg/m</w:t>
            </w:r>
            <w:r>
              <w:rPr>
                <w:sz w:val="21"/>
                <w:szCs w:val="21"/>
                <w:highlight w:val="none"/>
                <w:vertAlign w:val="superscript"/>
              </w:rPr>
              <w:t>3</w:t>
            </w:r>
          </w:p>
        </w:tc>
        <w:tc>
          <w:tcPr>
            <w:tcW w:w="831"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sz w:val="21"/>
                <w:szCs w:val="21"/>
                <w:highlight w:val="none"/>
              </w:rPr>
              <w:t>t/a</w:t>
            </w:r>
          </w:p>
        </w:tc>
        <w:tc>
          <w:tcPr>
            <w:tcW w:w="1036"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sz w:val="21"/>
                <w:szCs w:val="21"/>
                <w:highlight w:val="none"/>
              </w:rPr>
              <w:t>mg/m</w:t>
            </w:r>
            <w:r>
              <w:rPr>
                <w:sz w:val="21"/>
                <w:szCs w:val="21"/>
                <w:highlight w:val="none"/>
                <w:vertAlign w:val="superscript"/>
              </w:rPr>
              <w:t>3</w:t>
            </w:r>
          </w:p>
        </w:tc>
        <w:tc>
          <w:tcPr>
            <w:tcW w:w="1036"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sz w:val="21"/>
                <w:szCs w:val="21"/>
                <w:highlight w:val="none"/>
              </w:rPr>
              <w:t>mg/m</w:t>
            </w:r>
            <w:r>
              <w:rPr>
                <w:sz w:val="21"/>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w:t>
            </w:r>
            <w:r>
              <w:rPr>
                <w:sz w:val="21"/>
                <w:szCs w:val="21"/>
                <w:highlight w:val="none"/>
              </w:rPr>
              <w:t>#</w:t>
            </w:r>
            <w:r>
              <w:rPr>
                <w:rFonts w:hint="eastAsia" w:ascii="宋体" w:hAnsi="宋体"/>
                <w:sz w:val="21"/>
                <w:szCs w:val="21"/>
                <w:highlight w:val="none"/>
              </w:rPr>
              <w:t>破碎生产线</w:t>
            </w:r>
          </w:p>
        </w:tc>
        <w:tc>
          <w:tcPr>
            <w:tcW w:w="1000"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1#鄂破工序（</w:t>
            </w:r>
            <w:r>
              <w:rPr>
                <w:sz w:val="21"/>
                <w:szCs w:val="21"/>
                <w:highlight w:val="none"/>
              </w:rPr>
              <w:t>1</w:t>
            </w:r>
            <w:r>
              <w:rPr>
                <w:rFonts w:hint="eastAsia" w:ascii="宋体" w:hAnsi="宋体" w:cs="宋体"/>
                <w:sz w:val="21"/>
                <w:szCs w:val="21"/>
                <w:highlight w:val="none"/>
              </w:rPr>
              <w:t>台）</w:t>
            </w: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鄂破入料</w:t>
            </w:r>
          </w:p>
        </w:tc>
        <w:tc>
          <w:tcPr>
            <w:tcW w:w="66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sz w:val="21"/>
                <w:szCs w:val="21"/>
                <w:highlight w:val="none"/>
              </w:rPr>
              <w:t>—</w:t>
            </w:r>
          </w:p>
        </w:tc>
        <w:tc>
          <w:tcPr>
            <w:tcW w:w="222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入料口设置皮质软帘封闭</w:t>
            </w:r>
            <w:r>
              <w:rPr>
                <w:sz w:val="21"/>
                <w:szCs w:val="21"/>
                <w:highlight w:val="none"/>
              </w:rPr>
              <w:t>+</w:t>
            </w:r>
            <w:r>
              <w:rPr>
                <w:rFonts w:hint="eastAsia" w:ascii="宋体" w:hAnsi="宋体" w:cs="宋体"/>
                <w:sz w:val="21"/>
                <w:szCs w:val="21"/>
                <w:highlight w:val="none"/>
              </w:rPr>
              <w:t>喷雾抑尘</w:t>
            </w:r>
          </w:p>
        </w:tc>
        <w:tc>
          <w:tcPr>
            <w:tcW w:w="1560" w:type="dxa"/>
            <w:vMerge w:val="restart"/>
            <w:tcBorders>
              <w:tl2br w:val="nil"/>
              <w:tr2bl w:val="nil"/>
            </w:tcBorders>
            <w:shd w:val="clear" w:color="auto" w:fill="auto"/>
            <w:tcMar>
              <w:left w:w="0" w:type="dxa"/>
              <w:right w:w="0" w:type="dxa"/>
            </w:tcMar>
            <w:vAlign w:val="center"/>
          </w:tcPr>
          <w:p>
            <w:pPr>
              <w:widowControl/>
              <w:spacing w:line="240" w:lineRule="auto"/>
              <w:ind w:firstLine="0" w:firstLineChars="0"/>
              <w:jc w:val="center"/>
              <w:textAlignment w:val="auto"/>
              <w:rPr>
                <w:sz w:val="21"/>
                <w:szCs w:val="21"/>
                <w:highlight w:val="none"/>
              </w:rPr>
            </w:pPr>
            <w:r>
              <w:rPr>
                <w:sz w:val="21"/>
                <w:szCs w:val="21"/>
                <w:highlight w:val="none"/>
              </w:rPr>
              <w:t>1</w:t>
            </w:r>
            <w:r>
              <w:rPr>
                <w:rFonts w:hint="eastAsia" w:ascii="宋体" w:hAnsi="宋体"/>
                <w:sz w:val="21"/>
                <w:szCs w:val="21"/>
                <w:highlight w:val="none"/>
              </w:rPr>
              <w:t>套脉冲布袋除尘器</w:t>
            </w:r>
            <w:r>
              <w:rPr>
                <w:sz w:val="21"/>
                <w:szCs w:val="21"/>
                <w:highlight w:val="none"/>
              </w:rPr>
              <w:t>+1</w:t>
            </w:r>
            <w:r>
              <w:rPr>
                <w:rFonts w:hint="eastAsia"/>
                <w:sz w:val="21"/>
                <w:szCs w:val="21"/>
                <w:highlight w:val="none"/>
              </w:rPr>
              <w:t>8</w:t>
            </w:r>
            <w:r>
              <w:rPr>
                <w:sz w:val="21"/>
                <w:szCs w:val="21"/>
                <w:highlight w:val="none"/>
              </w:rPr>
              <w:t>m</w:t>
            </w:r>
            <w:r>
              <w:rPr>
                <w:rFonts w:hint="eastAsia" w:ascii="宋体" w:hAnsi="宋体"/>
                <w:sz w:val="21"/>
                <w:szCs w:val="21"/>
                <w:highlight w:val="none"/>
              </w:rPr>
              <w:t>高排气筒</w:t>
            </w:r>
          </w:p>
        </w:tc>
        <w:tc>
          <w:tcPr>
            <w:tcW w:w="1499" w:type="dxa"/>
            <w:vMerge w:val="restart"/>
            <w:tcBorders>
              <w:tl2br w:val="nil"/>
              <w:tr2bl w:val="nil"/>
            </w:tcBorders>
            <w:shd w:val="clear" w:color="auto" w:fill="auto"/>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65</w:t>
            </w:r>
            <w:r>
              <w:rPr>
                <w:sz w:val="21"/>
                <w:szCs w:val="21"/>
                <w:highlight w:val="none"/>
              </w:rPr>
              <w:t>000m</w:t>
            </w:r>
            <w:r>
              <w:rPr>
                <w:sz w:val="21"/>
                <w:szCs w:val="21"/>
                <w:highlight w:val="none"/>
                <w:vertAlign w:val="superscript"/>
              </w:rPr>
              <w:t>3</w:t>
            </w:r>
            <w:r>
              <w:rPr>
                <w:sz w:val="21"/>
                <w:szCs w:val="21"/>
                <w:highlight w:val="none"/>
              </w:rPr>
              <w:t>/h</w:t>
            </w:r>
            <w:r>
              <w:rPr>
                <w:rFonts w:hint="eastAsia" w:ascii="宋体" w:hAnsi="宋体"/>
                <w:sz w:val="21"/>
                <w:szCs w:val="21"/>
                <w:highlight w:val="none"/>
              </w:rPr>
              <w:t>，</w:t>
            </w:r>
            <w:r>
              <w:rPr>
                <w:sz w:val="21"/>
                <w:szCs w:val="21"/>
                <w:highlight w:val="none"/>
              </w:rPr>
              <w:t>99.</w:t>
            </w:r>
            <w:r>
              <w:rPr>
                <w:rFonts w:hint="eastAsia"/>
                <w:sz w:val="21"/>
                <w:szCs w:val="21"/>
                <w:highlight w:val="none"/>
              </w:rPr>
              <w:t>9</w:t>
            </w:r>
            <w:r>
              <w:rPr>
                <w:sz w:val="21"/>
                <w:szCs w:val="21"/>
                <w:highlight w:val="none"/>
              </w:rPr>
              <w:t>%</w:t>
            </w:r>
          </w:p>
        </w:tc>
        <w:tc>
          <w:tcPr>
            <w:tcW w:w="831"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120</w:t>
            </w:r>
          </w:p>
        </w:tc>
        <w:tc>
          <w:tcPr>
            <w:tcW w:w="1036"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2662</w:t>
            </w:r>
          </w:p>
        </w:tc>
        <w:tc>
          <w:tcPr>
            <w:tcW w:w="831"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0.77</w:t>
            </w:r>
            <w:r>
              <w:rPr>
                <w:sz w:val="21"/>
                <w:szCs w:val="21"/>
                <w:highlight w:val="none"/>
              </w:rPr>
              <w:t xml:space="preserve"> </w:t>
            </w:r>
          </w:p>
        </w:tc>
        <w:tc>
          <w:tcPr>
            <w:tcW w:w="1036"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hint="default" w:eastAsia="宋体"/>
                <w:sz w:val="21"/>
                <w:szCs w:val="21"/>
                <w:highlight w:val="none"/>
                <w:lang w:val="en-US" w:eastAsia="zh-CN"/>
              </w:rPr>
            </w:pPr>
            <w:r>
              <w:rPr>
                <w:rFonts w:hint="eastAsia"/>
                <w:sz w:val="21"/>
                <w:szCs w:val="21"/>
                <w:highlight w:val="none"/>
              </w:rPr>
              <w:t>2.</w:t>
            </w:r>
            <w:r>
              <w:rPr>
                <w:rFonts w:hint="eastAsia"/>
                <w:sz w:val="21"/>
                <w:szCs w:val="21"/>
                <w:highlight w:val="none"/>
                <w:lang w:val="en-US" w:eastAsia="zh-CN"/>
              </w:rPr>
              <w:t>66</w:t>
            </w:r>
          </w:p>
        </w:tc>
        <w:tc>
          <w:tcPr>
            <w:tcW w:w="1036"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sz w:val="21"/>
                <w:szCs w:val="21"/>
                <w:highlight w:val="none"/>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破碎过程</w:t>
            </w:r>
          </w:p>
        </w:tc>
        <w:tc>
          <w:tcPr>
            <w:tcW w:w="66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出料口设置皮带封（</w:t>
            </w:r>
            <w:r>
              <w:rPr>
                <w:sz w:val="21"/>
                <w:szCs w:val="21"/>
                <w:highlight w:val="none"/>
              </w:rPr>
              <w:t>1.0m×1.0m</w:t>
            </w:r>
            <w:r>
              <w:rPr>
                <w:rFonts w:hint="eastAsia" w:ascii="宋体" w:hAnsi="宋体" w:cs="宋体"/>
                <w:sz w:val="21"/>
                <w:szCs w:val="21"/>
                <w:highlight w:val="none"/>
              </w:rPr>
              <w:t>）</w:t>
            </w:r>
            <w:r>
              <w:rPr>
                <w:sz w:val="21"/>
                <w:szCs w:val="21"/>
                <w:highlight w:val="none"/>
              </w:rPr>
              <w:t>+</w:t>
            </w:r>
            <w:r>
              <w:rPr>
                <w:rFonts w:hint="eastAsia" w:ascii="宋体" w:hAnsi="宋体" w:cs="宋体"/>
                <w:sz w:val="21"/>
                <w:szCs w:val="21"/>
                <w:highlight w:val="none"/>
              </w:rPr>
              <w:t>集尘管道</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鄂破出料</w:t>
            </w:r>
          </w:p>
        </w:tc>
        <w:tc>
          <w:tcPr>
            <w:tcW w:w="66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restart"/>
            <w:tcBorders>
              <w:tl2br w:val="nil"/>
              <w:tr2bl w:val="nil"/>
            </w:tcBorders>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2#鄂破工序（</w:t>
            </w:r>
            <w:r>
              <w:rPr>
                <w:sz w:val="21"/>
                <w:szCs w:val="21"/>
                <w:highlight w:val="none"/>
              </w:rPr>
              <w:t>1</w:t>
            </w:r>
            <w:r>
              <w:rPr>
                <w:rFonts w:hint="eastAsia" w:ascii="宋体" w:hAnsi="宋体" w:cs="宋体"/>
                <w:sz w:val="21"/>
                <w:szCs w:val="21"/>
                <w:highlight w:val="none"/>
              </w:rPr>
              <w:t>台）</w:t>
            </w:r>
          </w:p>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鄂破入料</w:t>
            </w:r>
          </w:p>
        </w:tc>
        <w:tc>
          <w:tcPr>
            <w:tcW w:w="66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vMerge w:val="restart"/>
            <w:tcBorders>
              <w:tl2br w:val="nil"/>
              <w:tr2bl w:val="nil"/>
            </w:tcBorders>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进出料口上方设置集气罩+集尘管道，集气罩大于设备敞口15~20cm设置</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restart"/>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36</w:t>
            </w: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破碎过程</w:t>
            </w:r>
          </w:p>
        </w:tc>
        <w:tc>
          <w:tcPr>
            <w:tcW w:w="66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222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鄂破出料</w:t>
            </w:r>
          </w:p>
        </w:tc>
        <w:tc>
          <w:tcPr>
            <w:tcW w:w="66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222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14"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锤破工序（</w:t>
            </w:r>
            <w:r>
              <w:rPr>
                <w:sz w:val="21"/>
                <w:szCs w:val="21"/>
                <w:highlight w:val="none"/>
              </w:rPr>
              <w:t>1</w:t>
            </w:r>
            <w:r>
              <w:rPr>
                <w:rFonts w:hint="eastAsia" w:ascii="宋体" w:hAnsi="宋体" w:cs="宋体"/>
                <w:sz w:val="21"/>
                <w:szCs w:val="21"/>
                <w:highlight w:val="none"/>
              </w:rPr>
              <w:t>台）</w:t>
            </w:r>
          </w:p>
        </w:tc>
        <w:tc>
          <w:tcPr>
            <w:tcW w:w="1315" w:type="dxa"/>
            <w:tcBorders>
              <w:bottom w:val="single" w:color="auto" w:sz="4" w:space="0"/>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锤破入料</w:t>
            </w:r>
          </w:p>
        </w:tc>
        <w:tc>
          <w:tcPr>
            <w:tcW w:w="66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进出料口上方设置集气罩+集尘管道，集气罩大于设备敞口15~20cm设置</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90</w:t>
            </w: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670"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op w:val="single" w:color="auto" w:sz="4" w:space="0"/>
              <w:bottom w:val="single" w:color="auto" w:sz="4" w:space="0"/>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破碎过程</w:t>
            </w:r>
          </w:p>
        </w:tc>
        <w:tc>
          <w:tcPr>
            <w:tcW w:w="66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222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48"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op w:val="single" w:color="auto" w:sz="4" w:space="0"/>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锤破出料</w:t>
            </w:r>
          </w:p>
        </w:tc>
        <w:tc>
          <w:tcPr>
            <w:tcW w:w="66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222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1#振动筛</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w:t>
            </w:r>
            <w:r>
              <w:rPr>
                <w:sz w:val="21"/>
                <w:szCs w:val="21"/>
                <w:highlight w:val="none"/>
              </w:rPr>
              <w:t>1</w:t>
            </w:r>
            <w:r>
              <w:rPr>
                <w:rFonts w:hint="eastAsia" w:ascii="宋体" w:hAnsi="宋体" w:cs="宋体"/>
                <w:sz w:val="21"/>
                <w:szCs w:val="21"/>
                <w:highlight w:val="none"/>
              </w:rPr>
              <w:t>台）</w:t>
            </w: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筛分入料</w:t>
            </w:r>
          </w:p>
        </w:tc>
        <w:tc>
          <w:tcPr>
            <w:tcW w:w="66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入料口、筛面封闭</w:t>
            </w:r>
            <w:r>
              <w:rPr>
                <w:sz w:val="21"/>
                <w:szCs w:val="21"/>
                <w:highlight w:val="none"/>
              </w:rPr>
              <w:t>+</w:t>
            </w:r>
            <w:r>
              <w:rPr>
                <w:rFonts w:hint="eastAsia" w:ascii="宋体" w:hAnsi="宋体" w:cs="宋体"/>
                <w:sz w:val="21"/>
                <w:szCs w:val="21"/>
                <w:highlight w:val="none"/>
              </w:rPr>
              <w:t>集尘管道</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240</w:t>
            </w: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筛分</w:t>
            </w:r>
          </w:p>
        </w:tc>
        <w:tc>
          <w:tcPr>
            <w:tcW w:w="66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222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筛分出料</w:t>
            </w:r>
          </w:p>
        </w:tc>
        <w:tc>
          <w:tcPr>
            <w:tcW w:w="66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222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出料口设置皮带封（</w:t>
            </w:r>
            <w:r>
              <w:rPr>
                <w:sz w:val="21"/>
                <w:szCs w:val="21"/>
                <w:highlight w:val="none"/>
              </w:rPr>
              <w:t>1.0m×1.0m</w:t>
            </w:r>
            <w:r>
              <w:rPr>
                <w:rFonts w:hint="eastAsia" w:ascii="宋体" w:hAnsi="宋体" w:cs="宋体"/>
                <w:sz w:val="21"/>
                <w:szCs w:val="21"/>
                <w:highlight w:val="none"/>
              </w:rPr>
              <w:t>）</w:t>
            </w:r>
            <w:r>
              <w:rPr>
                <w:sz w:val="21"/>
                <w:szCs w:val="21"/>
                <w:highlight w:val="none"/>
              </w:rPr>
              <w:t>+</w:t>
            </w:r>
            <w:r>
              <w:rPr>
                <w:rFonts w:hint="eastAsia" w:ascii="宋体" w:hAnsi="宋体" w:cs="宋体"/>
                <w:sz w:val="21"/>
                <w:szCs w:val="21"/>
                <w:highlight w:val="none"/>
              </w:rPr>
              <w:t>集尘管道</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restart"/>
            <w:tcBorders>
              <w:tl2br w:val="nil"/>
              <w:tr2bl w:val="nil"/>
            </w:tcBorders>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2#振动筛</w:t>
            </w:r>
          </w:p>
          <w:p>
            <w:pPr>
              <w:widowControl/>
              <w:spacing w:line="240" w:lineRule="auto"/>
              <w:ind w:firstLine="0" w:firstLineChars="0"/>
              <w:textAlignment w:val="auto"/>
              <w:rPr>
                <w:rFonts w:ascii="宋体" w:hAnsi="宋体" w:cs="宋体"/>
                <w:sz w:val="21"/>
                <w:szCs w:val="21"/>
                <w:highlight w:val="none"/>
              </w:rPr>
            </w:pPr>
            <w:r>
              <w:rPr>
                <w:rFonts w:hint="eastAsia" w:ascii="宋体" w:hAnsi="宋体" w:cs="宋体"/>
                <w:sz w:val="21"/>
                <w:szCs w:val="21"/>
                <w:highlight w:val="none"/>
              </w:rPr>
              <w:t>（</w:t>
            </w:r>
            <w:r>
              <w:rPr>
                <w:sz w:val="21"/>
                <w:szCs w:val="21"/>
                <w:highlight w:val="none"/>
              </w:rPr>
              <w:t>1</w:t>
            </w:r>
            <w:r>
              <w:rPr>
                <w:rFonts w:hint="eastAsia" w:ascii="宋体" w:hAnsi="宋体" w:cs="宋体"/>
                <w:sz w:val="21"/>
                <w:szCs w:val="21"/>
                <w:highlight w:val="none"/>
              </w:rPr>
              <w:t>台）</w:t>
            </w: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筛分入料</w:t>
            </w:r>
          </w:p>
        </w:tc>
        <w:tc>
          <w:tcPr>
            <w:tcW w:w="66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入料口、筛面封闭</w:t>
            </w:r>
            <w:r>
              <w:rPr>
                <w:sz w:val="21"/>
                <w:szCs w:val="21"/>
                <w:highlight w:val="none"/>
              </w:rPr>
              <w:t>+</w:t>
            </w:r>
            <w:r>
              <w:rPr>
                <w:rFonts w:hint="eastAsia" w:ascii="宋体" w:hAnsi="宋体" w:cs="宋体"/>
                <w:sz w:val="21"/>
                <w:szCs w:val="21"/>
                <w:highlight w:val="none"/>
              </w:rPr>
              <w:t>集尘管道</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restart"/>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240</w:t>
            </w: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筛分</w:t>
            </w:r>
          </w:p>
        </w:tc>
        <w:tc>
          <w:tcPr>
            <w:tcW w:w="66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222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筛分出料</w:t>
            </w:r>
          </w:p>
        </w:tc>
        <w:tc>
          <w:tcPr>
            <w:tcW w:w="669" w:type="dxa"/>
            <w:vMerge w:val="continue"/>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p>
        </w:tc>
        <w:tc>
          <w:tcPr>
            <w:tcW w:w="222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出料口设置皮带封（</w:t>
            </w:r>
            <w:r>
              <w:rPr>
                <w:sz w:val="21"/>
                <w:szCs w:val="21"/>
                <w:highlight w:val="none"/>
              </w:rPr>
              <w:t>1.0m×1.0m</w:t>
            </w:r>
            <w:r>
              <w:rPr>
                <w:rFonts w:hint="eastAsia" w:ascii="宋体" w:hAnsi="宋体" w:cs="宋体"/>
                <w:sz w:val="21"/>
                <w:szCs w:val="21"/>
                <w:highlight w:val="none"/>
              </w:rPr>
              <w:t>）</w:t>
            </w:r>
            <w:r>
              <w:rPr>
                <w:sz w:val="21"/>
                <w:szCs w:val="21"/>
                <w:highlight w:val="none"/>
              </w:rPr>
              <w:t>+</w:t>
            </w:r>
            <w:r>
              <w:rPr>
                <w:rFonts w:hint="eastAsia" w:ascii="宋体" w:hAnsi="宋体" w:cs="宋体"/>
                <w:sz w:val="21"/>
                <w:szCs w:val="21"/>
                <w:highlight w:val="none"/>
              </w:rPr>
              <w:t>集尘管道</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restart"/>
            <w:tcBorders>
              <w:tl2br w:val="nil"/>
              <w:tr2bl w:val="nil"/>
            </w:tcBorders>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磁滑轮</w:t>
            </w:r>
          </w:p>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w:t>
            </w:r>
            <w:r>
              <w:rPr>
                <w:sz w:val="21"/>
                <w:szCs w:val="21"/>
                <w:highlight w:val="none"/>
              </w:rPr>
              <w:t>1</w:t>
            </w:r>
            <w:r>
              <w:rPr>
                <w:rFonts w:hint="eastAsia" w:ascii="宋体" w:hAnsi="宋体" w:cs="宋体"/>
                <w:sz w:val="21"/>
                <w:szCs w:val="21"/>
                <w:highlight w:val="none"/>
              </w:rPr>
              <w:t>个）</w:t>
            </w:r>
          </w:p>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入料</w:t>
            </w:r>
          </w:p>
        </w:tc>
        <w:tc>
          <w:tcPr>
            <w:tcW w:w="66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入料口封闭</w:t>
            </w:r>
            <w:r>
              <w:rPr>
                <w:sz w:val="21"/>
                <w:szCs w:val="21"/>
                <w:highlight w:val="none"/>
              </w:rPr>
              <w:t>+</w:t>
            </w:r>
            <w:r>
              <w:rPr>
                <w:rFonts w:hint="eastAsia" w:ascii="宋体" w:hAnsi="宋体" w:cs="宋体"/>
                <w:sz w:val="21"/>
                <w:szCs w:val="21"/>
                <w:highlight w:val="none"/>
              </w:rPr>
              <w:t>集尘管道，留有皮带落料口</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restart"/>
            <w:tcBorders>
              <w:tl2br w:val="nil"/>
              <w:tr2bl w:val="nil"/>
            </w:tcBorders>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60</w:t>
            </w: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出料</w:t>
            </w:r>
          </w:p>
        </w:tc>
        <w:tc>
          <w:tcPr>
            <w:tcW w:w="66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出料口设置皮带封（</w:t>
            </w:r>
            <w:r>
              <w:rPr>
                <w:sz w:val="21"/>
                <w:szCs w:val="21"/>
                <w:highlight w:val="none"/>
              </w:rPr>
              <w:t>0.8m×0.8m</w:t>
            </w:r>
            <w:r>
              <w:rPr>
                <w:rFonts w:hint="eastAsia" w:ascii="宋体" w:hAnsi="宋体" w:cs="宋体"/>
                <w:sz w:val="21"/>
                <w:szCs w:val="21"/>
                <w:highlight w:val="none"/>
              </w:rPr>
              <w:t>）</w:t>
            </w:r>
            <w:r>
              <w:rPr>
                <w:sz w:val="21"/>
                <w:szCs w:val="21"/>
                <w:highlight w:val="none"/>
              </w:rPr>
              <w:t>+</w:t>
            </w:r>
            <w:r>
              <w:rPr>
                <w:rFonts w:hint="eastAsia" w:ascii="宋体" w:hAnsi="宋体" w:cs="宋体"/>
                <w:sz w:val="21"/>
                <w:szCs w:val="21"/>
                <w:highlight w:val="none"/>
              </w:rPr>
              <w:t>集尘管道</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83"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中转料仓（</w:t>
            </w:r>
            <w:r>
              <w:rPr>
                <w:sz w:val="21"/>
                <w:szCs w:val="21"/>
                <w:highlight w:val="none"/>
              </w:rPr>
              <w:t>1</w:t>
            </w:r>
            <w:r>
              <w:rPr>
                <w:rFonts w:hint="eastAsia" w:ascii="宋体" w:hAnsi="宋体" w:cs="宋体"/>
                <w:sz w:val="21"/>
                <w:szCs w:val="21"/>
                <w:highlight w:val="none"/>
              </w:rPr>
              <w:t>个）</w:t>
            </w: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入料</w:t>
            </w:r>
          </w:p>
        </w:tc>
        <w:tc>
          <w:tcPr>
            <w:tcW w:w="66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料斗顶部封闭</w:t>
            </w:r>
            <w:r>
              <w:rPr>
                <w:sz w:val="21"/>
                <w:szCs w:val="21"/>
                <w:highlight w:val="none"/>
              </w:rPr>
              <w:t>+</w:t>
            </w:r>
            <w:r>
              <w:rPr>
                <w:rFonts w:hint="eastAsia" w:ascii="宋体" w:hAnsi="宋体" w:cs="宋体"/>
                <w:sz w:val="21"/>
                <w:szCs w:val="21"/>
                <w:highlight w:val="none"/>
              </w:rPr>
              <w:t>集尘管道，留有皮带落料口</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restart"/>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30</w:t>
            </w: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256" w:hRule="atLeast"/>
        </w:trPr>
        <w:tc>
          <w:tcPr>
            <w:tcW w:w="1024"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0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rFonts w:ascii="宋体" w:hAnsi="宋体" w:cs="宋体"/>
                <w:sz w:val="21"/>
                <w:szCs w:val="21"/>
                <w:highlight w:val="none"/>
              </w:rPr>
            </w:pPr>
          </w:p>
        </w:tc>
        <w:tc>
          <w:tcPr>
            <w:tcW w:w="1315"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出料</w:t>
            </w:r>
          </w:p>
        </w:tc>
        <w:tc>
          <w:tcPr>
            <w:tcW w:w="66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有组织</w:t>
            </w:r>
          </w:p>
        </w:tc>
        <w:tc>
          <w:tcPr>
            <w:tcW w:w="2229" w:type="dxa"/>
            <w:tcBorders>
              <w:tl2br w:val="nil"/>
              <w:tr2bl w:val="nil"/>
            </w:tcBorders>
            <w:shd w:val="clear" w:color="auto" w:fill="auto"/>
            <w:noWrap/>
            <w:tcMar>
              <w:left w:w="0" w:type="dxa"/>
              <w:right w:w="0" w:type="dxa"/>
            </w:tcMar>
            <w:vAlign w:val="center"/>
          </w:tcPr>
          <w:p>
            <w:pPr>
              <w:widowControl/>
              <w:spacing w:line="240" w:lineRule="auto"/>
              <w:ind w:firstLine="0" w:firstLineChars="0"/>
              <w:jc w:val="center"/>
              <w:textAlignment w:val="auto"/>
              <w:rPr>
                <w:rFonts w:ascii="宋体" w:hAnsi="宋体" w:cs="宋体"/>
                <w:sz w:val="21"/>
                <w:szCs w:val="21"/>
                <w:highlight w:val="none"/>
              </w:rPr>
            </w:pPr>
            <w:r>
              <w:rPr>
                <w:rFonts w:hint="eastAsia" w:ascii="宋体" w:hAnsi="宋体" w:cs="宋体"/>
                <w:sz w:val="21"/>
                <w:szCs w:val="21"/>
                <w:highlight w:val="none"/>
              </w:rPr>
              <w:t>出料口设置皮带封（</w:t>
            </w:r>
            <w:r>
              <w:rPr>
                <w:sz w:val="21"/>
                <w:szCs w:val="21"/>
                <w:highlight w:val="none"/>
              </w:rPr>
              <w:t>0.8m×0.8m</w:t>
            </w:r>
            <w:r>
              <w:rPr>
                <w:rFonts w:hint="eastAsia" w:ascii="宋体" w:hAnsi="宋体" w:cs="宋体"/>
                <w:sz w:val="21"/>
                <w:szCs w:val="21"/>
                <w:highlight w:val="none"/>
              </w:rPr>
              <w:t>）</w:t>
            </w:r>
            <w:r>
              <w:rPr>
                <w:sz w:val="21"/>
                <w:szCs w:val="21"/>
                <w:highlight w:val="none"/>
              </w:rPr>
              <w:t>+</w:t>
            </w:r>
            <w:r>
              <w:rPr>
                <w:rFonts w:hint="eastAsia" w:ascii="宋体" w:hAnsi="宋体" w:cs="宋体"/>
                <w:sz w:val="21"/>
                <w:szCs w:val="21"/>
                <w:highlight w:val="none"/>
              </w:rPr>
              <w:t>集尘管道</w:t>
            </w:r>
          </w:p>
        </w:tc>
        <w:tc>
          <w:tcPr>
            <w:tcW w:w="1560"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499"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831"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c>
          <w:tcPr>
            <w:tcW w:w="1036" w:type="dxa"/>
            <w:vMerge w:val="continue"/>
            <w:tcBorders>
              <w:tl2br w:val="nil"/>
              <w:tr2bl w:val="nil"/>
            </w:tcBorders>
            <w:tcMar>
              <w:left w:w="0" w:type="dxa"/>
              <w:right w:w="0" w:type="dxa"/>
            </w:tcMar>
            <w:vAlign w:val="center"/>
          </w:tcPr>
          <w:p>
            <w:pPr>
              <w:widowControl/>
              <w:spacing w:line="240" w:lineRule="auto"/>
              <w:ind w:firstLine="0" w:firstLineChars="0"/>
              <w:textAlignment w:val="auto"/>
              <w:rPr>
                <w:sz w:val="21"/>
                <w:szCs w:val="21"/>
                <w:highlight w:val="none"/>
              </w:rPr>
            </w:pPr>
          </w:p>
        </w:tc>
      </w:tr>
    </w:tbl>
    <w:p>
      <w:pPr>
        <w:ind w:firstLine="0" w:firstLineChars="0"/>
        <w:jc w:val="both"/>
        <w:rPr>
          <w:bCs/>
          <w:sz w:val="24"/>
          <w:szCs w:val="24"/>
          <w:highlight w:val="none"/>
        </w:rPr>
        <w:sectPr>
          <w:footerReference r:id="rId14" w:type="default"/>
          <w:pgSz w:w="16838" w:h="11906" w:orient="landscape"/>
          <w:pgMar w:top="1800" w:right="1440" w:bottom="1800" w:left="1440" w:header="851" w:footer="992" w:gutter="0"/>
          <w:cols w:space="720" w:num="1"/>
          <w:docGrid w:linePitch="381" w:charSpace="0"/>
        </w:sectPr>
      </w:pPr>
    </w:p>
    <w:p>
      <w:pPr>
        <w:ind w:firstLine="480"/>
        <w:jc w:val="both"/>
        <w:rPr>
          <w:bCs/>
          <w:sz w:val="24"/>
          <w:szCs w:val="24"/>
          <w:highlight w:val="none"/>
        </w:rPr>
      </w:pPr>
      <w:r>
        <w:rPr>
          <w:bCs/>
          <w:sz w:val="24"/>
          <w:szCs w:val="24"/>
          <w:highlight w:val="none"/>
        </w:rPr>
        <w:t>（2）无组织排放颗粒物</w:t>
      </w:r>
    </w:p>
    <w:p>
      <w:pPr>
        <w:ind w:firstLine="480"/>
        <w:jc w:val="both"/>
        <w:rPr>
          <w:bCs/>
          <w:sz w:val="24"/>
          <w:szCs w:val="24"/>
          <w:highlight w:val="none"/>
        </w:rPr>
      </w:pPr>
      <w:r>
        <w:rPr>
          <w:rFonts w:hint="eastAsia" w:ascii="宋体" w:hAnsi="宋体" w:cs="宋体"/>
          <w:bCs/>
          <w:sz w:val="24"/>
          <w:szCs w:val="24"/>
          <w:highlight w:val="none"/>
        </w:rPr>
        <w:t>①</w:t>
      </w:r>
      <w:r>
        <w:rPr>
          <w:bCs/>
          <w:sz w:val="24"/>
          <w:szCs w:val="24"/>
          <w:highlight w:val="none"/>
        </w:rPr>
        <w:t>上料粉尘</w:t>
      </w:r>
    </w:p>
    <w:p>
      <w:pPr>
        <w:ind w:firstLine="480"/>
        <w:jc w:val="both"/>
        <w:rPr>
          <w:bCs/>
          <w:sz w:val="24"/>
          <w:szCs w:val="24"/>
          <w:highlight w:val="none"/>
        </w:rPr>
      </w:pPr>
      <w:r>
        <w:rPr>
          <w:bCs/>
          <w:sz w:val="24"/>
          <w:szCs w:val="24"/>
          <w:highlight w:val="none"/>
        </w:rPr>
        <w:t>本项目</w:t>
      </w:r>
      <w:r>
        <w:rPr>
          <w:rFonts w:hint="eastAsia"/>
          <w:bCs/>
          <w:sz w:val="24"/>
          <w:szCs w:val="24"/>
          <w:highlight w:val="none"/>
        </w:rPr>
        <w:t>原矿石</w:t>
      </w:r>
      <w:r>
        <w:rPr>
          <w:bCs/>
          <w:sz w:val="24"/>
          <w:szCs w:val="24"/>
          <w:highlight w:val="none"/>
        </w:rPr>
        <w:t>上料口设置</w:t>
      </w:r>
      <w:r>
        <w:rPr>
          <w:rFonts w:hint="eastAsia"/>
          <w:bCs/>
          <w:sz w:val="24"/>
          <w:szCs w:val="24"/>
          <w:highlight w:val="none"/>
        </w:rPr>
        <w:t>在全封闭生产车间内</w:t>
      </w:r>
      <w:r>
        <w:rPr>
          <w:bCs/>
          <w:sz w:val="24"/>
          <w:szCs w:val="24"/>
          <w:highlight w:val="none"/>
        </w:rPr>
        <w:t>，设置喷淋抑尘装置。根据同类企业实际运行效果，采取以上方式后，上料粉尘产生量很少。</w:t>
      </w:r>
    </w:p>
    <w:p>
      <w:pPr>
        <w:ind w:firstLine="480"/>
        <w:jc w:val="both"/>
        <w:rPr>
          <w:bCs/>
          <w:sz w:val="24"/>
          <w:szCs w:val="24"/>
          <w:highlight w:val="none"/>
        </w:rPr>
      </w:pPr>
      <w:r>
        <w:rPr>
          <w:rFonts w:hint="eastAsia" w:ascii="宋体" w:hAnsi="宋体" w:cs="宋体"/>
          <w:bCs/>
          <w:sz w:val="24"/>
          <w:szCs w:val="24"/>
          <w:highlight w:val="none"/>
        </w:rPr>
        <w:t>②</w:t>
      </w:r>
      <w:r>
        <w:rPr>
          <w:bCs/>
          <w:sz w:val="24"/>
          <w:szCs w:val="24"/>
          <w:highlight w:val="none"/>
        </w:rPr>
        <w:t>堆场粉尘</w:t>
      </w:r>
    </w:p>
    <w:p>
      <w:pPr>
        <w:ind w:firstLine="480"/>
        <w:jc w:val="both"/>
        <w:rPr>
          <w:bCs/>
          <w:sz w:val="24"/>
          <w:szCs w:val="24"/>
          <w:highlight w:val="none"/>
        </w:rPr>
      </w:pPr>
      <w:r>
        <w:rPr>
          <w:bCs/>
          <w:sz w:val="24"/>
          <w:szCs w:val="24"/>
          <w:highlight w:val="none"/>
        </w:rPr>
        <w:t>本项目</w:t>
      </w:r>
      <w:r>
        <w:rPr>
          <w:rFonts w:hint="eastAsia"/>
          <w:bCs/>
          <w:sz w:val="24"/>
          <w:szCs w:val="24"/>
          <w:highlight w:val="none"/>
        </w:rPr>
        <w:t>物料堆存涉及粗精粉库、</w:t>
      </w:r>
      <w:r>
        <w:rPr>
          <w:bCs/>
          <w:sz w:val="24"/>
          <w:szCs w:val="24"/>
          <w:highlight w:val="none"/>
        </w:rPr>
        <w:t>成品库、尾矿砂</w:t>
      </w:r>
      <w:r>
        <w:rPr>
          <w:rFonts w:hint="eastAsia"/>
          <w:bCs/>
          <w:sz w:val="24"/>
          <w:szCs w:val="24"/>
          <w:highlight w:val="none"/>
        </w:rPr>
        <w:t>库</w:t>
      </w:r>
      <w:r>
        <w:rPr>
          <w:bCs/>
          <w:sz w:val="24"/>
          <w:szCs w:val="24"/>
          <w:highlight w:val="none"/>
        </w:rPr>
        <w:t>；</w:t>
      </w:r>
      <w:r>
        <w:rPr>
          <w:rFonts w:hint="eastAsia"/>
          <w:bCs/>
          <w:sz w:val="24"/>
          <w:szCs w:val="24"/>
          <w:highlight w:val="none"/>
        </w:rPr>
        <w:t>物料</w:t>
      </w:r>
      <w:r>
        <w:rPr>
          <w:bCs/>
          <w:sz w:val="24"/>
          <w:szCs w:val="24"/>
          <w:highlight w:val="none"/>
        </w:rPr>
        <w:t>含水率较高，平均为10%，均堆存在封闭车间内，同时设有喷淋装置</w:t>
      </w:r>
      <w:r>
        <w:rPr>
          <w:rFonts w:hint="eastAsia"/>
          <w:bCs/>
          <w:sz w:val="24"/>
          <w:szCs w:val="24"/>
          <w:highlight w:val="none"/>
        </w:rPr>
        <w:t>，且存储周期短，产尘量低</w:t>
      </w:r>
      <w:r>
        <w:rPr>
          <w:bCs/>
          <w:sz w:val="24"/>
          <w:szCs w:val="24"/>
          <w:highlight w:val="none"/>
        </w:rPr>
        <w:t>。</w:t>
      </w:r>
    </w:p>
    <w:p>
      <w:pPr>
        <w:ind w:firstLine="480"/>
        <w:jc w:val="both"/>
        <w:rPr>
          <w:sz w:val="24"/>
          <w:szCs w:val="24"/>
          <w:highlight w:val="none"/>
        </w:rPr>
      </w:pPr>
      <w:r>
        <w:rPr>
          <w:bCs/>
          <w:sz w:val="24"/>
          <w:szCs w:val="24"/>
          <w:highlight w:val="none"/>
        </w:rPr>
        <w:t>堆场粉尘</w:t>
      </w:r>
      <w:r>
        <w:rPr>
          <w:rFonts w:hint="eastAsia"/>
          <w:bCs/>
          <w:sz w:val="24"/>
          <w:szCs w:val="24"/>
          <w:highlight w:val="none"/>
        </w:rPr>
        <w:t>主要为原矿、砂石料堆存、装卸粉尘，</w:t>
      </w:r>
      <w:r>
        <w:rPr>
          <w:bCs/>
          <w:sz w:val="24"/>
          <w:szCs w:val="24"/>
          <w:highlight w:val="none"/>
        </w:rPr>
        <w:t>粉尘产生量参照生态环境部发布的《排放源统计调查</w:t>
      </w:r>
      <w:r>
        <w:rPr>
          <w:sz w:val="24"/>
          <w:szCs w:val="24"/>
          <w:highlight w:val="none"/>
        </w:rPr>
        <w:t>产排污核算方法和系数手册》的公告（2021年 第24号）中附表2《固体物料堆存颗粒物产排污核算系数手册》进行核算。</w:t>
      </w:r>
    </w:p>
    <w:p>
      <w:pPr>
        <w:spacing w:line="480" w:lineRule="exact"/>
        <w:ind w:firstLine="480"/>
        <w:rPr>
          <w:sz w:val="24"/>
          <w:szCs w:val="24"/>
          <w:highlight w:val="none"/>
        </w:rPr>
      </w:pPr>
      <w:r>
        <w:rPr>
          <w:sz w:val="24"/>
          <w:szCs w:val="24"/>
          <w:highlight w:val="none"/>
        </w:rPr>
        <w:t>工业企业固体物料堆存颗粒物包括装卸场尘和风蚀扬尘，颗粒物产生量核算公式如下：</w:t>
      </w:r>
    </w:p>
    <w:p>
      <w:pPr>
        <w:spacing w:line="480" w:lineRule="exact"/>
        <w:ind w:firstLine="0" w:firstLineChars="0"/>
        <w:jc w:val="center"/>
        <w:rPr>
          <w:sz w:val="24"/>
          <w:szCs w:val="24"/>
          <w:highlight w:val="none"/>
        </w:rPr>
      </w:pPr>
      <w:r>
        <w:rPr>
          <w:sz w:val="24"/>
          <w:szCs w:val="24"/>
          <w:highlight w:val="none"/>
        </w:rPr>
        <w:object>
          <v:shape id="_x0000_i1027" o:spt="75" type="#_x0000_t75" style="height:20pt;width:247pt;" o:ole="t" filled="f" o:preferrelative="t" stroked="f" coordsize="21600,21600">
            <v:path/>
            <v:fill on="f" focussize="0,0"/>
            <v:stroke on="f" joinstyle="miter"/>
            <v:imagedata r:id="rId37" o:title=""/>
            <o:lock v:ext="edit" aspectratio="t"/>
            <w10:wrap type="none"/>
            <w10:anchorlock/>
          </v:shape>
          <o:OLEObject Type="Embed" ProgID="Equation.KSEE3" ShapeID="_x0000_i1027" DrawAspect="Content" ObjectID="_1468075727" r:id="rId36">
            <o:LockedField>false</o:LockedField>
          </o:OLEObject>
        </w:object>
      </w:r>
    </w:p>
    <w:p>
      <w:pPr>
        <w:spacing w:line="480" w:lineRule="exact"/>
        <w:ind w:firstLine="480"/>
        <w:rPr>
          <w:sz w:val="24"/>
          <w:szCs w:val="24"/>
          <w:highlight w:val="none"/>
        </w:rPr>
      </w:pPr>
      <w:r>
        <w:rPr>
          <w:sz w:val="24"/>
          <w:szCs w:val="24"/>
          <w:highlight w:val="none"/>
        </w:rPr>
        <w:t>式中：P指颗粒物产生量（单位：吨）；</w:t>
      </w:r>
    </w:p>
    <w:p>
      <w:pPr>
        <w:spacing w:line="480" w:lineRule="exact"/>
        <w:ind w:firstLine="1200" w:firstLineChars="500"/>
        <w:rPr>
          <w:sz w:val="24"/>
          <w:szCs w:val="24"/>
          <w:highlight w:val="none"/>
        </w:rPr>
      </w:pPr>
      <w:r>
        <w:rPr>
          <w:sz w:val="24"/>
          <w:szCs w:val="24"/>
          <w:highlight w:val="none"/>
        </w:rPr>
        <w:t>ZCy指装卸扬尘产生量（单位：吨）；</w:t>
      </w:r>
    </w:p>
    <w:p>
      <w:pPr>
        <w:spacing w:line="480" w:lineRule="exact"/>
        <w:ind w:firstLine="1200" w:firstLineChars="500"/>
        <w:rPr>
          <w:sz w:val="24"/>
          <w:szCs w:val="24"/>
          <w:highlight w:val="none"/>
        </w:rPr>
      </w:pPr>
      <w:r>
        <w:rPr>
          <w:sz w:val="24"/>
          <w:szCs w:val="24"/>
          <w:highlight w:val="none"/>
        </w:rPr>
        <w:t>FCy指风蚀扬尘产生量（单位：吨）；</w:t>
      </w:r>
    </w:p>
    <w:p>
      <w:pPr>
        <w:spacing w:line="480" w:lineRule="exact"/>
        <w:ind w:firstLine="1200" w:firstLineChars="500"/>
        <w:rPr>
          <w:sz w:val="24"/>
          <w:szCs w:val="24"/>
          <w:highlight w:val="none"/>
        </w:rPr>
      </w:pPr>
      <w:r>
        <w:rPr>
          <w:sz w:val="24"/>
          <w:szCs w:val="24"/>
          <w:highlight w:val="none"/>
        </w:rPr>
        <w:t>Nc指年物料运载车次（单位：车），本项目为</w:t>
      </w:r>
      <w:r>
        <w:rPr>
          <w:rFonts w:hint="eastAsia"/>
          <w:sz w:val="24"/>
          <w:szCs w:val="24"/>
          <w:highlight w:val="none"/>
        </w:rPr>
        <w:t>180</w:t>
      </w:r>
      <w:r>
        <w:rPr>
          <w:sz w:val="24"/>
          <w:szCs w:val="24"/>
          <w:highlight w:val="none"/>
        </w:rPr>
        <w:t>00车；</w:t>
      </w:r>
    </w:p>
    <w:p>
      <w:pPr>
        <w:spacing w:line="480" w:lineRule="exact"/>
        <w:ind w:firstLine="1200" w:firstLineChars="500"/>
        <w:rPr>
          <w:sz w:val="24"/>
          <w:szCs w:val="24"/>
          <w:highlight w:val="none"/>
        </w:rPr>
      </w:pPr>
      <w:r>
        <w:rPr>
          <w:sz w:val="24"/>
          <w:szCs w:val="24"/>
          <w:highlight w:val="none"/>
        </w:rPr>
        <w:t>D指单车平均运载量（单位：吨/车），本项目为50吨/车；</w:t>
      </w:r>
    </w:p>
    <w:p>
      <w:pPr>
        <w:spacing w:line="480" w:lineRule="exact"/>
        <w:ind w:firstLine="480"/>
        <w:rPr>
          <w:sz w:val="24"/>
          <w:szCs w:val="24"/>
          <w:highlight w:val="none"/>
        </w:rPr>
      </w:pPr>
      <w:r>
        <w:rPr>
          <w:sz w:val="24"/>
          <w:szCs w:val="24"/>
          <w:highlight w:val="none"/>
        </w:rPr>
        <w:t>（a/b）指装卸扬尘概化系数（单位：千克/吨），本项目a取0.001，b取0.0074；</w:t>
      </w:r>
    </w:p>
    <w:p>
      <w:pPr>
        <w:spacing w:line="480" w:lineRule="exact"/>
        <w:ind w:firstLine="1200" w:firstLineChars="500"/>
        <w:rPr>
          <w:sz w:val="24"/>
          <w:szCs w:val="24"/>
          <w:highlight w:val="none"/>
        </w:rPr>
      </w:pPr>
      <w:r>
        <w:rPr>
          <w:sz w:val="24"/>
          <w:szCs w:val="24"/>
          <w:highlight w:val="none"/>
        </w:rPr>
        <w:t>Ef指堆场风蚀扬尘概化系数，本项目为0；</w:t>
      </w:r>
    </w:p>
    <w:p>
      <w:pPr>
        <w:spacing w:line="480" w:lineRule="exact"/>
        <w:ind w:firstLine="1200" w:firstLineChars="500"/>
        <w:rPr>
          <w:sz w:val="24"/>
          <w:szCs w:val="24"/>
          <w:highlight w:val="none"/>
        </w:rPr>
      </w:pPr>
      <w:r>
        <w:rPr>
          <w:sz w:val="24"/>
          <w:szCs w:val="24"/>
          <w:highlight w:val="none"/>
        </w:rPr>
        <w:t>S指堆场占地面积（单位：平方米）。</w:t>
      </w:r>
    </w:p>
    <w:p>
      <w:pPr>
        <w:spacing w:line="480" w:lineRule="exact"/>
        <w:ind w:firstLine="480"/>
        <w:rPr>
          <w:sz w:val="24"/>
          <w:szCs w:val="24"/>
          <w:highlight w:val="none"/>
        </w:rPr>
      </w:pPr>
      <w:r>
        <w:rPr>
          <w:sz w:val="24"/>
          <w:szCs w:val="24"/>
          <w:highlight w:val="none"/>
        </w:rPr>
        <w:t>经计算可知，P为</w:t>
      </w:r>
      <w:r>
        <w:rPr>
          <w:rFonts w:hint="eastAsia"/>
          <w:sz w:val="24"/>
          <w:szCs w:val="24"/>
          <w:highlight w:val="none"/>
        </w:rPr>
        <w:t>121.62</w:t>
      </w:r>
      <w:r>
        <w:rPr>
          <w:sz w:val="24"/>
          <w:szCs w:val="24"/>
          <w:highlight w:val="none"/>
        </w:rPr>
        <w:t>吨。</w:t>
      </w:r>
    </w:p>
    <w:p>
      <w:pPr>
        <w:spacing w:line="480" w:lineRule="exact"/>
        <w:ind w:firstLine="480"/>
        <w:rPr>
          <w:sz w:val="24"/>
          <w:szCs w:val="24"/>
          <w:highlight w:val="none"/>
        </w:rPr>
      </w:pPr>
      <w:r>
        <w:rPr>
          <w:sz w:val="24"/>
          <w:szCs w:val="24"/>
          <w:highlight w:val="none"/>
        </w:rPr>
        <w:t>工业企业固体物料堆场颗粒物排放量核算公式如下：</w:t>
      </w:r>
    </w:p>
    <w:p>
      <w:pPr>
        <w:spacing w:line="480" w:lineRule="exact"/>
        <w:ind w:firstLine="480"/>
        <w:jc w:val="center"/>
        <w:rPr>
          <w:sz w:val="24"/>
          <w:szCs w:val="24"/>
          <w:highlight w:val="none"/>
        </w:rPr>
      </w:pPr>
      <w:r>
        <w:rPr>
          <w:sz w:val="24"/>
          <w:szCs w:val="24"/>
          <w:highlight w:val="none"/>
        </w:rPr>
        <w:object>
          <v:shape id="_x0000_i1028" o:spt="75" type="#_x0000_t75" style="height:18pt;width:121.95pt;" o:ole="t" filled="f" o:preferrelative="t" stroked="f" coordsize="21600,21600">
            <v:path/>
            <v:fill on="f" focussize="0,0"/>
            <v:stroke on="f" joinstyle="miter"/>
            <v:imagedata r:id="rId39" o:title=""/>
            <o:lock v:ext="edit" aspectratio="t"/>
            <w10:wrap type="none"/>
            <w10:anchorlock/>
          </v:shape>
          <o:OLEObject Type="Embed" ProgID="Equation.KSEE3" ShapeID="_x0000_i1028" DrawAspect="Content" ObjectID="_1468075728" r:id="rId38">
            <o:LockedField>false</o:LockedField>
          </o:OLEObject>
        </w:object>
      </w:r>
    </w:p>
    <w:p>
      <w:pPr>
        <w:spacing w:line="480" w:lineRule="exact"/>
        <w:ind w:firstLine="480"/>
        <w:rPr>
          <w:sz w:val="24"/>
          <w:szCs w:val="24"/>
          <w:highlight w:val="none"/>
        </w:rPr>
      </w:pPr>
      <w:r>
        <w:rPr>
          <w:sz w:val="24"/>
          <w:szCs w:val="24"/>
          <w:highlight w:val="none"/>
        </w:rPr>
        <w:t xml:space="preserve">式中：P指颗粒物产生量（单位：吨）； </w:t>
      </w:r>
    </w:p>
    <w:p>
      <w:pPr>
        <w:spacing w:line="480" w:lineRule="exact"/>
        <w:ind w:firstLine="1200" w:firstLineChars="500"/>
        <w:rPr>
          <w:sz w:val="24"/>
          <w:szCs w:val="24"/>
          <w:highlight w:val="none"/>
        </w:rPr>
      </w:pPr>
      <w:r>
        <w:rPr>
          <w:sz w:val="24"/>
          <w:szCs w:val="24"/>
          <w:highlight w:val="none"/>
        </w:rPr>
        <w:t>Uc指颗粒物排放量（单位：吨）；</w:t>
      </w:r>
    </w:p>
    <w:p>
      <w:pPr>
        <w:spacing w:line="480" w:lineRule="exact"/>
        <w:ind w:firstLine="1200" w:firstLineChars="500"/>
        <w:rPr>
          <w:sz w:val="24"/>
          <w:szCs w:val="24"/>
          <w:highlight w:val="none"/>
        </w:rPr>
      </w:pPr>
      <w:r>
        <w:rPr>
          <w:sz w:val="24"/>
          <w:szCs w:val="24"/>
          <w:highlight w:val="none"/>
        </w:rPr>
        <w:t>Cm指颗粒物控制措施控制效率（单位：%），本项目取值78%；</w:t>
      </w:r>
    </w:p>
    <w:p>
      <w:pPr>
        <w:spacing w:line="480" w:lineRule="exact"/>
        <w:ind w:firstLine="1200" w:firstLineChars="500"/>
        <w:rPr>
          <w:sz w:val="24"/>
          <w:szCs w:val="24"/>
          <w:highlight w:val="none"/>
        </w:rPr>
      </w:pPr>
      <w:r>
        <w:rPr>
          <w:sz w:val="24"/>
          <w:szCs w:val="24"/>
          <w:highlight w:val="none"/>
        </w:rPr>
        <w:t>Tm指堆场类型控制效率（单位：%），本项目取值99%；</w:t>
      </w:r>
    </w:p>
    <w:p>
      <w:pPr>
        <w:spacing w:line="480" w:lineRule="exact"/>
        <w:ind w:firstLine="480"/>
        <w:rPr>
          <w:bCs/>
          <w:sz w:val="24"/>
          <w:szCs w:val="24"/>
          <w:highlight w:val="none"/>
        </w:rPr>
      </w:pPr>
      <w:r>
        <w:rPr>
          <w:sz w:val="24"/>
          <w:szCs w:val="24"/>
          <w:highlight w:val="none"/>
        </w:rPr>
        <w:t>由上述计算，物料装卸、堆存排放颗粒物为</w:t>
      </w:r>
      <w:r>
        <w:rPr>
          <w:rFonts w:hint="eastAsia"/>
          <w:sz w:val="24"/>
          <w:szCs w:val="24"/>
          <w:highlight w:val="none"/>
        </w:rPr>
        <w:t>0.27</w:t>
      </w:r>
      <w:r>
        <w:rPr>
          <w:sz w:val="24"/>
          <w:szCs w:val="24"/>
          <w:highlight w:val="none"/>
        </w:rPr>
        <w:t>t/a，在</w:t>
      </w:r>
      <w:r>
        <w:rPr>
          <w:rFonts w:hint="eastAsia"/>
          <w:sz w:val="24"/>
          <w:szCs w:val="24"/>
          <w:highlight w:val="none"/>
        </w:rPr>
        <w:t>破碎生产车间</w:t>
      </w:r>
      <w:r>
        <w:rPr>
          <w:sz w:val="24"/>
          <w:szCs w:val="24"/>
          <w:highlight w:val="none"/>
        </w:rPr>
        <w:t>内以无组织形式排放，排放速率为0.</w:t>
      </w:r>
      <w:r>
        <w:rPr>
          <w:rFonts w:hint="eastAsia"/>
          <w:sz w:val="24"/>
          <w:szCs w:val="24"/>
          <w:highlight w:val="none"/>
        </w:rPr>
        <w:t>06</w:t>
      </w:r>
      <w:r>
        <w:rPr>
          <w:sz w:val="24"/>
          <w:szCs w:val="24"/>
          <w:highlight w:val="none"/>
        </w:rPr>
        <w:t>kg/h。</w:t>
      </w:r>
    </w:p>
    <w:p>
      <w:pPr>
        <w:ind w:firstLine="480"/>
        <w:jc w:val="both"/>
        <w:rPr>
          <w:bCs/>
          <w:sz w:val="24"/>
          <w:szCs w:val="24"/>
          <w:highlight w:val="none"/>
        </w:rPr>
      </w:pPr>
      <w:r>
        <w:rPr>
          <w:rFonts w:hint="eastAsia" w:ascii="宋体" w:hAnsi="宋体" w:cs="宋体"/>
          <w:bCs/>
          <w:sz w:val="24"/>
          <w:szCs w:val="24"/>
          <w:highlight w:val="none"/>
        </w:rPr>
        <w:t>③</w:t>
      </w:r>
      <w:r>
        <w:rPr>
          <w:bCs/>
          <w:sz w:val="24"/>
          <w:szCs w:val="24"/>
          <w:highlight w:val="none"/>
        </w:rPr>
        <w:t>破碎、筛分环节逸散粉尘</w:t>
      </w:r>
    </w:p>
    <w:p>
      <w:pPr>
        <w:ind w:firstLine="480"/>
        <w:rPr>
          <w:bCs/>
          <w:sz w:val="24"/>
          <w:szCs w:val="24"/>
          <w:highlight w:val="none"/>
        </w:rPr>
      </w:pPr>
      <w:r>
        <w:rPr>
          <w:bCs/>
          <w:sz w:val="24"/>
          <w:szCs w:val="24"/>
          <w:highlight w:val="none"/>
        </w:rPr>
        <w:t>破碎、筛分过程未被集气罩收集的粉尘以无组织形式逸散在车间内，集气罩集气效率按照95%计，则有5%逸散到车间内。根据表3.</w:t>
      </w:r>
      <w:r>
        <w:rPr>
          <w:rFonts w:hint="eastAsia"/>
          <w:bCs/>
          <w:sz w:val="24"/>
          <w:szCs w:val="24"/>
          <w:highlight w:val="none"/>
        </w:rPr>
        <w:t>4</w:t>
      </w:r>
      <w:r>
        <w:rPr>
          <w:bCs/>
          <w:sz w:val="24"/>
          <w:szCs w:val="24"/>
          <w:highlight w:val="none"/>
        </w:rPr>
        <w:t>-2，破碎车间逸散量为</w:t>
      </w:r>
      <w:r>
        <w:rPr>
          <w:rFonts w:hint="eastAsia"/>
          <w:bCs/>
          <w:sz w:val="24"/>
          <w:szCs w:val="24"/>
          <w:highlight w:val="none"/>
        </w:rPr>
        <w:t>40.8</w:t>
      </w:r>
      <w:r>
        <w:rPr>
          <w:bCs/>
          <w:sz w:val="24"/>
          <w:szCs w:val="24"/>
          <w:highlight w:val="none"/>
        </w:rPr>
        <w:t>t/a，其中约9</w:t>
      </w:r>
      <w:r>
        <w:rPr>
          <w:rFonts w:hint="eastAsia"/>
          <w:bCs/>
          <w:sz w:val="24"/>
          <w:szCs w:val="24"/>
          <w:highlight w:val="none"/>
        </w:rPr>
        <w:t>9</w:t>
      </w:r>
      <w:r>
        <w:rPr>
          <w:bCs/>
          <w:sz w:val="24"/>
          <w:szCs w:val="24"/>
          <w:highlight w:val="none"/>
        </w:rPr>
        <w:t>%的粉尘沉降在车间内，</w:t>
      </w:r>
      <w:r>
        <w:rPr>
          <w:rFonts w:hint="eastAsia"/>
          <w:bCs/>
          <w:sz w:val="24"/>
          <w:szCs w:val="24"/>
          <w:highlight w:val="none"/>
        </w:rPr>
        <w:t>1</w:t>
      </w:r>
      <w:r>
        <w:rPr>
          <w:bCs/>
          <w:sz w:val="24"/>
          <w:szCs w:val="24"/>
          <w:highlight w:val="none"/>
        </w:rPr>
        <w:t>%的粉尘通过车间进出口逸散，则以无组织形式排放至外环境的粉尘量为：</w:t>
      </w:r>
      <w:r>
        <w:rPr>
          <w:rFonts w:hint="eastAsia"/>
          <w:bCs/>
          <w:sz w:val="24"/>
          <w:szCs w:val="24"/>
          <w:highlight w:val="none"/>
        </w:rPr>
        <w:t>0.408</w:t>
      </w:r>
      <w:r>
        <w:rPr>
          <w:bCs/>
          <w:sz w:val="24"/>
          <w:szCs w:val="24"/>
          <w:highlight w:val="none"/>
        </w:rPr>
        <w:t>t/a。</w:t>
      </w:r>
    </w:p>
    <w:p>
      <w:pPr>
        <w:pStyle w:val="2"/>
        <w:spacing w:after="120" w:afterLines="50"/>
        <w:ind w:firstLine="480"/>
        <w:rPr>
          <w:highlight w:val="none"/>
        </w:rPr>
      </w:pPr>
      <w:r>
        <w:rPr>
          <w:rFonts w:hint="eastAsia"/>
          <w:bCs/>
          <w:sz w:val="24"/>
          <w:szCs w:val="24"/>
          <w:highlight w:val="none"/>
        </w:rPr>
        <w:t>由于原矿、砂石料均存储于破碎生产车间内，则综上所述，破碎车间无组织排放情况见下表。</w:t>
      </w:r>
    </w:p>
    <w:p>
      <w:pPr>
        <w:spacing w:line="240" w:lineRule="auto"/>
        <w:ind w:firstLine="420" w:firstLineChars="0"/>
        <w:jc w:val="center"/>
        <w:textAlignment w:val="baseline"/>
        <w:rPr>
          <w:rFonts w:eastAsia="黑体"/>
          <w:bCs/>
          <w:kern w:val="2"/>
          <w:sz w:val="21"/>
          <w:szCs w:val="21"/>
          <w:highlight w:val="none"/>
        </w:rPr>
      </w:pPr>
      <w:r>
        <w:rPr>
          <w:rFonts w:eastAsia="黑体"/>
          <w:bCs/>
          <w:kern w:val="2"/>
          <w:sz w:val="21"/>
          <w:szCs w:val="21"/>
          <w:highlight w:val="none"/>
        </w:rPr>
        <w:t>表3.</w:t>
      </w:r>
      <w:r>
        <w:rPr>
          <w:rFonts w:hint="eastAsia" w:eastAsia="黑体"/>
          <w:bCs/>
          <w:kern w:val="2"/>
          <w:sz w:val="21"/>
          <w:szCs w:val="21"/>
          <w:highlight w:val="none"/>
        </w:rPr>
        <w:t>4</w:t>
      </w:r>
      <w:r>
        <w:rPr>
          <w:rFonts w:eastAsia="黑体"/>
          <w:bCs/>
          <w:kern w:val="2"/>
          <w:sz w:val="21"/>
          <w:szCs w:val="21"/>
          <w:highlight w:val="none"/>
        </w:rPr>
        <w:t>-</w:t>
      </w:r>
      <w:r>
        <w:rPr>
          <w:rFonts w:hint="eastAsia" w:eastAsia="黑体"/>
          <w:bCs/>
          <w:kern w:val="2"/>
          <w:sz w:val="21"/>
          <w:szCs w:val="21"/>
          <w:highlight w:val="none"/>
        </w:rPr>
        <w:t xml:space="preserve">3   </w:t>
      </w:r>
      <w:r>
        <w:rPr>
          <w:rFonts w:eastAsia="黑体"/>
          <w:bCs/>
          <w:kern w:val="2"/>
          <w:sz w:val="21"/>
          <w:szCs w:val="21"/>
          <w:highlight w:val="none"/>
        </w:rPr>
        <w:t>破碎车间无组织废气排放情况表</w:t>
      </w:r>
    </w:p>
    <w:bookmarkEnd w:id="220"/>
    <w:tbl>
      <w:tblPr>
        <w:tblStyle w:val="56"/>
        <w:tblW w:w="8522" w:type="dxa"/>
        <w:tblInd w:w="0"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15" w:type="dxa"/>
          <w:left w:w="108" w:type="dxa"/>
          <w:bottom w:w="15" w:type="dxa"/>
          <w:right w:w="108" w:type="dxa"/>
        </w:tblCellMar>
      </w:tblPr>
      <w:tblGrid>
        <w:gridCol w:w="1383"/>
        <w:gridCol w:w="970"/>
        <w:gridCol w:w="1178"/>
        <w:gridCol w:w="1178"/>
        <w:gridCol w:w="1457"/>
        <w:gridCol w:w="1178"/>
        <w:gridCol w:w="1178"/>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08" w:type="dxa"/>
            <w:bottom w:w="15" w:type="dxa"/>
            <w:right w:w="108" w:type="dxa"/>
          </w:tblCellMar>
        </w:tblPrEx>
        <w:trPr>
          <w:trHeight w:val="555" w:hRule="atLeast"/>
        </w:trPr>
        <w:tc>
          <w:tcPr>
            <w:tcW w:w="1383" w:type="dxa"/>
            <w:tcBorders>
              <w:left w:val="single" w:color="000000" w:sz="6" w:space="0"/>
            </w:tcBorders>
            <w:vAlign w:val="center"/>
          </w:tcPr>
          <w:p>
            <w:pPr>
              <w:widowControl/>
              <w:spacing w:line="240" w:lineRule="auto"/>
              <w:ind w:firstLine="420" w:firstLineChars="0"/>
              <w:jc w:val="center"/>
              <w:textAlignment w:val="auto"/>
              <w:rPr>
                <w:sz w:val="21"/>
                <w:szCs w:val="21"/>
                <w:highlight w:val="none"/>
              </w:rPr>
            </w:pPr>
            <w:r>
              <w:rPr>
                <w:sz w:val="21"/>
                <w:szCs w:val="21"/>
                <w:highlight w:val="none"/>
              </w:rPr>
              <w:t>污染源</w:t>
            </w:r>
          </w:p>
        </w:tc>
        <w:tc>
          <w:tcPr>
            <w:tcW w:w="970"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污染物</w:t>
            </w:r>
          </w:p>
        </w:tc>
        <w:tc>
          <w:tcPr>
            <w:tcW w:w="1178"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产生量（</w:t>
            </w:r>
            <w:r>
              <w:rPr>
                <w:sz w:val="21"/>
                <w:highlight w:val="none"/>
              </w:rPr>
              <w:t>t/a</w:t>
            </w:r>
            <w:r>
              <w:rPr>
                <w:sz w:val="21"/>
                <w:szCs w:val="21"/>
                <w:highlight w:val="none"/>
              </w:rPr>
              <w:t>）</w:t>
            </w:r>
          </w:p>
        </w:tc>
        <w:tc>
          <w:tcPr>
            <w:tcW w:w="1178"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排放量（</w:t>
            </w:r>
            <w:r>
              <w:rPr>
                <w:sz w:val="21"/>
                <w:highlight w:val="none"/>
              </w:rPr>
              <w:t>t/a</w:t>
            </w:r>
            <w:r>
              <w:rPr>
                <w:sz w:val="21"/>
                <w:szCs w:val="21"/>
                <w:highlight w:val="none"/>
              </w:rPr>
              <w:t>）</w:t>
            </w:r>
          </w:p>
        </w:tc>
        <w:tc>
          <w:tcPr>
            <w:tcW w:w="1457"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排放速率（</w:t>
            </w:r>
            <w:r>
              <w:rPr>
                <w:sz w:val="21"/>
                <w:highlight w:val="none"/>
              </w:rPr>
              <w:t>kg/h</w:t>
            </w:r>
            <w:r>
              <w:rPr>
                <w:sz w:val="21"/>
                <w:szCs w:val="21"/>
                <w:highlight w:val="none"/>
              </w:rPr>
              <w:t>）</w:t>
            </w:r>
          </w:p>
        </w:tc>
        <w:tc>
          <w:tcPr>
            <w:tcW w:w="1178"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长</w:t>
            </w:r>
            <w:r>
              <w:rPr>
                <w:sz w:val="21"/>
                <w:highlight w:val="none"/>
              </w:rPr>
              <w:t>×</w:t>
            </w:r>
            <w:r>
              <w:rPr>
                <w:sz w:val="21"/>
                <w:szCs w:val="21"/>
                <w:highlight w:val="none"/>
              </w:rPr>
              <w:t>宽（</w:t>
            </w:r>
            <w:r>
              <w:rPr>
                <w:sz w:val="21"/>
                <w:highlight w:val="none"/>
              </w:rPr>
              <w:t>m</w:t>
            </w:r>
            <w:r>
              <w:rPr>
                <w:sz w:val="21"/>
                <w:szCs w:val="21"/>
                <w:highlight w:val="none"/>
              </w:rPr>
              <w:t>）</w:t>
            </w:r>
          </w:p>
        </w:tc>
        <w:tc>
          <w:tcPr>
            <w:tcW w:w="1178" w:type="dxa"/>
            <w:tcBorders>
              <w:right w:val="single" w:color="000000" w:sz="6" w:space="0"/>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面源高度（</w:t>
            </w:r>
            <w:r>
              <w:rPr>
                <w:sz w:val="21"/>
                <w:highlight w:val="none"/>
              </w:rPr>
              <w:t>m</w:t>
            </w:r>
            <w:r>
              <w:rPr>
                <w:sz w:val="21"/>
                <w:szCs w:val="21"/>
                <w:highlight w:val="none"/>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08" w:type="dxa"/>
            <w:bottom w:w="15" w:type="dxa"/>
            <w:right w:w="108" w:type="dxa"/>
          </w:tblCellMar>
        </w:tblPrEx>
        <w:trPr>
          <w:trHeight w:val="540" w:hRule="atLeast"/>
        </w:trPr>
        <w:tc>
          <w:tcPr>
            <w:tcW w:w="1383" w:type="dxa"/>
            <w:tcBorders>
              <w:left w:val="single" w:color="000000" w:sz="6" w:space="0"/>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破碎车间</w:t>
            </w:r>
          </w:p>
        </w:tc>
        <w:tc>
          <w:tcPr>
            <w:tcW w:w="970"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颗粒物</w:t>
            </w:r>
          </w:p>
        </w:tc>
        <w:tc>
          <w:tcPr>
            <w:tcW w:w="1178"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162.42</w:t>
            </w:r>
          </w:p>
        </w:tc>
        <w:tc>
          <w:tcPr>
            <w:tcW w:w="1178"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0.678</w:t>
            </w:r>
          </w:p>
        </w:tc>
        <w:tc>
          <w:tcPr>
            <w:tcW w:w="1457"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0.15</w:t>
            </w:r>
          </w:p>
        </w:tc>
        <w:tc>
          <w:tcPr>
            <w:tcW w:w="1178"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93</w:t>
            </w:r>
            <w:r>
              <w:rPr>
                <w:sz w:val="21"/>
                <w:szCs w:val="21"/>
                <w:highlight w:val="none"/>
              </w:rPr>
              <w:t>×</w:t>
            </w:r>
            <w:r>
              <w:rPr>
                <w:rFonts w:hint="eastAsia"/>
                <w:sz w:val="21"/>
                <w:szCs w:val="21"/>
                <w:highlight w:val="none"/>
              </w:rPr>
              <w:t>70</w:t>
            </w:r>
          </w:p>
        </w:tc>
        <w:tc>
          <w:tcPr>
            <w:tcW w:w="1178" w:type="dxa"/>
            <w:tcBorders>
              <w:right w:val="single" w:color="000000" w:sz="6" w:space="0"/>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14</w:t>
            </w:r>
          </w:p>
        </w:tc>
      </w:tr>
    </w:tbl>
    <w:p>
      <w:pPr>
        <w:ind w:firstLine="480"/>
        <w:jc w:val="both"/>
        <w:textAlignment w:val="auto"/>
        <w:rPr>
          <w:bCs/>
          <w:sz w:val="24"/>
          <w:szCs w:val="24"/>
          <w:highlight w:val="none"/>
        </w:rPr>
      </w:pPr>
      <w:r>
        <w:rPr>
          <w:bCs/>
          <w:sz w:val="24"/>
          <w:szCs w:val="24"/>
          <w:highlight w:val="none"/>
        </w:rPr>
        <w:t>（</w:t>
      </w:r>
      <w:r>
        <w:rPr>
          <w:rFonts w:hint="eastAsia"/>
          <w:bCs/>
          <w:sz w:val="24"/>
          <w:szCs w:val="24"/>
          <w:highlight w:val="none"/>
        </w:rPr>
        <w:t>3</w:t>
      </w:r>
      <w:r>
        <w:rPr>
          <w:bCs/>
          <w:sz w:val="24"/>
          <w:szCs w:val="24"/>
          <w:highlight w:val="none"/>
        </w:rPr>
        <w:t>）</w:t>
      </w:r>
      <w:r>
        <w:rPr>
          <w:snapToGrid w:val="0"/>
          <w:sz w:val="24"/>
          <w:szCs w:val="24"/>
          <w:highlight w:val="none"/>
        </w:rPr>
        <w:t>物料转运过程产生的粉尘</w:t>
      </w:r>
    </w:p>
    <w:p>
      <w:pPr>
        <w:widowControl/>
        <w:ind w:firstLine="480"/>
        <w:textAlignment w:val="auto"/>
        <w:rPr>
          <w:bCs/>
          <w:sz w:val="24"/>
          <w:szCs w:val="24"/>
          <w:highlight w:val="none"/>
        </w:rPr>
      </w:pPr>
      <w:r>
        <w:rPr>
          <w:kern w:val="2"/>
          <w:sz w:val="24"/>
          <w:highlight w:val="none"/>
        </w:rPr>
        <w:t>物料均通过封闭廊道转运，忽略不计。</w:t>
      </w:r>
    </w:p>
    <w:p>
      <w:pPr>
        <w:pStyle w:val="3"/>
        <w:rPr>
          <w:rFonts w:eastAsia="宋体"/>
          <w:b/>
          <w:highlight w:val="none"/>
        </w:rPr>
      </w:pPr>
      <w:bookmarkStart w:id="221" w:name="_Hlk18932619"/>
      <w:r>
        <w:rPr>
          <w:rFonts w:eastAsia="宋体"/>
          <w:b/>
          <w:highlight w:val="none"/>
        </w:rPr>
        <w:t>3.</w:t>
      </w:r>
      <w:r>
        <w:rPr>
          <w:rFonts w:hint="eastAsia" w:eastAsia="宋体"/>
          <w:b/>
          <w:highlight w:val="none"/>
        </w:rPr>
        <w:t>4</w:t>
      </w:r>
      <w:r>
        <w:rPr>
          <w:rFonts w:eastAsia="宋体"/>
          <w:b/>
          <w:highlight w:val="none"/>
        </w:rPr>
        <w:t>.2.2水污染物分析及源强核算</w:t>
      </w:r>
    </w:p>
    <w:p>
      <w:pPr>
        <w:ind w:firstLine="480"/>
        <w:jc w:val="both"/>
        <w:rPr>
          <w:bCs/>
          <w:sz w:val="24"/>
          <w:szCs w:val="24"/>
          <w:highlight w:val="none"/>
        </w:rPr>
      </w:pPr>
      <w:r>
        <w:rPr>
          <w:bCs/>
          <w:sz w:val="24"/>
          <w:szCs w:val="24"/>
          <w:highlight w:val="none"/>
        </w:rPr>
        <w:t>（1）生活污水</w:t>
      </w:r>
    </w:p>
    <w:p>
      <w:pPr>
        <w:ind w:firstLine="480"/>
        <w:jc w:val="both"/>
        <w:rPr>
          <w:bCs/>
          <w:sz w:val="24"/>
          <w:szCs w:val="24"/>
          <w:highlight w:val="none"/>
        </w:rPr>
      </w:pPr>
      <w:r>
        <w:rPr>
          <w:rFonts w:hint="eastAsia"/>
          <w:bCs/>
          <w:sz w:val="24"/>
          <w:szCs w:val="24"/>
          <w:highlight w:val="none"/>
        </w:rPr>
        <w:t>不新增劳动定员，不新增生活污水产生量</w:t>
      </w:r>
      <w:r>
        <w:rPr>
          <w:sz w:val="24"/>
          <w:szCs w:val="24"/>
          <w:highlight w:val="none"/>
        </w:rPr>
        <w:t>。</w:t>
      </w:r>
    </w:p>
    <w:p>
      <w:pPr>
        <w:ind w:firstLine="480"/>
        <w:jc w:val="both"/>
        <w:rPr>
          <w:bCs/>
          <w:sz w:val="24"/>
          <w:szCs w:val="24"/>
          <w:highlight w:val="none"/>
        </w:rPr>
      </w:pPr>
      <w:r>
        <w:rPr>
          <w:bCs/>
          <w:sz w:val="24"/>
          <w:szCs w:val="24"/>
          <w:highlight w:val="none"/>
        </w:rPr>
        <w:t>（2）选矿废水</w:t>
      </w:r>
    </w:p>
    <w:p>
      <w:pPr>
        <w:ind w:firstLine="480"/>
        <w:jc w:val="both"/>
        <w:rPr>
          <w:bCs/>
          <w:sz w:val="24"/>
          <w:szCs w:val="24"/>
          <w:highlight w:val="none"/>
        </w:rPr>
      </w:pPr>
      <w:r>
        <w:rPr>
          <w:bCs/>
          <w:sz w:val="24"/>
          <w:szCs w:val="24"/>
          <w:highlight w:val="none"/>
        </w:rPr>
        <w:t>本项目磁选过程为湿式磁选，选矿废水经尾矿浓密、脱水压滤等工序处理后，自流至清水池，回用于选矿，选矿废水不外排。</w:t>
      </w:r>
    </w:p>
    <w:p>
      <w:pPr>
        <w:ind w:firstLine="480"/>
        <w:jc w:val="both"/>
        <w:rPr>
          <w:bCs/>
          <w:sz w:val="24"/>
          <w:szCs w:val="24"/>
          <w:highlight w:val="none"/>
        </w:rPr>
      </w:pPr>
      <w:r>
        <w:rPr>
          <w:bCs/>
          <w:sz w:val="24"/>
          <w:szCs w:val="24"/>
          <w:highlight w:val="none"/>
        </w:rPr>
        <w:t>（3）车间地面清洗废水</w:t>
      </w:r>
    </w:p>
    <w:p>
      <w:pPr>
        <w:ind w:firstLine="480"/>
        <w:jc w:val="both"/>
        <w:rPr>
          <w:sz w:val="24"/>
          <w:szCs w:val="24"/>
          <w:highlight w:val="none"/>
        </w:rPr>
      </w:pPr>
      <w:r>
        <w:rPr>
          <w:sz w:val="24"/>
          <w:szCs w:val="24"/>
          <w:highlight w:val="none"/>
        </w:rPr>
        <w:t>车间地面冲洗</w:t>
      </w:r>
      <w:r>
        <w:rPr>
          <w:rFonts w:hint="eastAsia"/>
          <w:sz w:val="24"/>
          <w:szCs w:val="24"/>
          <w:highlight w:val="none"/>
        </w:rPr>
        <w:t>废</w:t>
      </w:r>
      <w:r>
        <w:rPr>
          <w:sz w:val="24"/>
          <w:szCs w:val="24"/>
          <w:highlight w:val="none"/>
        </w:rPr>
        <w:t>水量为</w:t>
      </w:r>
      <w:r>
        <w:rPr>
          <w:rFonts w:hint="eastAsia"/>
          <w:sz w:val="24"/>
          <w:szCs w:val="24"/>
          <w:highlight w:val="none"/>
        </w:rPr>
        <w:t>3</w:t>
      </w:r>
      <w:r>
        <w:rPr>
          <w:sz w:val="24"/>
          <w:szCs w:val="24"/>
          <w:highlight w:val="none"/>
        </w:rPr>
        <w:t>.0 m</w:t>
      </w:r>
      <w:r>
        <w:rPr>
          <w:sz w:val="24"/>
          <w:szCs w:val="24"/>
          <w:highlight w:val="none"/>
          <w:vertAlign w:val="superscript"/>
        </w:rPr>
        <w:t>3</w:t>
      </w:r>
      <w:r>
        <w:rPr>
          <w:sz w:val="24"/>
          <w:szCs w:val="24"/>
          <w:highlight w:val="none"/>
        </w:rPr>
        <w:t>/d</w:t>
      </w:r>
      <w:r>
        <w:rPr>
          <w:rFonts w:hint="eastAsia"/>
          <w:sz w:val="24"/>
          <w:szCs w:val="24"/>
          <w:highlight w:val="none"/>
        </w:rPr>
        <w:t>，</w:t>
      </w:r>
      <w:r>
        <w:rPr>
          <w:sz w:val="24"/>
          <w:szCs w:val="24"/>
          <w:highlight w:val="none"/>
        </w:rPr>
        <w:t>车间地面清洗水</w:t>
      </w:r>
      <w:r>
        <w:rPr>
          <w:rFonts w:hint="eastAsia"/>
          <w:sz w:val="24"/>
          <w:szCs w:val="24"/>
          <w:highlight w:val="none"/>
        </w:rPr>
        <w:t>经沉淀处理后</w:t>
      </w:r>
      <w:r>
        <w:rPr>
          <w:sz w:val="24"/>
          <w:szCs w:val="24"/>
          <w:highlight w:val="none"/>
        </w:rPr>
        <w:t>进入清水池回用于生产</w:t>
      </w:r>
      <w:r>
        <w:rPr>
          <w:rFonts w:hint="eastAsia"/>
          <w:sz w:val="24"/>
          <w:szCs w:val="24"/>
          <w:highlight w:val="none"/>
        </w:rPr>
        <w:t>。</w:t>
      </w:r>
    </w:p>
    <w:p>
      <w:pPr>
        <w:ind w:firstLine="480"/>
        <w:jc w:val="both"/>
        <w:rPr>
          <w:bCs/>
          <w:sz w:val="24"/>
          <w:szCs w:val="24"/>
          <w:highlight w:val="none"/>
        </w:rPr>
      </w:pPr>
      <w:r>
        <w:rPr>
          <w:bCs/>
          <w:sz w:val="24"/>
          <w:szCs w:val="24"/>
          <w:highlight w:val="none"/>
        </w:rPr>
        <w:t>（4）洗车废水</w:t>
      </w:r>
    </w:p>
    <w:bookmarkEnd w:id="221"/>
    <w:p>
      <w:pPr>
        <w:ind w:firstLine="480"/>
        <w:jc w:val="both"/>
        <w:rPr>
          <w:sz w:val="24"/>
          <w:szCs w:val="24"/>
          <w:highlight w:val="none"/>
        </w:rPr>
      </w:pPr>
      <w:r>
        <w:rPr>
          <w:bCs/>
          <w:sz w:val="24"/>
          <w:szCs w:val="24"/>
          <w:highlight w:val="none"/>
        </w:rPr>
        <w:t>本项目为了减少车辆运输产生的粉尘，</w:t>
      </w:r>
      <w:r>
        <w:rPr>
          <w:rFonts w:hint="eastAsia"/>
          <w:sz w:val="24"/>
          <w:szCs w:val="24"/>
          <w:highlight w:val="none"/>
        </w:rPr>
        <w:t>新建</w:t>
      </w:r>
      <w:r>
        <w:rPr>
          <w:sz w:val="24"/>
          <w:szCs w:val="24"/>
          <w:highlight w:val="none"/>
        </w:rPr>
        <w:t>成品库门口设置洗车平台（</w:t>
      </w:r>
      <w:r>
        <w:rPr>
          <w:rFonts w:hint="eastAsia"/>
          <w:sz w:val="24"/>
          <w:szCs w:val="24"/>
          <w:highlight w:val="none"/>
        </w:rPr>
        <w:t>8</w:t>
      </w:r>
      <w:r>
        <w:rPr>
          <w:sz w:val="24"/>
          <w:szCs w:val="24"/>
          <w:highlight w:val="none"/>
        </w:rPr>
        <w:t>m×</w:t>
      </w:r>
      <w:r>
        <w:rPr>
          <w:rFonts w:hint="eastAsia"/>
          <w:sz w:val="24"/>
          <w:szCs w:val="24"/>
          <w:highlight w:val="none"/>
        </w:rPr>
        <w:t>3.</w:t>
      </w:r>
      <w:r>
        <w:rPr>
          <w:sz w:val="24"/>
          <w:szCs w:val="24"/>
          <w:highlight w:val="none"/>
        </w:rPr>
        <w:t>5m），在洗车平台使用高压喷雾清洗轮胎及车身，洗车平台四周应设置防溢座，废水经导流渠流入沉淀池内（2m×3m×1m），经沉淀后的洗车废水流入清水池内（2m×3m×1m），清洗及沉淀过程随车辆带走及蒸发损耗水量为</w:t>
      </w:r>
      <w:r>
        <w:rPr>
          <w:rFonts w:hint="eastAsia"/>
          <w:sz w:val="24"/>
          <w:szCs w:val="24"/>
          <w:highlight w:val="none"/>
        </w:rPr>
        <w:t>3</w:t>
      </w:r>
      <w:r>
        <w:rPr>
          <w:sz w:val="24"/>
          <w:szCs w:val="24"/>
          <w:highlight w:val="none"/>
        </w:rPr>
        <w:t>m</w:t>
      </w:r>
      <w:r>
        <w:rPr>
          <w:sz w:val="24"/>
          <w:szCs w:val="24"/>
          <w:highlight w:val="none"/>
          <w:vertAlign w:val="superscript"/>
        </w:rPr>
        <w:t>3</w:t>
      </w:r>
      <w:r>
        <w:rPr>
          <w:sz w:val="24"/>
          <w:szCs w:val="24"/>
          <w:highlight w:val="none"/>
        </w:rPr>
        <w:t>/d，补充新水量</w:t>
      </w:r>
      <w:r>
        <w:rPr>
          <w:rFonts w:hint="eastAsia"/>
          <w:sz w:val="24"/>
          <w:szCs w:val="24"/>
          <w:highlight w:val="none"/>
        </w:rPr>
        <w:t>3</w:t>
      </w:r>
      <w:r>
        <w:rPr>
          <w:sz w:val="24"/>
          <w:szCs w:val="24"/>
          <w:highlight w:val="none"/>
        </w:rPr>
        <w:t>m</w:t>
      </w:r>
      <w:r>
        <w:rPr>
          <w:sz w:val="24"/>
          <w:szCs w:val="24"/>
          <w:highlight w:val="none"/>
          <w:vertAlign w:val="superscript"/>
        </w:rPr>
        <w:t>3</w:t>
      </w:r>
      <w:r>
        <w:rPr>
          <w:sz w:val="24"/>
          <w:szCs w:val="24"/>
          <w:highlight w:val="none"/>
        </w:rPr>
        <w:t>/d，循环水量为</w:t>
      </w:r>
      <w:r>
        <w:rPr>
          <w:rFonts w:hint="eastAsia"/>
          <w:sz w:val="24"/>
          <w:szCs w:val="24"/>
          <w:highlight w:val="none"/>
        </w:rPr>
        <w:t>2.4</w:t>
      </w:r>
      <w:r>
        <w:rPr>
          <w:sz w:val="24"/>
          <w:szCs w:val="24"/>
          <w:highlight w:val="none"/>
        </w:rPr>
        <w:t>m</w:t>
      </w:r>
      <w:r>
        <w:rPr>
          <w:sz w:val="24"/>
          <w:szCs w:val="24"/>
          <w:highlight w:val="none"/>
          <w:vertAlign w:val="superscript"/>
        </w:rPr>
        <w:t>3</w:t>
      </w:r>
      <w:r>
        <w:rPr>
          <w:sz w:val="24"/>
          <w:szCs w:val="24"/>
          <w:highlight w:val="none"/>
        </w:rPr>
        <w:t>/d，回用于运输车辆清洗。</w:t>
      </w:r>
    </w:p>
    <w:p>
      <w:pPr>
        <w:pStyle w:val="3"/>
        <w:rPr>
          <w:rFonts w:eastAsia="宋体"/>
          <w:b/>
          <w:highlight w:val="none"/>
        </w:rPr>
      </w:pPr>
      <w:r>
        <w:rPr>
          <w:rFonts w:eastAsia="宋体"/>
          <w:b/>
          <w:highlight w:val="none"/>
        </w:rPr>
        <w:t>3.</w:t>
      </w:r>
      <w:r>
        <w:rPr>
          <w:rFonts w:hint="eastAsia" w:eastAsia="宋体"/>
          <w:b/>
          <w:highlight w:val="none"/>
        </w:rPr>
        <w:t>4</w:t>
      </w:r>
      <w:r>
        <w:rPr>
          <w:rFonts w:eastAsia="宋体"/>
          <w:b/>
          <w:highlight w:val="none"/>
        </w:rPr>
        <w:t>.2.3噪声排放情况分析</w:t>
      </w:r>
    </w:p>
    <w:p>
      <w:pPr>
        <w:pStyle w:val="2"/>
        <w:ind w:firstLine="480"/>
        <w:rPr>
          <w:highlight w:val="none"/>
        </w:rPr>
      </w:pPr>
      <w:r>
        <w:rPr>
          <w:sz w:val="24"/>
          <w:szCs w:val="24"/>
          <w:highlight w:val="none"/>
        </w:rPr>
        <w:t>本项目噪声污染源主要来自生产过程中各种设备和设施的运行噪声，主要为生产工序的球磨机、高频筛、磁选机和过滤机等设备，尾矿处理系统的压滤机和水泵等，类比同类设备，各噪声源的声级为70-100dB(A)。</w:t>
      </w:r>
    </w:p>
    <w:p>
      <w:pPr>
        <w:ind w:firstLine="480"/>
        <w:jc w:val="both"/>
        <w:rPr>
          <w:bCs/>
          <w:sz w:val="24"/>
          <w:szCs w:val="24"/>
          <w:highlight w:val="none"/>
        </w:rPr>
      </w:pPr>
      <w:r>
        <w:rPr>
          <w:bCs/>
          <w:sz w:val="24"/>
          <w:szCs w:val="24"/>
          <w:highlight w:val="none"/>
        </w:rPr>
        <w:t>本次项目运营期各产噪设备噪声声级见表3.</w:t>
      </w:r>
      <w:r>
        <w:rPr>
          <w:rFonts w:hint="eastAsia"/>
          <w:bCs/>
          <w:sz w:val="24"/>
          <w:szCs w:val="24"/>
          <w:highlight w:val="none"/>
        </w:rPr>
        <w:t>4</w:t>
      </w:r>
      <w:r>
        <w:rPr>
          <w:bCs/>
          <w:sz w:val="24"/>
          <w:szCs w:val="24"/>
          <w:highlight w:val="none"/>
        </w:rPr>
        <w:t>-</w:t>
      </w:r>
      <w:r>
        <w:rPr>
          <w:rFonts w:hint="eastAsia"/>
          <w:bCs/>
          <w:sz w:val="24"/>
          <w:szCs w:val="24"/>
          <w:highlight w:val="none"/>
        </w:rPr>
        <w:t>4</w:t>
      </w:r>
      <w:r>
        <w:rPr>
          <w:bCs/>
          <w:sz w:val="24"/>
          <w:szCs w:val="24"/>
          <w:highlight w:val="none"/>
        </w:rPr>
        <w:t>。</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表3.</w:t>
      </w:r>
      <w:r>
        <w:rPr>
          <w:rFonts w:hint="eastAsia" w:eastAsia="黑体"/>
          <w:kern w:val="2"/>
          <w:sz w:val="21"/>
          <w:szCs w:val="21"/>
          <w:highlight w:val="none"/>
        </w:rPr>
        <w:t>4</w:t>
      </w:r>
      <w:r>
        <w:rPr>
          <w:rFonts w:eastAsia="黑体"/>
          <w:kern w:val="2"/>
          <w:sz w:val="21"/>
          <w:szCs w:val="21"/>
          <w:highlight w:val="none"/>
        </w:rPr>
        <w:t>-</w:t>
      </w:r>
      <w:r>
        <w:rPr>
          <w:rFonts w:hint="eastAsia" w:eastAsia="黑体"/>
          <w:kern w:val="2"/>
          <w:sz w:val="21"/>
          <w:szCs w:val="21"/>
          <w:highlight w:val="none"/>
        </w:rPr>
        <w:t>4</w:t>
      </w:r>
      <w:r>
        <w:rPr>
          <w:rFonts w:eastAsia="黑体"/>
          <w:kern w:val="2"/>
          <w:sz w:val="21"/>
          <w:szCs w:val="21"/>
          <w:highlight w:val="none"/>
        </w:rPr>
        <w:t xml:space="preserve"> </w:t>
      </w:r>
      <w:r>
        <w:rPr>
          <w:rFonts w:hint="eastAsia" w:eastAsia="黑体"/>
          <w:kern w:val="2"/>
          <w:sz w:val="21"/>
          <w:szCs w:val="21"/>
          <w:highlight w:val="none"/>
        </w:rPr>
        <w:t xml:space="preserve">  </w:t>
      </w:r>
      <w:r>
        <w:rPr>
          <w:rFonts w:eastAsia="黑体"/>
          <w:kern w:val="2"/>
          <w:sz w:val="21"/>
          <w:szCs w:val="21"/>
          <w:highlight w:val="none"/>
        </w:rPr>
        <w:t>建设项目主要噪声设备产噪情况表</w:t>
      </w:r>
    </w:p>
    <w:tbl>
      <w:tblPr>
        <w:tblStyle w:val="56"/>
        <w:tblW w:w="8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354"/>
        <w:gridCol w:w="1418"/>
        <w:gridCol w:w="934"/>
        <w:gridCol w:w="777"/>
        <w:gridCol w:w="840"/>
        <w:gridCol w:w="1418"/>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eastAsia="宋体"/>
                <w:sz w:val="21"/>
                <w:szCs w:val="21"/>
                <w:highlight w:val="none"/>
              </w:rPr>
              <w:t>序号</w:t>
            </w:r>
          </w:p>
        </w:tc>
        <w:tc>
          <w:tcPr>
            <w:tcW w:w="1354" w:type="dxa"/>
            <w:tcBorders>
              <w:tl2br w:val="nil"/>
              <w:tr2bl w:val="nil"/>
            </w:tcBorders>
            <w:vAlign w:val="center"/>
          </w:tcPr>
          <w:p>
            <w:pPr>
              <w:pStyle w:val="191"/>
              <w:rPr>
                <w:rFonts w:eastAsia="宋体"/>
                <w:sz w:val="21"/>
                <w:szCs w:val="21"/>
                <w:highlight w:val="none"/>
              </w:rPr>
            </w:pPr>
            <w:r>
              <w:rPr>
                <w:rFonts w:eastAsia="宋体"/>
                <w:sz w:val="21"/>
                <w:szCs w:val="21"/>
                <w:highlight w:val="none"/>
              </w:rPr>
              <w:t>产噪车间</w:t>
            </w:r>
          </w:p>
        </w:tc>
        <w:tc>
          <w:tcPr>
            <w:tcW w:w="1418" w:type="dxa"/>
            <w:tcBorders>
              <w:tl2br w:val="nil"/>
              <w:tr2bl w:val="nil"/>
            </w:tcBorders>
            <w:vAlign w:val="center"/>
          </w:tcPr>
          <w:p>
            <w:pPr>
              <w:pStyle w:val="191"/>
              <w:rPr>
                <w:rFonts w:eastAsia="宋体"/>
                <w:sz w:val="21"/>
                <w:szCs w:val="21"/>
                <w:highlight w:val="none"/>
              </w:rPr>
            </w:pPr>
            <w:r>
              <w:rPr>
                <w:rFonts w:eastAsia="宋体"/>
                <w:sz w:val="21"/>
                <w:szCs w:val="21"/>
                <w:highlight w:val="none"/>
              </w:rPr>
              <w:t>设备名称</w:t>
            </w:r>
          </w:p>
        </w:tc>
        <w:tc>
          <w:tcPr>
            <w:tcW w:w="934" w:type="dxa"/>
            <w:tcBorders>
              <w:tl2br w:val="nil"/>
              <w:tr2bl w:val="nil"/>
            </w:tcBorders>
            <w:vAlign w:val="center"/>
          </w:tcPr>
          <w:p>
            <w:pPr>
              <w:pStyle w:val="191"/>
              <w:rPr>
                <w:rFonts w:eastAsia="宋体"/>
                <w:sz w:val="21"/>
                <w:szCs w:val="21"/>
                <w:highlight w:val="none"/>
              </w:rPr>
            </w:pPr>
            <w:r>
              <w:rPr>
                <w:rFonts w:eastAsia="宋体"/>
                <w:sz w:val="21"/>
                <w:szCs w:val="21"/>
                <w:highlight w:val="none"/>
              </w:rPr>
              <w:t>单台设备声级/dB(A)</w:t>
            </w:r>
          </w:p>
        </w:tc>
        <w:tc>
          <w:tcPr>
            <w:tcW w:w="777" w:type="dxa"/>
            <w:tcBorders>
              <w:tl2br w:val="nil"/>
              <w:tr2bl w:val="nil"/>
            </w:tcBorders>
            <w:vAlign w:val="center"/>
          </w:tcPr>
          <w:p>
            <w:pPr>
              <w:pStyle w:val="191"/>
              <w:rPr>
                <w:rFonts w:eastAsia="宋体"/>
                <w:sz w:val="21"/>
                <w:szCs w:val="21"/>
                <w:highlight w:val="none"/>
              </w:rPr>
            </w:pPr>
            <w:r>
              <w:rPr>
                <w:rFonts w:eastAsia="宋体"/>
                <w:sz w:val="21"/>
                <w:szCs w:val="21"/>
                <w:highlight w:val="none"/>
              </w:rPr>
              <w:t>台(套)数</w:t>
            </w:r>
          </w:p>
        </w:tc>
        <w:tc>
          <w:tcPr>
            <w:tcW w:w="840" w:type="dxa"/>
            <w:tcBorders>
              <w:tl2br w:val="nil"/>
              <w:tr2bl w:val="nil"/>
            </w:tcBorders>
            <w:vAlign w:val="center"/>
          </w:tcPr>
          <w:p>
            <w:pPr>
              <w:pStyle w:val="191"/>
              <w:rPr>
                <w:rFonts w:eastAsia="宋体"/>
                <w:sz w:val="21"/>
                <w:szCs w:val="21"/>
                <w:highlight w:val="none"/>
              </w:rPr>
            </w:pPr>
            <w:r>
              <w:rPr>
                <w:rFonts w:eastAsia="宋体"/>
                <w:sz w:val="21"/>
                <w:szCs w:val="21"/>
                <w:highlight w:val="none"/>
              </w:rPr>
              <w:t>运行</w:t>
            </w:r>
          </w:p>
          <w:p>
            <w:pPr>
              <w:pStyle w:val="191"/>
              <w:rPr>
                <w:rFonts w:eastAsia="宋体"/>
                <w:sz w:val="21"/>
                <w:szCs w:val="21"/>
                <w:highlight w:val="none"/>
              </w:rPr>
            </w:pPr>
            <w:r>
              <w:rPr>
                <w:rFonts w:hint="eastAsia" w:eastAsia="宋体"/>
                <w:sz w:val="21"/>
                <w:szCs w:val="21"/>
                <w:highlight w:val="none"/>
              </w:rPr>
              <w:t>时段</w:t>
            </w:r>
          </w:p>
        </w:tc>
        <w:tc>
          <w:tcPr>
            <w:tcW w:w="1418"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控制</w:t>
            </w:r>
            <w:r>
              <w:rPr>
                <w:rFonts w:eastAsia="宋体"/>
                <w:sz w:val="21"/>
                <w:szCs w:val="21"/>
                <w:highlight w:val="none"/>
              </w:rPr>
              <w:t>措施</w:t>
            </w:r>
          </w:p>
        </w:tc>
        <w:tc>
          <w:tcPr>
            <w:tcW w:w="912" w:type="dxa"/>
            <w:tcBorders>
              <w:tl2br w:val="nil"/>
              <w:tr2bl w:val="nil"/>
            </w:tcBorders>
            <w:vAlign w:val="center"/>
          </w:tcPr>
          <w:p>
            <w:pPr>
              <w:pStyle w:val="191"/>
              <w:rPr>
                <w:rFonts w:eastAsia="宋体"/>
                <w:sz w:val="21"/>
                <w:szCs w:val="21"/>
                <w:highlight w:val="none"/>
              </w:rPr>
            </w:pPr>
            <w:r>
              <w:rPr>
                <w:rFonts w:eastAsia="宋体"/>
                <w:sz w:val="21"/>
                <w:szCs w:val="21"/>
                <w:highlight w:val="none"/>
              </w:rPr>
              <w:t>单台设备外排噪声/dB(A)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w:t>
            </w:r>
          </w:p>
        </w:tc>
        <w:tc>
          <w:tcPr>
            <w:tcW w:w="1354"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破碎车间</w:t>
            </w:r>
          </w:p>
        </w:tc>
        <w:tc>
          <w:tcPr>
            <w:tcW w:w="1418"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颚式破碎机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100</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2</w:t>
            </w:r>
          </w:p>
        </w:tc>
        <w:tc>
          <w:tcPr>
            <w:tcW w:w="840" w:type="dxa"/>
            <w:vMerge w:val="restart"/>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16h</w:t>
            </w:r>
          </w:p>
          <w:p>
            <w:pPr>
              <w:pStyle w:val="191"/>
              <w:rPr>
                <w:rFonts w:eastAsia="宋体"/>
                <w:sz w:val="21"/>
                <w:szCs w:val="21"/>
                <w:highlight w:val="none"/>
              </w:rPr>
            </w:pPr>
            <w:r>
              <w:rPr>
                <w:rFonts w:hint="eastAsia" w:eastAsia="宋体"/>
                <w:sz w:val="21"/>
                <w:szCs w:val="21"/>
                <w:highlight w:val="none"/>
              </w:rPr>
              <w:t>运行</w:t>
            </w:r>
          </w:p>
        </w:tc>
        <w:tc>
          <w:tcPr>
            <w:tcW w:w="1418" w:type="dxa"/>
            <w:vMerge w:val="restart"/>
            <w:tcBorders>
              <w:tl2br w:val="nil"/>
              <w:tr2bl w:val="nil"/>
            </w:tcBorders>
            <w:vAlign w:val="center"/>
          </w:tcPr>
          <w:p>
            <w:pPr>
              <w:pStyle w:val="191"/>
              <w:rPr>
                <w:rFonts w:eastAsia="宋体"/>
                <w:sz w:val="21"/>
                <w:szCs w:val="21"/>
                <w:highlight w:val="none"/>
              </w:rPr>
            </w:pPr>
            <w:r>
              <w:rPr>
                <w:rFonts w:eastAsia="宋体"/>
                <w:sz w:val="21"/>
                <w:szCs w:val="21"/>
                <w:highlight w:val="none"/>
              </w:rPr>
              <w:t>厂房隔声、减</w:t>
            </w:r>
            <w:r>
              <w:rPr>
                <w:rFonts w:hint="eastAsia" w:eastAsia="宋体"/>
                <w:sz w:val="21"/>
                <w:szCs w:val="21"/>
                <w:highlight w:val="none"/>
              </w:rPr>
              <w:t>振</w:t>
            </w:r>
            <w:r>
              <w:rPr>
                <w:rFonts w:eastAsia="宋体"/>
                <w:sz w:val="21"/>
                <w:szCs w:val="21"/>
                <w:highlight w:val="none"/>
              </w:rPr>
              <w:t>基础，</w:t>
            </w:r>
            <w:r>
              <w:rPr>
                <w:rFonts w:eastAsia="宋体"/>
                <w:snapToGrid w:val="0"/>
                <w:sz w:val="21"/>
                <w:szCs w:val="21"/>
                <w:highlight w:val="none"/>
                <w:lang w:val="zh-CN"/>
              </w:rPr>
              <w:t>降噪</w:t>
            </w:r>
            <w:r>
              <w:rPr>
                <w:rFonts w:hint="eastAsia" w:eastAsia="宋体"/>
                <w:snapToGrid w:val="0"/>
                <w:sz w:val="21"/>
                <w:szCs w:val="21"/>
                <w:highlight w:val="none"/>
              </w:rPr>
              <w:t>20</w:t>
            </w:r>
            <w:r>
              <w:rPr>
                <w:rFonts w:eastAsia="宋体"/>
                <w:snapToGrid w:val="0"/>
                <w:sz w:val="21"/>
                <w:szCs w:val="21"/>
                <w:highlight w:val="none"/>
                <w:lang w:val="zh-CN"/>
              </w:rPr>
              <w:t xml:space="preserve"> dB(A)</w:t>
            </w: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2</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磁滑轮</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75</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eastAsia="宋体"/>
                <w:sz w:val="21"/>
                <w:szCs w:val="21"/>
                <w:highlight w:val="none"/>
              </w:rPr>
              <w:t>3</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锤式破碎机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90</w:t>
            </w:r>
          </w:p>
        </w:tc>
        <w:tc>
          <w:tcPr>
            <w:tcW w:w="777" w:type="dxa"/>
            <w:tcBorders>
              <w:tl2br w:val="nil"/>
              <w:tr2bl w:val="nil"/>
            </w:tcBorders>
            <w:vAlign w:val="center"/>
          </w:tcPr>
          <w:p>
            <w:pPr>
              <w:pStyle w:val="191"/>
              <w:rPr>
                <w:rFonts w:eastAsia="宋体"/>
                <w:sz w:val="21"/>
                <w:szCs w:val="21"/>
                <w:highlight w:val="none"/>
              </w:rPr>
            </w:pPr>
            <w:r>
              <w:rPr>
                <w:rFonts w:eastAsia="宋体"/>
                <w:sz w:val="21"/>
                <w:szCs w:val="21"/>
                <w:highlight w:val="none"/>
              </w:rPr>
              <w:t>1</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eastAsia="宋体"/>
                <w:sz w:val="21"/>
                <w:szCs w:val="21"/>
                <w:highlight w:val="none"/>
              </w:rPr>
              <w:t>4</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给料机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80</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2</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eastAsia="宋体"/>
                <w:sz w:val="21"/>
                <w:szCs w:val="21"/>
                <w:highlight w:val="none"/>
              </w:rPr>
              <w:t>5</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振动筛</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90</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2</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皮带输送机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70</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7</w:t>
            </w:r>
          </w:p>
        </w:tc>
        <w:tc>
          <w:tcPr>
            <w:tcW w:w="1354" w:type="dxa"/>
            <w:vMerge w:val="restar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选矿车间</w:t>
            </w: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球磨机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90</w:t>
            </w:r>
          </w:p>
        </w:tc>
        <w:tc>
          <w:tcPr>
            <w:tcW w:w="777" w:type="dxa"/>
            <w:tcBorders>
              <w:tl2br w:val="nil"/>
              <w:tr2bl w:val="nil"/>
            </w:tcBorders>
            <w:vAlign w:val="bottom"/>
          </w:tcPr>
          <w:p>
            <w:pPr>
              <w:pStyle w:val="191"/>
              <w:rPr>
                <w:rFonts w:eastAsia="宋体"/>
                <w:sz w:val="21"/>
                <w:szCs w:val="21"/>
                <w:highlight w:val="none"/>
              </w:rPr>
            </w:pPr>
            <w:r>
              <w:rPr>
                <w:rFonts w:hint="eastAsia" w:eastAsia="宋体"/>
                <w:sz w:val="21"/>
                <w:szCs w:val="21"/>
                <w:highlight w:val="none"/>
              </w:rPr>
              <w:t>2</w:t>
            </w:r>
          </w:p>
        </w:tc>
        <w:tc>
          <w:tcPr>
            <w:tcW w:w="840" w:type="dxa"/>
            <w:vMerge w:val="restart"/>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24h</w:t>
            </w:r>
          </w:p>
          <w:p>
            <w:pPr>
              <w:pStyle w:val="191"/>
              <w:rPr>
                <w:rFonts w:eastAsia="宋体"/>
                <w:sz w:val="21"/>
                <w:szCs w:val="21"/>
                <w:highlight w:val="none"/>
              </w:rPr>
            </w:pPr>
            <w:r>
              <w:rPr>
                <w:rFonts w:hint="eastAsia" w:eastAsia="宋体"/>
                <w:sz w:val="21"/>
                <w:szCs w:val="21"/>
                <w:highlight w:val="none"/>
              </w:rPr>
              <w:t>运行</w:t>
            </w: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8</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高频筛</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85</w:t>
            </w:r>
          </w:p>
        </w:tc>
        <w:tc>
          <w:tcPr>
            <w:tcW w:w="777" w:type="dxa"/>
            <w:tcBorders>
              <w:tl2br w:val="nil"/>
              <w:tr2bl w:val="nil"/>
            </w:tcBorders>
            <w:vAlign w:val="bottom"/>
          </w:tcPr>
          <w:p>
            <w:pPr>
              <w:pStyle w:val="191"/>
              <w:rPr>
                <w:rFonts w:eastAsia="宋体"/>
                <w:sz w:val="21"/>
                <w:szCs w:val="21"/>
                <w:highlight w:val="none"/>
              </w:rPr>
            </w:pPr>
            <w:r>
              <w:rPr>
                <w:rFonts w:hint="eastAsia" w:eastAsia="宋体"/>
                <w:sz w:val="21"/>
                <w:szCs w:val="21"/>
                <w:highlight w:val="none"/>
              </w:rPr>
              <w:t>60</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9</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磁选机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75</w:t>
            </w:r>
          </w:p>
        </w:tc>
        <w:tc>
          <w:tcPr>
            <w:tcW w:w="777" w:type="dxa"/>
            <w:tcBorders>
              <w:tl2br w:val="nil"/>
              <w:tr2bl w:val="nil"/>
            </w:tcBorders>
            <w:vAlign w:val="bottom"/>
          </w:tcPr>
          <w:p>
            <w:pPr>
              <w:pStyle w:val="191"/>
              <w:rPr>
                <w:rFonts w:eastAsia="宋体"/>
                <w:sz w:val="21"/>
                <w:szCs w:val="21"/>
                <w:highlight w:val="none"/>
              </w:rPr>
            </w:pPr>
            <w:r>
              <w:rPr>
                <w:rFonts w:hint="eastAsia" w:eastAsia="宋体"/>
                <w:sz w:val="21"/>
                <w:szCs w:val="21"/>
                <w:highlight w:val="none"/>
              </w:rPr>
              <w:t>5</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10</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磁团聚</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75</w:t>
            </w:r>
          </w:p>
        </w:tc>
        <w:tc>
          <w:tcPr>
            <w:tcW w:w="777" w:type="dxa"/>
            <w:tcBorders>
              <w:tl2br w:val="nil"/>
              <w:tr2bl w:val="nil"/>
            </w:tcBorders>
            <w:vAlign w:val="bottom"/>
          </w:tcPr>
          <w:p>
            <w:pPr>
              <w:pStyle w:val="191"/>
              <w:rPr>
                <w:rFonts w:eastAsia="宋体"/>
                <w:sz w:val="21"/>
                <w:szCs w:val="21"/>
                <w:highlight w:val="none"/>
              </w:rPr>
            </w:pPr>
            <w:r>
              <w:rPr>
                <w:rFonts w:hint="eastAsia" w:eastAsia="宋体"/>
                <w:sz w:val="21"/>
                <w:szCs w:val="21"/>
                <w:highlight w:val="none"/>
              </w:rPr>
              <w:t>3</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11</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过滤机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80</w:t>
            </w:r>
          </w:p>
        </w:tc>
        <w:tc>
          <w:tcPr>
            <w:tcW w:w="777" w:type="dxa"/>
            <w:tcBorders>
              <w:tl2br w:val="nil"/>
              <w:tr2bl w:val="nil"/>
            </w:tcBorders>
            <w:vAlign w:val="bottom"/>
          </w:tcPr>
          <w:p>
            <w:pPr>
              <w:pStyle w:val="191"/>
              <w:rPr>
                <w:rFonts w:eastAsia="宋体"/>
                <w:sz w:val="21"/>
                <w:szCs w:val="21"/>
                <w:highlight w:val="none"/>
              </w:rPr>
            </w:pPr>
            <w:r>
              <w:rPr>
                <w:rFonts w:hint="eastAsia" w:eastAsia="宋体"/>
                <w:sz w:val="21"/>
                <w:szCs w:val="21"/>
                <w:highlight w:val="none"/>
              </w:rPr>
              <w:t>1</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12</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打捞机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80</w:t>
            </w:r>
          </w:p>
        </w:tc>
        <w:tc>
          <w:tcPr>
            <w:tcW w:w="777" w:type="dxa"/>
            <w:tcBorders>
              <w:tl2br w:val="nil"/>
              <w:tr2bl w:val="nil"/>
            </w:tcBorders>
            <w:vAlign w:val="bottom"/>
          </w:tcPr>
          <w:p>
            <w:pPr>
              <w:pStyle w:val="191"/>
              <w:rPr>
                <w:rFonts w:eastAsia="宋体"/>
                <w:sz w:val="21"/>
                <w:szCs w:val="21"/>
                <w:highlight w:val="none"/>
              </w:rPr>
            </w:pPr>
            <w:r>
              <w:rPr>
                <w:rFonts w:hint="eastAsia" w:eastAsia="宋体"/>
                <w:sz w:val="21"/>
                <w:szCs w:val="21"/>
                <w:highlight w:val="none"/>
              </w:rPr>
              <w:t>3</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13</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皮带输送机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70</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4</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14</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渣浆泵</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85</w:t>
            </w:r>
          </w:p>
        </w:tc>
        <w:tc>
          <w:tcPr>
            <w:tcW w:w="777" w:type="dxa"/>
            <w:tcBorders>
              <w:tl2br w:val="nil"/>
              <w:tr2bl w:val="nil"/>
            </w:tcBorders>
            <w:vAlign w:val="bottom"/>
          </w:tcPr>
          <w:p>
            <w:pPr>
              <w:pStyle w:val="191"/>
              <w:rPr>
                <w:rFonts w:eastAsia="宋体"/>
                <w:sz w:val="21"/>
                <w:szCs w:val="21"/>
                <w:highlight w:val="none"/>
              </w:rPr>
            </w:pPr>
            <w:r>
              <w:rPr>
                <w:rFonts w:hint="eastAsia" w:eastAsia="宋体"/>
                <w:sz w:val="21"/>
                <w:szCs w:val="21"/>
                <w:highlight w:val="none"/>
              </w:rPr>
              <w:t>19</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15</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真空泵</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85</w:t>
            </w:r>
          </w:p>
        </w:tc>
        <w:tc>
          <w:tcPr>
            <w:tcW w:w="777" w:type="dxa"/>
            <w:tcBorders>
              <w:tl2br w:val="nil"/>
              <w:tr2bl w:val="nil"/>
            </w:tcBorders>
            <w:vAlign w:val="bottom"/>
          </w:tcPr>
          <w:p>
            <w:pPr>
              <w:pStyle w:val="191"/>
              <w:rPr>
                <w:rFonts w:eastAsia="宋体"/>
                <w:sz w:val="21"/>
                <w:szCs w:val="21"/>
                <w:highlight w:val="none"/>
              </w:rPr>
            </w:pPr>
            <w:r>
              <w:rPr>
                <w:rFonts w:hint="eastAsia" w:eastAsia="宋体"/>
                <w:sz w:val="21"/>
                <w:szCs w:val="21"/>
                <w:highlight w:val="none"/>
              </w:rPr>
              <w:t>4</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16</w:t>
            </w: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给料机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80</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2</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597" w:type="dxa"/>
            <w:vMerge w:val="restart"/>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17</w:t>
            </w:r>
          </w:p>
        </w:tc>
        <w:tc>
          <w:tcPr>
            <w:tcW w:w="1354"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除尘器</w:t>
            </w:r>
          </w:p>
        </w:tc>
        <w:tc>
          <w:tcPr>
            <w:tcW w:w="1418"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风机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90</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w:t>
            </w:r>
          </w:p>
        </w:tc>
        <w:tc>
          <w:tcPr>
            <w:tcW w:w="840" w:type="dxa"/>
            <w:vMerge w:val="continue"/>
            <w:tcBorders>
              <w:tl2br w:val="nil"/>
              <w:tr2bl w:val="nil"/>
            </w:tcBorders>
            <w:vAlign w:val="center"/>
          </w:tcPr>
          <w:p>
            <w:pPr>
              <w:pStyle w:val="191"/>
              <w:rPr>
                <w:rFonts w:eastAsia="宋体"/>
                <w:sz w:val="21"/>
                <w:szCs w:val="21"/>
                <w:highlight w:val="none"/>
              </w:rPr>
            </w:pP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597" w:type="dxa"/>
            <w:vMerge w:val="continue"/>
            <w:tcBorders>
              <w:tl2br w:val="nil"/>
              <w:tr2bl w:val="nil"/>
            </w:tcBorders>
            <w:vAlign w:val="center"/>
          </w:tcPr>
          <w:p>
            <w:pPr>
              <w:pStyle w:val="191"/>
              <w:rPr>
                <w:rFonts w:eastAsia="宋体"/>
                <w:sz w:val="21"/>
                <w:szCs w:val="21"/>
                <w:highlight w:val="none"/>
              </w:rPr>
            </w:pPr>
          </w:p>
        </w:tc>
        <w:tc>
          <w:tcPr>
            <w:tcW w:w="1354"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418"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空压机</w:t>
            </w:r>
          </w:p>
        </w:tc>
        <w:tc>
          <w:tcPr>
            <w:tcW w:w="9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100</w:t>
            </w:r>
          </w:p>
        </w:tc>
        <w:tc>
          <w:tcPr>
            <w:tcW w:w="777"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1</w:t>
            </w:r>
          </w:p>
        </w:tc>
        <w:tc>
          <w:tcPr>
            <w:tcW w:w="840" w:type="dxa"/>
            <w:tcBorders>
              <w:tl2br w:val="nil"/>
              <w:tr2bl w:val="nil"/>
            </w:tcBorders>
            <w:vAlign w:val="center"/>
          </w:tcPr>
          <w:p>
            <w:pPr>
              <w:pStyle w:val="191"/>
              <w:rPr>
                <w:rFonts w:eastAsia="宋体"/>
                <w:sz w:val="21"/>
                <w:szCs w:val="21"/>
                <w:highlight w:val="none"/>
              </w:rPr>
            </w:pPr>
            <w:r>
              <w:rPr>
                <w:rFonts w:eastAsia="宋体"/>
                <w:sz w:val="21"/>
                <w:szCs w:val="21"/>
                <w:highlight w:val="none"/>
              </w:rPr>
              <w:t>间断</w:t>
            </w:r>
          </w:p>
        </w:tc>
        <w:tc>
          <w:tcPr>
            <w:tcW w:w="1418" w:type="dxa"/>
            <w:vMerge w:val="continue"/>
            <w:tcBorders>
              <w:tl2br w:val="nil"/>
              <w:tr2bl w:val="nil"/>
            </w:tcBorders>
            <w:vAlign w:val="center"/>
          </w:tcPr>
          <w:p>
            <w:pPr>
              <w:pStyle w:val="191"/>
              <w:rPr>
                <w:rFonts w:eastAsia="宋体"/>
                <w:sz w:val="21"/>
                <w:szCs w:val="21"/>
                <w:highlight w:val="none"/>
              </w:rPr>
            </w:pPr>
          </w:p>
        </w:tc>
        <w:tc>
          <w:tcPr>
            <w:tcW w:w="912" w:type="dxa"/>
            <w:tcBorders>
              <w:tl2br w:val="nil"/>
              <w:tr2bl w:val="nil"/>
            </w:tcBorders>
            <w:vAlign w:val="center"/>
          </w:tcPr>
          <w:p>
            <w:pPr>
              <w:pStyle w:val="191"/>
              <w:rPr>
                <w:rFonts w:eastAsia="宋体"/>
                <w:sz w:val="21"/>
                <w:szCs w:val="21"/>
                <w:highlight w:val="none"/>
              </w:rPr>
            </w:pPr>
            <w:r>
              <w:rPr>
                <w:rFonts w:hint="eastAsia" w:eastAsia="宋体"/>
                <w:sz w:val="21"/>
                <w:szCs w:val="21"/>
                <w:highlight w:val="none"/>
              </w:rPr>
              <w:t>80</w:t>
            </w:r>
          </w:p>
        </w:tc>
      </w:tr>
    </w:tbl>
    <w:p>
      <w:pPr>
        <w:spacing w:line="240" w:lineRule="auto"/>
        <w:ind w:firstLine="0" w:firstLineChars="0"/>
        <w:jc w:val="center"/>
        <w:textAlignment w:val="auto"/>
        <w:rPr>
          <w:rFonts w:eastAsia="黑体"/>
          <w:kern w:val="2"/>
          <w:sz w:val="21"/>
          <w:szCs w:val="21"/>
          <w:highlight w:val="none"/>
        </w:rPr>
      </w:pPr>
    </w:p>
    <w:p>
      <w:pPr>
        <w:pStyle w:val="3"/>
        <w:rPr>
          <w:rFonts w:eastAsia="宋体"/>
          <w:b/>
          <w:highlight w:val="none"/>
        </w:rPr>
      </w:pPr>
      <w:r>
        <w:rPr>
          <w:rFonts w:eastAsia="宋体"/>
          <w:b/>
          <w:highlight w:val="none"/>
        </w:rPr>
        <w:t>3.</w:t>
      </w:r>
      <w:r>
        <w:rPr>
          <w:rFonts w:hint="eastAsia" w:eastAsia="宋体"/>
          <w:b/>
          <w:highlight w:val="none"/>
        </w:rPr>
        <w:t>4</w:t>
      </w:r>
      <w:r>
        <w:rPr>
          <w:rFonts w:eastAsia="宋体"/>
          <w:b/>
          <w:highlight w:val="none"/>
        </w:rPr>
        <w:t>.2.4固体废物分析及源强核算</w:t>
      </w:r>
    </w:p>
    <w:p>
      <w:pPr>
        <w:ind w:firstLine="480"/>
        <w:jc w:val="both"/>
        <w:rPr>
          <w:bCs/>
          <w:sz w:val="24"/>
          <w:szCs w:val="24"/>
          <w:highlight w:val="none"/>
        </w:rPr>
      </w:pPr>
      <w:r>
        <w:rPr>
          <w:bCs/>
          <w:sz w:val="24"/>
          <w:szCs w:val="24"/>
          <w:highlight w:val="none"/>
        </w:rPr>
        <w:t>建设项目投产后产生的固体废物主要为选矿产生尾矿砂、</w:t>
      </w:r>
      <w:r>
        <w:rPr>
          <w:rFonts w:hint="eastAsia"/>
          <w:bCs/>
          <w:sz w:val="24"/>
          <w:szCs w:val="24"/>
          <w:highlight w:val="none"/>
        </w:rPr>
        <w:t>泥饼、砂石料、</w:t>
      </w:r>
      <w:r>
        <w:rPr>
          <w:bCs/>
          <w:sz w:val="24"/>
          <w:szCs w:val="24"/>
          <w:highlight w:val="none"/>
        </w:rPr>
        <w:t>废钢球，除尘器收集的粉尘，设备保养运行产生的废</w:t>
      </w:r>
      <w:r>
        <w:rPr>
          <w:rFonts w:hint="eastAsia"/>
          <w:bCs/>
          <w:sz w:val="24"/>
          <w:szCs w:val="24"/>
          <w:highlight w:val="none"/>
        </w:rPr>
        <w:t>矿物油</w:t>
      </w:r>
      <w:r>
        <w:rPr>
          <w:bCs/>
          <w:sz w:val="24"/>
          <w:szCs w:val="24"/>
          <w:highlight w:val="none"/>
        </w:rPr>
        <w:t>、废油桶。</w:t>
      </w:r>
    </w:p>
    <w:p>
      <w:pPr>
        <w:ind w:firstLine="480"/>
        <w:jc w:val="both"/>
        <w:rPr>
          <w:bCs/>
          <w:sz w:val="24"/>
          <w:szCs w:val="24"/>
          <w:highlight w:val="none"/>
        </w:rPr>
      </w:pPr>
      <w:r>
        <w:rPr>
          <w:bCs/>
          <w:sz w:val="24"/>
          <w:szCs w:val="24"/>
          <w:highlight w:val="none"/>
        </w:rPr>
        <w:t>（</w:t>
      </w:r>
      <w:r>
        <w:rPr>
          <w:rFonts w:hint="eastAsia"/>
          <w:bCs/>
          <w:sz w:val="24"/>
          <w:szCs w:val="24"/>
          <w:highlight w:val="none"/>
        </w:rPr>
        <w:t>1</w:t>
      </w:r>
      <w:r>
        <w:rPr>
          <w:bCs/>
          <w:sz w:val="24"/>
          <w:szCs w:val="24"/>
          <w:highlight w:val="none"/>
        </w:rPr>
        <w:t>）尾矿砂</w:t>
      </w:r>
      <w:r>
        <w:rPr>
          <w:rFonts w:hint="eastAsia"/>
          <w:bCs/>
          <w:sz w:val="24"/>
          <w:szCs w:val="24"/>
          <w:highlight w:val="none"/>
        </w:rPr>
        <w:t>、泥饼</w:t>
      </w:r>
    </w:p>
    <w:p>
      <w:pPr>
        <w:ind w:firstLine="480"/>
        <w:jc w:val="both"/>
        <w:rPr>
          <w:bCs/>
          <w:sz w:val="24"/>
          <w:szCs w:val="24"/>
          <w:highlight w:val="none"/>
        </w:rPr>
      </w:pPr>
      <w:r>
        <w:rPr>
          <w:bCs/>
          <w:sz w:val="24"/>
          <w:szCs w:val="24"/>
          <w:highlight w:val="none"/>
        </w:rPr>
        <w:t>尾矿砂是选矿过程中产生的固体为粉状的废渣，其组成是铁矿石内含有的没有回收的脉石（如石英、方解石等）和硫、磷等元素。本项目尾矿砂产生量约为</w:t>
      </w:r>
      <w:r>
        <w:rPr>
          <w:rFonts w:hint="eastAsia"/>
          <w:sz w:val="24"/>
          <w:szCs w:val="24"/>
          <w:highlight w:val="none"/>
        </w:rPr>
        <w:t>207594</w:t>
      </w:r>
      <w:r>
        <w:rPr>
          <w:bCs/>
          <w:sz w:val="24"/>
          <w:szCs w:val="24"/>
          <w:highlight w:val="none"/>
        </w:rPr>
        <w:t>t/a，全部外售至当地建材厂作为原料综合利用；经浓密池沉淀和压滤机脱水后产生的</w:t>
      </w:r>
      <w:r>
        <w:rPr>
          <w:rFonts w:hint="eastAsia"/>
          <w:bCs/>
          <w:sz w:val="24"/>
          <w:szCs w:val="24"/>
          <w:highlight w:val="none"/>
        </w:rPr>
        <w:t>泥饼</w:t>
      </w:r>
      <w:r>
        <w:rPr>
          <w:bCs/>
          <w:sz w:val="24"/>
          <w:szCs w:val="24"/>
          <w:highlight w:val="none"/>
        </w:rPr>
        <w:t>，产生量约为</w:t>
      </w:r>
      <w:r>
        <w:rPr>
          <w:rFonts w:hint="eastAsia"/>
          <w:sz w:val="24"/>
          <w:szCs w:val="24"/>
          <w:highlight w:val="none"/>
        </w:rPr>
        <w:t>27500</w:t>
      </w:r>
      <w:r>
        <w:rPr>
          <w:bCs/>
          <w:sz w:val="24"/>
          <w:szCs w:val="24"/>
          <w:highlight w:val="none"/>
        </w:rPr>
        <w:t>t/a，外售至当地建材厂综合利用。</w:t>
      </w:r>
    </w:p>
    <w:p>
      <w:pPr>
        <w:ind w:firstLine="480"/>
        <w:jc w:val="both"/>
        <w:rPr>
          <w:bCs/>
          <w:sz w:val="24"/>
          <w:szCs w:val="24"/>
          <w:highlight w:val="none"/>
        </w:rPr>
      </w:pPr>
      <w:r>
        <w:rPr>
          <w:bCs/>
          <w:sz w:val="24"/>
          <w:szCs w:val="24"/>
          <w:highlight w:val="none"/>
        </w:rPr>
        <w:t>（</w:t>
      </w:r>
      <w:r>
        <w:rPr>
          <w:rFonts w:hint="eastAsia"/>
          <w:bCs/>
          <w:sz w:val="24"/>
          <w:szCs w:val="24"/>
          <w:highlight w:val="none"/>
        </w:rPr>
        <w:t>2</w:t>
      </w:r>
      <w:r>
        <w:rPr>
          <w:bCs/>
          <w:sz w:val="24"/>
          <w:szCs w:val="24"/>
          <w:highlight w:val="none"/>
        </w:rPr>
        <w:t>）</w:t>
      </w:r>
      <w:r>
        <w:rPr>
          <w:rFonts w:hint="eastAsia"/>
          <w:bCs/>
          <w:sz w:val="24"/>
          <w:szCs w:val="24"/>
          <w:highlight w:val="none"/>
        </w:rPr>
        <w:t>砂石料</w:t>
      </w:r>
    </w:p>
    <w:p>
      <w:pPr>
        <w:ind w:firstLine="480"/>
        <w:jc w:val="both"/>
        <w:rPr>
          <w:bCs/>
          <w:sz w:val="24"/>
          <w:szCs w:val="24"/>
          <w:highlight w:val="none"/>
        </w:rPr>
      </w:pPr>
      <w:r>
        <w:rPr>
          <w:rFonts w:hint="eastAsia"/>
          <w:bCs/>
          <w:sz w:val="24"/>
          <w:szCs w:val="24"/>
          <w:highlight w:val="none"/>
        </w:rPr>
        <w:t>砂石料</w:t>
      </w:r>
      <w:r>
        <w:rPr>
          <w:bCs/>
          <w:sz w:val="24"/>
          <w:szCs w:val="24"/>
          <w:highlight w:val="none"/>
        </w:rPr>
        <w:t>产生量约为</w:t>
      </w:r>
      <w:r>
        <w:rPr>
          <w:rFonts w:hint="eastAsia"/>
          <w:bCs/>
          <w:sz w:val="24"/>
          <w:szCs w:val="24"/>
          <w:highlight w:val="none"/>
        </w:rPr>
        <w:t>290093.552</w:t>
      </w:r>
      <w:r>
        <w:rPr>
          <w:bCs/>
          <w:sz w:val="24"/>
          <w:szCs w:val="24"/>
          <w:highlight w:val="none"/>
        </w:rPr>
        <w:t>t/a，外售至当地建材厂综合利用。</w:t>
      </w:r>
    </w:p>
    <w:p>
      <w:pPr>
        <w:ind w:firstLine="480"/>
        <w:jc w:val="both"/>
        <w:rPr>
          <w:bCs/>
          <w:sz w:val="24"/>
          <w:szCs w:val="24"/>
          <w:highlight w:val="none"/>
        </w:rPr>
      </w:pPr>
      <w:r>
        <w:rPr>
          <w:bCs/>
          <w:sz w:val="24"/>
          <w:szCs w:val="24"/>
          <w:highlight w:val="none"/>
        </w:rPr>
        <w:t>（</w:t>
      </w:r>
      <w:r>
        <w:rPr>
          <w:rFonts w:hint="eastAsia"/>
          <w:bCs/>
          <w:sz w:val="24"/>
          <w:szCs w:val="24"/>
          <w:highlight w:val="none"/>
        </w:rPr>
        <w:t>3</w:t>
      </w:r>
      <w:r>
        <w:rPr>
          <w:bCs/>
          <w:sz w:val="24"/>
          <w:szCs w:val="24"/>
          <w:highlight w:val="none"/>
        </w:rPr>
        <w:t>）废钢球</w:t>
      </w:r>
    </w:p>
    <w:p>
      <w:pPr>
        <w:ind w:firstLine="480"/>
        <w:jc w:val="both"/>
        <w:rPr>
          <w:bCs/>
          <w:sz w:val="24"/>
          <w:szCs w:val="24"/>
          <w:highlight w:val="none"/>
        </w:rPr>
      </w:pPr>
      <w:r>
        <w:rPr>
          <w:bCs/>
          <w:sz w:val="24"/>
          <w:szCs w:val="24"/>
          <w:highlight w:val="none"/>
        </w:rPr>
        <w:t>球磨机使用的球磨钢球，随着钢球磨损而废弃。废钢球产生量约为10.5t/a，由厂家回收处理。</w:t>
      </w:r>
    </w:p>
    <w:p>
      <w:pPr>
        <w:ind w:firstLine="480"/>
        <w:jc w:val="both"/>
        <w:rPr>
          <w:bCs/>
          <w:sz w:val="24"/>
          <w:szCs w:val="24"/>
          <w:highlight w:val="none"/>
        </w:rPr>
      </w:pPr>
      <w:r>
        <w:rPr>
          <w:bCs/>
          <w:sz w:val="24"/>
          <w:szCs w:val="24"/>
          <w:highlight w:val="none"/>
        </w:rPr>
        <w:t>（</w:t>
      </w:r>
      <w:r>
        <w:rPr>
          <w:rFonts w:hint="eastAsia"/>
          <w:bCs/>
          <w:sz w:val="24"/>
          <w:szCs w:val="24"/>
          <w:highlight w:val="none"/>
        </w:rPr>
        <w:t>4</w:t>
      </w:r>
      <w:r>
        <w:rPr>
          <w:bCs/>
          <w:sz w:val="24"/>
          <w:szCs w:val="24"/>
          <w:highlight w:val="none"/>
        </w:rPr>
        <w:t>）高效除尘器收尘</w:t>
      </w:r>
    </w:p>
    <w:p>
      <w:pPr>
        <w:ind w:firstLine="480"/>
        <w:jc w:val="both"/>
        <w:rPr>
          <w:bCs/>
          <w:sz w:val="24"/>
          <w:szCs w:val="24"/>
          <w:highlight w:val="none"/>
        </w:rPr>
      </w:pPr>
      <w:r>
        <w:rPr>
          <w:bCs/>
          <w:sz w:val="24"/>
          <w:szCs w:val="24"/>
          <w:highlight w:val="none"/>
        </w:rPr>
        <w:t>高效除尘器收集的粉尘量为</w:t>
      </w:r>
      <w:r>
        <w:rPr>
          <w:rFonts w:hint="eastAsia"/>
          <w:bCs/>
          <w:sz w:val="24"/>
          <w:szCs w:val="24"/>
          <w:highlight w:val="none"/>
        </w:rPr>
        <w:t>774.4</w:t>
      </w:r>
      <w:r>
        <w:rPr>
          <w:bCs/>
          <w:sz w:val="24"/>
          <w:szCs w:val="24"/>
          <w:highlight w:val="none"/>
        </w:rPr>
        <w:t>t/a，</w:t>
      </w:r>
      <w:r>
        <w:rPr>
          <w:rFonts w:hint="eastAsia"/>
          <w:spacing w:val="8"/>
          <w:sz w:val="23"/>
          <w:szCs w:val="23"/>
          <w:highlight w:val="none"/>
        </w:rPr>
        <w:t>灰</w:t>
      </w:r>
      <w:r>
        <w:rPr>
          <w:rFonts w:hint="eastAsia"/>
          <w:bCs/>
          <w:sz w:val="24"/>
          <w:szCs w:val="24"/>
          <w:highlight w:val="none"/>
        </w:rPr>
        <w:t>仓底部设水箱，卸灰至水箱内，由渣浆泵打入球磨机回用于生产</w:t>
      </w:r>
      <w:r>
        <w:rPr>
          <w:bCs/>
          <w:sz w:val="24"/>
          <w:szCs w:val="24"/>
          <w:highlight w:val="none"/>
        </w:rPr>
        <w:t>。</w:t>
      </w:r>
    </w:p>
    <w:p>
      <w:pPr>
        <w:ind w:firstLine="480"/>
        <w:jc w:val="both"/>
        <w:rPr>
          <w:sz w:val="24"/>
          <w:szCs w:val="24"/>
          <w:highlight w:val="none"/>
        </w:rPr>
      </w:pPr>
      <w:r>
        <w:rPr>
          <w:bCs/>
          <w:sz w:val="24"/>
          <w:szCs w:val="24"/>
          <w:highlight w:val="none"/>
        </w:rPr>
        <w:t>本项目选矿产生的尾矿砂、除尘器收尘全部综合利用，综合利用率为100%，</w:t>
      </w:r>
      <w:r>
        <w:rPr>
          <w:sz w:val="24"/>
          <w:szCs w:val="24"/>
          <w:highlight w:val="none"/>
        </w:rPr>
        <w:t>达到《清洁生产标准铁矿采选业》（HJ/T294-2006）一级水平。</w:t>
      </w:r>
    </w:p>
    <w:p>
      <w:pPr>
        <w:ind w:firstLine="480"/>
        <w:jc w:val="both"/>
        <w:rPr>
          <w:bCs/>
          <w:sz w:val="24"/>
          <w:szCs w:val="24"/>
          <w:highlight w:val="none"/>
        </w:rPr>
      </w:pPr>
      <w:r>
        <w:rPr>
          <w:bCs/>
          <w:sz w:val="24"/>
          <w:szCs w:val="24"/>
          <w:highlight w:val="none"/>
        </w:rPr>
        <w:t>（</w:t>
      </w:r>
      <w:r>
        <w:rPr>
          <w:rFonts w:hint="eastAsia"/>
          <w:bCs/>
          <w:sz w:val="24"/>
          <w:szCs w:val="24"/>
          <w:highlight w:val="none"/>
        </w:rPr>
        <w:t>5</w:t>
      </w:r>
      <w:r>
        <w:rPr>
          <w:bCs/>
          <w:sz w:val="24"/>
          <w:szCs w:val="24"/>
          <w:highlight w:val="none"/>
        </w:rPr>
        <w:t>）废</w:t>
      </w:r>
      <w:r>
        <w:rPr>
          <w:rFonts w:hint="eastAsia"/>
          <w:bCs/>
          <w:sz w:val="24"/>
          <w:szCs w:val="24"/>
          <w:highlight w:val="none"/>
        </w:rPr>
        <w:t>矿物</w:t>
      </w:r>
      <w:r>
        <w:rPr>
          <w:bCs/>
          <w:sz w:val="24"/>
          <w:szCs w:val="24"/>
          <w:highlight w:val="none"/>
        </w:rPr>
        <w:t>油、废油桶</w:t>
      </w:r>
    </w:p>
    <w:p>
      <w:pPr>
        <w:ind w:firstLine="480"/>
        <w:jc w:val="both"/>
        <w:rPr>
          <w:bCs/>
          <w:sz w:val="24"/>
          <w:szCs w:val="24"/>
          <w:highlight w:val="none"/>
        </w:rPr>
      </w:pPr>
      <w:r>
        <w:rPr>
          <w:bCs/>
          <w:sz w:val="24"/>
          <w:szCs w:val="24"/>
          <w:highlight w:val="none"/>
        </w:rPr>
        <w:t>本项目选矿过程中使用设备的运行维护保养过程中会产生废</w:t>
      </w:r>
      <w:r>
        <w:rPr>
          <w:rFonts w:hint="eastAsia"/>
          <w:bCs/>
          <w:sz w:val="24"/>
          <w:szCs w:val="24"/>
          <w:highlight w:val="none"/>
        </w:rPr>
        <w:t>矿物油</w:t>
      </w:r>
      <w:r>
        <w:rPr>
          <w:bCs/>
          <w:sz w:val="24"/>
          <w:szCs w:val="24"/>
          <w:highlight w:val="none"/>
        </w:rPr>
        <w:t>和废油桶，产生量约为0.3t/a，</w:t>
      </w:r>
      <w:r>
        <w:rPr>
          <w:bCs/>
          <w:sz w:val="24"/>
          <w:szCs w:val="24"/>
          <w:highlight w:val="none"/>
          <w:lang w:val="zh-CN"/>
        </w:rPr>
        <w:t>根据《国家危险废物名录》，废</w:t>
      </w:r>
      <w:r>
        <w:rPr>
          <w:rFonts w:hint="eastAsia"/>
          <w:bCs/>
          <w:sz w:val="24"/>
          <w:szCs w:val="24"/>
          <w:highlight w:val="none"/>
        </w:rPr>
        <w:t>矿物</w:t>
      </w:r>
      <w:r>
        <w:rPr>
          <w:bCs/>
          <w:sz w:val="24"/>
          <w:szCs w:val="24"/>
          <w:highlight w:val="none"/>
          <w:lang w:val="zh-CN"/>
        </w:rPr>
        <w:t>油、废油桶为危险废物，将废</w:t>
      </w:r>
      <w:r>
        <w:rPr>
          <w:rFonts w:hint="eastAsia"/>
          <w:bCs/>
          <w:sz w:val="24"/>
          <w:szCs w:val="24"/>
          <w:highlight w:val="none"/>
          <w:lang w:val="zh-CN"/>
        </w:rPr>
        <w:t>矿物油</w:t>
      </w:r>
      <w:r>
        <w:rPr>
          <w:bCs/>
          <w:sz w:val="24"/>
          <w:szCs w:val="24"/>
          <w:highlight w:val="none"/>
          <w:lang w:val="zh-CN"/>
        </w:rPr>
        <w:t>用耐腐蚀容器统一收集后与废油桶分区存于厂区危废间内，定期交由有资质的危险废物处置单位处理</w:t>
      </w:r>
      <w:r>
        <w:rPr>
          <w:bCs/>
          <w:sz w:val="24"/>
          <w:szCs w:val="24"/>
          <w:highlight w:val="none"/>
        </w:rPr>
        <w:t>。</w:t>
      </w:r>
    </w:p>
    <w:p>
      <w:pPr>
        <w:pStyle w:val="3"/>
        <w:rPr>
          <w:rFonts w:eastAsia="宋体"/>
          <w:b/>
          <w:highlight w:val="none"/>
        </w:rPr>
      </w:pPr>
      <w:r>
        <w:rPr>
          <w:rFonts w:eastAsia="宋体"/>
          <w:b/>
          <w:highlight w:val="none"/>
        </w:rPr>
        <w:t>3.</w:t>
      </w:r>
      <w:r>
        <w:rPr>
          <w:rFonts w:hint="eastAsia" w:eastAsia="宋体"/>
          <w:b/>
          <w:highlight w:val="none"/>
        </w:rPr>
        <w:t>4</w:t>
      </w:r>
      <w:r>
        <w:rPr>
          <w:rFonts w:eastAsia="宋体"/>
          <w:b/>
          <w:highlight w:val="none"/>
        </w:rPr>
        <w:t>.2.5物料运输过程中对周边环境的影响</w:t>
      </w:r>
    </w:p>
    <w:p>
      <w:pPr>
        <w:ind w:firstLine="480"/>
        <w:jc w:val="both"/>
        <w:rPr>
          <w:sz w:val="24"/>
          <w:szCs w:val="24"/>
          <w:highlight w:val="none"/>
        </w:rPr>
      </w:pPr>
      <w:r>
        <w:rPr>
          <w:sz w:val="24"/>
          <w:szCs w:val="24"/>
          <w:highlight w:val="none"/>
        </w:rPr>
        <w:t>本项目矿石、铁精粉等运输过程中会对道路两侧的大气、声环境造成一定影响。主要为物料扬尘以及车辆噪声对周围环境的影响。</w:t>
      </w:r>
    </w:p>
    <w:p>
      <w:pPr>
        <w:ind w:firstLine="480"/>
        <w:jc w:val="both"/>
        <w:rPr>
          <w:sz w:val="24"/>
          <w:szCs w:val="24"/>
          <w:highlight w:val="none"/>
        </w:rPr>
      </w:pPr>
      <w:r>
        <w:rPr>
          <w:rFonts w:hint="eastAsia"/>
          <w:sz w:val="24"/>
          <w:szCs w:val="24"/>
          <w:highlight w:val="none"/>
        </w:rPr>
        <w:t>本项目矿石、铁精粉等运输过程中会对道路两侧的大气、声环境造成一定影响。主要为物料扬尘以及车辆噪声对周围环境的影响。</w:t>
      </w:r>
    </w:p>
    <w:p>
      <w:pPr>
        <w:ind w:firstLine="480"/>
        <w:jc w:val="both"/>
        <w:rPr>
          <w:sz w:val="24"/>
          <w:szCs w:val="24"/>
          <w:highlight w:val="none"/>
        </w:rPr>
      </w:pPr>
      <w:r>
        <w:rPr>
          <w:rFonts w:hint="eastAsia"/>
          <w:sz w:val="24"/>
          <w:szCs w:val="24"/>
          <w:highlight w:val="none"/>
        </w:rPr>
        <w:t>本项目铁矿石运输方式为由卡车运输至本项目厂区，连接采矿区与本项目厂区的交通道路主要为主干道路；本项目成品铁精粉外运方式为由卡车从本项目厂区运往客户厂区，连接本项目厂区和客户厂区的交通道路主要为主干道路，每辆汽车按载重50t计，受本项目原料运输影响，主干道路平均新增大型卡车59次/天。项目厂区内及厂区外运输道路采用水泥混凝土硬化，运输车辆要求全部采用苫布覆盖，厂区内并设置红外控制全自动洗车系统，减少车身粉尘携带量，同时对厂内运输道路采取洒水抑尘、定期清扫等措施，减少运输过程产生的无组织颗粒物。要求运输车辆在通过村庄时减速行驶，禁止鸣笛，对道路两侧村庄噪声影响较小。</w:t>
      </w:r>
    </w:p>
    <w:p>
      <w:pPr>
        <w:pStyle w:val="22"/>
        <w:ind w:firstLine="480"/>
        <w:rPr>
          <w:sz w:val="24"/>
          <w:szCs w:val="24"/>
          <w:highlight w:val="none"/>
        </w:rPr>
        <w:sectPr>
          <w:footerReference r:id="rId15" w:type="default"/>
          <w:pgSz w:w="11906" w:h="16838"/>
          <w:pgMar w:top="1440" w:right="1800" w:bottom="1134" w:left="1800" w:header="851" w:footer="992" w:gutter="0"/>
          <w:cols w:space="720" w:num="1"/>
          <w:docGrid w:linePitch="312" w:charSpace="0"/>
        </w:sectPr>
      </w:pPr>
    </w:p>
    <w:p>
      <w:pPr>
        <w:pStyle w:val="22"/>
        <w:ind w:firstLine="560"/>
        <w:rPr>
          <w:sz w:val="24"/>
          <w:szCs w:val="24"/>
          <w:highlight w:val="none"/>
        </w:rPr>
      </w:pPr>
      <w:r>
        <w:rPr>
          <w:highlight w:val="none"/>
        </w:rPr>
        <mc:AlternateContent>
          <mc:Choice Requires="wps">
            <w:drawing>
              <wp:anchor distT="0" distB="0" distL="114300" distR="114300" simplePos="0" relativeHeight="251672576" behindDoc="0" locked="0" layoutInCell="1" allowOverlap="1">
                <wp:simplePos x="0" y="0"/>
                <wp:positionH relativeFrom="column">
                  <wp:posOffset>8902700</wp:posOffset>
                </wp:positionH>
                <wp:positionV relativeFrom="paragraph">
                  <wp:posOffset>438785</wp:posOffset>
                </wp:positionV>
                <wp:extent cx="409575" cy="1428115"/>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409575" cy="1428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b/>
                                <w:bCs/>
                                <w:color w:val="FFFF00"/>
                                <w:sz w:val="21"/>
                                <w:szCs w:val="21"/>
                              </w:rPr>
                            </w:pPr>
                            <w:r>
                              <w:rPr>
                                <w:rFonts w:hint="eastAsia"/>
                                <w:b/>
                                <w:bCs/>
                                <w:color w:val="FFFF00"/>
                                <w:sz w:val="21"/>
                                <w:szCs w:val="21"/>
                              </w:rPr>
                              <w:t>大于家沟村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1pt;margin-top:34.55pt;height:112.45pt;width:32.25pt;z-index:251672576;mso-width-relative:page;mso-height-relative:page;" filled="f" stroked="f" coordsize="21600,21600" o:gfxdata="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yLvde3AAAAAwBAAAPAAAAAAAAAAEAIAAAACIA&#10;AABkcnMvZG93bnJldi54bWxQSwECFAAUAAAACACHTuJAM1WUXD4CAABqBAAADgAAAAAAAAABACAA&#10;AAArAQAAZHJzL2Uyb0RvYy54bWxQSwUGAAAAAAYABgBZAQAA2wUAAAAA&#10;">
                <v:fill on="f" focussize="0,0"/>
                <v:stroke on="f" weight="0.5pt"/>
                <v:imagedata o:title=""/>
                <o:lock v:ext="edit" aspectratio="f"/>
                <v:textbox>
                  <w:txbxContent>
                    <w:p>
                      <w:pPr>
                        <w:ind w:firstLine="0" w:firstLineChars="0"/>
                        <w:rPr>
                          <w:b/>
                          <w:bCs/>
                          <w:color w:val="FFFF00"/>
                          <w:sz w:val="21"/>
                          <w:szCs w:val="21"/>
                        </w:rPr>
                      </w:pPr>
                      <w:r>
                        <w:rPr>
                          <w:rFonts w:hint="eastAsia"/>
                          <w:b/>
                          <w:bCs/>
                          <w:color w:val="FFFF00"/>
                          <w:sz w:val="21"/>
                          <w:szCs w:val="21"/>
                        </w:rPr>
                        <w:t>大于家沟村</w:t>
                      </w:r>
                    </w:p>
                  </w:txbxContent>
                </v:textbox>
              </v:shape>
            </w:pict>
          </mc:Fallback>
        </mc:AlternateContent>
      </w:r>
    </w:p>
    <w:p>
      <w:pPr>
        <w:pStyle w:val="3"/>
        <w:rPr>
          <w:rFonts w:eastAsia="宋体"/>
          <w:b/>
          <w:highlight w:val="none"/>
        </w:rPr>
      </w:pPr>
      <w:r>
        <w:rPr>
          <w:rFonts w:hint="eastAsia" w:eastAsia="宋体"/>
          <w:b/>
          <w:highlight w:val="none"/>
        </w:rPr>
        <w:t>3.4.2.6</w:t>
      </w:r>
      <w:r>
        <w:rPr>
          <w:rFonts w:eastAsia="宋体"/>
          <w:b/>
          <w:highlight w:val="none"/>
        </w:rPr>
        <w:t>非正常工况分析</w:t>
      </w:r>
    </w:p>
    <w:p>
      <w:pPr>
        <w:ind w:firstLine="480"/>
        <w:jc w:val="both"/>
        <w:rPr>
          <w:sz w:val="24"/>
          <w:szCs w:val="24"/>
          <w:highlight w:val="none"/>
        </w:rPr>
      </w:pPr>
      <w:r>
        <w:rPr>
          <w:sz w:val="24"/>
          <w:szCs w:val="24"/>
          <w:highlight w:val="none"/>
        </w:rPr>
        <w:t>（1）脉冲布袋除尘器事故</w:t>
      </w:r>
    </w:p>
    <w:p>
      <w:pPr>
        <w:ind w:firstLine="480"/>
        <w:jc w:val="both"/>
        <w:rPr>
          <w:sz w:val="24"/>
          <w:szCs w:val="24"/>
          <w:highlight w:val="none"/>
        </w:rPr>
      </w:pPr>
      <w:r>
        <w:rPr>
          <w:sz w:val="24"/>
          <w:szCs w:val="24"/>
          <w:highlight w:val="none"/>
        </w:rPr>
        <w:t>当停电或除尘器布袋损坏故障时，本项目破碎机、筛分机工序存在颗粒物非正常排放的可能性，</w:t>
      </w:r>
      <w:r>
        <w:rPr>
          <w:rFonts w:hint="eastAsia"/>
          <w:sz w:val="24"/>
          <w:szCs w:val="24"/>
          <w:highlight w:val="none"/>
        </w:rPr>
        <w:t>破碎筛分工序</w:t>
      </w:r>
      <w:r>
        <w:rPr>
          <w:sz w:val="24"/>
          <w:szCs w:val="24"/>
          <w:highlight w:val="none"/>
        </w:rPr>
        <w:t>粉尘排放量最高可达</w:t>
      </w:r>
      <w:r>
        <w:rPr>
          <w:rFonts w:hint="eastAsia"/>
          <w:sz w:val="24"/>
          <w:szCs w:val="24"/>
          <w:highlight w:val="none"/>
        </w:rPr>
        <w:t>178.12</w:t>
      </w:r>
      <w:r>
        <w:rPr>
          <w:sz w:val="24"/>
          <w:szCs w:val="24"/>
          <w:highlight w:val="none"/>
        </w:rPr>
        <w:t>kg/h，每年按最大两次，对周边大气环境将产生一定程度不良影响。为避免上述非正常排放的发生，本项目采用双路供电，并加强日常对除尘器设备及布袋的维护，加强日常检查和管理，及时发现设备故障等事故排放情况，采取措施可将环境影响降到最低。</w:t>
      </w:r>
    </w:p>
    <w:p>
      <w:pPr>
        <w:ind w:firstLine="480"/>
        <w:jc w:val="both"/>
        <w:rPr>
          <w:sz w:val="24"/>
          <w:szCs w:val="24"/>
          <w:highlight w:val="none"/>
        </w:rPr>
      </w:pPr>
      <w:r>
        <w:rPr>
          <w:sz w:val="24"/>
          <w:szCs w:val="24"/>
          <w:highlight w:val="none"/>
        </w:rPr>
        <w:t>（2）球磨机、磁选机、高频筛等设备故障</w:t>
      </w:r>
    </w:p>
    <w:p>
      <w:pPr>
        <w:ind w:firstLine="480"/>
        <w:jc w:val="both"/>
        <w:rPr>
          <w:sz w:val="24"/>
          <w:szCs w:val="24"/>
          <w:highlight w:val="none"/>
        </w:rPr>
      </w:pPr>
      <w:r>
        <w:rPr>
          <w:sz w:val="24"/>
          <w:szCs w:val="24"/>
          <w:highlight w:val="none"/>
        </w:rPr>
        <w:t>当球磨机、磁选机、高频筛等设备出现故障时，存在废矿浆非正常排放的可能性，其</w:t>
      </w:r>
      <w:r>
        <w:rPr>
          <w:rFonts w:hint="eastAsia"/>
          <w:sz w:val="24"/>
          <w:szCs w:val="24"/>
          <w:highlight w:val="none"/>
        </w:rPr>
        <w:t>单台设备</w:t>
      </w:r>
      <w:r>
        <w:rPr>
          <w:sz w:val="24"/>
          <w:szCs w:val="24"/>
          <w:highlight w:val="none"/>
        </w:rPr>
        <w:t>排放量最高可达15.58m</w:t>
      </w:r>
      <w:r>
        <w:rPr>
          <w:sz w:val="24"/>
          <w:szCs w:val="24"/>
          <w:highlight w:val="none"/>
          <w:vertAlign w:val="superscript"/>
        </w:rPr>
        <w:t>3</w:t>
      </w:r>
      <w:r>
        <w:rPr>
          <w:sz w:val="24"/>
          <w:szCs w:val="24"/>
          <w:highlight w:val="none"/>
        </w:rPr>
        <w:t>/次，若不设事故池收集将对区域地下水环境产生一定程度不良影响。为避免上述非正常排放的发生，本项目需加强日常对生产设备球磨机、磁选机、高频筛等设备的维护，避免非正常事故的发生，并在</w:t>
      </w:r>
      <w:r>
        <w:rPr>
          <w:rFonts w:hint="eastAsia"/>
          <w:sz w:val="24"/>
          <w:szCs w:val="24"/>
          <w:highlight w:val="none"/>
        </w:rPr>
        <w:t>精选车间、破碎粗选车间各</w:t>
      </w:r>
      <w:r>
        <w:rPr>
          <w:sz w:val="24"/>
          <w:szCs w:val="24"/>
          <w:highlight w:val="none"/>
        </w:rPr>
        <w:t>设置</w:t>
      </w:r>
      <w:r>
        <w:rPr>
          <w:rFonts w:hint="eastAsia"/>
          <w:sz w:val="24"/>
          <w:szCs w:val="24"/>
          <w:highlight w:val="none"/>
        </w:rPr>
        <w:t>1座</w:t>
      </w:r>
      <w:r>
        <w:rPr>
          <w:sz w:val="24"/>
          <w:szCs w:val="24"/>
          <w:highlight w:val="none"/>
        </w:rPr>
        <w:t>事故池（事故池容积为</w:t>
      </w:r>
      <w:r>
        <w:rPr>
          <w:rFonts w:hint="eastAsia"/>
          <w:sz w:val="24"/>
          <w:szCs w:val="24"/>
          <w:highlight w:val="none"/>
        </w:rPr>
        <w:t>25</w:t>
      </w:r>
      <w:r>
        <w:rPr>
          <w:sz w:val="24"/>
          <w:szCs w:val="24"/>
          <w:highlight w:val="none"/>
        </w:rPr>
        <w:t>m</w:t>
      </w:r>
      <w:r>
        <w:rPr>
          <w:sz w:val="24"/>
          <w:szCs w:val="24"/>
          <w:highlight w:val="none"/>
          <w:vertAlign w:val="superscript"/>
        </w:rPr>
        <w:t>3</w:t>
      </w:r>
      <w:r>
        <w:rPr>
          <w:sz w:val="24"/>
          <w:szCs w:val="24"/>
          <w:highlight w:val="none"/>
        </w:rPr>
        <w:t>），将事故排放废水收集后排入浓密机沉淀处理后回用，将事故对环境的影响降到最低。</w:t>
      </w:r>
    </w:p>
    <w:p>
      <w:pPr>
        <w:pStyle w:val="6"/>
        <w:numPr>
          <w:ilvl w:val="2"/>
          <w:numId w:val="1"/>
        </w:numPr>
        <w:rPr>
          <w:szCs w:val="28"/>
          <w:highlight w:val="none"/>
        </w:rPr>
      </w:pPr>
      <w:bookmarkStart w:id="222" w:name="_Toc521591770"/>
      <w:bookmarkStart w:id="223" w:name="_Toc28127"/>
      <w:bookmarkStart w:id="224" w:name="_Hlk18932937"/>
      <w:r>
        <w:rPr>
          <w:szCs w:val="28"/>
          <w:highlight w:val="none"/>
        </w:rPr>
        <w:t>项目主要污染物产排放情况汇总</w:t>
      </w:r>
      <w:bookmarkEnd w:id="222"/>
      <w:bookmarkEnd w:id="223"/>
    </w:p>
    <w:p>
      <w:pPr>
        <w:ind w:firstLine="480"/>
        <w:jc w:val="both"/>
        <w:rPr>
          <w:sz w:val="24"/>
          <w:highlight w:val="none"/>
        </w:rPr>
      </w:pPr>
      <w:r>
        <w:rPr>
          <w:sz w:val="24"/>
          <w:highlight w:val="none"/>
        </w:rPr>
        <w:t>本项目主要污染物产排情况汇总见表3.</w:t>
      </w:r>
      <w:r>
        <w:rPr>
          <w:rFonts w:hint="eastAsia"/>
          <w:sz w:val="24"/>
          <w:highlight w:val="none"/>
        </w:rPr>
        <w:t>4</w:t>
      </w:r>
      <w:r>
        <w:rPr>
          <w:sz w:val="24"/>
          <w:highlight w:val="none"/>
        </w:rPr>
        <w:t>-</w:t>
      </w:r>
      <w:r>
        <w:rPr>
          <w:rFonts w:hint="eastAsia"/>
          <w:sz w:val="24"/>
          <w:highlight w:val="none"/>
        </w:rPr>
        <w:t>5</w:t>
      </w:r>
      <w:r>
        <w:rPr>
          <w:sz w:val="24"/>
          <w:highlight w:val="none"/>
        </w:rPr>
        <w:t>。</w:t>
      </w:r>
    </w:p>
    <w:p>
      <w:pPr>
        <w:ind w:firstLine="560"/>
        <w:rPr>
          <w:highlight w:val="none"/>
        </w:rPr>
        <w:sectPr>
          <w:pgSz w:w="11905" w:h="16838"/>
          <w:pgMar w:top="1440" w:right="1803" w:bottom="1134" w:left="1803" w:header="850" w:footer="992" w:gutter="0"/>
          <w:cols w:space="0" w:num="1"/>
          <w:docGrid w:linePitch="312" w:charSpace="0"/>
        </w:sectPr>
      </w:pP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表3.</w:t>
      </w:r>
      <w:r>
        <w:rPr>
          <w:rFonts w:hint="eastAsia" w:eastAsia="黑体"/>
          <w:kern w:val="2"/>
          <w:sz w:val="21"/>
          <w:szCs w:val="21"/>
          <w:highlight w:val="none"/>
        </w:rPr>
        <w:t>4</w:t>
      </w:r>
      <w:r>
        <w:rPr>
          <w:rFonts w:eastAsia="黑体"/>
          <w:kern w:val="2"/>
          <w:sz w:val="21"/>
          <w:szCs w:val="21"/>
          <w:highlight w:val="none"/>
        </w:rPr>
        <w:t>-</w:t>
      </w:r>
      <w:r>
        <w:rPr>
          <w:rFonts w:hint="eastAsia" w:eastAsia="黑体"/>
          <w:kern w:val="2"/>
          <w:sz w:val="21"/>
          <w:szCs w:val="21"/>
          <w:highlight w:val="none"/>
        </w:rPr>
        <w:t xml:space="preserve">5   </w:t>
      </w:r>
      <w:r>
        <w:rPr>
          <w:rFonts w:eastAsia="黑体"/>
          <w:kern w:val="2"/>
          <w:sz w:val="21"/>
          <w:szCs w:val="21"/>
          <w:highlight w:val="none"/>
        </w:rPr>
        <w:t>主要污染物产排情况汇总</w:t>
      </w:r>
    </w:p>
    <w:bookmarkEnd w:id="224"/>
    <w:tbl>
      <w:tblPr>
        <w:tblStyle w:val="56"/>
        <w:tblW w:w="13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5"/>
        <w:gridCol w:w="1560"/>
        <w:gridCol w:w="992"/>
        <w:gridCol w:w="1017"/>
        <w:gridCol w:w="1364"/>
        <w:gridCol w:w="5273"/>
        <w:gridCol w:w="993"/>
        <w:gridCol w:w="1112"/>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tcBorders>
              <w:tl2br w:val="nil"/>
              <w:tr2bl w:val="nil"/>
            </w:tcBorders>
            <w:vAlign w:val="center"/>
          </w:tcPr>
          <w:p>
            <w:pPr>
              <w:spacing w:line="240" w:lineRule="auto"/>
              <w:ind w:firstLine="0" w:firstLineChars="0"/>
              <w:jc w:val="center"/>
              <w:rPr>
                <w:b/>
                <w:sz w:val="20"/>
                <w:highlight w:val="none"/>
              </w:rPr>
            </w:pPr>
            <w:r>
              <w:rPr>
                <w:b/>
                <w:sz w:val="20"/>
                <w:highlight w:val="none"/>
              </w:rPr>
              <w:t>类别</w:t>
            </w:r>
          </w:p>
        </w:tc>
        <w:tc>
          <w:tcPr>
            <w:tcW w:w="1560" w:type="dxa"/>
            <w:tcBorders>
              <w:tl2br w:val="nil"/>
              <w:tr2bl w:val="nil"/>
            </w:tcBorders>
            <w:vAlign w:val="center"/>
          </w:tcPr>
          <w:p>
            <w:pPr>
              <w:spacing w:line="240" w:lineRule="auto"/>
              <w:ind w:firstLine="0" w:firstLineChars="0"/>
              <w:jc w:val="center"/>
              <w:rPr>
                <w:b/>
                <w:sz w:val="20"/>
                <w:highlight w:val="none"/>
              </w:rPr>
            </w:pPr>
            <w:r>
              <w:rPr>
                <w:b/>
                <w:sz w:val="20"/>
                <w:highlight w:val="none"/>
              </w:rPr>
              <w:t>污染源</w:t>
            </w:r>
          </w:p>
        </w:tc>
        <w:tc>
          <w:tcPr>
            <w:tcW w:w="992" w:type="dxa"/>
            <w:tcBorders>
              <w:tl2br w:val="nil"/>
              <w:tr2bl w:val="nil"/>
            </w:tcBorders>
            <w:vAlign w:val="center"/>
          </w:tcPr>
          <w:p>
            <w:pPr>
              <w:spacing w:line="240" w:lineRule="auto"/>
              <w:ind w:firstLine="0" w:firstLineChars="0"/>
              <w:jc w:val="center"/>
              <w:rPr>
                <w:b/>
                <w:sz w:val="20"/>
                <w:highlight w:val="none"/>
              </w:rPr>
            </w:pPr>
            <w:r>
              <w:rPr>
                <w:b/>
                <w:sz w:val="20"/>
                <w:highlight w:val="none"/>
              </w:rPr>
              <w:t>污染物</w:t>
            </w:r>
          </w:p>
        </w:tc>
        <w:tc>
          <w:tcPr>
            <w:tcW w:w="1017" w:type="dxa"/>
            <w:tcBorders>
              <w:tl2br w:val="nil"/>
              <w:tr2bl w:val="nil"/>
            </w:tcBorders>
            <w:vAlign w:val="center"/>
          </w:tcPr>
          <w:p>
            <w:pPr>
              <w:spacing w:line="240" w:lineRule="auto"/>
              <w:ind w:firstLine="0" w:firstLineChars="0"/>
              <w:jc w:val="center"/>
              <w:rPr>
                <w:b/>
                <w:sz w:val="20"/>
                <w:highlight w:val="none"/>
              </w:rPr>
            </w:pPr>
            <w:r>
              <w:rPr>
                <w:b/>
                <w:sz w:val="20"/>
                <w:highlight w:val="none"/>
              </w:rPr>
              <w:t>产生浓度</w:t>
            </w:r>
          </w:p>
        </w:tc>
        <w:tc>
          <w:tcPr>
            <w:tcW w:w="1364" w:type="dxa"/>
            <w:tcBorders>
              <w:tl2br w:val="nil"/>
              <w:tr2bl w:val="nil"/>
            </w:tcBorders>
            <w:vAlign w:val="center"/>
          </w:tcPr>
          <w:p>
            <w:pPr>
              <w:spacing w:line="240" w:lineRule="auto"/>
              <w:ind w:firstLine="0" w:firstLineChars="0"/>
              <w:jc w:val="center"/>
              <w:rPr>
                <w:b/>
                <w:sz w:val="20"/>
                <w:highlight w:val="none"/>
              </w:rPr>
            </w:pPr>
            <w:r>
              <w:rPr>
                <w:b/>
                <w:sz w:val="20"/>
                <w:highlight w:val="none"/>
              </w:rPr>
              <w:t>产生量</w:t>
            </w:r>
          </w:p>
        </w:tc>
        <w:tc>
          <w:tcPr>
            <w:tcW w:w="5273" w:type="dxa"/>
            <w:tcBorders>
              <w:tl2br w:val="nil"/>
              <w:tr2bl w:val="nil"/>
            </w:tcBorders>
            <w:vAlign w:val="center"/>
          </w:tcPr>
          <w:p>
            <w:pPr>
              <w:spacing w:line="240" w:lineRule="auto"/>
              <w:ind w:firstLine="0" w:firstLineChars="0"/>
              <w:jc w:val="center"/>
              <w:rPr>
                <w:b/>
                <w:sz w:val="20"/>
                <w:highlight w:val="none"/>
              </w:rPr>
            </w:pPr>
            <w:r>
              <w:rPr>
                <w:b/>
                <w:sz w:val="20"/>
                <w:highlight w:val="none"/>
              </w:rPr>
              <w:t>治理措施</w:t>
            </w:r>
          </w:p>
        </w:tc>
        <w:tc>
          <w:tcPr>
            <w:tcW w:w="993" w:type="dxa"/>
            <w:tcBorders>
              <w:tl2br w:val="nil"/>
              <w:tr2bl w:val="nil"/>
            </w:tcBorders>
            <w:vAlign w:val="center"/>
          </w:tcPr>
          <w:p>
            <w:pPr>
              <w:spacing w:line="240" w:lineRule="auto"/>
              <w:ind w:firstLine="0" w:firstLineChars="0"/>
              <w:jc w:val="center"/>
              <w:rPr>
                <w:b/>
                <w:sz w:val="20"/>
                <w:highlight w:val="none"/>
              </w:rPr>
            </w:pPr>
            <w:r>
              <w:rPr>
                <w:b/>
                <w:sz w:val="20"/>
                <w:highlight w:val="none"/>
              </w:rPr>
              <w:t>排放浓度</w:t>
            </w:r>
          </w:p>
        </w:tc>
        <w:tc>
          <w:tcPr>
            <w:tcW w:w="1112" w:type="dxa"/>
            <w:tcBorders>
              <w:tl2br w:val="nil"/>
              <w:tr2bl w:val="nil"/>
            </w:tcBorders>
            <w:vAlign w:val="center"/>
          </w:tcPr>
          <w:p>
            <w:pPr>
              <w:spacing w:line="240" w:lineRule="auto"/>
              <w:ind w:firstLine="0" w:firstLineChars="0"/>
              <w:jc w:val="center"/>
              <w:rPr>
                <w:b/>
                <w:sz w:val="20"/>
                <w:highlight w:val="none"/>
              </w:rPr>
            </w:pPr>
            <w:r>
              <w:rPr>
                <w:b/>
                <w:sz w:val="20"/>
                <w:highlight w:val="none"/>
              </w:rPr>
              <w:t>排放速率</w:t>
            </w:r>
          </w:p>
        </w:tc>
        <w:tc>
          <w:tcPr>
            <w:tcW w:w="956" w:type="dxa"/>
            <w:tcBorders>
              <w:tl2br w:val="nil"/>
              <w:tr2bl w:val="nil"/>
            </w:tcBorders>
            <w:vAlign w:val="center"/>
          </w:tcPr>
          <w:p>
            <w:pPr>
              <w:spacing w:line="240" w:lineRule="auto"/>
              <w:ind w:firstLine="0" w:firstLineChars="0"/>
              <w:jc w:val="center"/>
              <w:rPr>
                <w:b/>
                <w:sz w:val="20"/>
                <w:highlight w:val="none"/>
              </w:rPr>
            </w:pPr>
            <w:r>
              <w:rPr>
                <w:b/>
                <w:sz w:val="20"/>
                <w:highlight w:val="none"/>
              </w:rPr>
              <w:t>年排放量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restart"/>
            <w:tcBorders>
              <w:tl2br w:val="nil"/>
              <w:tr2bl w:val="nil"/>
            </w:tcBorders>
            <w:vAlign w:val="center"/>
          </w:tcPr>
          <w:p>
            <w:pPr>
              <w:spacing w:line="240" w:lineRule="auto"/>
              <w:ind w:firstLine="0" w:firstLineChars="0"/>
              <w:jc w:val="center"/>
              <w:rPr>
                <w:sz w:val="20"/>
                <w:highlight w:val="none"/>
              </w:rPr>
            </w:pPr>
            <w:r>
              <w:rPr>
                <w:sz w:val="20"/>
                <w:highlight w:val="none"/>
              </w:rPr>
              <w:t>废气</w:t>
            </w:r>
          </w:p>
        </w:tc>
        <w:tc>
          <w:tcPr>
            <w:tcW w:w="1560" w:type="dxa"/>
            <w:vMerge w:val="restart"/>
            <w:tcBorders>
              <w:tl2br w:val="nil"/>
              <w:tr2bl w:val="nil"/>
            </w:tcBorders>
            <w:vAlign w:val="center"/>
          </w:tcPr>
          <w:p>
            <w:pPr>
              <w:spacing w:line="240" w:lineRule="auto"/>
              <w:ind w:firstLine="0" w:firstLineChars="0"/>
              <w:jc w:val="center"/>
              <w:rPr>
                <w:sz w:val="20"/>
                <w:highlight w:val="none"/>
              </w:rPr>
            </w:pPr>
            <w:r>
              <w:rPr>
                <w:sz w:val="20"/>
                <w:highlight w:val="none"/>
              </w:rPr>
              <w:t>破碎车间</w:t>
            </w:r>
          </w:p>
        </w:tc>
        <w:tc>
          <w:tcPr>
            <w:tcW w:w="992" w:type="dxa"/>
            <w:vMerge w:val="restart"/>
            <w:tcBorders>
              <w:tl2br w:val="nil"/>
              <w:tr2bl w:val="nil"/>
            </w:tcBorders>
            <w:vAlign w:val="center"/>
          </w:tcPr>
          <w:p>
            <w:pPr>
              <w:spacing w:line="240" w:lineRule="auto"/>
              <w:ind w:firstLine="0" w:firstLineChars="0"/>
              <w:jc w:val="center"/>
              <w:rPr>
                <w:sz w:val="20"/>
                <w:highlight w:val="none"/>
              </w:rPr>
            </w:pPr>
            <w:r>
              <w:rPr>
                <w:sz w:val="20"/>
                <w:highlight w:val="none"/>
              </w:rPr>
              <w:t>颗粒物</w:t>
            </w:r>
          </w:p>
        </w:tc>
        <w:tc>
          <w:tcPr>
            <w:tcW w:w="1017"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2662</w:t>
            </w:r>
            <w:r>
              <w:rPr>
                <w:sz w:val="20"/>
                <w:highlight w:val="none"/>
              </w:rPr>
              <w:t>mg/m</w:t>
            </w:r>
            <w:r>
              <w:rPr>
                <w:sz w:val="20"/>
                <w:highlight w:val="none"/>
                <w:vertAlign w:val="superscript"/>
              </w:rPr>
              <w:t>3</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775.2</w:t>
            </w:r>
            <w:r>
              <w:rPr>
                <w:sz w:val="20"/>
                <w:highlight w:val="none"/>
              </w:rPr>
              <w:t>t/a</w:t>
            </w:r>
          </w:p>
        </w:tc>
        <w:tc>
          <w:tcPr>
            <w:tcW w:w="5273" w:type="dxa"/>
            <w:tcBorders>
              <w:tl2br w:val="nil"/>
              <w:tr2bl w:val="nil"/>
            </w:tcBorders>
            <w:vAlign w:val="center"/>
          </w:tcPr>
          <w:p>
            <w:pPr>
              <w:spacing w:line="240" w:lineRule="auto"/>
              <w:ind w:firstLine="0" w:firstLineChars="0"/>
              <w:jc w:val="center"/>
              <w:rPr>
                <w:sz w:val="20"/>
                <w:highlight w:val="none"/>
              </w:rPr>
            </w:pPr>
            <w:r>
              <w:rPr>
                <w:sz w:val="20"/>
                <w:highlight w:val="none"/>
              </w:rPr>
              <w:t>集气罩收集后，经脉冲除尘器处理后，由1</w:t>
            </w:r>
            <w:r>
              <w:rPr>
                <w:rFonts w:hint="eastAsia"/>
                <w:sz w:val="20"/>
                <w:highlight w:val="none"/>
              </w:rPr>
              <w:t>8</w:t>
            </w:r>
            <w:r>
              <w:rPr>
                <w:sz w:val="20"/>
                <w:highlight w:val="none"/>
              </w:rPr>
              <w:t>m高排气筒排放。</w:t>
            </w:r>
          </w:p>
        </w:tc>
        <w:tc>
          <w:tcPr>
            <w:tcW w:w="993"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lang w:val="en-US" w:eastAsia="zh-CN"/>
              </w:rPr>
              <w:t>2.66</w:t>
            </w:r>
            <w:r>
              <w:rPr>
                <w:sz w:val="20"/>
                <w:highlight w:val="none"/>
              </w:rPr>
              <w:t>mg/m</w:t>
            </w:r>
            <w:r>
              <w:rPr>
                <w:sz w:val="20"/>
                <w:highlight w:val="none"/>
                <w:vertAlign w:val="superscript"/>
              </w:rPr>
              <w:t>3</w:t>
            </w:r>
          </w:p>
        </w:tc>
        <w:tc>
          <w:tcPr>
            <w:tcW w:w="1112" w:type="dxa"/>
            <w:tcBorders>
              <w:tl2br w:val="nil"/>
              <w:tr2bl w:val="nil"/>
            </w:tcBorders>
            <w:vAlign w:val="center"/>
          </w:tcPr>
          <w:p>
            <w:pPr>
              <w:spacing w:line="240" w:lineRule="auto"/>
              <w:ind w:firstLine="0" w:firstLineChars="0"/>
              <w:jc w:val="center"/>
              <w:rPr>
                <w:sz w:val="20"/>
                <w:highlight w:val="none"/>
              </w:rPr>
            </w:pPr>
            <w:r>
              <w:rPr>
                <w:sz w:val="20"/>
                <w:highlight w:val="none"/>
              </w:rPr>
              <w:t>0.</w:t>
            </w:r>
            <w:r>
              <w:rPr>
                <w:rFonts w:hint="eastAsia"/>
                <w:sz w:val="20"/>
                <w:highlight w:val="none"/>
              </w:rPr>
              <w:t>17</w:t>
            </w:r>
            <w:r>
              <w:rPr>
                <w:sz w:val="20"/>
                <w:highlight w:val="none"/>
              </w:rPr>
              <w:t>kg/h</w:t>
            </w:r>
          </w:p>
        </w:tc>
        <w:tc>
          <w:tcPr>
            <w:tcW w:w="956"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0.77</w:t>
            </w:r>
            <w:r>
              <w:rPr>
                <w:sz w:val="20"/>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vMerge w:val="continue"/>
            <w:tcBorders>
              <w:tl2br w:val="nil"/>
              <w:tr2bl w:val="nil"/>
            </w:tcBorders>
            <w:vAlign w:val="center"/>
          </w:tcPr>
          <w:p>
            <w:pPr>
              <w:spacing w:line="240" w:lineRule="auto"/>
              <w:ind w:firstLine="0" w:firstLineChars="0"/>
              <w:jc w:val="center"/>
              <w:rPr>
                <w:sz w:val="20"/>
                <w:highlight w:val="none"/>
              </w:rPr>
            </w:pPr>
          </w:p>
        </w:tc>
        <w:tc>
          <w:tcPr>
            <w:tcW w:w="992" w:type="dxa"/>
            <w:vMerge w:val="continue"/>
            <w:tcBorders>
              <w:tl2br w:val="nil"/>
              <w:tr2bl w:val="nil"/>
            </w:tcBorders>
            <w:vAlign w:val="center"/>
          </w:tcPr>
          <w:p>
            <w:pPr>
              <w:spacing w:line="240" w:lineRule="auto"/>
              <w:ind w:firstLine="0" w:firstLineChars="0"/>
              <w:jc w:val="center"/>
              <w:rPr>
                <w:sz w:val="20"/>
                <w:highlight w:val="none"/>
              </w:rPr>
            </w:pPr>
          </w:p>
        </w:tc>
        <w:tc>
          <w:tcPr>
            <w:tcW w:w="1017"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40.8</w:t>
            </w:r>
            <w:r>
              <w:rPr>
                <w:sz w:val="20"/>
                <w:highlight w:val="none"/>
              </w:rPr>
              <w:t>/a</w:t>
            </w:r>
          </w:p>
        </w:tc>
        <w:tc>
          <w:tcPr>
            <w:tcW w:w="5273" w:type="dxa"/>
            <w:tcBorders>
              <w:tl2br w:val="nil"/>
              <w:tr2bl w:val="nil"/>
            </w:tcBorders>
            <w:vAlign w:val="center"/>
          </w:tcPr>
          <w:p>
            <w:pPr>
              <w:spacing w:line="240" w:lineRule="auto"/>
              <w:ind w:firstLine="0" w:firstLineChars="0"/>
              <w:jc w:val="center"/>
              <w:rPr>
                <w:sz w:val="20"/>
                <w:highlight w:val="none"/>
              </w:rPr>
            </w:pPr>
            <w:r>
              <w:rPr>
                <w:sz w:val="20"/>
                <w:highlight w:val="none"/>
              </w:rPr>
              <w:t>通过车间进出口无组织排放</w:t>
            </w:r>
          </w:p>
        </w:tc>
        <w:tc>
          <w:tcPr>
            <w:tcW w:w="993"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112"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0.09</w:t>
            </w:r>
          </w:p>
        </w:tc>
        <w:tc>
          <w:tcPr>
            <w:tcW w:w="956" w:type="dxa"/>
            <w:tcBorders>
              <w:tl2br w:val="nil"/>
              <w:tr2bl w:val="nil"/>
            </w:tcBorders>
            <w:vAlign w:val="center"/>
          </w:tcPr>
          <w:p>
            <w:pPr>
              <w:spacing w:line="240" w:lineRule="auto"/>
              <w:ind w:firstLine="0" w:firstLineChars="0"/>
              <w:jc w:val="center"/>
              <w:rPr>
                <w:sz w:val="20"/>
                <w:highlight w:val="none"/>
              </w:rPr>
            </w:pPr>
            <w:r>
              <w:rPr>
                <w:sz w:val="20"/>
                <w:highlight w:val="none"/>
              </w:rPr>
              <w:t>0.</w:t>
            </w:r>
            <w:r>
              <w:rPr>
                <w:rFonts w:hint="eastAsia"/>
                <w:sz w:val="20"/>
                <w:highlight w:val="none"/>
              </w:rPr>
              <w:t>408</w:t>
            </w:r>
            <w:r>
              <w:rPr>
                <w:sz w:val="20"/>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物料装卸堆存</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颗粒物</w:t>
            </w:r>
          </w:p>
        </w:tc>
        <w:tc>
          <w:tcPr>
            <w:tcW w:w="1017"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121.62</w:t>
            </w:r>
            <w:r>
              <w:rPr>
                <w:sz w:val="20"/>
                <w:highlight w:val="none"/>
              </w:rPr>
              <w:t>t/a</w:t>
            </w:r>
          </w:p>
        </w:tc>
        <w:tc>
          <w:tcPr>
            <w:tcW w:w="5273" w:type="dxa"/>
            <w:tcBorders>
              <w:tl2br w:val="nil"/>
              <w:tr2bl w:val="nil"/>
            </w:tcBorders>
            <w:vAlign w:val="center"/>
          </w:tcPr>
          <w:p>
            <w:pPr>
              <w:spacing w:line="240" w:lineRule="auto"/>
              <w:ind w:firstLine="0" w:firstLineChars="0"/>
              <w:jc w:val="center"/>
              <w:rPr>
                <w:sz w:val="20"/>
                <w:highlight w:val="none"/>
              </w:rPr>
            </w:pPr>
            <w:r>
              <w:rPr>
                <w:sz w:val="20"/>
                <w:highlight w:val="none"/>
              </w:rPr>
              <w:t>封闭厂房、喷淋系统</w:t>
            </w:r>
          </w:p>
        </w:tc>
        <w:tc>
          <w:tcPr>
            <w:tcW w:w="993"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112" w:type="dxa"/>
            <w:tcBorders>
              <w:tl2br w:val="nil"/>
              <w:tr2bl w:val="nil"/>
            </w:tcBorders>
            <w:vAlign w:val="center"/>
          </w:tcPr>
          <w:p>
            <w:pPr>
              <w:spacing w:line="240" w:lineRule="auto"/>
              <w:ind w:firstLine="0" w:firstLineChars="0"/>
              <w:jc w:val="center"/>
              <w:rPr>
                <w:sz w:val="20"/>
                <w:highlight w:val="none"/>
              </w:rPr>
            </w:pPr>
            <w:r>
              <w:rPr>
                <w:rFonts w:hint="eastAsia"/>
                <w:sz w:val="21"/>
                <w:szCs w:val="21"/>
                <w:highlight w:val="none"/>
              </w:rPr>
              <w:t>0.06</w:t>
            </w:r>
          </w:p>
        </w:tc>
        <w:tc>
          <w:tcPr>
            <w:tcW w:w="956"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0.27</w:t>
            </w:r>
            <w:r>
              <w:rPr>
                <w:sz w:val="20"/>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restart"/>
            <w:tcBorders>
              <w:tl2br w:val="nil"/>
              <w:tr2bl w:val="nil"/>
            </w:tcBorders>
            <w:vAlign w:val="center"/>
          </w:tcPr>
          <w:p>
            <w:pPr>
              <w:spacing w:line="240" w:lineRule="auto"/>
              <w:ind w:firstLine="0" w:firstLineChars="0"/>
              <w:jc w:val="center"/>
              <w:rPr>
                <w:bCs/>
                <w:sz w:val="20"/>
                <w:highlight w:val="none"/>
              </w:rPr>
            </w:pPr>
            <w:r>
              <w:rPr>
                <w:bCs/>
                <w:sz w:val="20"/>
                <w:highlight w:val="none"/>
              </w:rPr>
              <w:t>废水</w:t>
            </w:r>
          </w:p>
        </w:tc>
        <w:tc>
          <w:tcPr>
            <w:tcW w:w="1560" w:type="dxa"/>
            <w:tcBorders>
              <w:tl2br w:val="nil"/>
              <w:tr2bl w:val="nil"/>
            </w:tcBorders>
            <w:vAlign w:val="center"/>
          </w:tcPr>
          <w:p>
            <w:pPr>
              <w:widowControl/>
              <w:spacing w:line="240" w:lineRule="auto"/>
              <w:ind w:firstLine="0" w:firstLineChars="0"/>
              <w:jc w:val="center"/>
              <w:textAlignment w:val="auto"/>
              <w:rPr>
                <w:sz w:val="20"/>
                <w:highlight w:val="none"/>
              </w:rPr>
            </w:pPr>
            <w:r>
              <w:rPr>
                <w:sz w:val="20"/>
                <w:highlight w:val="none"/>
              </w:rPr>
              <w:t>选矿废水</w:t>
            </w:r>
          </w:p>
        </w:tc>
        <w:tc>
          <w:tcPr>
            <w:tcW w:w="992" w:type="dxa"/>
            <w:tcBorders>
              <w:tl2br w:val="nil"/>
              <w:tr2bl w:val="nil"/>
            </w:tcBorders>
            <w:vAlign w:val="center"/>
          </w:tcPr>
          <w:p>
            <w:pPr>
              <w:spacing w:line="240" w:lineRule="auto"/>
              <w:ind w:firstLine="0" w:firstLineChars="0"/>
              <w:jc w:val="center"/>
              <w:rPr>
                <w:bCs/>
                <w:sz w:val="20"/>
                <w:highlight w:val="none"/>
              </w:rPr>
            </w:pPr>
            <w:r>
              <w:rPr>
                <w:sz w:val="20"/>
                <w:highlight w:val="none"/>
              </w:rPr>
              <w:t>/</w:t>
            </w:r>
          </w:p>
        </w:tc>
        <w:tc>
          <w:tcPr>
            <w:tcW w:w="1017" w:type="dxa"/>
            <w:tcBorders>
              <w:tl2br w:val="nil"/>
              <w:tr2bl w:val="nil"/>
            </w:tcBorders>
            <w:vAlign w:val="center"/>
          </w:tcPr>
          <w:p>
            <w:pPr>
              <w:widowControl/>
              <w:spacing w:line="240" w:lineRule="auto"/>
              <w:ind w:firstLine="0" w:firstLineChars="0"/>
              <w:jc w:val="center"/>
              <w:textAlignment w:val="auto"/>
              <w:rPr>
                <w:sz w:val="20"/>
                <w:highlight w:val="none"/>
              </w:rPr>
            </w:pPr>
            <w:r>
              <w:rPr>
                <w:sz w:val="20"/>
                <w:highlight w:val="none"/>
              </w:rPr>
              <w:t>/</w:t>
            </w:r>
          </w:p>
        </w:tc>
        <w:tc>
          <w:tcPr>
            <w:tcW w:w="1364" w:type="dxa"/>
            <w:tcBorders>
              <w:tl2br w:val="nil"/>
              <w:tr2bl w:val="nil"/>
            </w:tcBorders>
            <w:vAlign w:val="center"/>
          </w:tcPr>
          <w:p>
            <w:pPr>
              <w:spacing w:line="240" w:lineRule="auto"/>
              <w:ind w:firstLine="0" w:firstLineChars="0"/>
              <w:rPr>
                <w:sz w:val="20"/>
                <w:highlight w:val="none"/>
              </w:rPr>
            </w:pPr>
            <w:r>
              <w:rPr>
                <w:rFonts w:hint="eastAsia"/>
                <w:sz w:val="20"/>
                <w:highlight w:val="none"/>
              </w:rPr>
              <w:t>222.6</w:t>
            </w:r>
            <w:r>
              <w:rPr>
                <w:sz w:val="20"/>
                <w:highlight w:val="none"/>
              </w:rPr>
              <w:t>万t/a</w:t>
            </w:r>
          </w:p>
        </w:tc>
        <w:tc>
          <w:tcPr>
            <w:tcW w:w="5273"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废球磨、磁选</w:t>
            </w:r>
            <w:r>
              <w:rPr>
                <w:sz w:val="20"/>
                <w:highlight w:val="none"/>
              </w:rPr>
              <w:t>废水经脱水、压滤等</w:t>
            </w:r>
            <w:r>
              <w:rPr>
                <w:rFonts w:hint="eastAsia"/>
                <w:sz w:val="20"/>
                <w:highlight w:val="none"/>
              </w:rPr>
              <w:t>处理后</w:t>
            </w:r>
            <w:r>
              <w:rPr>
                <w:sz w:val="20"/>
                <w:highlight w:val="none"/>
              </w:rPr>
              <w:t>进入清水池，回用于选矿。</w:t>
            </w:r>
          </w:p>
        </w:tc>
        <w:tc>
          <w:tcPr>
            <w:tcW w:w="3061" w:type="dxa"/>
            <w:gridSpan w:val="3"/>
            <w:tcBorders>
              <w:tl2br w:val="nil"/>
              <w:tr2bl w:val="nil"/>
            </w:tcBorders>
            <w:vAlign w:val="center"/>
          </w:tcPr>
          <w:p>
            <w:pPr>
              <w:spacing w:line="240" w:lineRule="auto"/>
              <w:ind w:firstLine="0" w:firstLineChars="0"/>
              <w:jc w:val="center"/>
              <w:rPr>
                <w:sz w:val="20"/>
                <w:highlight w:val="none"/>
              </w:rPr>
            </w:pPr>
            <w:r>
              <w:rPr>
                <w:sz w:val="20"/>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tcBorders>
              <w:tl2br w:val="nil"/>
              <w:tr2bl w:val="nil"/>
            </w:tcBorders>
            <w:vAlign w:val="center"/>
          </w:tcPr>
          <w:p>
            <w:pPr>
              <w:widowControl/>
              <w:spacing w:line="240" w:lineRule="auto"/>
              <w:ind w:firstLine="0" w:firstLineChars="0"/>
              <w:jc w:val="center"/>
              <w:textAlignment w:val="auto"/>
              <w:rPr>
                <w:sz w:val="20"/>
                <w:highlight w:val="none"/>
              </w:rPr>
            </w:pPr>
            <w:r>
              <w:rPr>
                <w:sz w:val="20"/>
                <w:highlight w:val="none"/>
              </w:rPr>
              <w:t>车间地面清洗</w:t>
            </w:r>
          </w:p>
          <w:p>
            <w:pPr>
              <w:widowControl/>
              <w:spacing w:line="240" w:lineRule="auto"/>
              <w:ind w:firstLine="0" w:firstLineChars="0"/>
              <w:jc w:val="center"/>
              <w:textAlignment w:val="auto"/>
              <w:rPr>
                <w:sz w:val="20"/>
                <w:highlight w:val="none"/>
              </w:rPr>
            </w:pPr>
            <w:r>
              <w:rPr>
                <w:sz w:val="20"/>
                <w:highlight w:val="none"/>
              </w:rPr>
              <w:t>废水</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017" w:type="dxa"/>
            <w:tcBorders>
              <w:tl2br w:val="nil"/>
              <w:tr2bl w:val="nil"/>
            </w:tcBorders>
            <w:vAlign w:val="center"/>
          </w:tcPr>
          <w:p>
            <w:pPr>
              <w:widowControl/>
              <w:spacing w:line="240" w:lineRule="auto"/>
              <w:ind w:firstLine="0" w:firstLineChars="0"/>
              <w:jc w:val="center"/>
              <w:textAlignment w:val="auto"/>
              <w:rPr>
                <w:sz w:val="20"/>
                <w:highlight w:val="none"/>
              </w:rPr>
            </w:pPr>
            <w:r>
              <w:rPr>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1120</w:t>
            </w:r>
            <w:r>
              <w:rPr>
                <w:sz w:val="20"/>
                <w:highlight w:val="none"/>
              </w:rPr>
              <w:t xml:space="preserve"> t/a</w:t>
            </w:r>
          </w:p>
        </w:tc>
        <w:tc>
          <w:tcPr>
            <w:tcW w:w="5273" w:type="dxa"/>
            <w:tcBorders>
              <w:tl2br w:val="nil"/>
              <w:tr2bl w:val="nil"/>
            </w:tcBorders>
            <w:vAlign w:val="center"/>
          </w:tcPr>
          <w:p>
            <w:pPr>
              <w:spacing w:line="240" w:lineRule="auto"/>
              <w:ind w:firstLine="0" w:firstLineChars="0"/>
              <w:jc w:val="center"/>
              <w:rPr>
                <w:sz w:val="20"/>
                <w:highlight w:val="none"/>
              </w:rPr>
            </w:pPr>
            <w:r>
              <w:rPr>
                <w:sz w:val="20"/>
                <w:highlight w:val="none"/>
              </w:rPr>
              <w:t>排入浓密池，经沉淀后回用于生产不外排</w:t>
            </w:r>
          </w:p>
        </w:tc>
        <w:tc>
          <w:tcPr>
            <w:tcW w:w="3061" w:type="dxa"/>
            <w:gridSpan w:val="3"/>
            <w:tcBorders>
              <w:tl2br w:val="nil"/>
              <w:tr2bl w:val="nil"/>
            </w:tcBorders>
            <w:vAlign w:val="center"/>
          </w:tcPr>
          <w:p>
            <w:pPr>
              <w:spacing w:line="240" w:lineRule="auto"/>
              <w:ind w:firstLine="0" w:firstLineChars="0"/>
              <w:jc w:val="center"/>
              <w:rPr>
                <w:sz w:val="20"/>
                <w:highlight w:val="none"/>
              </w:rPr>
            </w:pPr>
            <w:r>
              <w:rPr>
                <w:sz w:val="20"/>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tcBorders>
              <w:tl2br w:val="nil"/>
              <w:tr2bl w:val="nil"/>
            </w:tcBorders>
            <w:vAlign w:val="center"/>
          </w:tcPr>
          <w:p>
            <w:pPr>
              <w:widowControl/>
              <w:spacing w:line="240" w:lineRule="auto"/>
              <w:ind w:firstLine="0" w:firstLineChars="0"/>
              <w:jc w:val="center"/>
              <w:textAlignment w:val="auto"/>
              <w:rPr>
                <w:sz w:val="20"/>
                <w:highlight w:val="none"/>
              </w:rPr>
            </w:pPr>
            <w:r>
              <w:rPr>
                <w:sz w:val="20"/>
                <w:highlight w:val="none"/>
              </w:rPr>
              <w:t>洗车废水</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017" w:type="dxa"/>
            <w:tcBorders>
              <w:tl2br w:val="nil"/>
              <w:tr2bl w:val="nil"/>
            </w:tcBorders>
            <w:vAlign w:val="center"/>
          </w:tcPr>
          <w:p>
            <w:pPr>
              <w:widowControl/>
              <w:spacing w:line="240" w:lineRule="auto"/>
              <w:ind w:firstLine="0" w:firstLineChars="0"/>
              <w:jc w:val="center"/>
              <w:textAlignment w:val="auto"/>
              <w:rPr>
                <w:sz w:val="20"/>
                <w:highlight w:val="none"/>
              </w:rPr>
            </w:pPr>
            <w:r>
              <w:rPr>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1400</w:t>
            </w:r>
            <w:r>
              <w:rPr>
                <w:sz w:val="20"/>
                <w:highlight w:val="none"/>
              </w:rPr>
              <w:t xml:space="preserve"> t/a</w:t>
            </w:r>
          </w:p>
        </w:tc>
        <w:tc>
          <w:tcPr>
            <w:tcW w:w="5273" w:type="dxa"/>
            <w:tcBorders>
              <w:tl2br w:val="nil"/>
              <w:tr2bl w:val="nil"/>
            </w:tcBorders>
            <w:vAlign w:val="center"/>
          </w:tcPr>
          <w:p>
            <w:pPr>
              <w:spacing w:line="240" w:lineRule="auto"/>
              <w:ind w:firstLine="0" w:firstLineChars="0"/>
              <w:jc w:val="center"/>
              <w:rPr>
                <w:sz w:val="20"/>
                <w:highlight w:val="none"/>
              </w:rPr>
            </w:pPr>
            <w:r>
              <w:rPr>
                <w:sz w:val="20"/>
                <w:highlight w:val="none"/>
              </w:rPr>
              <w:t>收集沉淀后回用于洗车</w:t>
            </w:r>
          </w:p>
        </w:tc>
        <w:tc>
          <w:tcPr>
            <w:tcW w:w="3061" w:type="dxa"/>
            <w:gridSpan w:val="3"/>
            <w:tcBorders>
              <w:tl2br w:val="nil"/>
              <w:tr2bl w:val="nil"/>
            </w:tcBorders>
            <w:vAlign w:val="center"/>
          </w:tcPr>
          <w:p>
            <w:pPr>
              <w:spacing w:line="240" w:lineRule="auto"/>
              <w:ind w:firstLine="0" w:firstLineChars="0"/>
              <w:jc w:val="center"/>
              <w:rPr>
                <w:sz w:val="20"/>
                <w:highlight w:val="none"/>
              </w:rPr>
            </w:pPr>
            <w:r>
              <w:rPr>
                <w:sz w:val="20"/>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restart"/>
            <w:tcBorders>
              <w:tl2br w:val="nil"/>
              <w:tr2bl w:val="nil"/>
            </w:tcBorders>
            <w:vAlign w:val="center"/>
          </w:tcPr>
          <w:p>
            <w:pPr>
              <w:spacing w:line="240" w:lineRule="auto"/>
              <w:ind w:firstLine="0" w:firstLineChars="0"/>
              <w:jc w:val="center"/>
              <w:rPr>
                <w:sz w:val="20"/>
                <w:highlight w:val="none"/>
              </w:rPr>
            </w:pPr>
            <w:r>
              <w:rPr>
                <w:sz w:val="20"/>
                <w:highlight w:val="none"/>
              </w:rPr>
              <w:t>固废</w:t>
            </w:r>
          </w:p>
        </w:tc>
        <w:tc>
          <w:tcPr>
            <w:tcW w:w="1560" w:type="dxa"/>
            <w:tcBorders>
              <w:tl2br w:val="nil"/>
              <w:tr2bl w:val="nil"/>
            </w:tcBorders>
            <w:vAlign w:val="center"/>
          </w:tcPr>
          <w:p>
            <w:pPr>
              <w:spacing w:line="240" w:lineRule="auto"/>
              <w:ind w:firstLine="0" w:firstLineChars="0"/>
              <w:jc w:val="center"/>
              <w:rPr>
                <w:sz w:val="20"/>
                <w:highlight w:val="none"/>
              </w:rPr>
            </w:pPr>
            <w:r>
              <w:rPr>
                <w:sz w:val="20"/>
                <w:highlight w:val="none"/>
              </w:rPr>
              <w:t>尾矿砂</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一般固废</w:t>
            </w:r>
          </w:p>
        </w:tc>
        <w:tc>
          <w:tcPr>
            <w:tcW w:w="1017"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207594 t/a</w:t>
            </w:r>
          </w:p>
        </w:tc>
        <w:tc>
          <w:tcPr>
            <w:tcW w:w="5273" w:type="dxa"/>
            <w:tcBorders>
              <w:tl2br w:val="nil"/>
              <w:tr2bl w:val="nil"/>
            </w:tcBorders>
            <w:vAlign w:val="center"/>
          </w:tcPr>
          <w:p>
            <w:pPr>
              <w:spacing w:line="240" w:lineRule="auto"/>
              <w:ind w:firstLine="0" w:firstLineChars="0"/>
              <w:jc w:val="center"/>
              <w:rPr>
                <w:sz w:val="20"/>
                <w:highlight w:val="none"/>
              </w:rPr>
            </w:pPr>
            <w:r>
              <w:rPr>
                <w:bCs/>
                <w:sz w:val="20"/>
                <w:highlight w:val="none"/>
              </w:rPr>
              <w:t>外售当地建材厂作为原料综合利用</w:t>
            </w:r>
          </w:p>
        </w:tc>
        <w:tc>
          <w:tcPr>
            <w:tcW w:w="993"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112"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956" w:type="dxa"/>
            <w:tcBorders>
              <w:tl2br w:val="nil"/>
              <w:tr2bl w:val="nil"/>
            </w:tcBorders>
            <w:vAlign w:val="center"/>
          </w:tcPr>
          <w:p>
            <w:pPr>
              <w:spacing w:line="240" w:lineRule="auto"/>
              <w:ind w:firstLine="0" w:firstLineChars="0"/>
              <w:jc w:val="center"/>
              <w:rPr>
                <w:sz w:val="20"/>
                <w:highlight w:val="none"/>
              </w:rPr>
            </w:pPr>
            <w:r>
              <w:rPr>
                <w:sz w:val="20"/>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砂石料</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一般固废</w:t>
            </w:r>
          </w:p>
        </w:tc>
        <w:tc>
          <w:tcPr>
            <w:tcW w:w="1017"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290093.552 t/a</w:t>
            </w:r>
          </w:p>
        </w:tc>
        <w:tc>
          <w:tcPr>
            <w:tcW w:w="5273" w:type="dxa"/>
            <w:tcBorders>
              <w:tl2br w:val="nil"/>
              <w:tr2bl w:val="nil"/>
            </w:tcBorders>
            <w:vAlign w:val="center"/>
          </w:tcPr>
          <w:p>
            <w:pPr>
              <w:spacing w:line="240" w:lineRule="auto"/>
              <w:ind w:firstLine="0" w:firstLineChars="0"/>
              <w:jc w:val="center"/>
              <w:rPr>
                <w:bCs/>
                <w:sz w:val="20"/>
                <w:highlight w:val="none"/>
              </w:rPr>
            </w:pPr>
            <w:r>
              <w:rPr>
                <w:bCs/>
                <w:sz w:val="20"/>
                <w:highlight w:val="none"/>
              </w:rPr>
              <w:t>外售当地建材厂作为原料综合利用</w:t>
            </w:r>
          </w:p>
        </w:tc>
        <w:tc>
          <w:tcPr>
            <w:tcW w:w="993"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112"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956" w:type="dxa"/>
            <w:tcBorders>
              <w:tl2br w:val="nil"/>
              <w:tr2bl w:val="nil"/>
            </w:tcBorders>
            <w:vAlign w:val="center"/>
          </w:tcPr>
          <w:p>
            <w:pPr>
              <w:spacing w:line="240" w:lineRule="auto"/>
              <w:ind w:firstLine="0" w:firstLineChars="0"/>
              <w:jc w:val="center"/>
              <w:rPr>
                <w:sz w:val="20"/>
                <w:highlight w:val="none"/>
              </w:rPr>
            </w:pPr>
            <w:r>
              <w:rPr>
                <w:sz w:val="20"/>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泥饼</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一般固废</w:t>
            </w:r>
          </w:p>
        </w:tc>
        <w:tc>
          <w:tcPr>
            <w:tcW w:w="1017"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42500 t/a</w:t>
            </w:r>
          </w:p>
        </w:tc>
        <w:tc>
          <w:tcPr>
            <w:tcW w:w="5273" w:type="dxa"/>
            <w:tcBorders>
              <w:tl2br w:val="nil"/>
              <w:tr2bl w:val="nil"/>
            </w:tcBorders>
            <w:vAlign w:val="center"/>
          </w:tcPr>
          <w:p>
            <w:pPr>
              <w:spacing w:line="240" w:lineRule="auto"/>
              <w:ind w:firstLine="0" w:firstLineChars="0"/>
              <w:jc w:val="center"/>
              <w:rPr>
                <w:bCs/>
                <w:sz w:val="20"/>
                <w:highlight w:val="none"/>
              </w:rPr>
            </w:pPr>
            <w:r>
              <w:rPr>
                <w:bCs/>
                <w:sz w:val="20"/>
                <w:highlight w:val="none"/>
              </w:rPr>
              <w:t>外售当地建材厂作为原料综合利用</w:t>
            </w:r>
          </w:p>
        </w:tc>
        <w:tc>
          <w:tcPr>
            <w:tcW w:w="993" w:type="dxa"/>
            <w:tcBorders>
              <w:tl2br w:val="nil"/>
              <w:tr2bl w:val="nil"/>
            </w:tcBorders>
            <w:vAlign w:val="center"/>
          </w:tcPr>
          <w:p>
            <w:pPr>
              <w:spacing w:line="240" w:lineRule="auto"/>
              <w:ind w:firstLine="0" w:firstLineChars="0"/>
              <w:jc w:val="center"/>
              <w:rPr>
                <w:sz w:val="20"/>
                <w:highlight w:val="none"/>
              </w:rPr>
            </w:pPr>
          </w:p>
        </w:tc>
        <w:tc>
          <w:tcPr>
            <w:tcW w:w="1112" w:type="dxa"/>
            <w:tcBorders>
              <w:tl2br w:val="nil"/>
              <w:tr2bl w:val="nil"/>
            </w:tcBorders>
            <w:vAlign w:val="center"/>
          </w:tcPr>
          <w:p>
            <w:pPr>
              <w:spacing w:line="240" w:lineRule="auto"/>
              <w:ind w:firstLine="0" w:firstLineChars="0"/>
              <w:jc w:val="center"/>
              <w:rPr>
                <w:sz w:val="20"/>
                <w:highlight w:val="none"/>
              </w:rPr>
            </w:pPr>
          </w:p>
        </w:tc>
        <w:tc>
          <w:tcPr>
            <w:tcW w:w="956" w:type="dxa"/>
            <w:tcBorders>
              <w:tl2br w:val="nil"/>
              <w:tr2bl w:val="nil"/>
            </w:tcBorders>
            <w:vAlign w:val="center"/>
          </w:tcPr>
          <w:p>
            <w:pPr>
              <w:spacing w:line="240" w:lineRule="auto"/>
              <w:ind w:firstLine="0" w:firstLineChars="0"/>
              <w:jc w:val="center"/>
              <w:rPr>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tcBorders>
              <w:tl2br w:val="nil"/>
              <w:tr2bl w:val="nil"/>
            </w:tcBorders>
            <w:vAlign w:val="center"/>
          </w:tcPr>
          <w:p>
            <w:pPr>
              <w:spacing w:line="240" w:lineRule="auto"/>
              <w:ind w:firstLine="0" w:firstLineChars="0"/>
              <w:jc w:val="center"/>
              <w:rPr>
                <w:sz w:val="20"/>
                <w:highlight w:val="none"/>
              </w:rPr>
            </w:pPr>
            <w:r>
              <w:rPr>
                <w:sz w:val="20"/>
                <w:highlight w:val="none"/>
              </w:rPr>
              <w:t>废钢球</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一般固废</w:t>
            </w:r>
          </w:p>
        </w:tc>
        <w:tc>
          <w:tcPr>
            <w:tcW w:w="1017"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21</w:t>
            </w:r>
            <w:r>
              <w:rPr>
                <w:sz w:val="20"/>
                <w:highlight w:val="none"/>
              </w:rPr>
              <w:t>t/a</w:t>
            </w:r>
          </w:p>
        </w:tc>
        <w:tc>
          <w:tcPr>
            <w:tcW w:w="5273" w:type="dxa"/>
            <w:tcBorders>
              <w:tl2br w:val="nil"/>
              <w:tr2bl w:val="nil"/>
            </w:tcBorders>
            <w:vAlign w:val="center"/>
          </w:tcPr>
          <w:p>
            <w:pPr>
              <w:spacing w:line="240" w:lineRule="auto"/>
              <w:ind w:firstLine="0" w:firstLineChars="0"/>
              <w:jc w:val="center"/>
              <w:rPr>
                <w:bCs/>
                <w:sz w:val="20"/>
                <w:highlight w:val="none"/>
              </w:rPr>
            </w:pPr>
            <w:r>
              <w:rPr>
                <w:bCs/>
                <w:sz w:val="20"/>
                <w:highlight w:val="none"/>
              </w:rPr>
              <w:t>供应厂家回收利用</w:t>
            </w:r>
          </w:p>
        </w:tc>
        <w:tc>
          <w:tcPr>
            <w:tcW w:w="993"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112"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956" w:type="dxa"/>
            <w:tcBorders>
              <w:tl2br w:val="nil"/>
              <w:tr2bl w:val="nil"/>
            </w:tcBorders>
            <w:vAlign w:val="center"/>
          </w:tcPr>
          <w:p>
            <w:pPr>
              <w:spacing w:line="240" w:lineRule="auto"/>
              <w:ind w:firstLine="0" w:firstLineChars="0"/>
              <w:jc w:val="center"/>
              <w:rPr>
                <w:sz w:val="20"/>
                <w:highlight w:val="none"/>
              </w:rPr>
            </w:pPr>
            <w:r>
              <w:rPr>
                <w:sz w:val="20"/>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tcBorders>
              <w:tl2br w:val="nil"/>
              <w:tr2bl w:val="nil"/>
            </w:tcBorders>
            <w:vAlign w:val="center"/>
          </w:tcPr>
          <w:p>
            <w:pPr>
              <w:spacing w:line="240" w:lineRule="auto"/>
              <w:ind w:firstLine="0" w:firstLineChars="0"/>
              <w:jc w:val="center"/>
              <w:rPr>
                <w:sz w:val="20"/>
                <w:highlight w:val="none"/>
              </w:rPr>
            </w:pPr>
            <w:r>
              <w:rPr>
                <w:sz w:val="20"/>
                <w:highlight w:val="none"/>
              </w:rPr>
              <w:t>除尘器收尘</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一般固废</w:t>
            </w:r>
          </w:p>
        </w:tc>
        <w:tc>
          <w:tcPr>
            <w:tcW w:w="1017"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rFonts w:hint="eastAsia"/>
                <w:sz w:val="20"/>
                <w:highlight w:val="none"/>
              </w:rPr>
              <w:t>774.4</w:t>
            </w:r>
            <w:r>
              <w:rPr>
                <w:sz w:val="20"/>
                <w:highlight w:val="none"/>
              </w:rPr>
              <w:t xml:space="preserve"> t/a</w:t>
            </w:r>
          </w:p>
        </w:tc>
        <w:tc>
          <w:tcPr>
            <w:tcW w:w="5273" w:type="dxa"/>
            <w:tcBorders>
              <w:tl2br w:val="nil"/>
              <w:tr2bl w:val="nil"/>
            </w:tcBorders>
            <w:vAlign w:val="center"/>
          </w:tcPr>
          <w:p>
            <w:pPr>
              <w:spacing w:line="240" w:lineRule="auto"/>
              <w:ind w:firstLine="0" w:firstLineChars="0"/>
              <w:jc w:val="center"/>
              <w:rPr>
                <w:bCs/>
                <w:sz w:val="20"/>
                <w:highlight w:val="none"/>
              </w:rPr>
            </w:pPr>
            <w:r>
              <w:rPr>
                <w:rFonts w:hint="eastAsia"/>
                <w:bCs/>
                <w:sz w:val="20"/>
                <w:highlight w:val="none"/>
              </w:rPr>
              <w:t>灰仓底部设水箱，卸灰至水箱内，由渣浆泵打入球磨机回用于生产</w:t>
            </w:r>
          </w:p>
        </w:tc>
        <w:tc>
          <w:tcPr>
            <w:tcW w:w="993"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112"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956" w:type="dxa"/>
            <w:tcBorders>
              <w:tl2br w:val="nil"/>
              <w:tr2bl w:val="nil"/>
            </w:tcBorders>
            <w:vAlign w:val="center"/>
          </w:tcPr>
          <w:p>
            <w:pPr>
              <w:spacing w:line="240" w:lineRule="auto"/>
              <w:ind w:firstLine="0" w:firstLineChars="0"/>
              <w:jc w:val="center"/>
              <w:rPr>
                <w:sz w:val="20"/>
                <w:highlight w:val="none"/>
              </w:rPr>
            </w:pPr>
            <w:r>
              <w:rPr>
                <w:sz w:val="20"/>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vMerge w:val="continue"/>
            <w:tcBorders>
              <w:tl2br w:val="nil"/>
              <w:tr2bl w:val="nil"/>
            </w:tcBorders>
            <w:vAlign w:val="center"/>
          </w:tcPr>
          <w:p>
            <w:pPr>
              <w:spacing w:line="240" w:lineRule="auto"/>
              <w:ind w:firstLine="0" w:firstLineChars="0"/>
              <w:jc w:val="center"/>
              <w:rPr>
                <w:sz w:val="20"/>
                <w:highlight w:val="none"/>
              </w:rPr>
            </w:pPr>
          </w:p>
        </w:tc>
        <w:tc>
          <w:tcPr>
            <w:tcW w:w="1560" w:type="dxa"/>
            <w:tcBorders>
              <w:tl2br w:val="nil"/>
              <w:tr2bl w:val="nil"/>
            </w:tcBorders>
            <w:vAlign w:val="center"/>
          </w:tcPr>
          <w:p>
            <w:pPr>
              <w:spacing w:line="240" w:lineRule="auto"/>
              <w:ind w:firstLine="0" w:firstLineChars="0"/>
              <w:jc w:val="center"/>
              <w:rPr>
                <w:sz w:val="20"/>
                <w:highlight w:val="none"/>
              </w:rPr>
            </w:pPr>
            <w:r>
              <w:rPr>
                <w:sz w:val="20"/>
                <w:highlight w:val="none"/>
              </w:rPr>
              <w:t>废</w:t>
            </w:r>
            <w:r>
              <w:rPr>
                <w:rFonts w:hint="eastAsia"/>
                <w:sz w:val="20"/>
                <w:highlight w:val="none"/>
              </w:rPr>
              <w:t>矿物</w:t>
            </w:r>
            <w:r>
              <w:rPr>
                <w:sz w:val="20"/>
                <w:highlight w:val="none"/>
              </w:rPr>
              <w:t>油、废油桶</w:t>
            </w:r>
          </w:p>
        </w:tc>
        <w:tc>
          <w:tcPr>
            <w:tcW w:w="992" w:type="dxa"/>
            <w:tcBorders>
              <w:tl2br w:val="nil"/>
              <w:tr2bl w:val="nil"/>
            </w:tcBorders>
            <w:vAlign w:val="center"/>
          </w:tcPr>
          <w:p>
            <w:pPr>
              <w:spacing w:line="240" w:lineRule="auto"/>
              <w:ind w:firstLine="0" w:firstLineChars="0"/>
              <w:jc w:val="center"/>
              <w:rPr>
                <w:sz w:val="20"/>
                <w:highlight w:val="none"/>
              </w:rPr>
            </w:pPr>
            <w:r>
              <w:rPr>
                <w:sz w:val="20"/>
                <w:highlight w:val="none"/>
              </w:rPr>
              <w:t>危险废物</w:t>
            </w:r>
          </w:p>
        </w:tc>
        <w:tc>
          <w:tcPr>
            <w:tcW w:w="1017"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364" w:type="dxa"/>
            <w:tcBorders>
              <w:tl2br w:val="nil"/>
              <w:tr2bl w:val="nil"/>
            </w:tcBorders>
            <w:vAlign w:val="center"/>
          </w:tcPr>
          <w:p>
            <w:pPr>
              <w:spacing w:line="240" w:lineRule="auto"/>
              <w:ind w:firstLine="0" w:firstLineChars="0"/>
              <w:jc w:val="center"/>
              <w:rPr>
                <w:sz w:val="20"/>
                <w:highlight w:val="none"/>
              </w:rPr>
            </w:pPr>
            <w:r>
              <w:rPr>
                <w:sz w:val="20"/>
                <w:highlight w:val="none"/>
              </w:rPr>
              <w:t>0.3t/a</w:t>
            </w:r>
          </w:p>
        </w:tc>
        <w:tc>
          <w:tcPr>
            <w:tcW w:w="5273" w:type="dxa"/>
            <w:tcBorders>
              <w:tl2br w:val="nil"/>
              <w:tr2bl w:val="nil"/>
            </w:tcBorders>
            <w:vAlign w:val="center"/>
          </w:tcPr>
          <w:p>
            <w:pPr>
              <w:spacing w:line="240" w:lineRule="auto"/>
              <w:ind w:firstLine="0" w:firstLineChars="0"/>
              <w:jc w:val="center"/>
              <w:rPr>
                <w:bCs/>
                <w:sz w:val="20"/>
                <w:highlight w:val="none"/>
              </w:rPr>
            </w:pPr>
            <w:r>
              <w:rPr>
                <w:bCs/>
                <w:sz w:val="20"/>
                <w:highlight w:val="none"/>
              </w:rPr>
              <w:t>收集于危废暂存间后，交由有资质的单位进行处理</w:t>
            </w:r>
          </w:p>
        </w:tc>
        <w:tc>
          <w:tcPr>
            <w:tcW w:w="993"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1112" w:type="dxa"/>
            <w:tcBorders>
              <w:tl2br w:val="nil"/>
              <w:tr2bl w:val="nil"/>
            </w:tcBorders>
            <w:vAlign w:val="center"/>
          </w:tcPr>
          <w:p>
            <w:pPr>
              <w:spacing w:line="240" w:lineRule="auto"/>
              <w:ind w:firstLine="0" w:firstLineChars="0"/>
              <w:jc w:val="center"/>
              <w:rPr>
                <w:sz w:val="20"/>
                <w:highlight w:val="none"/>
              </w:rPr>
            </w:pPr>
            <w:r>
              <w:rPr>
                <w:sz w:val="20"/>
                <w:highlight w:val="none"/>
              </w:rPr>
              <w:t>/</w:t>
            </w:r>
          </w:p>
        </w:tc>
        <w:tc>
          <w:tcPr>
            <w:tcW w:w="956" w:type="dxa"/>
            <w:tcBorders>
              <w:tl2br w:val="nil"/>
              <w:tr2bl w:val="nil"/>
            </w:tcBorders>
            <w:vAlign w:val="center"/>
          </w:tcPr>
          <w:p>
            <w:pPr>
              <w:spacing w:line="240" w:lineRule="auto"/>
              <w:ind w:firstLine="0" w:firstLineChars="0"/>
              <w:jc w:val="center"/>
              <w:rPr>
                <w:sz w:val="20"/>
                <w:highlight w:val="none"/>
              </w:rPr>
            </w:pPr>
            <w:r>
              <w:rPr>
                <w:sz w:val="20"/>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595" w:type="dxa"/>
            <w:tcBorders>
              <w:tl2br w:val="nil"/>
              <w:tr2bl w:val="nil"/>
            </w:tcBorders>
            <w:vAlign w:val="center"/>
          </w:tcPr>
          <w:p>
            <w:pPr>
              <w:spacing w:line="240" w:lineRule="auto"/>
              <w:ind w:firstLine="0" w:firstLineChars="0"/>
              <w:jc w:val="center"/>
              <w:rPr>
                <w:sz w:val="20"/>
                <w:highlight w:val="none"/>
              </w:rPr>
            </w:pPr>
            <w:r>
              <w:rPr>
                <w:sz w:val="20"/>
                <w:highlight w:val="none"/>
              </w:rPr>
              <w:t>噪声</w:t>
            </w:r>
          </w:p>
        </w:tc>
        <w:tc>
          <w:tcPr>
            <w:tcW w:w="13267" w:type="dxa"/>
            <w:gridSpan w:val="8"/>
            <w:tcBorders>
              <w:tl2br w:val="nil"/>
              <w:tr2bl w:val="nil"/>
            </w:tcBorders>
            <w:vAlign w:val="center"/>
          </w:tcPr>
          <w:p>
            <w:pPr>
              <w:spacing w:line="240" w:lineRule="auto"/>
              <w:ind w:firstLine="0" w:firstLineChars="0"/>
              <w:rPr>
                <w:sz w:val="20"/>
                <w:highlight w:val="none"/>
              </w:rPr>
            </w:pPr>
            <w:r>
              <w:rPr>
                <w:bCs/>
                <w:sz w:val="20"/>
                <w:highlight w:val="none"/>
              </w:rPr>
              <w:t>破碎机、球磨机、磁选机、水泵等设备运行时产生的噪声，采取基础减振、</w:t>
            </w:r>
            <w:r>
              <w:rPr>
                <w:rFonts w:hint="eastAsia"/>
                <w:bCs/>
                <w:sz w:val="20"/>
                <w:highlight w:val="none"/>
              </w:rPr>
              <w:t>加装</w:t>
            </w:r>
            <w:r>
              <w:rPr>
                <w:bCs/>
                <w:sz w:val="20"/>
                <w:highlight w:val="none"/>
              </w:rPr>
              <w:t>吸声材料等措施后，外排噪声源强为50-75dB（A）</w:t>
            </w:r>
          </w:p>
        </w:tc>
      </w:tr>
    </w:tbl>
    <w:p>
      <w:pPr>
        <w:ind w:firstLine="560"/>
        <w:rPr>
          <w:highlight w:val="none"/>
        </w:rPr>
        <w:sectPr>
          <w:footerReference r:id="rId16" w:type="default"/>
          <w:pgSz w:w="16838" w:h="11905" w:orient="landscape"/>
          <w:pgMar w:top="1803" w:right="1440" w:bottom="1803" w:left="1134" w:header="850" w:footer="992" w:gutter="0"/>
          <w:cols w:space="0" w:num="1"/>
          <w:docGrid w:linePitch="312" w:charSpace="0"/>
        </w:sectPr>
      </w:pPr>
    </w:p>
    <w:p>
      <w:pPr>
        <w:pStyle w:val="6"/>
        <w:numPr>
          <w:ilvl w:val="2"/>
          <w:numId w:val="1"/>
        </w:numPr>
        <w:rPr>
          <w:szCs w:val="28"/>
          <w:highlight w:val="none"/>
        </w:rPr>
      </w:pPr>
      <w:bookmarkStart w:id="225" w:name="_Toc521591771"/>
      <w:bookmarkStart w:id="226" w:name="_Toc4054"/>
      <w:r>
        <w:rPr>
          <w:szCs w:val="28"/>
          <w:highlight w:val="none"/>
        </w:rPr>
        <w:t>污染物总量核算</w:t>
      </w:r>
      <w:bookmarkEnd w:id="225"/>
      <w:bookmarkEnd w:id="226"/>
    </w:p>
    <w:p>
      <w:pPr>
        <w:ind w:firstLine="480"/>
        <w:rPr>
          <w:sz w:val="24"/>
          <w:szCs w:val="24"/>
          <w:highlight w:val="none"/>
        </w:rPr>
      </w:pPr>
      <w:r>
        <w:rPr>
          <w:sz w:val="24"/>
          <w:szCs w:val="24"/>
          <w:highlight w:val="none"/>
        </w:rPr>
        <w:t>总量控制是一项控制区域污染，保护环境质量的重要举措，也是实现区域经济可持续发展的主要措施。</w:t>
      </w:r>
    </w:p>
    <w:p>
      <w:pPr>
        <w:ind w:firstLine="480"/>
        <w:rPr>
          <w:bCs/>
          <w:sz w:val="24"/>
          <w:szCs w:val="24"/>
          <w:highlight w:val="none"/>
        </w:rPr>
      </w:pPr>
      <w:r>
        <w:rPr>
          <w:sz w:val="24"/>
          <w:szCs w:val="24"/>
          <w:highlight w:val="none"/>
        </w:rPr>
        <w:t>根据《建设项目主要污染物排放总量指标审核及管理暂行办法》（环发[2014]197号文）、</w:t>
      </w:r>
      <w:r>
        <w:rPr>
          <w:bCs/>
          <w:sz w:val="24"/>
          <w:szCs w:val="24"/>
          <w:highlight w:val="none"/>
        </w:rPr>
        <w:t>《关于进一步改革和优化建设项目主要污染物排放总量核定工作的通知》</w:t>
      </w:r>
      <w:r>
        <w:rPr>
          <w:sz w:val="24"/>
          <w:szCs w:val="24"/>
          <w:highlight w:val="none"/>
        </w:rPr>
        <w:t>（</w:t>
      </w:r>
      <w:r>
        <w:rPr>
          <w:bCs/>
          <w:sz w:val="24"/>
          <w:szCs w:val="24"/>
          <w:highlight w:val="none"/>
        </w:rPr>
        <w:t>河北省环境保护厅文件冀环总〔2014〕283号文，2014.9.25</w:t>
      </w:r>
      <w:r>
        <w:rPr>
          <w:sz w:val="24"/>
          <w:szCs w:val="24"/>
          <w:highlight w:val="none"/>
        </w:rPr>
        <w:t>）和《国务院关于印发</w:t>
      </w:r>
      <w:r>
        <w:rPr>
          <w:sz w:val="24"/>
          <w:szCs w:val="24"/>
          <w:highlight w:val="none"/>
          <w:lang w:val="zh-CN"/>
        </w:rPr>
        <w:t>“</w:t>
      </w:r>
      <w:r>
        <w:rPr>
          <w:sz w:val="24"/>
          <w:szCs w:val="24"/>
          <w:highlight w:val="none"/>
        </w:rPr>
        <w:t>十三五</w:t>
      </w:r>
      <w:r>
        <w:rPr>
          <w:sz w:val="24"/>
          <w:szCs w:val="24"/>
          <w:highlight w:val="none"/>
          <w:lang w:val="zh-CN"/>
        </w:rPr>
        <w:t>”</w:t>
      </w:r>
      <w:r>
        <w:rPr>
          <w:sz w:val="24"/>
          <w:szCs w:val="24"/>
          <w:highlight w:val="none"/>
        </w:rPr>
        <w:t>节能减排综合工作方案的通知》（国发[2016]74号，2016.12.20），</w:t>
      </w:r>
      <w:r>
        <w:rPr>
          <w:bCs/>
          <w:sz w:val="24"/>
          <w:szCs w:val="24"/>
          <w:highlight w:val="none"/>
        </w:rPr>
        <w:t>本项目属于环境统计重点工业源调查行业范围内（《国民经济行业分类》（GB/T4754）中采矿业、制造业，电力、燃气及水的生产和供应业，3个门类39个行业）的建设项目，</w:t>
      </w:r>
      <w:r>
        <w:rPr>
          <w:sz w:val="24"/>
          <w:szCs w:val="24"/>
          <w:highlight w:val="none"/>
        </w:rPr>
        <w:t>需要核定主要污染物排放总量指标，</w:t>
      </w:r>
      <w:r>
        <w:rPr>
          <w:bCs/>
          <w:sz w:val="24"/>
          <w:szCs w:val="24"/>
          <w:highlight w:val="none"/>
        </w:rPr>
        <w:t>主要污染因子是：废气中的SO</w:t>
      </w:r>
      <w:r>
        <w:rPr>
          <w:bCs/>
          <w:sz w:val="24"/>
          <w:szCs w:val="24"/>
          <w:highlight w:val="none"/>
          <w:vertAlign w:val="subscript"/>
        </w:rPr>
        <w:t>2</w:t>
      </w:r>
      <w:r>
        <w:rPr>
          <w:bCs/>
          <w:sz w:val="24"/>
          <w:szCs w:val="24"/>
          <w:highlight w:val="none"/>
        </w:rPr>
        <w:t>、NOx、烟尘、工业粉尘；废水中的COD、NH</w:t>
      </w:r>
      <w:r>
        <w:rPr>
          <w:bCs/>
          <w:sz w:val="24"/>
          <w:szCs w:val="24"/>
          <w:highlight w:val="none"/>
          <w:vertAlign w:val="subscript"/>
        </w:rPr>
        <w:t>3</w:t>
      </w:r>
      <w:r>
        <w:rPr>
          <w:bCs/>
          <w:sz w:val="24"/>
          <w:szCs w:val="24"/>
          <w:highlight w:val="none"/>
        </w:rPr>
        <w:t>-N。结合本次建设项目污染物排放情况，确定本项目参与总量控制的污染物为：工业粉尘。</w:t>
      </w:r>
    </w:p>
    <w:p>
      <w:pPr>
        <w:ind w:firstLine="480"/>
        <w:jc w:val="both"/>
        <w:rPr>
          <w:bCs/>
          <w:sz w:val="24"/>
          <w:szCs w:val="24"/>
          <w:highlight w:val="none"/>
        </w:rPr>
      </w:pPr>
      <w:r>
        <w:rPr>
          <w:bCs/>
          <w:sz w:val="24"/>
          <w:szCs w:val="24"/>
          <w:highlight w:val="none"/>
        </w:rPr>
        <w:t>根据《建设项目主要污染物排放总量指标审核及管理暂行办法》的相关要求，总量核算以污染物排放标准中的排放浓度限值为基准，计算总量指标。计算结果和计算依据如下：</w:t>
      </w:r>
    </w:p>
    <w:p>
      <w:pPr>
        <w:ind w:firstLine="480"/>
        <w:jc w:val="both"/>
        <w:rPr>
          <w:bCs/>
          <w:sz w:val="24"/>
          <w:szCs w:val="24"/>
          <w:highlight w:val="none"/>
        </w:rPr>
      </w:pPr>
      <w:r>
        <w:rPr>
          <w:bCs/>
          <w:sz w:val="24"/>
          <w:szCs w:val="24"/>
          <w:highlight w:val="none"/>
        </w:rPr>
        <w:t>（1）计算依据</w:t>
      </w:r>
    </w:p>
    <w:p>
      <w:pPr>
        <w:ind w:firstLine="480"/>
        <w:jc w:val="both"/>
        <w:rPr>
          <w:bCs/>
          <w:sz w:val="24"/>
          <w:szCs w:val="24"/>
          <w:highlight w:val="none"/>
        </w:rPr>
      </w:pPr>
      <w:r>
        <w:rPr>
          <w:bCs/>
          <w:sz w:val="24"/>
          <w:szCs w:val="24"/>
          <w:highlight w:val="none"/>
        </w:rPr>
        <w:t>颗粒物排放标准执行《铁矿采选工业污染物排放标准》（GB28661-2012）表6中的标准限值：10mg/m</w:t>
      </w:r>
      <w:r>
        <w:rPr>
          <w:bCs/>
          <w:sz w:val="24"/>
          <w:szCs w:val="24"/>
          <w:highlight w:val="none"/>
          <w:vertAlign w:val="superscript"/>
        </w:rPr>
        <w:t>3</w:t>
      </w:r>
      <w:r>
        <w:rPr>
          <w:bCs/>
          <w:sz w:val="24"/>
          <w:szCs w:val="24"/>
          <w:highlight w:val="none"/>
        </w:rPr>
        <w:t>。</w:t>
      </w:r>
    </w:p>
    <w:p>
      <w:pPr>
        <w:ind w:firstLine="480"/>
        <w:jc w:val="both"/>
        <w:rPr>
          <w:bCs/>
          <w:sz w:val="24"/>
          <w:szCs w:val="24"/>
          <w:highlight w:val="none"/>
        </w:rPr>
      </w:pPr>
      <w:r>
        <w:rPr>
          <w:bCs/>
          <w:sz w:val="24"/>
          <w:szCs w:val="24"/>
          <w:highlight w:val="none"/>
        </w:rPr>
        <w:t>（2）计算过程</w:t>
      </w:r>
    </w:p>
    <w:p>
      <w:pPr>
        <w:ind w:firstLine="480"/>
        <w:jc w:val="both"/>
        <w:rPr>
          <w:bCs/>
          <w:sz w:val="24"/>
          <w:szCs w:val="24"/>
          <w:highlight w:val="none"/>
        </w:rPr>
      </w:pPr>
      <w:r>
        <w:rPr>
          <w:bCs/>
          <w:sz w:val="24"/>
          <w:szCs w:val="24"/>
          <w:highlight w:val="none"/>
        </w:rPr>
        <w:t>破碎</w:t>
      </w:r>
      <w:r>
        <w:rPr>
          <w:rFonts w:hint="eastAsia"/>
          <w:bCs/>
          <w:sz w:val="24"/>
          <w:szCs w:val="24"/>
          <w:highlight w:val="none"/>
        </w:rPr>
        <w:t>粗选</w:t>
      </w:r>
      <w:r>
        <w:rPr>
          <w:bCs/>
          <w:sz w:val="24"/>
          <w:szCs w:val="24"/>
          <w:highlight w:val="none"/>
        </w:rPr>
        <w:t>生产线颗粒物排放量=10mg/m</w:t>
      </w:r>
      <w:r>
        <w:rPr>
          <w:bCs/>
          <w:sz w:val="24"/>
          <w:szCs w:val="24"/>
          <w:highlight w:val="none"/>
          <w:vertAlign w:val="superscript"/>
        </w:rPr>
        <w:t>3</w:t>
      </w:r>
      <w:r>
        <w:rPr>
          <w:bCs/>
          <w:sz w:val="24"/>
          <w:szCs w:val="24"/>
          <w:highlight w:val="none"/>
        </w:rPr>
        <w:t>×</w:t>
      </w:r>
      <w:r>
        <w:rPr>
          <w:rFonts w:hint="eastAsia"/>
          <w:bCs/>
          <w:sz w:val="24"/>
          <w:szCs w:val="24"/>
          <w:highlight w:val="none"/>
        </w:rPr>
        <w:t>65</w:t>
      </w:r>
      <w:r>
        <w:rPr>
          <w:bCs/>
          <w:sz w:val="24"/>
          <w:szCs w:val="24"/>
          <w:highlight w:val="none"/>
        </w:rPr>
        <w:t>000m</w:t>
      </w:r>
      <w:r>
        <w:rPr>
          <w:bCs/>
          <w:sz w:val="24"/>
          <w:szCs w:val="24"/>
          <w:highlight w:val="none"/>
          <w:vertAlign w:val="superscript"/>
        </w:rPr>
        <w:t>3</w:t>
      </w:r>
      <w:r>
        <w:rPr>
          <w:bCs/>
          <w:sz w:val="24"/>
          <w:szCs w:val="24"/>
          <w:highlight w:val="none"/>
        </w:rPr>
        <w:t>/h×</w:t>
      </w:r>
      <w:r>
        <w:rPr>
          <w:rFonts w:hint="eastAsia"/>
          <w:bCs/>
          <w:sz w:val="24"/>
          <w:szCs w:val="24"/>
          <w:highlight w:val="none"/>
        </w:rPr>
        <w:t>448</w:t>
      </w:r>
      <w:r>
        <w:rPr>
          <w:bCs/>
          <w:sz w:val="24"/>
          <w:szCs w:val="24"/>
          <w:highlight w:val="none"/>
        </w:rPr>
        <w:t>0h×10</w:t>
      </w:r>
      <w:r>
        <w:rPr>
          <w:bCs/>
          <w:sz w:val="24"/>
          <w:szCs w:val="24"/>
          <w:highlight w:val="none"/>
          <w:vertAlign w:val="superscript"/>
        </w:rPr>
        <w:t>-9</w:t>
      </w:r>
      <w:r>
        <w:rPr>
          <w:bCs/>
          <w:sz w:val="24"/>
          <w:szCs w:val="24"/>
          <w:highlight w:val="none"/>
        </w:rPr>
        <w:t>mg/t =</w:t>
      </w:r>
      <w:r>
        <w:rPr>
          <w:rFonts w:hint="eastAsia"/>
          <w:bCs/>
          <w:sz w:val="24"/>
          <w:szCs w:val="24"/>
          <w:highlight w:val="none"/>
        </w:rPr>
        <w:t>2.912</w:t>
      </w:r>
      <w:r>
        <w:rPr>
          <w:bCs/>
          <w:sz w:val="24"/>
          <w:szCs w:val="24"/>
          <w:highlight w:val="none"/>
        </w:rPr>
        <w:t xml:space="preserve">t/a </w:t>
      </w:r>
    </w:p>
    <w:p>
      <w:pPr>
        <w:ind w:firstLine="480"/>
        <w:jc w:val="both"/>
        <w:rPr>
          <w:bCs/>
          <w:sz w:val="24"/>
          <w:szCs w:val="24"/>
          <w:highlight w:val="none"/>
        </w:rPr>
      </w:pPr>
      <w:bookmarkStart w:id="227" w:name="_Hlk9229559"/>
      <w:r>
        <w:rPr>
          <w:rFonts w:hint="eastAsia"/>
          <w:bCs/>
          <w:sz w:val="24"/>
          <w:szCs w:val="24"/>
          <w:highlight w:val="none"/>
        </w:rPr>
        <w:t>（3）总量控制指标</w:t>
      </w:r>
    </w:p>
    <w:p>
      <w:pPr>
        <w:ind w:firstLine="480"/>
        <w:jc w:val="both"/>
        <w:rPr>
          <w:bCs/>
          <w:sz w:val="24"/>
          <w:szCs w:val="24"/>
          <w:highlight w:val="none"/>
        </w:rPr>
      </w:pPr>
      <w:r>
        <w:rPr>
          <w:rFonts w:hint="eastAsia"/>
          <w:bCs/>
          <w:sz w:val="24"/>
          <w:szCs w:val="24"/>
          <w:highlight w:val="none"/>
        </w:rPr>
        <w:t>本项目建成后总量控制指标</w:t>
      </w:r>
      <w:r>
        <w:rPr>
          <w:bCs/>
          <w:sz w:val="24"/>
          <w:szCs w:val="24"/>
          <w:highlight w:val="none"/>
        </w:rPr>
        <w:t>见</w:t>
      </w:r>
      <w:r>
        <w:rPr>
          <w:rFonts w:hint="eastAsia"/>
          <w:bCs/>
          <w:sz w:val="24"/>
          <w:szCs w:val="24"/>
          <w:highlight w:val="none"/>
        </w:rPr>
        <w:t>表3.4-6</w:t>
      </w:r>
      <w:r>
        <w:rPr>
          <w:bCs/>
          <w:sz w:val="24"/>
          <w:szCs w:val="24"/>
          <w:highlight w:val="none"/>
        </w:rPr>
        <w:t>。</w:t>
      </w:r>
    </w:p>
    <w:p>
      <w:pPr>
        <w:spacing w:line="240" w:lineRule="auto"/>
        <w:ind w:firstLine="0" w:firstLineChars="0"/>
        <w:jc w:val="center"/>
        <w:textAlignment w:val="auto"/>
        <w:rPr>
          <w:rFonts w:eastAsia="黑体"/>
          <w:kern w:val="2"/>
          <w:sz w:val="21"/>
          <w:szCs w:val="21"/>
          <w:highlight w:val="none"/>
        </w:rPr>
      </w:pPr>
      <w:bookmarkStart w:id="228" w:name="_Ref9208098"/>
      <w:r>
        <w:rPr>
          <w:rFonts w:hint="eastAsia" w:eastAsia="黑体"/>
          <w:kern w:val="2"/>
          <w:sz w:val="21"/>
          <w:szCs w:val="21"/>
          <w:highlight w:val="none"/>
        </w:rPr>
        <w:t xml:space="preserve">表3.4-6 </w:t>
      </w:r>
      <w:bookmarkEnd w:id="228"/>
      <w:r>
        <w:rPr>
          <w:rFonts w:eastAsia="黑体"/>
          <w:kern w:val="2"/>
          <w:sz w:val="21"/>
          <w:szCs w:val="21"/>
          <w:highlight w:val="none"/>
        </w:rPr>
        <w:t xml:space="preserve">  </w:t>
      </w:r>
      <w:r>
        <w:rPr>
          <w:rFonts w:hint="eastAsia" w:eastAsia="黑体"/>
          <w:kern w:val="2"/>
          <w:sz w:val="21"/>
          <w:szCs w:val="21"/>
          <w:highlight w:val="none"/>
        </w:rPr>
        <w:t>项目总量控制指表 单位 t/a</w:t>
      </w:r>
    </w:p>
    <w:tbl>
      <w:tblPr>
        <w:tblStyle w:val="56"/>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1744"/>
        <w:gridCol w:w="1744"/>
        <w:gridCol w:w="1397"/>
        <w:gridCol w:w="992"/>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shd w:val="clear" w:color="auto" w:fill="auto"/>
          </w:tcPr>
          <w:p>
            <w:pPr>
              <w:pStyle w:val="417"/>
              <w:spacing w:line="240" w:lineRule="auto"/>
              <w:rPr>
                <w:highlight w:val="none"/>
                <w:lang w:bidi="zh-CN"/>
              </w:rPr>
            </w:pPr>
            <w:r>
              <w:rPr>
                <w:rFonts w:hint="eastAsia"/>
                <w:highlight w:val="none"/>
                <w:lang w:bidi="zh-CN"/>
              </w:rPr>
              <w:t>项目</w:t>
            </w:r>
          </w:p>
        </w:tc>
        <w:tc>
          <w:tcPr>
            <w:tcW w:w="3488" w:type="dxa"/>
            <w:gridSpan w:val="2"/>
            <w:shd w:val="clear" w:color="auto" w:fill="auto"/>
          </w:tcPr>
          <w:p>
            <w:pPr>
              <w:pStyle w:val="417"/>
              <w:spacing w:line="240" w:lineRule="auto"/>
              <w:rPr>
                <w:highlight w:val="none"/>
                <w:lang w:bidi="zh-CN"/>
              </w:rPr>
            </w:pPr>
            <w:r>
              <w:rPr>
                <w:rFonts w:hint="eastAsia"/>
                <w:highlight w:val="none"/>
                <w:lang w:bidi="zh-CN"/>
              </w:rPr>
              <w:t>废水污染物</w:t>
            </w:r>
          </w:p>
        </w:tc>
        <w:tc>
          <w:tcPr>
            <w:tcW w:w="3489" w:type="dxa"/>
            <w:gridSpan w:val="3"/>
            <w:shd w:val="clear" w:color="auto" w:fill="auto"/>
          </w:tcPr>
          <w:p>
            <w:pPr>
              <w:pStyle w:val="417"/>
              <w:spacing w:line="240" w:lineRule="auto"/>
              <w:rPr>
                <w:highlight w:val="none"/>
                <w:lang w:bidi="zh-CN"/>
              </w:rPr>
            </w:pPr>
            <w:r>
              <w:rPr>
                <w:rFonts w:hint="eastAsia"/>
                <w:highlight w:val="none"/>
                <w:lang w:bidi="zh-CN"/>
              </w:rPr>
              <w:t>大气污染物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vMerge w:val="restart"/>
            <w:shd w:val="clear" w:color="auto" w:fill="auto"/>
            <w:vAlign w:val="center"/>
          </w:tcPr>
          <w:p>
            <w:pPr>
              <w:pStyle w:val="417"/>
              <w:spacing w:line="240" w:lineRule="auto"/>
              <w:rPr>
                <w:highlight w:val="none"/>
                <w:lang w:bidi="zh-CN"/>
              </w:rPr>
            </w:pPr>
            <w:r>
              <w:rPr>
                <w:rFonts w:hint="eastAsia"/>
                <w:highlight w:val="none"/>
                <w:lang w:bidi="zh-CN"/>
              </w:rPr>
              <w:t>总量控制指标</w:t>
            </w:r>
          </w:p>
        </w:tc>
        <w:tc>
          <w:tcPr>
            <w:tcW w:w="1744" w:type="dxa"/>
            <w:shd w:val="clear" w:color="auto" w:fill="auto"/>
          </w:tcPr>
          <w:p>
            <w:pPr>
              <w:pStyle w:val="417"/>
              <w:spacing w:line="240" w:lineRule="auto"/>
              <w:rPr>
                <w:highlight w:val="none"/>
                <w:lang w:bidi="zh-CN"/>
              </w:rPr>
            </w:pPr>
            <w:r>
              <w:rPr>
                <w:rFonts w:hint="eastAsia"/>
                <w:highlight w:val="none"/>
                <w:lang w:bidi="zh-CN"/>
              </w:rPr>
              <w:t>COD</w:t>
            </w:r>
          </w:p>
        </w:tc>
        <w:tc>
          <w:tcPr>
            <w:tcW w:w="1744" w:type="dxa"/>
            <w:shd w:val="clear" w:color="auto" w:fill="auto"/>
          </w:tcPr>
          <w:p>
            <w:pPr>
              <w:pStyle w:val="417"/>
              <w:spacing w:line="240" w:lineRule="auto"/>
              <w:rPr>
                <w:highlight w:val="none"/>
                <w:lang w:bidi="zh-CN"/>
              </w:rPr>
            </w:pPr>
            <w:r>
              <w:rPr>
                <w:rFonts w:hint="eastAsia"/>
                <w:highlight w:val="none"/>
                <w:lang w:bidi="zh-CN"/>
              </w:rPr>
              <w:t>氨氮</w:t>
            </w:r>
          </w:p>
        </w:tc>
        <w:tc>
          <w:tcPr>
            <w:tcW w:w="1397" w:type="dxa"/>
            <w:shd w:val="clear" w:color="auto" w:fill="auto"/>
          </w:tcPr>
          <w:p>
            <w:pPr>
              <w:pStyle w:val="417"/>
              <w:spacing w:line="240" w:lineRule="auto"/>
              <w:rPr>
                <w:highlight w:val="none"/>
                <w:lang w:bidi="zh-CN"/>
              </w:rPr>
            </w:pPr>
            <w:r>
              <w:rPr>
                <w:rFonts w:hint="eastAsia"/>
                <w:highlight w:val="none"/>
                <w:lang w:bidi="zh-CN"/>
              </w:rPr>
              <w:t>SO</w:t>
            </w:r>
            <w:r>
              <w:rPr>
                <w:rFonts w:hint="eastAsia"/>
                <w:highlight w:val="none"/>
                <w:vertAlign w:val="subscript"/>
                <w:lang w:bidi="zh-CN"/>
              </w:rPr>
              <w:t>2</w:t>
            </w:r>
          </w:p>
        </w:tc>
        <w:tc>
          <w:tcPr>
            <w:tcW w:w="992" w:type="dxa"/>
            <w:shd w:val="clear" w:color="auto" w:fill="auto"/>
          </w:tcPr>
          <w:p>
            <w:pPr>
              <w:pStyle w:val="417"/>
              <w:spacing w:line="240" w:lineRule="auto"/>
              <w:rPr>
                <w:highlight w:val="none"/>
                <w:lang w:bidi="zh-CN"/>
              </w:rPr>
            </w:pPr>
            <w:r>
              <w:rPr>
                <w:rFonts w:hint="eastAsia"/>
                <w:highlight w:val="none"/>
                <w:lang w:bidi="zh-CN"/>
              </w:rPr>
              <w:t>NOx</w:t>
            </w:r>
          </w:p>
        </w:tc>
        <w:tc>
          <w:tcPr>
            <w:tcW w:w="1100" w:type="dxa"/>
            <w:shd w:val="clear" w:color="auto" w:fill="auto"/>
          </w:tcPr>
          <w:p>
            <w:pPr>
              <w:pStyle w:val="417"/>
              <w:spacing w:line="240" w:lineRule="auto"/>
              <w:rPr>
                <w:highlight w:val="none"/>
                <w:lang w:bidi="zh-CN"/>
              </w:rPr>
            </w:pPr>
            <w:r>
              <w:rPr>
                <w:rFonts w:hint="eastAsia"/>
                <w:highlight w:val="none"/>
                <w:lang w:bidi="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vMerge w:val="continue"/>
            <w:shd w:val="clear" w:color="auto" w:fill="auto"/>
          </w:tcPr>
          <w:p>
            <w:pPr>
              <w:pStyle w:val="417"/>
              <w:spacing w:line="240" w:lineRule="auto"/>
              <w:rPr>
                <w:highlight w:val="none"/>
                <w:lang w:bidi="zh-CN"/>
              </w:rPr>
            </w:pPr>
          </w:p>
        </w:tc>
        <w:tc>
          <w:tcPr>
            <w:tcW w:w="1744" w:type="dxa"/>
            <w:shd w:val="clear" w:color="auto" w:fill="auto"/>
          </w:tcPr>
          <w:p>
            <w:pPr>
              <w:pStyle w:val="417"/>
              <w:spacing w:line="240" w:lineRule="auto"/>
              <w:rPr>
                <w:highlight w:val="none"/>
                <w:lang w:bidi="zh-CN"/>
              </w:rPr>
            </w:pPr>
            <w:r>
              <w:rPr>
                <w:rFonts w:hint="eastAsia"/>
                <w:highlight w:val="none"/>
                <w:lang w:bidi="zh-CN"/>
              </w:rPr>
              <w:t>0</w:t>
            </w:r>
          </w:p>
        </w:tc>
        <w:tc>
          <w:tcPr>
            <w:tcW w:w="1744" w:type="dxa"/>
            <w:shd w:val="clear" w:color="auto" w:fill="auto"/>
          </w:tcPr>
          <w:p>
            <w:pPr>
              <w:pStyle w:val="417"/>
              <w:spacing w:line="240" w:lineRule="auto"/>
              <w:rPr>
                <w:highlight w:val="none"/>
                <w:lang w:bidi="zh-CN"/>
              </w:rPr>
            </w:pPr>
            <w:r>
              <w:rPr>
                <w:rFonts w:hint="eastAsia"/>
                <w:highlight w:val="none"/>
                <w:lang w:bidi="zh-CN"/>
              </w:rPr>
              <w:t>0</w:t>
            </w:r>
          </w:p>
        </w:tc>
        <w:tc>
          <w:tcPr>
            <w:tcW w:w="1397" w:type="dxa"/>
            <w:shd w:val="clear" w:color="auto" w:fill="auto"/>
          </w:tcPr>
          <w:p>
            <w:pPr>
              <w:pStyle w:val="417"/>
              <w:spacing w:line="240" w:lineRule="auto"/>
              <w:rPr>
                <w:highlight w:val="none"/>
                <w:lang w:bidi="zh-CN"/>
              </w:rPr>
            </w:pPr>
            <w:r>
              <w:rPr>
                <w:rFonts w:hint="eastAsia"/>
                <w:highlight w:val="none"/>
                <w:lang w:bidi="zh-CN"/>
              </w:rPr>
              <w:t>0</w:t>
            </w:r>
          </w:p>
        </w:tc>
        <w:tc>
          <w:tcPr>
            <w:tcW w:w="992" w:type="dxa"/>
            <w:shd w:val="clear" w:color="auto" w:fill="auto"/>
          </w:tcPr>
          <w:p>
            <w:pPr>
              <w:pStyle w:val="417"/>
              <w:spacing w:line="240" w:lineRule="auto"/>
              <w:rPr>
                <w:highlight w:val="none"/>
                <w:lang w:bidi="zh-CN"/>
              </w:rPr>
            </w:pPr>
            <w:r>
              <w:rPr>
                <w:rFonts w:hint="eastAsia"/>
                <w:highlight w:val="none"/>
                <w:lang w:bidi="zh-CN"/>
              </w:rPr>
              <w:t>0</w:t>
            </w:r>
          </w:p>
        </w:tc>
        <w:tc>
          <w:tcPr>
            <w:tcW w:w="1100" w:type="dxa"/>
            <w:shd w:val="clear" w:color="auto" w:fill="auto"/>
          </w:tcPr>
          <w:p>
            <w:pPr>
              <w:pStyle w:val="417"/>
              <w:spacing w:line="240" w:lineRule="auto"/>
              <w:rPr>
                <w:highlight w:val="none"/>
                <w:lang w:bidi="zh-CN"/>
              </w:rPr>
            </w:pPr>
            <w:r>
              <w:rPr>
                <w:rFonts w:hint="eastAsia"/>
                <w:highlight w:val="none"/>
                <w:lang w:bidi="zh-CN"/>
              </w:rPr>
              <w:t>2.912</w:t>
            </w:r>
          </w:p>
        </w:tc>
      </w:tr>
    </w:tbl>
    <w:p>
      <w:pPr>
        <w:ind w:firstLine="480"/>
        <w:jc w:val="both"/>
        <w:rPr>
          <w:bCs/>
          <w:sz w:val="24"/>
          <w:szCs w:val="24"/>
          <w:highlight w:val="none"/>
        </w:rPr>
      </w:pPr>
      <w:r>
        <w:rPr>
          <w:rFonts w:hint="eastAsia"/>
          <w:bCs/>
          <w:sz w:val="24"/>
          <w:szCs w:val="24"/>
          <w:highlight w:val="none"/>
        </w:rPr>
        <w:t>因此，本项目建成后全厂总量控制指标为：SO</w:t>
      </w:r>
      <w:r>
        <w:rPr>
          <w:rFonts w:hint="eastAsia"/>
          <w:bCs/>
          <w:sz w:val="24"/>
          <w:szCs w:val="24"/>
          <w:highlight w:val="none"/>
          <w:vertAlign w:val="subscript"/>
        </w:rPr>
        <w:t>2</w:t>
      </w:r>
      <w:r>
        <w:rPr>
          <w:rFonts w:hint="eastAsia"/>
          <w:bCs/>
          <w:sz w:val="24"/>
          <w:szCs w:val="24"/>
          <w:highlight w:val="none"/>
        </w:rPr>
        <w:t>：0t/a、NO</w:t>
      </w:r>
      <w:r>
        <w:rPr>
          <w:rFonts w:hint="eastAsia"/>
          <w:bCs/>
          <w:sz w:val="24"/>
          <w:szCs w:val="24"/>
          <w:highlight w:val="none"/>
          <w:vertAlign w:val="subscript"/>
        </w:rPr>
        <w:t>X</w:t>
      </w:r>
      <w:r>
        <w:rPr>
          <w:rFonts w:hint="eastAsia"/>
          <w:bCs/>
          <w:sz w:val="24"/>
          <w:szCs w:val="24"/>
          <w:highlight w:val="none"/>
        </w:rPr>
        <w:t>：0t/a，颗粒物：2.912t/a；COD：0t/a、氨氮：0t/a。</w:t>
      </w:r>
    </w:p>
    <w:bookmarkEnd w:id="227"/>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229" w:name="_Toc5704"/>
      <w:r>
        <w:rPr>
          <w:rFonts w:ascii="Times New Roman" w:hAnsi="Times New Roman" w:eastAsia="宋体"/>
          <w:bCs w:val="0"/>
          <w:snapToGrid w:val="0"/>
          <w:kern w:val="0"/>
          <w:sz w:val="28"/>
          <w:szCs w:val="28"/>
          <w:highlight w:val="none"/>
        </w:rPr>
        <w:t>清洁生产分析</w:t>
      </w:r>
      <w:bookmarkEnd w:id="229"/>
    </w:p>
    <w:p>
      <w:pPr>
        <w:pStyle w:val="244"/>
        <w:spacing w:line="360" w:lineRule="auto"/>
        <w:ind w:firstLine="480"/>
        <w:rPr>
          <w:rFonts w:cs="Times New Roman"/>
          <w:highlight w:val="none"/>
        </w:rPr>
      </w:pPr>
      <w:r>
        <w:rPr>
          <w:rFonts w:cs="Times New Roman"/>
          <w:highlight w:val="none"/>
        </w:rPr>
        <w:t>清洁生产通常是指产品在生产过程和预期消费中，既合理利用自然资源，把对人类和环境的危害降至最小，又能充分满足人类需要，使社会经济效益最大化的一种生产模式。其内涵为：</w:t>
      </w:r>
    </w:p>
    <w:p>
      <w:pPr>
        <w:pStyle w:val="244"/>
        <w:widowControl w:val="0"/>
        <w:spacing w:line="360" w:lineRule="auto"/>
        <w:ind w:firstLine="480"/>
        <w:rPr>
          <w:rFonts w:cs="Times New Roman"/>
          <w:highlight w:val="none"/>
        </w:rPr>
      </w:pPr>
      <w:r>
        <w:rPr>
          <w:rFonts w:cs="Times New Roman"/>
          <w:highlight w:val="none"/>
        </w:rPr>
        <w:t>（1）自然资源和能源利用的合理化：突出的反映在节约能源，节约原材料，利用无毒无害原材料，循环利用物料等；</w:t>
      </w:r>
    </w:p>
    <w:p>
      <w:pPr>
        <w:pStyle w:val="244"/>
        <w:widowControl w:val="0"/>
        <w:spacing w:line="360" w:lineRule="auto"/>
        <w:ind w:firstLine="480"/>
        <w:rPr>
          <w:rFonts w:cs="Times New Roman"/>
          <w:highlight w:val="none"/>
        </w:rPr>
      </w:pPr>
      <w:r>
        <w:rPr>
          <w:rFonts w:cs="Times New Roman"/>
          <w:highlight w:val="none"/>
        </w:rPr>
        <w:t>（2）经济效益最大化：反应在不断提高生产效率，降低生产成本，增加产品和服务的附加值。要实现经济效益最大化，必须采用高效生产技术和工艺，提高产品质量，降低物耗和能源消耗；</w:t>
      </w:r>
    </w:p>
    <w:p>
      <w:pPr>
        <w:pStyle w:val="244"/>
        <w:widowControl w:val="0"/>
        <w:spacing w:line="360" w:lineRule="auto"/>
        <w:ind w:firstLine="480"/>
        <w:rPr>
          <w:rFonts w:cs="Times New Roman"/>
          <w:highlight w:val="none"/>
        </w:rPr>
      </w:pPr>
      <w:r>
        <w:rPr>
          <w:rFonts w:cs="Times New Roman"/>
          <w:highlight w:val="none"/>
        </w:rPr>
        <w:t>（3）对人类和环境危害最小化：即把生产活动对环境负面影响降低到最小。为此，企业生产应减小有毒有害物料的使用、采用少废无废生产技术和工艺、使用可回收物料、合理利用产品功能、延长产品寿命，以实现经济效益和环境效益的和谐统一。</w:t>
      </w:r>
    </w:p>
    <w:p>
      <w:pPr>
        <w:pStyle w:val="6"/>
        <w:numPr>
          <w:ilvl w:val="2"/>
          <w:numId w:val="1"/>
        </w:numPr>
        <w:rPr>
          <w:szCs w:val="28"/>
          <w:highlight w:val="none"/>
        </w:rPr>
      </w:pPr>
      <w:r>
        <w:rPr>
          <w:szCs w:val="28"/>
          <w:highlight w:val="none"/>
        </w:rPr>
        <w:t>清洁生产水平控制</w:t>
      </w:r>
    </w:p>
    <w:p>
      <w:pPr>
        <w:pStyle w:val="244"/>
        <w:widowControl w:val="0"/>
        <w:spacing w:line="360" w:lineRule="auto"/>
        <w:ind w:firstLine="480"/>
        <w:rPr>
          <w:rFonts w:cs="Times New Roman"/>
          <w:highlight w:val="none"/>
        </w:rPr>
      </w:pPr>
      <w:r>
        <w:rPr>
          <w:rFonts w:cs="Times New Roman"/>
          <w:highlight w:val="none"/>
        </w:rPr>
        <w:t>根据《清洁生产标准铁矿采选行业》（HJ/T294-2006），按照清洁生产的一般要求，同时考虑到铁矿采选行业的特点，从装备要求、资源能源利用指标、污染物产量指标、废物回收利用指标和环境管理要求5个指标分析论证项目清洁生产水平。</w:t>
      </w:r>
    </w:p>
    <w:p>
      <w:pPr>
        <w:pStyle w:val="6"/>
        <w:numPr>
          <w:ilvl w:val="2"/>
          <w:numId w:val="1"/>
        </w:numPr>
        <w:rPr>
          <w:szCs w:val="28"/>
          <w:highlight w:val="none"/>
        </w:rPr>
      </w:pPr>
      <w:r>
        <w:rPr>
          <w:szCs w:val="28"/>
          <w:highlight w:val="none"/>
        </w:rPr>
        <w:t>与行业清洁生产标准对比分析</w:t>
      </w:r>
    </w:p>
    <w:p>
      <w:pPr>
        <w:pStyle w:val="244"/>
        <w:widowControl w:val="0"/>
        <w:spacing w:line="360" w:lineRule="auto"/>
        <w:ind w:firstLine="480"/>
        <w:rPr>
          <w:rFonts w:cs="Times New Roman"/>
          <w:highlight w:val="none"/>
        </w:rPr>
      </w:pPr>
      <w:r>
        <w:rPr>
          <w:rFonts w:cs="Times New Roman"/>
          <w:highlight w:val="none"/>
        </w:rPr>
        <w:t>本项目与《清洁生产标准铁矿采选业》（HJ/T294-2006）进行对比分析，结果见表3.</w:t>
      </w:r>
      <w:r>
        <w:rPr>
          <w:rFonts w:hint="eastAsia" w:cs="Times New Roman"/>
          <w:highlight w:val="none"/>
        </w:rPr>
        <w:t>5</w:t>
      </w:r>
      <w:r>
        <w:rPr>
          <w:rFonts w:cs="Times New Roman"/>
          <w:highlight w:val="none"/>
        </w:rPr>
        <w:t>-1。</w:t>
      </w:r>
    </w:p>
    <w:p>
      <w:pPr>
        <w:pStyle w:val="244"/>
        <w:widowControl w:val="0"/>
        <w:spacing w:line="240" w:lineRule="auto"/>
        <w:ind w:firstLine="420"/>
        <w:jc w:val="center"/>
        <w:rPr>
          <w:rFonts w:eastAsia="黑体" w:cs="Times New Roman"/>
          <w:kern w:val="2"/>
          <w:sz w:val="21"/>
          <w:szCs w:val="21"/>
          <w:highlight w:val="none"/>
        </w:rPr>
      </w:pPr>
      <w:r>
        <w:rPr>
          <w:rFonts w:eastAsia="黑体" w:cs="Times New Roman"/>
          <w:kern w:val="2"/>
          <w:sz w:val="21"/>
          <w:szCs w:val="21"/>
          <w:highlight w:val="none"/>
        </w:rPr>
        <w:t>表3.</w:t>
      </w:r>
      <w:r>
        <w:rPr>
          <w:rFonts w:hint="eastAsia" w:eastAsia="黑体" w:cs="Times New Roman"/>
          <w:kern w:val="2"/>
          <w:sz w:val="21"/>
          <w:szCs w:val="21"/>
          <w:highlight w:val="none"/>
        </w:rPr>
        <w:t>5</w:t>
      </w:r>
      <w:r>
        <w:rPr>
          <w:rFonts w:eastAsia="黑体" w:cs="Times New Roman"/>
          <w:kern w:val="2"/>
          <w:sz w:val="21"/>
          <w:szCs w:val="21"/>
          <w:highlight w:val="none"/>
        </w:rPr>
        <w:t>-1    项目清洁生产水平指标对比情况</w:t>
      </w:r>
    </w:p>
    <w:tbl>
      <w:tblPr>
        <w:tblStyle w:val="56"/>
        <w:tblW w:w="852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7"/>
        <w:gridCol w:w="1700"/>
        <w:gridCol w:w="1873"/>
        <w:gridCol w:w="1735"/>
        <w:gridCol w:w="1613"/>
        <w:gridCol w:w="6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trPr>
        <w:tc>
          <w:tcPr>
            <w:tcW w:w="957" w:type="dxa"/>
            <w:vMerge w:val="restart"/>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清洁生产指标等级</w:t>
            </w:r>
          </w:p>
        </w:tc>
        <w:tc>
          <w:tcPr>
            <w:tcW w:w="1700" w:type="dxa"/>
            <w:vMerge w:val="restart"/>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一级</w:t>
            </w:r>
          </w:p>
        </w:tc>
        <w:tc>
          <w:tcPr>
            <w:tcW w:w="1873" w:type="dxa"/>
            <w:vMerge w:val="restart"/>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二级</w:t>
            </w:r>
          </w:p>
        </w:tc>
        <w:tc>
          <w:tcPr>
            <w:tcW w:w="1735" w:type="dxa"/>
            <w:vMerge w:val="restart"/>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三级</w:t>
            </w:r>
          </w:p>
        </w:tc>
        <w:tc>
          <w:tcPr>
            <w:tcW w:w="2263" w:type="dxa"/>
            <w:gridSpan w:val="2"/>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0" w:hRule="atLeast"/>
          <w:tblHeader/>
        </w:trPr>
        <w:tc>
          <w:tcPr>
            <w:tcW w:w="957" w:type="dxa"/>
            <w:vMerge w:val="continue"/>
            <w:tcBorders>
              <w:tl2br w:val="nil"/>
              <w:tr2bl w:val="nil"/>
            </w:tcBorders>
            <w:tcMar>
              <w:left w:w="0" w:type="dxa"/>
              <w:right w:w="0" w:type="dxa"/>
            </w:tcMar>
            <w:vAlign w:val="center"/>
          </w:tcPr>
          <w:p>
            <w:pPr>
              <w:pStyle w:val="133"/>
              <w:spacing w:line="240" w:lineRule="auto"/>
              <w:rPr>
                <w:color w:val="auto"/>
                <w:kern w:val="2"/>
                <w:highlight w:val="none"/>
              </w:rPr>
            </w:pPr>
          </w:p>
        </w:tc>
        <w:tc>
          <w:tcPr>
            <w:tcW w:w="1700" w:type="dxa"/>
            <w:vMerge w:val="continue"/>
            <w:tcBorders>
              <w:tl2br w:val="nil"/>
              <w:tr2bl w:val="nil"/>
            </w:tcBorders>
            <w:tcMar>
              <w:left w:w="0" w:type="dxa"/>
              <w:right w:w="0" w:type="dxa"/>
            </w:tcMar>
            <w:vAlign w:val="center"/>
          </w:tcPr>
          <w:p>
            <w:pPr>
              <w:pStyle w:val="133"/>
              <w:spacing w:line="240" w:lineRule="auto"/>
              <w:rPr>
                <w:color w:val="auto"/>
                <w:kern w:val="2"/>
                <w:highlight w:val="none"/>
              </w:rPr>
            </w:pPr>
          </w:p>
        </w:tc>
        <w:tc>
          <w:tcPr>
            <w:tcW w:w="1873" w:type="dxa"/>
            <w:vMerge w:val="continue"/>
            <w:tcBorders>
              <w:tl2br w:val="nil"/>
              <w:tr2bl w:val="nil"/>
            </w:tcBorders>
            <w:tcMar>
              <w:left w:w="0" w:type="dxa"/>
              <w:right w:w="0" w:type="dxa"/>
            </w:tcMar>
            <w:vAlign w:val="center"/>
          </w:tcPr>
          <w:p>
            <w:pPr>
              <w:pStyle w:val="133"/>
              <w:spacing w:line="240" w:lineRule="auto"/>
              <w:rPr>
                <w:color w:val="auto"/>
                <w:kern w:val="2"/>
                <w:highlight w:val="none"/>
              </w:rPr>
            </w:pPr>
          </w:p>
        </w:tc>
        <w:tc>
          <w:tcPr>
            <w:tcW w:w="1735" w:type="dxa"/>
            <w:vMerge w:val="continue"/>
            <w:tcBorders>
              <w:tl2br w:val="nil"/>
              <w:tr2bl w:val="nil"/>
            </w:tcBorders>
            <w:tcMar>
              <w:left w:w="0" w:type="dxa"/>
              <w:right w:w="0" w:type="dxa"/>
            </w:tcMar>
            <w:vAlign w:val="center"/>
          </w:tcPr>
          <w:p>
            <w:pPr>
              <w:pStyle w:val="133"/>
              <w:spacing w:line="240" w:lineRule="auto"/>
              <w:rPr>
                <w:color w:val="auto"/>
                <w:kern w:val="2"/>
                <w:highlight w:val="none"/>
              </w:rPr>
            </w:pP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指标</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级别</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9" w:hRule="atLeast"/>
        </w:trPr>
        <w:tc>
          <w:tcPr>
            <w:tcW w:w="8528" w:type="dxa"/>
            <w:gridSpan w:val="6"/>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一、工艺装备要求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00" w:hRule="atLeast"/>
        </w:trPr>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破碎</w:t>
            </w:r>
          </w:p>
          <w:p>
            <w:pPr>
              <w:pStyle w:val="133"/>
              <w:spacing w:line="240" w:lineRule="auto"/>
              <w:rPr>
                <w:color w:val="auto"/>
                <w:kern w:val="2"/>
                <w:highlight w:val="none"/>
              </w:rPr>
            </w:pPr>
            <w:r>
              <w:rPr>
                <w:color w:val="auto"/>
                <w:kern w:val="2"/>
                <w:highlight w:val="none"/>
              </w:rPr>
              <w:t>筛分</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采用国际先进的处理量大、高效超细破碎机等破碎设备，配有除尘净化设施</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采用国内先进的处理量较大，效率较高的超细破碎机等破碎设备，配有除尘净化设施</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采用国内先进的旋回、鄂式、圆锥破碎机等破碎设备，配有除尘净化设施</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采用国内先进的旋回、鄂式、圆锥破碎机等破碎设备，配有除尘净化设施</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rFonts w:hint="eastAsia"/>
                <w:color w:val="auto"/>
                <w:kern w:val="2"/>
                <w:highlight w:val="none"/>
              </w:rPr>
              <w:t>三</w:t>
            </w:r>
            <w:r>
              <w:rPr>
                <w:color w:val="auto"/>
                <w:kern w:val="2"/>
                <w:highlight w:val="none"/>
              </w:rPr>
              <w:t>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磨矿</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采用国际先进的处理量大、能耗低、效率高的筒式磨矿机、高压辊磨机等磨矿设备</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采用国内先进的处理量较大、能耗较低、效率较高的筒式磨矿机、高压辊磨机等磨矿设备</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采用国内较先进的筒式磨矿、干式自磨、棒磨、球磨等磨矿设备</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采用国内先进的处理量较大、能耗较低、效率较高的湿式球磨机</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二级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6" w:hRule="atLeast"/>
        </w:trPr>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分级</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采用国际先进的分级效率高的高频振动细筛分级机等分级设备</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采用国内先进的分级效率较高的电磁振动筛、高频细筛等分级设备</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采用国内较先进的旋流分级、振动筛、高频细筛等分级设备</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采用国内先进的分级效率较高的高频筛</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二级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38" w:hRule="atLeast"/>
        </w:trPr>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选别</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采用国际先进的回收率高、自动化程度高的大粒度中高场强磁选机和跳汰机、立环脉动高梯度强磁选机、冲气机械搅拌式浮选机等选别设备</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采用国内先进的回收率较高、自动化程度较高的大粒度中高场强磁选机和跳汰机、立环脉动高梯度强磁选机、冲气机械搅拌式浮选机等选别设备</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采用国内较先进的回收率较高的立环式、平环式强磁选机、机械搅拌式浮选机、棒型浮选机等选别设备</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国内高效磁选机</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二级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脱水</w:t>
            </w:r>
          </w:p>
          <w:p>
            <w:pPr>
              <w:pStyle w:val="133"/>
              <w:spacing w:line="240" w:lineRule="auto"/>
              <w:rPr>
                <w:color w:val="auto"/>
                <w:kern w:val="2"/>
                <w:highlight w:val="none"/>
              </w:rPr>
            </w:pPr>
            <w:r>
              <w:rPr>
                <w:color w:val="auto"/>
                <w:kern w:val="2"/>
                <w:highlight w:val="none"/>
              </w:rPr>
              <w:t>过滤</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采用国际先进的效率高、自动化程度高的高效浓缩机和大型高效盘式过滤机等脱水过滤设备</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采用国内先进的脱水过滤效率较高、自动化程度较高的高效浓缩机和大型高效盘式压滤机等脱水过滤设备</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采用国内较先进的脱水过滤效率较高的浓缩机和筒式压滤机等脱水过滤设备</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国内先进的</w:t>
            </w:r>
            <w:r>
              <w:rPr>
                <w:color w:val="auto"/>
                <w:szCs w:val="21"/>
                <w:highlight w:val="none"/>
              </w:rPr>
              <w:t>盘式过滤机</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二级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528" w:type="dxa"/>
            <w:gridSpan w:val="6"/>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二、资源能源利用指标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金属回收率（%）</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≥90</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≥80</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≥70</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rFonts w:hint="eastAsia"/>
                <w:color w:val="auto"/>
                <w:kern w:val="2"/>
                <w:highlight w:val="none"/>
              </w:rPr>
              <w:t>94.8</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一级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电耗(kW.h/t)</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≤16</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≤28</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≤35</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2</w:t>
            </w:r>
            <w:r>
              <w:rPr>
                <w:rFonts w:hint="eastAsia"/>
                <w:color w:val="auto"/>
                <w:kern w:val="2"/>
                <w:highlight w:val="none"/>
              </w:rPr>
              <w:t>6</w:t>
            </w:r>
            <w:r>
              <w:rPr>
                <w:color w:val="auto"/>
                <w:kern w:val="2"/>
                <w:highlight w:val="none"/>
              </w:rPr>
              <w:t>.</w:t>
            </w:r>
            <w:r>
              <w:rPr>
                <w:rFonts w:hint="eastAsia"/>
                <w:color w:val="auto"/>
                <w:kern w:val="2"/>
                <w:highlight w:val="none"/>
              </w:rPr>
              <w:t>8</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二级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水耗（m</w:t>
            </w:r>
            <w:r>
              <w:rPr>
                <w:color w:val="auto"/>
                <w:kern w:val="2"/>
                <w:highlight w:val="none"/>
                <w:vertAlign w:val="superscript"/>
              </w:rPr>
              <w:t>3</w:t>
            </w:r>
            <w:r>
              <w:rPr>
                <w:color w:val="auto"/>
                <w:kern w:val="2"/>
                <w:highlight w:val="none"/>
              </w:rPr>
              <w:t>/t）</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≤2</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≤7</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≤10</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rFonts w:hint="eastAsia"/>
                <w:color w:val="auto"/>
                <w:kern w:val="2"/>
                <w:highlight w:val="none"/>
              </w:rPr>
              <w:t>0.08</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一级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528" w:type="dxa"/>
            <w:gridSpan w:val="6"/>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三、污染物产生指标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废水产生量（m</w:t>
            </w:r>
            <w:r>
              <w:rPr>
                <w:color w:val="auto"/>
                <w:kern w:val="2"/>
                <w:highlight w:val="none"/>
                <w:vertAlign w:val="superscript"/>
              </w:rPr>
              <w:t>3</w:t>
            </w:r>
            <w:r>
              <w:rPr>
                <w:color w:val="auto"/>
                <w:kern w:val="2"/>
                <w:highlight w:val="none"/>
              </w:rPr>
              <w:t>/t）</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≤0.1</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≤0.7</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≤1.5</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一级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悬浮物（kg/t）</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≤0.01</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≤0.21</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≤0.60</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一级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化学需氧量（kg/t）</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≤0.01</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≤0.11</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≤0.75</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0</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一级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528" w:type="dxa"/>
            <w:gridSpan w:val="6"/>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四、废物回收利用指标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工业水重复利用率（%）</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≥95</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≥90</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≥85</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rFonts w:hint="eastAsia"/>
                <w:color w:val="auto"/>
                <w:kern w:val="2"/>
                <w:highlight w:val="none"/>
              </w:rPr>
              <w:t>92.8</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rFonts w:hint="eastAsia"/>
                <w:color w:val="auto"/>
                <w:kern w:val="2"/>
                <w:highlight w:val="none"/>
              </w:rPr>
              <w:t>二</w:t>
            </w:r>
            <w:r>
              <w:rPr>
                <w:color w:val="auto"/>
                <w:kern w:val="2"/>
                <w:highlight w:val="none"/>
              </w:rPr>
              <w:t>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7"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尾矿综合利用率（%）</w:t>
            </w:r>
          </w:p>
        </w:tc>
        <w:tc>
          <w:tcPr>
            <w:tcW w:w="170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≥30</w:t>
            </w:r>
          </w:p>
        </w:tc>
        <w:tc>
          <w:tcPr>
            <w:tcW w:w="187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≥15</w:t>
            </w:r>
          </w:p>
        </w:tc>
        <w:tc>
          <w:tcPr>
            <w:tcW w:w="1735"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≥8</w:t>
            </w:r>
          </w:p>
        </w:tc>
        <w:tc>
          <w:tcPr>
            <w:tcW w:w="1613"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100</w:t>
            </w:r>
          </w:p>
        </w:tc>
        <w:tc>
          <w:tcPr>
            <w:tcW w:w="650" w:type="dxa"/>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一级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528" w:type="dxa"/>
            <w:gridSpan w:val="6"/>
            <w:tcBorders>
              <w:tl2br w:val="nil"/>
              <w:tr2bl w:val="nil"/>
            </w:tcBorders>
            <w:tcMar>
              <w:left w:w="0" w:type="dxa"/>
              <w:right w:w="0" w:type="dxa"/>
            </w:tcMar>
            <w:vAlign w:val="center"/>
          </w:tcPr>
          <w:p>
            <w:pPr>
              <w:pStyle w:val="133"/>
              <w:spacing w:line="240" w:lineRule="auto"/>
              <w:rPr>
                <w:color w:val="auto"/>
                <w:kern w:val="2"/>
                <w:highlight w:val="none"/>
              </w:rPr>
            </w:pPr>
            <w:r>
              <w:rPr>
                <w:color w:val="auto"/>
                <w:kern w:val="2"/>
                <w:highlight w:val="none"/>
              </w:rPr>
              <w:t>五、环境管理要求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528" w:type="dxa"/>
            <w:gridSpan w:val="6"/>
            <w:tcBorders>
              <w:tl2br w:val="nil"/>
              <w:tr2bl w:val="nil"/>
            </w:tcBorders>
            <w:tcMar>
              <w:left w:w="0" w:type="dxa"/>
              <w:right w:w="0" w:type="dxa"/>
            </w:tcMar>
            <w:vAlign w:val="center"/>
          </w:tcPr>
          <w:p>
            <w:pPr>
              <w:pStyle w:val="133"/>
              <w:spacing w:line="240" w:lineRule="auto"/>
              <w:jc w:val="both"/>
              <w:rPr>
                <w:color w:val="auto"/>
                <w:kern w:val="2"/>
                <w:highlight w:val="none"/>
              </w:rPr>
            </w:pPr>
            <w:r>
              <w:rPr>
                <w:color w:val="auto"/>
                <w:kern w:val="2"/>
                <w:highlight w:val="none"/>
              </w:rPr>
              <w:t>严格按照《清洁生产标准铁矿采选业》（HJ/T294-2006）中的环境管理要求，组织实施清洁生产，确保达到国内铁矿行业清洁生产先进水平。</w:t>
            </w:r>
          </w:p>
        </w:tc>
      </w:tr>
    </w:tbl>
    <w:p>
      <w:pPr>
        <w:pStyle w:val="6"/>
        <w:numPr>
          <w:ilvl w:val="2"/>
          <w:numId w:val="1"/>
        </w:numPr>
        <w:spacing w:before="120" w:beforeLines="50"/>
        <w:rPr>
          <w:szCs w:val="28"/>
          <w:highlight w:val="none"/>
        </w:rPr>
      </w:pPr>
      <w:r>
        <w:rPr>
          <w:szCs w:val="28"/>
          <w:highlight w:val="none"/>
        </w:rPr>
        <w:t>清洁生产水平分析</w:t>
      </w:r>
    </w:p>
    <w:p>
      <w:pPr>
        <w:pStyle w:val="244"/>
        <w:widowControl w:val="0"/>
        <w:spacing w:line="360" w:lineRule="auto"/>
        <w:ind w:firstLine="480"/>
        <w:rPr>
          <w:rFonts w:cs="Times New Roman"/>
          <w:highlight w:val="none"/>
        </w:rPr>
      </w:pPr>
      <w:r>
        <w:rPr>
          <w:rFonts w:cs="Times New Roman"/>
          <w:highlight w:val="none"/>
        </w:rPr>
        <w:t>由表3.4-1可知，项目工艺装备指标均达到HJ/T294-2006</w:t>
      </w:r>
      <w:r>
        <w:rPr>
          <w:rFonts w:hint="eastAsia" w:cs="Times New Roman"/>
          <w:highlight w:val="none"/>
        </w:rPr>
        <w:t>三</w:t>
      </w:r>
      <w:r>
        <w:rPr>
          <w:rFonts w:cs="Times New Roman"/>
          <w:highlight w:val="none"/>
        </w:rPr>
        <w:t>级水平；水耗指标达到HJ/T294-2006</w:t>
      </w:r>
      <w:r>
        <w:rPr>
          <w:rFonts w:hint="eastAsia" w:cs="Times New Roman"/>
          <w:highlight w:val="none"/>
        </w:rPr>
        <w:t>一</w:t>
      </w:r>
      <w:r>
        <w:rPr>
          <w:rFonts w:cs="Times New Roman"/>
          <w:highlight w:val="none"/>
        </w:rPr>
        <w:t>级水平；电耗指标达到HJ/T294-2006二级水平；金属回收率达到HJ/T294-2006一级水平；污染物产生指标达到HJ/T294-2006一级水平；</w:t>
      </w:r>
      <w:r>
        <w:rPr>
          <w:rFonts w:cs="Times New Roman"/>
          <w:kern w:val="2"/>
          <w:highlight w:val="none"/>
        </w:rPr>
        <w:t>工业水重复利用率达到</w:t>
      </w:r>
      <w:r>
        <w:rPr>
          <w:rFonts w:cs="Times New Roman"/>
          <w:highlight w:val="none"/>
        </w:rPr>
        <w:t>HJ/T294-2006二级水平</w:t>
      </w:r>
      <w:r>
        <w:rPr>
          <w:rFonts w:cs="Times New Roman"/>
          <w:kern w:val="2"/>
          <w:highlight w:val="none"/>
        </w:rPr>
        <w:t>，</w:t>
      </w:r>
      <w:r>
        <w:rPr>
          <w:rFonts w:cs="Times New Roman"/>
          <w:highlight w:val="none"/>
        </w:rPr>
        <w:t>尾矿综合利用率达到HJ/T294-2006一级水平；环境管理要求达二级水平。</w:t>
      </w:r>
    </w:p>
    <w:p>
      <w:pPr>
        <w:pStyle w:val="6"/>
        <w:numPr>
          <w:ilvl w:val="2"/>
          <w:numId w:val="1"/>
        </w:numPr>
        <w:rPr>
          <w:szCs w:val="28"/>
          <w:highlight w:val="none"/>
        </w:rPr>
      </w:pPr>
      <w:r>
        <w:rPr>
          <w:szCs w:val="28"/>
          <w:highlight w:val="none"/>
        </w:rPr>
        <w:t>国内同行业类比分析</w:t>
      </w:r>
    </w:p>
    <w:p>
      <w:pPr>
        <w:pStyle w:val="244"/>
        <w:spacing w:line="360" w:lineRule="auto"/>
        <w:ind w:firstLine="480"/>
        <w:rPr>
          <w:rFonts w:cs="Times New Roman"/>
          <w:highlight w:val="none"/>
        </w:rPr>
      </w:pPr>
      <w:r>
        <w:rPr>
          <w:rFonts w:cs="Times New Roman"/>
          <w:highlight w:val="none"/>
        </w:rPr>
        <w:t>项目所用原料铁矿石矿物组分简单，项目采用破碎</w:t>
      </w:r>
      <w:r>
        <w:rPr>
          <w:rFonts w:hint="eastAsia" w:cs="Times New Roman"/>
          <w:highlight w:val="none"/>
        </w:rPr>
        <w:t>、筛分</w:t>
      </w:r>
      <w:r>
        <w:rPr>
          <w:rFonts w:cs="Times New Roman"/>
          <w:highlight w:val="none"/>
        </w:rPr>
        <w:t>、球磨、磁选工艺，在生产过程中不添加任何药剂，为传统工艺，技术较为成熟；类比同类行业项目，本项目基本达到国内清洁生产先进水平。</w:t>
      </w:r>
    </w:p>
    <w:p>
      <w:pPr>
        <w:ind w:firstLine="480"/>
        <w:jc w:val="both"/>
        <w:rPr>
          <w:sz w:val="24"/>
          <w:highlight w:val="none"/>
        </w:rPr>
      </w:pPr>
      <w:r>
        <w:rPr>
          <w:sz w:val="24"/>
          <w:highlight w:val="none"/>
        </w:rPr>
        <w:t>项目在运行过程中，应不断加强生产技术和设备管理，切实做好环境保护工作，进一步净化环境，控制生产过程中的无组织排放，杜绝“跑、冒、滴、漏”，本次评价提出如下建议：</w:t>
      </w:r>
    </w:p>
    <w:p>
      <w:pPr>
        <w:ind w:firstLine="480"/>
        <w:rPr>
          <w:sz w:val="24"/>
          <w:highlight w:val="none"/>
        </w:rPr>
      </w:pPr>
      <w:r>
        <w:rPr>
          <w:sz w:val="24"/>
          <w:highlight w:val="none"/>
        </w:rPr>
        <w:t>（1）充分利用好各种资源、能源，提高原料、能源利用率，减少废弃物的产生。</w:t>
      </w:r>
    </w:p>
    <w:p>
      <w:pPr>
        <w:ind w:firstLine="480"/>
        <w:rPr>
          <w:sz w:val="24"/>
          <w:highlight w:val="none"/>
        </w:rPr>
      </w:pPr>
      <w:r>
        <w:rPr>
          <w:sz w:val="24"/>
          <w:highlight w:val="none"/>
        </w:rPr>
        <w:t>（2）生产过程严格按工艺要求稳定工艺操作，减少无序排放，避免对大气造成污染。</w:t>
      </w:r>
    </w:p>
    <w:p>
      <w:pPr>
        <w:ind w:firstLine="480"/>
        <w:rPr>
          <w:sz w:val="24"/>
          <w:highlight w:val="none"/>
        </w:rPr>
      </w:pPr>
      <w:r>
        <w:rPr>
          <w:sz w:val="24"/>
          <w:highlight w:val="none"/>
        </w:rPr>
        <w:t>（3）加强各物料机泵的维护保养，定期换机械密封，凡是通过检修、更换设备能够解决污染问题的，要及时停产检修、更换设备，绝不能带“病”作业。</w:t>
      </w:r>
    </w:p>
    <w:p>
      <w:pPr>
        <w:ind w:firstLine="480"/>
        <w:rPr>
          <w:sz w:val="24"/>
          <w:highlight w:val="none"/>
        </w:rPr>
      </w:pPr>
      <w:r>
        <w:rPr>
          <w:sz w:val="24"/>
          <w:highlight w:val="none"/>
        </w:rPr>
        <w:t>（4）必须认真按照生产工艺要求，加强巡检，发现各阀门、流量计、控制仪表、工艺管线等有滴漏现象，应及时处理，杜绝“跑、冒、滴、漏”现象。</w:t>
      </w:r>
    </w:p>
    <w:p>
      <w:pPr>
        <w:ind w:firstLine="480"/>
        <w:rPr>
          <w:sz w:val="24"/>
          <w:highlight w:val="none"/>
        </w:rPr>
      </w:pPr>
      <w:r>
        <w:rPr>
          <w:sz w:val="24"/>
          <w:highlight w:val="none"/>
        </w:rPr>
        <w:t>（5）一旦出现“跑、冒、滴、漏”现象，工作人员应及时采取合理有效的补救措施，杜绝环境污染事故的发生。</w:t>
      </w:r>
    </w:p>
    <w:p>
      <w:pPr>
        <w:ind w:firstLine="480"/>
        <w:rPr>
          <w:sz w:val="24"/>
          <w:highlight w:val="none"/>
        </w:rPr>
      </w:pPr>
      <w:r>
        <w:rPr>
          <w:sz w:val="24"/>
          <w:highlight w:val="none"/>
        </w:rPr>
        <w:t>（6）生产装备符合相关清洁生产标准中国内清洁生产先进要求，设备运行无故障，设备完好率要保持在98%以上。</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230" w:name="_Toc29117"/>
      <w:bookmarkStart w:id="231" w:name="_Toc20379"/>
      <w:r>
        <w:rPr>
          <w:rFonts w:hint="eastAsia" w:ascii="Times New Roman" w:hAnsi="Times New Roman" w:eastAsia="宋体"/>
          <w:bCs w:val="0"/>
          <w:snapToGrid w:val="0"/>
          <w:kern w:val="0"/>
          <w:sz w:val="28"/>
          <w:szCs w:val="28"/>
          <w:highlight w:val="none"/>
        </w:rPr>
        <w:t>污染物排放量“三本账”</w:t>
      </w:r>
      <w:bookmarkEnd w:id="230"/>
      <w:bookmarkEnd w:id="231"/>
    </w:p>
    <w:p>
      <w:pPr>
        <w:ind w:firstLine="480"/>
        <w:rPr>
          <w:sz w:val="24"/>
          <w:szCs w:val="24"/>
          <w:highlight w:val="none"/>
        </w:rPr>
      </w:pPr>
      <w:r>
        <w:rPr>
          <w:rFonts w:hint="eastAsia"/>
          <w:sz w:val="24"/>
          <w:szCs w:val="24"/>
          <w:highlight w:val="none"/>
        </w:rPr>
        <w:t>本项目实施后全厂污染物排放量“三本账”见表3.6-1。</w:t>
      </w:r>
    </w:p>
    <w:p>
      <w:pPr>
        <w:ind w:firstLine="420"/>
        <w:jc w:val="center"/>
        <w:rPr>
          <w:rFonts w:eastAsia="黑体"/>
          <w:kern w:val="2"/>
          <w:sz w:val="21"/>
          <w:szCs w:val="21"/>
          <w:highlight w:val="none"/>
        </w:rPr>
      </w:pPr>
      <w:r>
        <w:rPr>
          <w:rFonts w:hint="eastAsia" w:eastAsia="黑体"/>
          <w:kern w:val="2"/>
          <w:sz w:val="21"/>
          <w:szCs w:val="21"/>
          <w:highlight w:val="none"/>
        </w:rPr>
        <w:t>表</w:t>
      </w:r>
      <w:r>
        <w:rPr>
          <w:rFonts w:eastAsia="黑体"/>
          <w:kern w:val="2"/>
          <w:sz w:val="21"/>
          <w:szCs w:val="21"/>
          <w:highlight w:val="none"/>
        </w:rPr>
        <w:t xml:space="preserve"> 3.</w:t>
      </w:r>
      <w:r>
        <w:rPr>
          <w:rFonts w:hint="eastAsia" w:eastAsia="黑体"/>
          <w:kern w:val="2"/>
          <w:sz w:val="21"/>
          <w:szCs w:val="21"/>
          <w:highlight w:val="none"/>
        </w:rPr>
        <w:t>6-1</w:t>
      </w:r>
      <w:r>
        <w:rPr>
          <w:rFonts w:eastAsia="黑体"/>
          <w:kern w:val="2"/>
          <w:sz w:val="21"/>
          <w:szCs w:val="21"/>
          <w:highlight w:val="none"/>
        </w:rPr>
        <w:t xml:space="preserve">   </w:t>
      </w:r>
      <w:r>
        <w:rPr>
          <w:rFonts w:hint="eastAsia" w:eastAsia="黑体"/>
          <w:kern w:val="2"/>
          <w:sz w:val="21"/>
          <w:szCs w:val="21"/>
          <w:highlight w:val="none"/>
        </w:rPr>
        <w:t>改扩建工程实施后全厂污染排放量“三本账”</w:t>
      </w:r>
      <w:r>
        <w:rPr>
          <w:rFonts w:eastAsia="黑体"/>
          <w:kern w:val="2"/>
          <w:sz w:val="21"/>
          <w:szCs w:val="21"/>
          <w:highlight w:val="none"/>
        </w:rPr>
        <w:t xml:space="preserve"> </w:t>
      </w:r>
      <w:r>
        <w:rPr>
          <w:rFonts w:hint="eastAsia" w:eastAsia="黑体"/>
          <w:kern w:val="2"/>
          <w:sz w:val="21"/>
          <w:szCs w:val="21"/>
          <w:highlight w:val="none"/>
        </w:rPr>
        <w:t>单位</w:t>
      </w:r>
      <w:r>
        <w:rPr>
          <w:rFonts w:eastAsia="黑体"/>
          <w:kern w:val="2"/>
          <w:sz w:val="21"/>
          <w:szCs w:val="21"/>
          <w:highlight w:val="none"/>
        </w:rPr>
        <w:t xml:space="preserve"> t/a</w:t>
      </w:r>
    </w:p>
    <w:tbl>
      <w:tblPr>
        <w:tblStyle w:val="5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1485"/>
        <w:gridCol w:w="1651"/>
        <w:gridCol w:w="1337"/>
        <w:gridCol w:w="964"/>
        <w:gridCol w:w="10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vMerge w:val="restart"/>
          </w:tcPr>
          <w:p>
            <w:pPr>
              <w:spacing w:line="240" w:lineRule="auto"/>
              <w:ind w:firstLine="0" w:firstLineChars="0"/>
              <w:jc w:val="center"/>
              <w:rPr>
                <w:bCs/>
                <w:sz w:val="21"/>
                <w:szCs w:val="21"/>
                <w:highlight w:val="none"/>
              </w:rPr>
            </w:pPr>
            <w:r>
              <w:rPr>
                <w:rFonts w:hint="eastAsia"/>
                <w:bCs/>
                <w:sz w:val="21"/>
                <w:szCs w:val="21"/>
                <w:highlight w:val="none"/>
              </w:rPr>
              <w:t>项目</w:t>
            </w:r>
          </w:p>
        </w:tc>
        <w:tc>
          <w:tcPr>
            <w:tcW w:w="3136" w:type="dxa"/>
            <w:gridSpan w:val="2"/>
          </w:tcPr>
          <w:p>
            <w:pPr>
              <w:spacing w:line="240" w:lineRule="auto"/>
              <w:ind w:firstLine="420"/>
              <w:jc w:val="center"/>
              <w:rPr>
                <w:bCs/>
                <w:sz w:val="21"/>
                <w:szCs w:val="21"/>
                <w:highlight w:val="none"/>
              </w:rPr>
            </w:pPr>
            <w:r>
              <w:rPr>
                <w:rFonts w:hint="eastAsia"/>
                <w:bCs/>
                <w:sz w:val="21"/>
                <w:szCs w:val="21"/>
                <w:highlight w:val="none"/>
              </w:rPr>
              <w:t>废水污染物</w:t>
            </w:r>
          </w:p>
        </w:tc>
        <w:tc>
          <w:tcPr>
            <w:tcW w:w="3368" w:type="dxa"/>
            <w:gridSpan w:val="3"/>
          </w:tcPr>
          <w:p>
            <w:pPr>
              <w:spacing w:line="240" w:lineRule="auto"/>
              <w:ind w:firstLine="420"/>
              <w:jc w:val="both"/>
              <w:rPr>
                <w:bCs/>
                <w:sz w:val="21"/>
                <w:szCs w:val="21"/>
                <w:highlight w:val="none"/>
              </w:rPr>
            </w:pPr>
            <w:r>
              <w:rPr>
                <w:rFonts w:hint="eastAsia"/>
                <w:bCs/>
                <w:sz w:val="21"/>
                <w:szCs w:val="21"/>
                <w:highlight w:val="none"/>
              </w:rPr>
              <w:t>大气污染物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vMerge w:val="continue"/>
            <w:vAlign w:val="center"/>
          </w:tcPr>
          <w:p>
            <w:pPr>
              <w:spacing w:line="240" w:lineRule="auto"/>
              <w:ind w:firstLine="0" w:firstLineChars="0"/>
              <w:jc w:val="center"/>
              <w:rPr>
                <w:bCs/>
                <w:sz w:val="21"/>
                <w:szCs w:val="21"/>
                <w:highlight w:val="none"/>
              </w:rPr>
            </w:pPr>
          </w:p>
        </w:tc>
        <w:tc>
          <w:tcPr>
            <w:tcW w:w="1485" w:type="dxa"/>
          </w:tcPr>
          <w:p>
            <w:pPr>
              <w:spacing w:line="240" w:lineRule="auto"/>
              <w:ind w:firstLine="0" w:firstLineChars="0"/>
              <w:jc w:val="center"/>
              <w:rPr>
                <w:bCs/>
                <w:sz w:val="21"/>
                <w:szCs w:val="21"/>
                <w:highlight w:val="none"/>
              </w:rPr>
            </w:pPr>
            <w:r>
              <w:rPr>
                <w:bCs/>
                <w:sz w:val="21"/>
                <w:szCs w:val="21"/>
                <w:highlight w:val="none"/>
              </w:rPr>
              <w:t>COD</w:t>
            </w:r>
          </w:p>
        </w:tc>
        <w:tc>
          <w:tcPr>
            <w:tcW w:w="1651" w:type="dxa"/>
          </w:tcPr>
          <w:p>
            <w:pPr>
              <w:spacing w:line="240" w:lineRule="auto"/>
              <w:ind w:firstLine="0" w:firstLineChars="0"/>
              <w:jc w:val="center"/>
              <w:rPr>
                <w:bCs/>
                <w:sz w:val="21"/>
                <w:szCs w:val="21"/>
                <w:highlight w:val="none"/>
              </w:rPr>
            </w:pPr>
            <w:r>
              <w:rPr>
                <w:rFonts w:hint="eastAsia"/>
                <w:bCs/>
                <w:sz w:val="21"/>
                <w:szCs w:val="21"/>
                <w:highlight w:val="none"/>
              </w:rPr>
              <w:t>氨氮</w:t>
            </w:r>
          </w:p>
        </w:tc>
        <w:tc>
          <w:tcPr>
            <w:tcW w:w="1337" w:type="dxa"/>
          </w:tcPr>
          <w:p>
            <w:pPr>
              <w:spacing w:line="240" w:lineRule="auto"/>
              <w:ind w:firstLine="0" w:firstLineChars="0"/>
              <w:jc w:val="center"/>
              <w:rPr>
                <w:bCs/>
                <w:sz w:val="21"/>
                <w:szCs w:val="21"/>
                <w:highlight w:val="none"/>
              </w:rPr>
            </w:pPr>
            <w:r>
              <w:rPr>
                <w:bCs/>
                <w:sz w:val="21"/>
                <w:szCs w:val="21"/>
                <w:highlight w:val="none"/>
              </w:rPr>
              <w:t>SO</w:t>
            </w:r>
            <w:r>
              <w:rPr>
                <w:bCs/>
                <w:sz w:val="21"/>
                <w:szCs w:val="21"/>
                <w:highlight w:val="none"/>
                <w:vertAlign w:val="subscript"/>
              </w:rPr>
              <w:t>2</w:t>
            </w:r>
          </w:p>
        </w:tc>
        <w:tc>
          <w:tcPr>
            <w:tcW w:w="964" w:type="dxa"/>
          </w:tcPr>
          <w:p>
            <w:pPr>
              <w:spacing w:line="240" w:lineRule="auto"/>
              <w:ind w:firstLine="0" w:firstLineChars="0"/>
              <w:jc w:val="center"/>
              <w:rPr>
                <w:bCs/>
                <w:sz w:val="21"/>
                <w:szCs w:val="21"/>
                <w:highlight w:val="none"/>
              </w:rPr>
            </w:pPr>
            <w:r>
              <w:rPr>
                <w:bCs/>
                <w:sz w:val="21"/>
                <w:szCs w:val="21"/>
                <w:highlight w:val="none"/>
              </w:rPr>
              <w:t>NO</w:t>
            </w:r>
            <w:r>
              <w:rPr>
                <w:bCs/>
                <w:sz w:val="21"/>
                <w:szCs w:val="21"/>
                <w:highlight w:val="none"/>
                <w:vertAlign w:val="subscript"/>
              </w:rPr>
              <w:t>x</w:t>
            </w:r>
          </w:p>
        </w:tc>
        <w:tc>
          <w:tcPr>
            <w:tcW w:w="1067" w:type="dxa"/>
          </w:tcPr>
          <w:p>
            <w:pPr>
              <w:spacing w:line="240" w:lineRule="auto"/>
              <w:ind w:firstLine="0" w:firstLineChars="0"/>
              <w:jc w:val="center"/>
              <w:rPr>
                <w:bCs/>
                <w:sz w:val="21"/>
                <w:szCs w:val="21"/>
                <w:highlight w:val="none"/>
              </w:rPr>
            </w:pPr>
            <w:r>
              <w:rPr>
                <w:rFonts w:hint="eastAsia"/>
                <w:bCs/>
                <w:sz w:val="21"/>
                <w:szCs w:val="21"/>
                <w:highlight w:val="none"/>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vAlign w:val="center"/>
          </w:tcPr>
          <w:p>
            <w:pPr>
              <w:spacing w:line="240" w:lineRule="auto"/>
              <w:ind w:firstLine="0" w:firstLineChars="0"/>
              <w:jc w:val="center"/>
              <w:rPr>
                <w:bCs/>
                <w:sz w:val="21"/>
                <w:szCs w:val="21"/>
                <w:highlight w:val="none"/>
              </w:rPr>
            </w:pPr>
            <w:r>
              <w:rPr>
                <w:rFonts w:hint="eastAsia"/>
                <w:bCs/>
                <w:sz w:val="21"/>
                <w:szCs w:val="21"/>
                <w:highlight w:val="none"/>
              </w:rPr>
              <w:t>现有工程排放量</w:t>
            </w:r>
          </w:p>
        </w:tc>
        <w:tc>
          <w:tcPr>
            <w:tcW w:w="1485" w:type="dxa"/>
          </w:tcPr>
          <w:p>
            <w:pPr>
              <w:spacing w:line="240" w:lineRule="auto"/>
              <w:ind w:firstLine="0" w:firstLineChars="0"/>
              <w:jc w:val="center"/>
              <w:rPr>
                <w:bCs/>
                <w:sz w:val="21"/>
                <w:szCs w:val="21"/>
                <w:highlight w:val="none"/>
              </w:rPr>
            </w:pPr>
            <w:r>
              <w:rPr>
                <w:bCs/>
                <w:sz w:val="21"/>
                <w:szCs w:val="21"/>
                <w:highlight w:val="none"/>
              </w:rPr>
              <w:t>0</w:t>
            </w:r>
          </w:p>
        </w:tc>
        <w:tc>
          <w:tcPr>
            <w:tcW w:w="1651" w:type="dxa"/>
          </w:tcPr>
          <w:p>
            <w:pPr>
              <w:spacing w:line="240" w:lineRule="auto"/>
              <w:ind w:firstLine="0" w:firstLineChars="0"/>
              <w:jc w:val="center"/>
              <w:rPr>
                <w:bCs/>
                <w:sz w:val="21"/>
                <w:szCs w:val="21"/>
                <w:highlight w:val="none"/>
              </w:rPr>
            </w:pPr>
            <w:r>
              <w:rPr>
                <w:bCs/>
                <w:sz w:val="21"/>
                <w:szCs w:val="21"/>
                <w:highlight w:val="none"/>
              </w:rPr>
              <w:t>0</w:t>
            </w:r>
          </w:p>
        </w:tc>
        <w:tc>
          <w:tcPr>
            <w:tcW w:w="1337" w:type="dxa"/>
          </w:tcPr>
          <w:p>
            <w:pPr>
              <w:spacing w:line="240" w:lineRule="auto"/>
              <w:ind w:firstLine="0" w:firstLineChars="0"/>
              <w:jc w:val="center"/>
              <w:rPr>
                <w:bCs/>
                <w:sz w:val="21"/>
                <w:szCs w:val="21"/>
                <w:highlight w:val="none"/>
              </w:rPr>
            </w:pPr>
            <w:r>
              <w:rPr>
                <w:bCs/>
                <w:sz w:val="21"/>
                <w:szCs w:val="21"/>
                <w:highlight w:val="none"/>
              </w:rPr>
              <w:t>0</w:t>
            </w:r>
          </w:p>
        </w:tc>
        <w:tc>
          <w:tcPr>
            <w:tcW w:w="964" w:type="dxa"/>
          </w:tcPr>
          <w:p>
            <w:pPr>
              <w:spacing w:line="240" w:lineRule="auto"/>
              <w:ind w:firstLine="0" w:firstLineChars="0"/>
              <w:jc w:val="center"/>
              <w:rPr>
                <w:bCs/>
                <w:sz w:val="21"/>
                <w:szCs w:val="21"/>
                <w:highlight w:val="none"/>
              </w:rPr>
            </w:pPr>
            <w:r>
              <w:rPr>
                <w:bCs/>
                <w:sz w:val="21"/>
                <w:szCs w:val="21"/>
                <w:highlight w:val="none"/>
              </w:rPr>
              <w:t>0</w:t>
            </w:r>
          </w:p>
        </w:tc>
        <w:tc>
          <w:tcPr>
            <w:tcW w:w="1067" w:type="dxa"/>
          </w:tcPr>
          <w:p>
            <w:pPr>
              <w:spacing w:line="240" w:lineRule="auto"/>
              <w:ind w:firstLine="0" w:firstLineChars="0"/>
              <w:jc w:val="center"/>
              <w:rPr>
                <w:bCs/>
                <w:sz w:val="21"/>
                <w:szCs w:val="21"/>
                <w:highlight w:val="none"/>
              </w:rPr>
            </w:pPr>
            <w:r>
              <w:rPr>
                <w:rFonts w:hint="eastAsia"/>
                <w:bCs/>
                <w:sz w:val="21"/>
                <w:szCs w:val="21"/>
                <w:highlight w:val="none"/>
              </w:rPr>
              <w:t>3.019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vAlign w:val="center"/>
          </w:tcPr>
          <w:p>
            <w:pPr>
              <w:spacing w:line="240" w:lineRule="auto"/>
              <w:ind w:firstLine="0" w:firstLineChars="0"/>
              <w:jc w:val="center"/>
              <w:rPr>
                <w:bCs/>
                <w:sz w:val="21"/>
                <w:szCs w:val="21"/>
                <w:highlight w:val="none"/>
              </w:rPr>
            </w:pPr>
            <w:r>
              <w:rPr>
                <w:rFonts w:hint="eastAsia"/>
                <w:bCs/>
                <w:sz w:val="21"/>
                <w:szCs w:val="21"/>
                <w:highlight w:val="none"/>
              </w:rPr>
              <w:t>改扩建工程排放量</w:t>
            </w:r>
          </w:p>
        </w:tc>
        <w:tc>
          <w:tcPr>
            <w:tcW w:w="1485"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651"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337"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964"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067" w:type="dxa"/>
          </w:tcPr>
          <w:p>
            <w:pPr>
              <w:spacing w:line="240" w:lineRule="auto"/>
              <w:ind w:firstLine="0" w:firstLineChars="0"/>
              <w:jc w:val="center"/>
              <w:rPr>
                <w:bCs/>
                <w:sz w:val="21"/>
                <w:szCs w:val="21"/>
                <w:highlight w:val="none"/>
              </w:rPr>
            </w:pPr>
            <w:r>
              <w:rPr>
                <w:rFonts w:hint="eastAsia"/>
                <w:bCs/>
                <w:sz w:val="21"/>
                <w:szCs w:val="21"/>
                <w:highlight w:val="none"/>
              </w:rPr>
              <w:t>1.448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vAlign w:val="center"/>
          </w:tcPr>
          <w:p>
            <w:pPr>
              <w:spacing w:line="240" w:lineRule="auto"/>
              <w:ind w:firstLine="0" w:firstLineChars="0"/>
              <w:jc w:val="center"/>
              <w:rPr>
                <w:bCs/>
                <w:sz w:val="21"/>
                <w:szCs w:val="21"/>
                <w:highlight w:val="none"/>
              </w:rPr>
            </w:pPr>
            <w:r>
              <w:rPr>
                <w:rFonts w:hint="eastAsia"/>
                <w:bCs/>
                <w:sz w:val="21"/>
                <w:szCs w:val="21"/>
                <w:highlight w:val="none"/>
              </w:rPr>
              <w:t>以新带老削减量</w:t>
            </w:r>
          </w:p>
        </w:tc>
        <w:tc>
          <w:tcPr>
            <w:tcW w:w="1485"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651"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337"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964"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067" w:type="dxa"/>
          </w:tcPr>
          <w:p>
            <w:pPr>
              <w:spacing w:line="240" w:lineRule="auto"/>
              <w:ind w:firstLine="0" w:firstLineChars="0"/>
              <w:jc w:val="center"/>
              <w:rPr>
                <w:bCs/>
                <w:sz w:val="21"/>
                <w:szCs w:val="21"/>
                <w:highlight w:val="none"/>
              </w:rPr>
            </w:pPr>
            <w:r>
              <w:rPr>
                <w:rFonts w:hint="eastAsia"/>
                <w:bCs/>
                <w:sz w:val="21"/>
                <w:szCs w:val="21"/>
                <w:highlight w:val="none"/>
              </w:rPr>
              <w:t>3.019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vAlign w:val="center"/>
          </w:tcPr>
          <w:p>
            <w:pPr>
              <w:spacing w:line="240" w:lineRule="auto"/>
              <w:ind w:firstLine="0" w:firstLineChars="0"/>
              <w:jc w:val="center"/>
              <w:rPr>
                <w:bCs/>
                <w:sz w:val="21"/>
                <w:szCs w:val="21"/>
                <w:highlight w:val="none"/>
              </w:rPr>
            </w:pPr>
            <w:r>
              <w:rPr>
                <w:rFonts w:hint="eastAsia"/>
                <w:bCs/>
                <w:sz w:val="21"/>
                <w:szCs w:val="21"/>
                <w:highlight w:val="none"/>
              </w:rPr>
              <w:t>全厂排放量</w:t>
            </w:r>
          </w:p>
        </w:tc>
        <w:tc>
          <w:tcPr>
            <w:tcW w:w="1485"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651"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337"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964"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067" w:type="dxa"/>
          </w:tcPr>
          <w:p>
            <w:pPr>
              <w:spacing w:line="240" w:lineRule="auto"/>
              <w:ind w:firstLine="0" w:firstLineChars="0"/>
              <w:jc w:val="center"/>
              <w:rPr>
                <w:bCs/>
                <w:sz w:val="21"/>
                <w:szCs w:val="21"/>
                <w:highlight w:val="none"/>
              </w:rPr>
            </w:pPr>
            <w:r>
              <w:rPr>
                <w:rFonts w:hint="eastAsia"/>
                <w:bCs/>
                <w:sz w:val="21"/>
                <w:szCs w:val="21"/>
                <w:highlight w:val="none"/>
              </w:rPr>
              <w:t>1.448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vAlign w:val="center"/>
          </w:tcPr>
          <w:p>
            <w:pPr>
              <w:spacing w:line="240" w:lineRule="auto"/>
              <w:ind w:firstLine="0" w:firstLineChars="0"/>
              <w:jc w:val="center"/>
              <w:rPr>
                <w:bCs/>
                <w:sz w:val="21"/>
                <w:szCs w:val="21"/>
                <w:highlight w:val="none"/>
              </w:rPr>
            </w:pPr>
            <w:r>
              <w:rPr>
                <w:rFonts w:hint="eastAsia"/>
                <w:bCs/>
                <w:sz w:val="21"/>
                <w:szCs w:val="21"/>
                <w:highlight w:val="none"/>
              </w:rPr>
              <w:t>排放增减量</w:t>
            </w:r>
          </w:p>
        </w:tc>
        <w:tc>
          <w:tcPr>
            <w:tcW w:w="1485"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651"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337"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964" w:type="dxa"/>
          </w:tcPr>
          <w:p>
            <w:pPr>
              <w:spacing w:line="240" w:lineRule="auto"/>
              <w:ind w:firstLine="0" w:firstLineChars="0"/>
              <w:jc w:val="center"/>
              <w:rPr>
                <w:bCs/>
                <w:sz w:val="21"/>
                <w:szCs w:val="21"/>
                <w:highlight w:val="none"/>
              </w:rPr>
            </w:pPr>
            <w:r>
              <w:rPr>
                <w:rFonts w:hint="eastAsia"/>
                <w:bCs/>
                <w:sz w:val="21"/>
                <w:szCs w:val="21"/>
                <w:highlight w:val="none"/>
              </w:rPr>
              <w:t>0</w:t>
            </w:r>
          </w:p>
        </w:tc>
        <w:tc>
          <w:tcPr>
            <w:tcW w:w="1067" w:type="dxa"/>
          </w:tcPr>
          <w:p>
            <w:pPr>
              <w:spacing w:line="240" w:lineRule="auto"/>
              <w:ind w:firstLine="0" w:firstLineChars="0"/>
              <w:jc w:val="center"/>
              <w:rPr>
                <w:bCs/>
                <w:sz w:val="21"/>
                <w:szCs w:val="21"/>
                <w:highlight w:val="none"/>
              </w:rPr>
            </w:pPr>
            <w:r>
              <w:rPr>
                <w:rFonts w:hint="eastAsia"/>
                <w:bCs/>
                <w:sz w:val="21"/>
                <w:szCs w:val="21"/>
                <w:highlight w:val="none"/>
              </w:rPr>
              <w:t>-1.571</w:t>
            </w:r>
          </w:p>
        </w:tc>
      </w:tr>
    </w:tbl>
    <w:p>
      <w:pPr>
        <w:spacing w:before="120" w:beforeLines="50"/>
        <w:ind w:firstLine="480"/>
        <w:rPr>
          <w:sz w:val="24"/>
          <w:szCs w:val="24"/>
          <w:highlight w:val="none"/>
        </w:rPr>
        <w:sectPr>
          <w:pgSz w:w="11906" w:h="16838"/>
          <w:pgMar w:top="993" w:right="1797" w:bottom="1134" w:left="1797" w:header="851" w:footer="992" w:gutter="0"/>
          <w:cols w:space="720" w:num="1"/>
          <w:docGrid w:linePitch="312" w:charSpace="0"/>
        </w:sectPr>
      </w:pPr>
    </w:p>
    <w:p>
      <w:pPr>
        <w:pStyle w:val="4"/>
        <w:numPr>
          <w:ilvl w:val="0"/>
          <w:numId w:val="1"/>
        </w:numPr>
        <w:rPr>
          <w:rFonts w:ascii="Times New Roman"/>
          <w:sz w:val="36"/>
          <w:highlight w:val="none"/>
        </w:rPr>
      </w:pPr>
      <w:bookmarkStart w:id="232" w:name="_Toc503218107"/>
      <w:bookmarkStart w:id="233" w:name="_Toc521591772"/>
      <w:bookmarkStart w:id="234" w:name="_Toc27468"/>
      <w:bookmarkStart w:id="235" w:name="_Toc2970"/>
      <w:bookmarkStart w:id="236" w:name="_Toc19844"/>
      <w:bookmarkStart w:id="237" w:name="_Toc499651408"/>
      <w:bookmarkStart w:id="238" w:name="_Toc476574695"/>
      <w:bookmarkStart w:id="239" w:name="_Toc928"/>
      <w:bookmarkStart w:id="240" w:name="_Toc524284668"/>
      <w:r>
        <w:rPr>
          <w:rFonts w:ascii="Times New Roman"/>
          <w:sz w:val="36"/>
          <w:highlight w:val="none"/>
        </w:rPr>
        <w:t>环境现状调查与评价</w:t>
      </w:r>
      <w:bookmarkEnd w:id="232"/>
      <w:bookmarkEnd w:id="233"/>
      <w:bookmarkEnd w:id="234"/>
      <w:bookmarkEnd w:id="235"/>
      <w:bookmarkEnd w:id="236"/>
      <w:bookmarkEnd w:id="237"/>
      <w:bookmarkEnd w:id="238"/>
      <w:bookmarkEnd w:id="239"/>
      <w:bookmarkEnd w:id="240"/>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241" w:name="_Toc31686"/>
      <w:bookmarkStart w:id="242" w:name="_Toc11554"/>
      <w:bookmarkStart w:id="243" w:name="_Toc524284669"/>
      <w:bookmarkStart w:id="244" w:name="_Toc6705"/>
      <w:bookmarkStart w:id="245" w:name="_Toc12750"/>
      <w:bookmarkStart w:id="246" w:name="_Toc521591773"/>
      <w:bookmarkStart w:id="247" w:name="_Toc30561"/>
      <w:bookmarkStart w:id="248" w:name="_Toc399486901"/>
      <w:bookmarkStart w:id="249" w:name="_Toc476574696"/>
      <w:bookmarkStart w:id="250" w:name="_Toc11419"/>
      <w:bookmarkStart w:id="251" w:name="_Toc499651409"/>
      <w:bookmarkStart w:id="252" w:name="_Toc503218108"/>
      <w:bookmarkStart w:id="253" w:name="_Toc468636397"/>
      <w:bookmarkStart w:id="254" w:name="_Toc391912273"/>
      <w:bookmarkStart w:id="255" w:name="_Toc25835"/>
      <w:r>
        <w:rPr>
          <w:rFonts w:ascii="Times New Roman" w:hAnsi="Times New Roman" w:eastAsia="宋体"/>
          <w:bCs w:val="0"/>
          <w:snapToGrid w:val="0"/>
          <w:kern w:val="0"/>
          <w:sz w:val="28"/>
          <w:szCs w:val="28"/>
          <w:highlight w:val="none"/>
        </w:rPr>
        <w:t>自然环境概况</w:t>
      </w:r>
      <w:bookmarkEnd w:id="241"/>
      <w:bookmarkEnd w:id="242"/>
      <w:bookmarkEnd w:id="243"/>
      <w:bookmarkEnd w:id="244"/>
      <w:bookmarkEnd w:id="245"/>
      <w:bookmarkEnd w:id="246"/>
    </w:p>
    <w:p>
      <w:pPr>
        <w:pStyle w:val="6"/>
        <w:numPr>
          <w:ilvl w:val="2"/>
          <w:numId w:val="1"/>
        </w:numPr>
        <w:rPr>
          <w:szCs w:val="28"/>
          <w:highlight w:val="none"/>
        </w:rPr>
      </w:pPr>
      <w:bookmarkStart w:id="256" w:name="_Toc521591774"/>
      <w:bookmarkStart w:id="257" w:name="_Toc10118"/>
      <w:r>
        <w:rPr>
          <w:szCs w:val="28"/>
          <w:highlight w:val="none"/>
        </w:rPr>
        <w:t>地理位置</w:t>
      </w:r>
      <w:bookmarkEnd w:id="256"/>
      <w:bookmarkEnd w:id="257"/>
    </w:p>
    <w:p>
      <w:pPr>
        <w:ind w:firstLine="480"/>
        <w:jc w:val="both"/>
        <w:rPr>
          <w:bCs/>
          <w:sz w:val="24"/>
          <w:szCs w:val="24"/>
          <w:highlight w:val="none"/>
        </w:rPr>
      </w:pPr>
      <w:r>
        <w:rPr>
          <w:bCs/>
          <w:sz w:val="24"/>
          <w:szCs w:val="24"/>
          <w:highlight w:val="none"/>
        </w:rPr>
        <w:t>遵化市位于河北省东北部燕山南麓古长城脚下，地处北纬39°55′-40°22′，东经117°34′-118°14′之间，北以长城为界与承德地区兴隆县相依，西与天津蓟县相连，东与迁西县交界，南与丰润、玉田两县接壤。东西长53km，南北宽43km，总面积1521km</w:t>
      </w:r>
      <w:r>
        <w:rPr>
          <w:bCs/>
          <w:sz w:val="24"/>
          <w:szCs w:val="24"/>
          <w:highlight w:val="none"/>
          <w:vertAlign w:val="superscript"/>
        </w:rPr>
        <w:t>2</w:t>
      </w:r>
      <w:r>
        <w:rPr>
          <w:bCs/>
          <w:sz w:val="24"/>
          <w:szCs w:val="24"/>
          <w:highlight w:val="none"/>
        </w:rPr>
        <w:t>。遵化市区位于市域中部偏北，距首都北京140km，距省会石家庄380km，距唐山市中心区66km，交通较为便利。</w:t>
      </w:r>
    </w:p>
    <w:p>
      <w:pPr>
        <w:ind w:firstLine="480"/>
        <w:jc w:val="both"/>
        <w:rPr>
          <w:sz w:val="24"/>
          <w:szCs w:val="24"/>
          <w:highlight w:val="none"/>
        </w:rPr>
      </w:pPr>
      <w:r>
        <w:rPr>
          <w:rFonts w:hint="eastAsia"/>
          <w:sz w:val="24"/>
          <w:szCs w:val="24"/>
          <w:highlight w:val="none"/>
        </w:rPr>
        <w:t>本项目位于</w:t>
      </w:r>
      <w:r>
        <w:rPr>
          <w:sz w:val="24"/>
          <w:szCs w:val="24"/>
          <w:highlight w:val="none"/>
        </w:rPr>
        <w:t>遵化市</w:t>
      </w:r>
      <w:r>
        <w:rPr>
          <w:rFonts w:hint="eastAsia"/>
          <w:sz w:val="24"/>
          <w:szCs w:val="24"/>
          <w:highlight w:val="none"/>
        </w:rPr>
        <w:t>新店子镇马店子村</w:t>
      </w:r>
      <w:r>
        <w:rPr>
          <w:rFonts w:hint="eastAsia"/>
          <w:bCs/>
          <w:sz w:val="24"/>
          <w:szCs w:val="24"/>
          <w:highlight w:val="none"/>
        </w:rPr>
        <w:t>遵化恒新矿业有限公司现有厂区内</w:t>
      </w:r>
      <w:r>
        <w:rPr>
          <w:bCs/>
          <w:sz w:val="24"/>
          <w:szCs w:val="24"/>
          <w:highlight w:val="none"/>
        </w:rPr>
        <w:t>，</w:t>
      </w:r>
      <w:r>
        <w:rPr>
          <w:rFonts w:hint="eastAsia"/>
          <w:bCs/>
          <w:sz w:val="24"/>
          <w:szCs w:val="24"/>
          <w:highlight w:val="none"/>
        </w:rPr>
        <w:t>不新增占地，</w:t>
      </w:r>
      <w:r>
        <w:rPr>
          <w:bCs/>
          <w:sz w:val="24"/>
          <w:szCs w:val="24"/>
          <w:highlight w:val="none"/>
        </w:rPr>
        <w:t>厂区中心地理位置坐标为：北纬</w:t>
      </w:r>
      <w:r>
        <w:rPr>
          <w:rFonts w:hint="eastAsia"/>
          <w:bCs/>
          <w:sz w:val="24"/>
          <w:szCs w:val="24"/>
          <w:highlight w:val="none"/>
        </w:rPr>
        <w:t>40</w:t>
      </w:r>
      <w:r>
        <w:rPr>
          <w:bCs/>
          <w:sz w:val="24"/>
          <w:szCs w:val="24"/>
          <w:highlight w:val="none"/>
        </w:rPr>
        <w:t>°</w:t>
      </w:r>
      <w:r>
        <w:rPr>
          <w:rFonts w:hint="eastAsia"/>
          <w:bCs/>
          <w:sz w:val="24"/>
          <w:szCs w:val="24"/>
          <w:highlight w:val="none"/>
        </w:rPr>
        <w:t>6</w:t>
      </w:r>
      <w:r>
        <w:rPr>
          <w:bCs/>
          <w:sz w:val="24"/>
          <w:szCs w:val="24"/>
          <w:highlight w:val="none"/>
        </w:rPr>
        <w:t>′</w:t>
      </w:r>
      <w:r>
        <w:rPr>
          <w:rFonts w:hint="eastAsia"/>
          <w:bCs/>
          <w:sz w:val="24"/>
          <w:szCs w:val="24"/>
          <w:highlight w:val="none"/>
        </w:rPr>
        <w:t>33.35</w:t>
      </w:r>
      <w:r>
        <w:rPr>
          <w:bCs/>
          <w:sz w:val="24"/>
          <w:szCs w:val="24"/>
          <w:highlight w:val="none"/>
        </w:rPr>
        <w:t>″、东经11</w:t>
      </w:r>
      <w:r>
        <w:rPr>
          <w:rFonts w:hint="eastAsia"/>
          <w:bCs/>
          <w:sz w:val="24"/>
          <w:szCs w:val="24"/>
          <w:highlight w:val="none"/>
        </w:rPr>
        <w:t>7</w:t>
      </w:r>
      <w:r>
        <w:rPr>
          <w:bCs/>
          <w:sz w:val="24"/>
          <w:szCs w:val="24"/>
          <w:highlight w:val="none"/>
        </w:rPr>
        <w:t>°</w:t>
      </w:r>
      <w:r>
        <w:rPr>
          <w:rFonts w:hint="eastAsia"/>
          <w:bCs/>
          <w:sz w:val="24"/>
          <w:szCs w:val="24"/>
          <w:highlight w:val="none"/>
        </w:rPr>
        <w:t>59</w:t>
      </w:r>
      <w:r>
        <w:rPr>
          <w:bCs/>
          <w:sz w:val="24"/>
          <w:szCs w:val="24"/>
          <w:highlight w:val="none"/>
        </w:rPr>
        <w:t>′</w:t>
      </w:r>
      <w:r>
        <w:rPr>
          <w:rFonts w:hint="eastAsia"/>
          <w:bCs/>
          <w:sz w:val="24"/>
          <w:szCs w:val="24"/>
          <w:highlight w:val="none"/>
        </w:rPr>
        <w:t>11.73</w:t>
      </w:r>
      <w:r>
        <w:rPr>
          <w:bCs/>
          <w:sz w:val="24"/>
          <w:szCs w:val="24"/>
          <w:highlight w:val="none"/>
        </w:rPr>
        <w:t>″。</w:t>
      </w:r>
      <w:r>
        <w:rPr>
          <w:rFonts w:hint="eastAsia"/>
          <w:sz w:val="24"/>
          <w:szCs w:val="24"/>
          <w:highlight w:val="none"/>
        </w:rPr>
        <w:t>厂区外东侧为闲置厂房，南侧隔乡道为农田，西侧为空地，北侧隔小路为农田，</w:t>
      </w:r>
      <w:r>
        <w:rPr>
          <w:sz w:val="24"/>
          <w:szCs w:val="24"/>
          <w:highlight w:val="none"/>
        </w:rPr>
        <w:t>项目最近的敏感点为北侧</w:t>
      </w:r>
      <w:r>
        <w:rPr>
          <w:rFonts w:hint="eastAsia"/>
          <w:sz w:val="24"/>
          <w:szCs w:val="24"/>
          <w:highlight w:val="none"/>
        </w:rPr>
        <w:t>270m的马店子村。</w:t>
      </w:r>
    </w:p>
    <w:p>
      <w:pPr>
        <w:pStyle w:val="228"/>
        <w:spacing w:line="360" w:lineRule="auto"/>
        <w:ind w:firstLine="480"/>
        <w:rPr>
          <w:snapToGrid w:val="0"/>
          <w:highlight w:val="none"/>
        </w:rPr>
      </w:pPr>
      <w:r>
        <w:rPr>
          <w:highlight w:val="none"/>
        </w:rPr>
        <w:drawing>
          <wp:anchor distT="0" distB="0" distL="0" distR="0" simplePos="0" relativeHeight="251670528" behindDoc="0" locked="0" layoutInCell="1" allowOverlap="1">
            <wp:simplePos x="0" y="0"/>
            <wp:positionH relativeFrom="column">
              <wp:posOffset>73660</wp:posOffset>
            </wp:positionH>
            <wp:positionV relativeFrom="paragraph">
              <wp:posOffset>1270</wp:posOffset>
            </wp:positionV>
            <wp:extent cx="5295900" cy="5124450"/>
            <wp:effectExtent l="0" t="0" r="0" b="0"/>
            <wp:wrapNone/>
            <wp:docPr id="128" name="图片 128" descr="流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流域"/>
                    <pic:cNvPicPr>
                      <a:picLocks noChangeAspect="1" noChangeArrowheads="1"/>
                    </pic:cNvPicPr>
                  </pic:nvPicPr>
                  <pic:blipFill>
                    <a:blip r:embed="rId40" cstate="print">
                      <a:extLst>
                        <a:ext uri="{28A0092B-C50C-407E-A947-70E740481C1C}">
                          <a14:useLocalDpi xmlns:a14="http://schemas.microsoft.com/office/drawing/2010/main" val="0"/>
                        </a:ext>
                      </a:extLst>
                    </a:blip>
                    <a:srcRect l="1044" t="2316" r="1669" b="2924"/>
                    <a:stretch>
                      <a:fillRect/>
                    </a:stretch>
                  </pic:blipFill>
                  <pic:spPr>
                    <a:xfrm>
                      <a:off x="0" y="0"/>
                      <a:ext cx="5295900" cy="5124450"/>
                    </a:xfrm>
                    <a:prstGeom prst="rect">
                      <a:avLst/>
                    </a:prstGeom>
                    <a:noFill/>
                    <a:ln>
                      <a:noFill/>
                    </a:ln>
                  </pic:spPr>
                </pic:pic>
              </a:graphicData>
            </a:graphic>
          </wp:anchor>
        </w:drawing>
      </w: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pStyle w:val="228"/>
        <w:spacing w:line="360" w:lineRule="auto"/>
        <w:ind w:firstLine="480"/>
        <w:rPr>
          <w:snapToGrid w:val="0"/>
          <w:highlight w:val="none"/>
        </w:rPr>
      </w:pPr>
    </w:p>
    <w:p>
      <w:pPr>
        <w:ind w:firstLine="420"/>
        <w:jc w:val="center"/>
        <w:rPr>
          <w:rFonts w:eastAsia="黑体"/>
          <w:kern w:val="2"/>
          <w:sz w:val="21"/>
          <w:szCs w:val="21"/>
          <w:highlight w:val="none"/>
        </w:rPr>
      </w:pPr>
    </w:p>
    <w:p>
      <w:pPr>
        <w:ind w:firstLine="420"/>
        <w:jc w:val="center"/>
        <w:rPr>
          <w:rFonts w:eastAsia="黑体"/>
          <w:kern w:val="2"/>
          <w:sz w:val="21"/>
          <w:szCs w:val="21"/>
          <w:highlight w:val="none"/>
        </w:rPr>
      </w:pPr>
    </w:p>
    <w:p>
      <w:pPr>
        <w:ind w:firstLine="420"/>
        <w:jc w:val="center"/>
        <w:rPr>
          <w:snapToGrid w:val="0"/>
          <w:highlight w:val="none"/>
        </w:rPr>
      </w:pPr>
      <w:r>
        <w:rPr>
          <w:rFonts w:hint="eastAsia" w:eastAsia="黑体"/>
          <w:kern w:val="2"/>
          <w:sz w:val="21"/>
          <w:szCs w:val="21"/>
          <w:highlight w:val="none"/>
        </w:rPr>
        <w:t>图</w:t>
      </w:r>
      <w:r>
        <w:rPr>
          <w:rFonts w:eastAsia="黑体"/>
          <w:kern w:val="2"/>
          <w:sz w:val="21"/>
          <w:szCs w:val="21"/>
          <w:highlight w:val="none"/>
        </w:rPr>
        <w:t>4</w:t>
      </w:r>
      <w:r>
        <w:rPr>
          <w:rFonts w:hint="eastAsia" w:eastAsia="黑体"/>
          <w:kern w:val="2"/>
          <w:sz w:val="21"/>
          <w:szCs w:val="21"/>
          <w:highlight w:val="none"/>
        </w:rPr>
        <w:t>.1-1   遵化市地理位置图</w:t>
      </w:r>
    </w:p>
    <w:p>
      <w:pPr>
        <w:pStyle w:val="6"/>
        <w:numPr>
          <w:ilvl w:val="2"/>
          <w:numId w:val="1"/>
        </w:numPr>
        <w:rPr>
          <w:szCs w:val="28"/>
          <w:highlight w:val="none"/>
        </w:rPr>
      </w:pPr>
      <w:bookmarkStart w:id="258" w:name="_Toc521591775"/>
      <w:bookmarkStart w:id="259" w:name="_Toc31599"/>
      <w:r>
        <w:rPr>
          <w:szCs w:val="28"/>
          <w:highlight w:val="none"/>
        </w:rPr>
        <w:t>地形地貌</w:t>
      </w:r>
      <w:bookmarkEnd w:id="258"/>
      <w:bookmarkEnd w:id="259"/>
    </w:p>
    <w:p>
      <w:pPr>
        <w:spacing w:line="440" w:lineRule="atLeast"/>
        <w:ind w:firstLine="480"/>
        <w:rPr>
          <w:sz w:val="24"/>
          <w:highlight w:val="none"/>
        </w:rPr>
      </w:pPr>
      <w:bookmarkStart w:id="260" w:name="_Hlk535828358"/>
      <w:r>
        <w:rPr>
          <w:sz w:val="24"/>
          <w:highlight w:val="none"/>
        </w:rPr>
        <w:t>遵化市全境由山区、丘陵、平原三种地貌组成。境内四周环山，中间为一平原，形成了遵化市三山两川的盆地地形。北部山势挺拔，山峰海拔高度多在500m以下，个别山峰海拔高度700-900m，山峦层叠，地面坡降达15%，山体上部有岩石裸露，植被较差，中下部及丘陵区多为褐土和淋溶褐土覆盖。两川平原为沙河、黎河、洪积而成，地势平坦开阔，地面坡降小于1%，海拔高程20-80m。总的地势是北高南低，东高西低，向西南微倾。表现为明显的山间盆地地貌特征，盆地周边为地势较高的低山丘陵，中部为平展的冲洪积平原，较大的地貌类型可分为以下几种：</w:t>
      </w:r>
    </w:p>
    <w:p>
      <w:pPr>
        <w:spacing w:line="440" w:lineRule="atLeast"/>
        <w:ind w:firstLine="480"/>
        <w:rPr>
          <w:sz w:val="24"/>
          <w:highlight w:val="none"/>
        </w:rPr>
      </w:pPr>
      <w:r>
        <w:rPr>
          <w:sz w:val="24"/>
          <w:highlight w:val="none"/>
        </w:rPr>
        <w:t>（1）构造侵蚀低山丘陵</w:t>
      </w:r>
    </w:p>
    <w:p>
      <w:pPr>
        <w:spacing w:line="440" w:lineRule="atLeast"/>
        <w:ind w:firstLine="480"/>
        <w:rPr>
          <w:sz w:val="24"/>
          <w:highlight w:val="none"/>
        </w:rPr>
      </w:pPr>
      <w:r>
        <w:rPr>
          <w:sz w:val="24"/>
          <w:highlight w:val="none"/>
        </w:rPr>
        <w:t>主要分布于盆地的周边，北部和南部为由太古界片麻岩和由中元古界碳酸岩组成的裸露和半裸露的低山丘陵，标高100-500m，以常态山和干沟为主，裸露区地表溶蚀裂隙发育，坡脚可见碳酸盐岩角砾和蚀余红土。为碳酸盐岩风化产物。沟谷切割较深，多为排泄洪流的干谷，有不厚的松散沉积层充填。半裸露区以丘陵为主，上覆不厚的上更新统坡洪积层，在沟口两侧常形成剥蚀堆积台地。</w:t>
      </w:r>
    </w:p>
    <w:p>
      <w:pPr>
        <w:spacing w:line="440" w:lineRule="atLeast"/>
        <w:ind w:firstLine="480"/>
        <w:rPr>
          <w:sz w:val="24"/>
          <w:highlight w:val="none"/>
        </w:rPr>
      </w:pPr>
      <w:r>
        <w:rPr>
          <w:sz w:val="24"/>
          <w:highlight w:val="none"/>
        </w:rPr>
        <w:t>中部为由长城系下部的变质岩、碳酸盐岩、碎屑岩组成的低山丘陵，呈东西向弧形展布，标高200-500m，山势陡峻，沟谷切割较深。</w:t>
      </w:r>
    </w:p>
    <w:p>
      <w:pPr>
        <w:spacing w:line="440" w:lineRule="atLeast"/>
        <w:ind w:firstLine="480"/>
        <w:rPr>
          <w:sz w:val="24"/>
          <w:highlight w:val="none"/>
        </w:rPr>
      </w:pPr>
      <w:r>
        <w:rPr>
          <w:sz w:val="24"/>
          <w:highlight w:val="none"/>
        </w:rPr>
        <w:t>盆地内尚有零星分布的岛状残山峰，多呈东西向沿岩层走向展布，高度50-100m，为碳酸盐岩山体在侵蚀和剥蚀作用下形成的残留地地貌形态。</w:t>
      </w:r>
    </w:p>
    <w:p>
      <w:pPr>
        <w:spacing w:line="440" w:lineRule="atLeast"/>
        <w:ind w:firstLine="480"/>
        <w:rPr>
          <w:sz w:val="24"/>
          <w:highlight w:val="none"/>
        </w:rPr>
      </w:pPr>
      <w:r>
        <w:rPr>
          <w:sz w:val="24"/>
          <w:highlight w:val="none"/>
        </w:rPr>
        <w:t>（2）侵蚀堆积平原洼地</w:t>
      </w:r>
    </w:p>
    <w:p>
      <w:pPr>
        <w:spacing w:line="440" w:lineRule="atLeast"/>
        <w:ind w:firstLine="480"/>
        <w:rPr>
          <w:sz w:val="24"/>
          <w:highlight w:val="none"/>
        </w:rPr>
      </w:pPr>
      <w:r>
        <w:rPr>
          <w:sz w:val="24"/>
          <w:highlight w:val="none"/>
        </w:rPr>
        <w:t>冲洪积平原：主要分布于盆地中部，由近代冲洪积层组成，地势平展，微向南缓倾，遵化北部盆地地面标高40-80m，地面坡度约3‰-5‰，南北宽4-8km，东西长度30-40km，面积323.3km</w:t>
      </w:r>
      <w:r>
        <w:rPr>
          <w:sz w:val="24"/>
          <w:highlight w:val="none"/>
          <w:vertAlign w:val="superscript"/>
        </w:rPr>
        <w:t>2</w:t>
      </w:r>
      <w:r>
        <w:rPr>
          <w:sz w:val="24"/>
          <w:highlight w:val="none"/>
        </w:rPr>
        <w:t>左右；南盆地地面标高18-30m，地面坡度约0.5‰，南北宽8-10km，东西长度25-30km，面积约90.7 km</w:t>
      </w:r>
      <w:r>
        <w:rPr>
          <w:sz w:val="24"/>
          <w:highlight w:val="none"/>
          <w:vertAlign w:val="superscript"/>
        </w:rPr>
        <w:t>2</w:t>
      </w:r>
      <w:r>
        <w:rPr>
          <w:sz w:val="24"/>
          <w:highlight w:val="none"/>
        </w:rPr>
        <w:t>近山地带为规模不大的冲洪积扇裙，主要由沙、淋河冲积而成。</w:t>
      </w:r>
    </w:p>
    <w:p>
      <w:pPr>
        <w:spacing w:line="440" w:lineRule="atLeast"/>
        <w:ind w:firstLine="480"/>
        <w:rPr>
          <w:sz w:val="24"/>
          <w:highlight w:val="none"/>
        </w:rPr>
      </w:pPr>
      <w:r>
        <w:rPr>
          <w:sz w:val="24"/>
          <w:highlight w:val="none"/>
        </w:rPr>
        <w:t>河谷洼地：横贯全区的黎河、沙河、林河河谷两侧形成宽50-80m的河谷洼地，除碗蜒曲折的河床外，主要为河漫滩和局部土地，由近代冲积层组成，两侧多有天然堤域人工堤。</w:t>
      </w:r>
    </w:p>
    <w:p>
      <w:pPr>
        <w:spacing w:line="440" w:lineRule="atLeast"/>
        <w:ind w:firstLine="480"/>
        <w:rPr>
          <w:sz w:val="24"/>
          <w:highlight w:val="none"/>
        </w:rPr>
      </w:pPr>
      <w:r>
        <w:rPr>
          <w:sz w:val="24"/>
          <w:highlight w:val="none"/>
        </w:rPr>
        <w:t>山间谷地：分布于北部低山丘陵之间及以北地区，属北盆地的一部分，地势由北向南降低，坡度在3-5‰由冲洪积沙砾土组成，标高50-80m。山间沟谷发育，且多为张性断裂所成，往往成为沟通南北盆地的通道。</w:t>
      </w:r>
    </w:p>
    <w:p>
      <w:pPr>
        <w:spacing w:line="440" w:lineRule="atLeast"/>
        <w:ind w:firstLine="480"/>
        <w:rPr>
          <w:sz w:val="24"/>
          <w:highlight w:val="none"/>
        </w:rPr>
      </w:pPr>
      <w:r>
        <w:rPr>
          <w:rFonts w:hint="eastAsia"/>
          <w:sz w:val="24"/>
          <w:highlight w:val="none"/>
        </w:rPr>
        <w:t>项目区位于以第四系松散岩类为主的冲洪积缓斜地小区（II</w:t>
      </w:r>
      <w:r>
        <w:rPr>
          <w:rFonts w:hint="eastAsia"/>
          <w:sz w:val="24"/>
          <w:highlight w:val="none"/>
          <w:vertAlign w:val="subscript"/>
        </w:rPr>
        <w:t>6</w:t>
      </w:r>
      <w:r>
        <w:rPr>
          <w:sz w:val="24"/>
          <w:highlight w:val="none"/>
          <w:vertAlign w:val="subscript"/>
        </w:rPr>
        <w:t>-3</w:t>
      </w:r>
      <w:r>
        <w:rPr>
          <w:rFonts w:hint="eastAsia"/>
          <w:sz w:val="24"/>
          <w:highlight w:val="none"/>
        </w:rPr>
        <w:t>），主要分布于遵化市中部以及西部，项目区地形相对平缓，北部和南部地形相对较高，项目评价区内有黎河流过，详见图4.1-2。</w:t>
      </w:r>
    </w:p>
    <w:p>
      <w:pPr>
        <w:ind w:firstLine="0" w:firstLineChars="0"/>
        <w:jc w:val="center"/>
        <w:rPr>
          <w:highlight w:val="none"/>
        </w:rPr>
      </w:pPr>
      <w:r>
        <w:rPr>
          <w:b/>
          <w:sz w:val="24"/>
          <w:highlight w:val="none"/>
        </w:rPr>
        <mc:AlternateContent>
          <mc:Choice Requires="wps">
            <w:drawing>
              <wp:anchor distT="0" distB="0" distL="114300" distR="114300" simplePos="0" relativeHeight="251665408" behindDoc="0" locked="0" layoutInCell="1" allowOverlap="1">
                <wp:simplePos x="0" y="0"/>
                <wp:positionH relativeFrom="column">
                  <wp:posOffset>3766185</wp:posOffset>
                </wp:positionH>
                <wp:positionV relativeFrom="paragraph">
                  <wp:posOffset>2186940</wp:posOffset>
                </wp:positionV>
                <wp:extent cx="872490" cy="263525"/>
                <wp:effectExtent l="4445" t="402590" r="18415" b="19685"/>
                <wp:wrapNone/>
                <wp:docPr id="109" name="自选图形 32"/>
                <wp:cNvGraphicFramePr/>
                <a:graphic xmlns:a="http://schemas.openxmlformats.org/drawingml/2006/main">
                  <a:graphicData uri="http://schemas.microsoft.com/office/word/2010/wordprocessingShape">
                    <wps:wsp>
                      <wps:cNvSpPr/>
                      <wps:spPr>
                        <a:xfrm>
                          <a:off x="0" y="0"/>
                          <a:ext cx="872490" cy="263525"/>
                        </a:xfrm>
                        <a:prstGeom prst="wedgeRectCallout">
                          <a:avLst>
                            <a:gd name="adj1" fmla="val 35153"/>
                            <a:gd name="adj2" fmla="val -195782"/>
                          </a:avLst>
                        </a:prstGeom>
                        <a:noFill/>
                        <a:ln w="9525" cap="flat" cmpd="sng">
                          <a:solidFill>
                            <a:srgbClr val="000000"/>
                          </a:solidFill>
                          <a:prstDash val="solid"/>
                          <a:miter/>
                          <a:headEnd type="none" w="med" len="med"/>
                          <a:tailEnd type="none" w="med" len="med"/>
                        </a:ln>
                      </wps:spPr>
                      <wps:txbx>
                        <w:txbxContent>
                          <w:p>
                            <w:pPr>
                              <w:spacing w:line="240" w:lineRule="atLeast"/>
                              <w:ind w:firstLine="0" w:firstLineChars="0"/>
                              <w:jc w:val="center"/>
                              <w:rPr>
                                <w:sz w:val="21"/>
                                <w:szCs w:val="21"/>
                              </w:rPr>
                            </w:pPr>
                            <w:r>
                              <w:rPr>
                                <w:rFonts w:hint="eastAsia"/>
                                <w:sz w:val="21"/>
                                <w:szCs w:val="21"/>
                              </w:rPr>
                              <w:t>项目位置</w:t>
                            </w:r>
                          </w:p>
                        </w:txbxContent>
                      </wps:txbx>
                      <wps:bodyPr upright="1"/>
                    </wps:wsp>
                  </a:graphicData>
                </a:graphic>
              </wp:anchor>
            </w:drawing>
          </mc:Choice>
          <mc:Fallback>
            <w:pict>
              <v:shape id="自选图形 32" o:spid="_x0000_s1026" o:spt="61" type="#_x0000_t61" style="position:absolute;left:0pt;margin-left:296.55pt;margin-top:172.2pt;height:20.75pt;width:68.7pt;z-index:251665408;mso-width-relative:page;mso-height-relative:page;" filled="f" stroked="t" coordsize="21600,21600" o:gfxdata="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jdec2QAAAAsBAAAPAAAAAAAAAAEAIAAAACIAAABkcnMvZG93&#10;bnJldi54bWxQSwECFAAUAAAACACHTuJAT9jAmTgCAABnBAAADgAAAAAAAAABACAAAAAoAQAAZHJz&#10;L2Uyb0RvYy54bWxQSwUGAAAAAAYABgBZAQAA0gUAAAAA&#10;" adj="18393,-31489">
                <v:fill on="f" focussize="0,0"/>
                <v:stroke color="#000000" joinstyle="miter"/>
                <v:imagedata o:title=""/>
                <o:lock v:ext="edit" aspectratio="f"/>
                <v:textbox>
                  <w:txbxContent>
                    <w:p>
                      <w:pPr>
                        <w:spacing w:line="240" w:lineRule="atLeast"/>
                        <w:ind w:firstLine="0" w:firstLineChars="0"/>
                        <w:jc w:val="center"/>
                        <w:rPr>
                          <w:sz w:val="21"/>
                          <w:szCs w:val="21"/>
                        </w:rPr>
                      </w:pPr>
                      <w:r>
                        <w:rPr>
                          <w:rFonts w:hint="eastAsia"/>
                          <w:sz w:val="21"/>
                          <w:szCs w:val="21"/>
                        </w:rPr>
                        <w:t>项目位置</w:t>
                      </w:r>
                    </w:p>
                  </w:txbxContent>
                </v:textbox>
              </v:shape>
            </w:pict>
          </mc:Fallback>
        </mc:AlternateContent>
      </w:r>
      <w:r>
        <w:rPr>
          <w:b/>
          <w:sz w:val="24"/>
          <w:highlight w:val="none"/>
        </w:rPr>
        <mc:AlternateContent>
          <mc:Choice Requires="wps">
            <w:drawing>
              <wp:anchor distT="0" distB="0" distL="114300" distR="114300" simplePos="0" relativeHeight="251666432" behindDoc="0" locked="0" layoutInCell="1" allowOverlap="1">
                <wp:simplePos x="0" y="0"/>
                <wp:positionH relativeFrom="column">
                  <wp:posOffset>4521835</wp:posOffset>
                </wp:positionH>
                <wp:positionV relativeFrom="paragraph">
                  <wp:posOffset>1706245</wp:posOffset>
                </wp:positionV>
                <wp:extent cx="116840" cy="90805"/>
                <wp:effectExtent l="4445" t="4445" r="12065" b="19050"/>
                <wp:wrapNone/>
                <wp:docPr id="110" name="矩形 33"/>
                <wp:cNvGraphicFramePr/>
                <a:graphic xmlns:a="http://schemas.openxmlformats.org/drawingml/2006/main">
                  <a:graphicData uri="http://schemas.microsoft.com/office/word/2010/wordprocessingShape">
                    <wps:wsp>
                      <wps:cNvSpPr/>
                      <wps:spPr>
                        <a:xfrm>
                          <a:off x="0" y="0"/>
                          <a:ext cx="116840" cy="90805"/>
                        </a:xfrm>
                        <a:prstGeom prst="re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33" o:spid="_x0000_s1026" o:spt="1" style="position:absolute;left:0pt;margin-left:356.05pt;margin-top:134.35pt;height:7.15pt;width:9.2pt;z-index:251666432;mso-width-relative:page;mso-height-relative:page;" fillcolor="#FF0000" filled="t" stroked="t" coordsize="21600,21600" o:gfxdata="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VYIKdsAAAALAQAADwAAAAAAAAABACAAAAAiAAAAZHJzL2Rv&#10;d25yZXYueG1sUEsBAhQAFAAAAAgAh07iQCNyIEv+AQAAKgQAAA4AAAAAAAAAAQAgAAAAKgEAAGRy&#10;cy9lMm9Eb2MueG1sUEsFBgAAAAAGAAYAWQEAAJoFAAAAAA==&#10;">
                <v:fill on="t" focussize="0,0"/>
                <v:stroke color="#FF0000" joinstyle="miter"/>
                <v:imagedata o:title=""/>
                <o:lock v:ext="edit" aspectratio="f"/>
                <v:textbox>
                  <w:txbxContent>
                    <w:p>
                      <w:pPr>
                        <w:jc w:val="center"/>
                      </w:pPr>
                    </w:p>
                  </w:txbxContent>
                </v:textbox>
              </v:rect>
            </w:pict>
          </mc:Fallback>
        </mc:AlternateContent>
      </w:r>
      <w:r>
        <w:rPr>
          <w:highlight w:val="none"/>
        </w:rPr>
        <w:drawing>
          <wp:inline distT="0" distB="0" distL="0" distR="0">
            <wp:extent cx="5010150" cy="5600700"/>
            <wp:effectExtent l="0" t="0" r="0" b="0"/>
            <wp:docPr id="60" name="图片 60" descr="地貌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地貌图.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010150" cy="5600700"/>
                    </a:xfrm>
                    <a:prstGeom prst="rect">
                      <a:avLst/>
                    </a:prstGeom>
                    <a:noFill/>
                    <a:ln>
                      <a:noFill/>
                    </a:ln>
                  </pic:spPr>
                </pic:pic>
              </a:graphicData>
            </a:graphic>
          </wp:inline>
        </w:drawing>
      </w:r>
    </w:p>
    <w:p>
      <w:pPr>
        <w:ind w:firstLine="0" w:firstLineChars="0"/>
        <w:jc w:val="center"/>
        <w:rPr>
          <w:rFonts w:eastAsia="黑体"/>
          <w:kern w:val="2"/>
          <w:sz w:val="21"/>
          <w:szCs w:val="21"/>
          <w:highlight w:val="none"/>
        </w:rPr>
      </w:pPr>
      <w:r>
        <w:rPr>
          <w:rFonts w:hint="eastAsia" w:eastAsia="黑体"/>
          <w:kern w:val="2"/>
          <w:sz w:val="21"/>
          <w:szCs w:val="21"/>
          <w:highlight w:val="none"/>
        </w:rPr>
        <w:t>图4.1-2   遵化市地形地貌图</w:t>
      </w:r>
    </w:p>
    <w:p>
      <w:pPr>
        <w:pStyle w:val="6"/>
        <w:numPr>
          <w:ilvl w:val="2"/>
          <w:numId w:val="1"/>
        </w:numPr>
        <w:rPr>
          <w:szCs w:val="28"/>
          <w:highlight w:val="none"/>
        </w:rPr>
      </w:pPr>
      <w:bookmarkStart w:id="261" w:name="_Toc468692990"/>
      <w:r>
        <w:rPr>
          <w:rFonts w:hint="eastAsia"/>
          <w:szCs w:val="28"/>
          <w:highlight w:val="none"/>
        </w:rPr>
        <w:t>气象</w:t>
      </w:r>
      <w:bookmarkEnd w:id="261"/>
    </w:p>
    <w:p>
      <w:pPr>
        <w:spacing w:line="440" w:lineRule="atLeast"/>
        <w:ind w:firstLine="480"/>
        <w:rPr>
          <w:sz w:val="24"/>
          <w:highlight w:val="none"/>
        </w:rPr>
      </w:pPr>
      <w:bookmarkStart w:id="262" w:name="_Toc468692991"/>
      <w:r>
        <w:rPr>
          <w:sz w:val="24"/>
          <w:highlight w:val="none"/>
        </w:rPr>
        <w:t>本区属于温带半湿润季风气候，四季分明，具有春季干旱多风，夏季炎热多雨，秋季冷暖变化大，冬季寒冷干燥的特点。</w:t>
      </w:r>
    </w:p>
    <w:p>
      <w:pPr>
        <w:spacing w:line="440" w:lineRule="atLeast"/>
        <w:ind w:firstLine="480"/>
        <w:rPr>
          <w:sz w:val="24"/>
          <w:highlight w:val="none"/>
        </w:rPr>
      </w:pPr>
      <w:r>
        <w:rPr>
          <w:sz w:val="24"/>
          <w:highlight w:val="none"/>
        </w:rPr>
        <w:t>常年平均日照时数2608.2h。多年平均气温10.5</w:t>
      </w:r>
      <w:r>
        <w:rPr>
          <w:rFonts w:hAnsi="宋体"/>
          <w:sz w:val="24"/>
          <w:highlight w:val="none"/>
        </w:rPr>
        <w:t>℃</w:t>
      </w:r>
      <w:r>
        <w:rPr>
          <w:sz w:val="24"/>
          <w:highlight w:val="none"/>
        </w:rPr>
        <w:t>，其中一月份最低，月平均气温－5-－8</w:t>
      </w:r>
      <w:r>
        <w:rPr>
          <w:rFonts w:hAnsi="宋体"/>
          <w:sz w:val="24"/>
          <w:highlight w:val="none"/>
        </w:rPr>
        <w:t>℃</w:t>
      </w:r>
      <w:r>
        <w:rPr>
          <w:sz w:val="24"/>
          <w:highlight w:val="none"/>
        </w:rPr>
        <w:t>。历年最高气温为40.3</w:t>
      </w:r>
      <w:r>
        <w:rPr>
          <w:rFonts w:hAnsi="宋体"/>
          <w:sz w:val="24"/>
          <w:highlight w:val="none"/>
        </w:rPr>
        <w:t>℃</w:t>
      </w:r>
      <w:r>
        <w:rPr>
          <w:sz w:val="24"/>
          <w:highlight w:val="none"/>
        </w:rPr>
        <w:t>，最低气温为－25.7</w:t>
      </w:r>
      <w:r>
        <w:rPr>
          <w:rFonts w:hAnsi="宋体"/>
          <w:sz w:val="24"/>
          <w:highlight w:val="none"/>
        </w:rPr>
        <w:t>℃</w:t>
      </w:r>
      <w:r>
        <w:rPr>
          <w:sz w:val="24"/>
          <w:highlight w:val="none"/>
        </w:rPr>
        <w:t>。全年无霜期平均180d，初霜期一般在10月上旬，终霜期在次年4月份。</w:t>
      </w:r>
    </w:p>
    <w:p>
      <w:pPr>
        <w:spacing w:line="440" w:lineRule="atLeast"/>
        <w:ind w:firstLine="480"/>
        <w:rPr>
          <w:sz w:val="24"/>
          <w:highlight w:val="none"/>
        </w:rPr>
      </w:pPr>
      <w:r>
        <w:rPr>
          <w:sz w:val="24"/>
          <w:highlight w:val="none"/>
        </w:rPr>
        <w:t>本区降水较丰富，年均降水天数73.6d，多年平均降水量681.8mm见（图4.1-</w:t>
      </w:r>
      <w:r>
        <w:rPr>
          <w:rFonts w:hint="eastAsia"/>
          <w:sz w:val="24"/>
          <w:highlight w:val="none"/>
        </w:rPr>
        <w:t>3</w:t>
      </w:r>
      <w:r>
        <w:rPr>
          <w:sz w:val="24"/>
          <w:highlight w:val="none"/>
        </w:rPr>
        <w:t>）。马兰峪一带为河北省的多雨暴雨中心，年降雨最多可达1500-1600mm，但年际变化较大。由于受季风影响，夏秋两季（6－11月）降水量占全年降水量的85%上，其中以夏季（6－8月）雨量最大且集中，并多暴雨，占年降水量的74.2％。冬春两季雨水量一般小于降水的5％。降水量年际变幅大是另一突出特点，年最大降水量是年最小降水量和年平均降水的3.11倍和1.74倍。</w:t>
      </w:r>
    </w:p>
    <w:p>
      <w:pPr>
        <w:spacing w:line="440" w:lineRule="atLeast"/>
        <w:ind w:firstLine="480"/>
        <w:rPr>
          <w:sz w:val="24"/>
          <w:highlight w:val="none"/>
        </w:rPr>
      </w:pPr>
      <w:r>
        <w:rPr>
          <w:sz w:val="24"/>
          <w:highlight w:val="none"/>
        </w:rPr>
        <w:t>区内多年平均蒸发量（20cm蒸发皿）1598.6mm，年内蒸发量以3-10月份较高，尤以5月份最大，约占全年蒸发量的1/5。年际蒸发量变化较小，一般丰水年降水量大而蒸发量较小。</w:t>
      </w:r>
    </w:p>
    <w:p>
      <w:pPr>
        <w:ind w:leftChars="-171" w:hanging="478" w:hangingChars="171"/>
        <w:jc w:val="center"/>
        <w:rPr>
          <w:rFonts w:ascii="宋体" w:hAnsi="宋体"/>
          <w:sz w:val="24"/>
          <w:highlight w:val="none"/>
        </w:rPr>
      </w:pPr>
      <w:r>
        <w:rPr>
          <w:highlight w:val="none"/>
        </w:rPr>
        <w:drawing>
          <wp:inline distT="0" distB="0" distL="114300" distR="114300">
            <wp:extent cx="4381500" cy="2609850"/>
            <wp:effectExtent l="4445" t="4445" r="14605" b="14605"/>
            <wp:docPr id="33" name="图表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ind w:firstLine="0" w:firstLineChars="0"/>
        <w:jc w:val="center"/>
        <w:rPr>
          <w:rFonts w:eastAsia="黑体"/>
          <w:kern w:val="2"/>
          <w:sz w:val="21"/>
          <w:szCs w:val="21"/>
          <w:highlight w:val="none"/>
        </w:rPr>
      </w:pPr>
      <w:r>
        <w:rPr>
          <w:rFonts w:hint="eastAsia" w:eastAsia="黑体"/>
          <w:kern w:val="2"/>
          <w:sz w:val="21"/>
          <w:szCs w:val="21"/>
          <w:highlight w:val="none"/>
        </w:rPr>
        <w:t>图4.1-3   遵化市历年降水量</w:t>
      </w:r>
    </w:p>
    <w:p>
      <w:pPr>
        <w:pStyle w:val="6"/>
        <w:numPr>
          <w:ilvl w:val="2"/>
          <w:numId w:val="1"/>
        </w:numPr>
        <w:rPr>
          <w:szCs w:val="28"/>
          <w:highlight w:val="none"/>
        </w:rPr>
      </w:pPr>
      <w:r>
        <w:rPr>
          <w:rFonts w:hint="eastAsia"/>
          <w:szCs w:val="28"/>
          <w:highlight w:val="none"/>
        </w:rPr>
        <w:t>河流水系</w:t>
      </w:r>
      <w:bookmarkEnd w:id="262"/>
    </w:p>
    <w:p>
      <w:pPr>
        <w:spacing w:line="440" w:lineRule="atLeast"/>
        <w:ind w:firstLine="480"/>
        <w:rPr>
          <w:sz w:val="24"/>
          <w:highlight w:val="none"/>
        </w:rPr>
      </w:pPr>
      <w:r>
        <w:rPr>
          <w:sz w:val="24"/>
          <w:highlight w:val="none"/>
        </w:rPr>
        <w:t>本区河流发育，有大小河流37条，按河系可划分为淋河、沙河、黎河、还乡河和洒河五大河系，分属于滦河和蓟运河两大流域河系。纵贯全区的淋河、沙河、黎河三条河均属蓟运河水系，发源于北盆地北部和东部山区，向西循果河汇入于桥水库。</w:t>
      </w:r>
    </w:p>
    <w:p>
      <w:pPr>
        <w:spacing w:line="440" w:lineRule="atLeast"/>
        <w:ind w:firstLine="480"/>
        <w:rPr>
          <w:sz w:val="24"/>
          <w:highlight w:val="none"/>
        </w:rPr>
      </w:pPr>
      <w:r>
        <w:rPr>
          <w:sz w:val="24"/>
          <w:highlight w:val="none"/>
        </w:rPr>
        <w:t>淋河全长35km，流域面积400km</w:t>
      </w:r>
      <w:r>
        <w:rPr>
          <w:sz w:val="24"/>
          <w:highlight w:val="none"/>
          <w:vertAlign w:val="superscript"/>
        </w:rPr>
        <w:t>2</w:t>
      </w:r>
      <w:r>
        <w:rPr>
          <w:sz w:val="24"/>
          <w:highlight w:val="none"/>
        </w:rPr>
        <w:t>，年迳流量0.410×10</w:t>
      </w:r>
      <w:r>
        <w:rPr>
          <w:sz w:val="24"/>
          <w:highlight w:val="none"/>
          <w:vertAlign w:val="superscript"/>
        </w:rPr>
        <w:t>8</w:t>
      </w:r>
      <w:r>
        <w:rPr>
          <w:sz w:val="24"/>
          <w:highlight w:val="none"/>
        </w:rPr>
        <w:t>m</w:t>
      </w:r>
      <w:r>
        <w:rPr>
          <w:sz w:val="24"/>
          <w:highlight w:val="none"/>
          <w:vertAlign w:val="superscript"/>
        </w:rPr>
        <w:t>3</w:t>
      </w:r>
      <w:r>
        <w:rPr>
          <w:sz w:val="24"/>
          <w:highlight w:val="none"/>
        </w:rPr>
        <w:t>；沙河全长56km，流域面积850km</w:t>
      </w:r>
      <w:r>
        <w:rPr>
          <w:sz w:val="24"/>
          <w:highlight w:val="none"/>
          <w:vertAlign w:val="superscript"/>
        </w:rPr>
        <w:t>2</w:t>
      </w:r>
      <w:r>
        <w:rPr>
          <w:sz w:val="24"/>
          <w:highlight w:val="none"/>
        </w:rPr>
        <w:t>，年迳流量1.053×10</w:t>
      </w:r>
      <w:r>
        <w:rPr>
          <w:sz w:val="24"/>
          <w:highlight w:val="none"/>
          <w:vertAlign w:val="superscript"/>
        </w:rPr>
        <w:t>8</w:t>
      </w:r>
      <w:r>
        <w:rPr>
          <w:sz w:val="24"/>
          <w:highlight w:val="none"/>
        </w:rPr>
        <w:t>m</w:t>
      </w:r>
      <w:r>
        <w:rPr>
          <w:sz w:val="24"/>
          <w:highlight w:val="none"/>
          <w:vertAlign w:val="superscript"/>
        </w:rPr>
        <w:t>3</w:t>
      </w:r>
      <w:r>
        <w:rPr>
          <w:sz w:val="24"/>
          <w:highlight w:val="none"/>
        </w:rPr>
        <w:t>；黎河全长64km，流域面积800km</w:t>
      </w:r>
      <w:r>
        <w:rPr>
          <w:sz w:val="24"/>
          <w:highlight w:val="none"/>
          <w:vertAlign w:val="superscript"/>
        </w:rPr>
        <w:t>2</w:t>
      </w:r>
      <w:r>
        <w:rPr>
          <w:sz w:val="24"/>
          <w:highlight w:val="none"/>
        </w:rPr>
        <w:t>，年迳流量6.236×10</w:t>
      </w:r>
      <w:r>
        <w:rPr>
          <w:sz w:val="24"/>
          <w:highlight w:val="none"/>
          <w:vertAlign w:val="superscript"/>
        </w:rPr>
        <w:t>8</w:t>
      </w:r>
      <w:r>
        <w:rPr>
          <w:sz w:val="24"/>
          <w:highlight w:val="none"/>
        </w:rPr>
        <w:t>m</w:t>
      </w:r>
      <w:r>
        <w:rPr>
          <w:sz w:val="24"/>
          <w:highlight w:val="none"/>
          <w:vertAlign w:val="superscript"/>
        </w:rPr>
        <w:t>3</w:t>
      </w:r>
      <w:r>
        <w:rPr>
          <w:sz w:val="24"/>
          <w:highlight w:val="none"/>
        </w:rPr>
        <w:t>，为引滦输入河道。除黎河外，淋河和沙河为季节性河流，汛期泄洪量较大。由于上游都已建水库，流量受人工调节。</w:t>
      </w:r>
    </w:p>
    <w:p>
      <w:pPr>
        <w:spacing w:line="440" w:lineRule="atLeast"/>
        <w:ind w:firstLine="480"/>
        <w:rPr>
          <w:sz w:val="24"/>
          <w:highlight w:val="none"/>
        </w:rPr>
      </w:pPr>
      <w:r>
        <w:rPr>
          <w:sz w:val="24"/>
          <w:highlight w:val="none"/>
        </w:rPr>
        <w:t>全市有中小型水库22座，较大的水库有般若院水库、上关水库、龙门口水库等</w:t>
      </w:r>
      <w:r>
        <w:rPr>
          <w:rFonts w:hint="eastAsia"/>
          <w:sz w:val="24"/>
          <w:highlight w:val="none"/>
        </w:rPr>
        <w:t>（详见图4.1-4）</w:t>
      </w:r>
      <w:r>
        <w:rPr>
          <w:sz w:val="24"/>
          <w:highlight w:val="none"/>
        </w:rPr>
        <w:t>。</w:t>
      </w:r>
    </w:p>
    <w:p>
      <w:pPr>
        <w:spacing w:line="440" w:lineRule="atLeast"/>
        <w:ind w:firstLine="480"/>
        <w:rPr>
          <w:sz w:val="24"/>
          <w:highlight w:val="none"/>
        </w:rPr>
      </w:pPr>
    </w:p>
    <w:p>
      <w:pPr>
        <w:ind w:firstLine="0" w:firstLineChars="0"/>
        <w:rPr>
          <w:sz w:val="24"/>
          <w:highlight w:val="none"/>
        </w:rPr>
      </w:pPr>
      <w:r>
        <w:rPr>
          <w:rFonts w:eastAsia="黑体"/>
          <w:kern w:val="2"/>
          <w:sz w:val="21"/>
          <w:szCs w:val="21"/>
          <w:highlight w:val="none"/>
        </w:rPr>
        <mc:AlternateContent>
          <mc:Choice Requires="wps">
            <w:drawing>
              <wp:anchor distT="0" distB="0" distL="114300" distR="114300" simplePos="0" relativeHeight="251669504" behindDoc="0" locked="0" layoutInCell="1" allowOverlap="1">
                <wp:simplePos x="0" y="0"/>
                <wp:positionH relativeFrom="column">
                  <wp:posOffset>3897630</wp:posOffset>
                </wp:positionH>
                <wp:positionV relativeFrom="paragraph">
                  <wp:posOffset>1669415</wp:posOffset>
                </wp:positionV>
                <wp:extent cx="116840" cy="90805"/>
                <wp:effectExtent l="4445" t="4445" r="12065" b="19050"/>
                <wp:wrapNone/>
                <wp:docPr id="113" name="矩形 1175"/>
                <wp:cNvGraphicFramePr/>
                <a:graphic xmlns:a="http://schemas.openxmlformats.org/drawingml/2006/main">
                  <a:graphicData uri="http://schemas.microsoft.com/office/word/2010/wordprocessingShape">
                    <wps:wsp>
                      <wps:cNvSpPr/>
                      <wps:spPr>
                        <a:xfrm>
                          <a:off x="0" y="0"/>
                          <a:ext cx="116840" cy="90805"/>
                        </a:xfrm>
                        <a:prstGeom prst="re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1175" o:spid="_x0000_s1026" o:spt="1" style="position:absolute;left:0pt;margin-left:306.9pt;margin-top:131.45pt;height:7.15pt;width:9.2pt;z-index:251669504;mso-width-relative:page;mso-height-relative:page;" fillcolor="#FF0000" filled="t" stroked="t" coordsize="21600,21600" o:gfxdata="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Mmhl3bAAAACwEAAA8AAAAAAAAAAQAgAAAAIgAAAGRy&#10;cy9kb3ducmV2LnhtbFBLAQIUABQAAAAIAIdO4kDpE6HTAgIAACwEAAAOAAAAAAAAAAEAIAAAACoB&#10;AABkcnMvZTJvRG9jLnhtbFBLBQYAAAAABgAGAFkBAACeBQAAAAA=&#10;">
                <v:fill on="t" focussize="0,0"/>
                <v:stroke color="#FF0000" joinstyle="miter"/>
                <v:imagedata o:title=""/>
                <o:lock v:ext="edit" aspectratio="f"/>
                <v:textbox>
                  <w:txbxContent>
                    <w:p>
                      <w:pPr>
                        <w:jc w:val="center"/>
                      </w:pPr>
                    </w:p>
                  </w:txbxContent>
                </v:textbox>
              </v:rect>
            </w:pict>
          </mc:Fallback>
        </mc:AlternateContent>
      </w:r>
      <w:r>
        <w:rPr>
          <w:rFonts w:eastAsia="黑体"/>
          <w:kern w:val="2"/>
          <w:sz w:val="21"/>
          <w:szCs w:val="21"/>
          <w:highlight w:val="none"/>
        </w:rPr>
        <mc:AlternateContent>
          <mc:Choice Requires="wps">
            <w:drawing>
              <wp:anchor distT="0" distB="0" distL="114300" distR="114300" simplePos="0" relativeHeight="251668480" behindDoc="0" locked="0" layoutInCell="1" allowOverlap="1">
                <wp:simplePos x="0" y="0"/>
                <wp:positionH relativeFrom="column">
                  <wp:posOffset>3141980</wp:posOffset>
                </wp:positionH>
                <wp:positionV relativeFrom="paragraph">
                  <wp:posOffset>2150110</wp:posOffset>
                </wp:positionV>
                <wp:extent cx="872490" cy="263525"/>
                <wp:effectExtent l="4445" t="402590" r="18415" b="19685"/>
                <wp:wrapNone/>
                <wp:docPr id="112" name="自选图形 1174"/>
                <wp:cNvGraphicFramePr/>
                <a:graphic xmlns:a="http://schemas.openxmlformats.org/drawingml/2006/main">
                  <a:graphicData uri="http://schemas.microsoft.com/office/word/2010/wordprocessingShape">
                    <wps:wsp>
                      <wps:cNvSpPr/>
                      <wps:spPr>
                        <a:xfrm>
                          <a:off x="0" y="0"/>
                          <a:ext cx="872490" cy="263525"/>
                        </a:xfrm>
                        <a:prstGeom prst="wedgeRectCallout">
                          <a:avLst>
                            <a:gd name="adj1" fmla="val 35153"/>
                            <a:gd name="adj2" fmla="val -195782"/>
                          </a:avLst>
                        </a:prstGeom>
                        <a:noFill/>
                        <a:ln w="9525" cap="flat" cmpd="sng">
                          <a:solidFill>
                            <a:srgbClr val="000000"/>
                          </a:solidFill>
                          <a:prstDash val="solid"/>
                          <a:miter/>
                          <a:headEnd type="none" w="med" len="med"/>
                          <a:tailEnd type="none" w="med" len="med"/>
                        </a:ln>
                      </wps:spPr>
                      <wps:txbx>
                        <w:txbxContent>
                          <w:p>
                            <w:pPr>
                              <w:spacing w:line="240" w:lineRule="atLeast"/>
                              <w:ind w:firstLine="0" w:firstLineChars="0"/>
                              <w:jc w:val="center"/>
                              <w:rPr>
                                <w:sz w:val="21"/>
                                <w:szCs w:val="21"/>
                              </w:rPr>
                            </w:pPr>
                            <w:r>
                              <w:rPr>
                                <w:rFonts w:hint="eastAsia"/>
                                <w:sz w:val="21"/>
                                <w:szCs w:val="21"/>
                              </w:rPr>
                              <w:t>项目位置</w:t>
                            </w:r>
                          </w:p>
                        </w:txbxContent>
                      </wps:txbx>
                      <wps:bodyPr upright="1"/>
                    </wps:wsp>
                  </a:graphicData>
                </a:graphic>
              </wp:anchor>
            </w:drawing>
          </mc:Choice>
          <mc:Fallback>
            <w:pict>
              <v:shape id="自选图形 1174" o:spid="_x0000_s1026" o:spt="61" type="#_x0000_t61" style="position:absolute;left:0pt;margin-left:247.4pt;margin-top:169.3pt;height:20.75pt;width:68.7pt;z-index:251668480;mso-width-relative:page;mso-height-relative:page;" filled="f" stroked="t" coordsize="21600,21600" o:gfxdata="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CoLIL2AAAAAsBAAAPAAAAAAAAAAEAIAAAACIAAABkcnMvZG93&#10;bnJldi54bWxQSwECFAAUAAAACACHTuJACxSgFjkCAABpBAAADgAAAAAAAAABACAAAAAnAQAAZHJz&#10;L2Uyb0RvYy54bWxQSwUGAAAAAAYABgBZAQAA0gUAAAAA&#10;" adj="18393,-31489">
                <v:fill on="f" focussize="0,0"/>
                <v:stroke color="#000000" joinstyle="miter"/>
                <v:imagedata o:title=""/>
                <o:lock v:ext="edit" aspectratio="f"/>
                <v:textbox>
                  <w:txbxContent>
                    <w:p>
                      <w:pPr>
                        <w:spacing w:line="240" w:lineRule="atLeast"/>
                        <w:ind w:firstLine="0" w:firstLineChars="0"/>
                        <w:jc w:val="center"/>
                        <w:rPr>
                          <w:sz w:val="21"/>
                          <w:szCs w:val="21"/>
                        </w:rPr>
                      </w:pPr>
                      <w:r>
                        <w:rPr>
                          <w:rFonts w:hint="eastAsia"/>
                          <w:sz w:val="21"/>
                          <w:szCs w:val="21"/>
                        </w:rPr>
                        <w:t>项目位置</w:t>
                      </w:r>
                    </w:p>
                  </w:txbxContent>
                </v:textbox>
              </v:shape>
            </w:pict>
          </mc:Fallback>
        </mc:AlternateContent>
      </w:r>
      <w:r>
        <w:rPr>
          <w:rFonts w:hint="eastAsia"/>
          <w:sz w:val="24"/>
          <w:highlight w:val="none"/>
        </w:rPr>
        <w:drawing>
          <wp:inline distT="0" distB="0" distL="0" distR="0">
            <wp:extent cx="5648325" cy="4076700"/>
            <wp:effectExtent l="0" t="0" r="0" b="0"/>
            <wp:docPr id="58" name="图片 58" descr="图4.2-1  区域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图4.2-1  区域水系图"/>
                    <pic:cNvPicPr>
                      <a:picLocks noChangeAspect="1" noChangeArrowheads="1"/>
                    </pic:cNvPicPr>
                  </pic:nvPicPr>
                  <pic:blipFill>
                    <a:blip r:embed="rId43">
                      <a:extLst>
                        <a:ext uri="{28A0092B-C50C-407E-A947-70E740481C1C}">
                          <a14:useLocalDpi xmlns:a14="http://schemas.microsoft.com/office/drawing/2010/main" val="0"/>
                        </a:ext>
                      </a:extLst>
                    </a:blip>
                    <a:srcRect b="5780"/>
                    <a:stretch>
                      <a:fillRect/>
                    </a:stretch>
                  </pic:blipFill>
                  <pic:spPr>
                    <a:xfrm>
                      <a:off x="0" y="0"/>
                      <a:ext cx="5648325" cy="4076700"/>
                    </a:xfrm>
                    <a:prstGeom prst="rect">
                      <a:avLst/>
                    </a:prstGeom>
                    <a:noFill/>
                    <a:ln>
                      <a:noFill/>
                    </a:ln>
                  </pic:spPr>
                </pic:pic>
              </a:graphicData>
            </a:graphic>
          </wp:inline>
        </w:drawing>
      </w:r>
    </w:p>
    <w:bookmarkEnd w:id="260"/>
    <w:p>
      <w:pPr>
        <w:ind w:firstLine="0" w:firstLineChars="0"/>
        <w:jc w:val="center"/>
        <w:rPr>
          <w:rFonts w:eastAsia="黑体"/>
          <w:kern w:val="2"/>
          <w:sz w:val="21"/>
          <w:szCs w:val="21"/>
          <w:highlight w:val="none"/>
        </w:rPr>
      </w:pPr>
      <w:r>
        <w:rPr>
          <w:rFonts w:eastAsia="黑体"/>
          <w:kern w:val="2"/>
          <w:sz w:val="21"/>
          <w:szCs w:val="21"/>
          <w:highlight w:val="none"/>
        </w:rPr>
        <w:t xml:space="preserve">图4.1-4  </w:t>
      </w:r>
      <w:r>
        <w:rPr>
          <w:rFonts w:hint="eastAsia" w:eastAsia="黑体"/>
          <w:kern w:val="2"/>
          <w:sz w:val="21"/>
          <w:szCs w:val="21"/>
          <w:highlight w:val="none"/>
        </w:rPr>
        <w:t xml:space="preserve"> </w:t>
      </w:r>
      <w:r>
        <w:rPr>
          <w:rFonts w:eastAsia="黑体"/>
          <w:kern w:val="2"/>
          <w:sz w:val="21"/>
          <w:szCs w:val="21"/>
          <w:highlight w:val="none"/>
        </w:rPr>
        <w:t>遵化市河流水系</w:t>
      </w:r>
    </w:p>
    <w:p>
      <w:pPr>
        <w:pStyle w:val="6"/>
        <w:numPr>
          <w:ilvl w:val="2"/>
          <w:numId w:val="1"/>
        </w:numPr>
        <w:rPr>
          <w:szCs w:val="28"/>
          <w:highlight w:val="none"/>
        </w:rPr>
      </w:pPr>
      <w:bookmarkStart w:id="263" w:name="_Toc29014"/>
      <w:bookmarkStart w:id="264" w:name="_Toc521591778"/>
      <w:r>
        <w:rPr>
          <w:rFonts w:hint="eastAsia"/>
          <w:szCs w:val="28"/>
          <w:highlight w:val="none"/>
        </w:rPr>
        <w:t>区域地质概况</w:t>
      </w:r>
      <w:bookmarkEnd w:id="263"/>
      <w:bookmarkEnd w:id="264"/>
    </w:p>
    <w:p>
      <w:pPr>
        <w:pStyle w:val="3"/>
        <w:rPr>
          <w:rFonts w:eastAsia="宋体"/>
          <w:b/>
          <w:szCs w:val="24"/>
          <w:highlight w:val="none"/>
        </w:rPr>
      </w:pPr>
      <w:bookmarkStart w:id="265" w:name="_Toc294465477"/>
      <w:bookmarkStart w:id="266" w:name="_Toc294202409"/>
      <w:bookmarkStart w:id="267" w:name="_Toc195428537"/>
      <w:r>
        <w:rPr>
          <w:rFonts w:eastAsia="宋体"/>
          <w:b/>
          <w:szCs w:val="24"/>
          <w:highlight w:val="none"/>
        </w:rPr>
        <w:t>4.1.5.1基岩地质</w:t>
      </w:r>
      <w:bookmarkEnd w:id="265"/>
      <w:bookmarkEnd w:id="266"/>
      <w:bookmarkEnd w:id="267"/>
    </w:p>
    <w:p>
      <w:pPr>
        <w:spacing w:line="440" w:lineRule="atLeast"/>
        <w:ind w:firstLine="480"/>
        <w:rPr>
          <w:sz w:val="24"/>
          <w:highlight w:val="none"/>
        </w:rPr>
      </w:pPr>
      <w:bookmarkStart w:id="268" w:name="_Toc195428538"/>
      <w:bookmarkStart w:id="269" w:name="_Toc294202410"/>
      <w:bookmarkStart w:id="270" w:name="_Toc294465478"/>
      <w:r>
        <w:rPr>
          <w:rFonts w:hAnsi="宋体"/>
          <w:sz w:val="24"/>
          <w:highlight w:val="none"/>
        </w:rPr>
        <w:t>本区出露的地层主要为北部的太古界和南部的中元古界长城系和蓟县系。而在盆地中沉积了较厚的第四系。现由老至新简述如下：</w:t>
      </w:r>
    </w:p>
    <w:p>
      <w:pPr>
        <w:spacing w:line="440" w:lineRule="atLeast"/>
        <w:ind w:firstLine="480"/>
        <w:rPr>
          <w:sz w:val="24"/>
          <w:highlight w:val="none"/>
        </w:rPr>
      </w:pPr>
      <w:r>
        <w:rPr>
          <w:rFonts w:hAnsi="宋体"/>
          <w:sz w:val="24"/>
          <w:highlight w:val="none"/>
        </w:rPr>
        <w:t>①太古界</w:t>
      </w:r>
      <w:r>
        <w:rPr>
          <w:rFonts w:hint="eastAsia" w:hAnsi="宋体"/>
          <w:sz w:val="24"/>
          <w:highlight w:val="none"/>
        </w:rPr>
        <w:t>（Ar）</w:t>
      </w:r>
    </w:p>
    <w:p>
      <w:pPr>
        <w:spacing w:line="440" w:lineRule="atLeast"/>
        <w:ind w:firstLine="480"/>
        <w:rPr>
          <w:sz w:val="24"/>
          <w:highlight w:val="none"/>
        </w:rPr>
      </w:pPr>
      <w:r>
        <w:rPr>
          <w:rFonts w:hAnsi="宋体"/>
          <w:sz w:val="24"/>
          <w:highlight w:val="none"/>
        </w:rPr>
        <w:t>在本区北部有出露，主要由各种片麻岩和混合岩组成，片麻理走向近南北，倾角一般大于</w:t>
      </w:r>
      <w:r>
        <w:rPr>
          <w:sz w:val="24"/>
          <w:highlight w:val="none"/>
        </w:rPr>
        <w:t>80°</w:t>
      </w:r>
      <w:r>
        <w:rPr>
          <w:rFonts w:hAnsi="宋体"/>
          <w:sz w:val="24"/>
          <w:highlight w:val="none"/>
        </w:rPr>
        <w:t>。</w:t>
      </w:r>
    </w:p>
    <w:p>
      <w:pPr>
        <w:spacing w:line="440" w:lineRule="atLeast"/>
        <w:ind w:firstLine="480"/>
        <w:rPr>
          <w:sz w:val="24"/>
          <w:highlight w:val="none"/>
        </w:rPr>
      </w:pPr>
      <w:r>
        <w:rPr>
          <w:rFonts w:hAnsi="宋体"/>
          <w:sz w:val="24"/>
          <w:highlight w:val="none"/>
        </w:rPr>
        <w:t>②中元古界</w:t>
      </w:r>
    </w:p>
    <w:p>
      <w:pPr>
        <w:spacing w:line="440" w:lineRule="atLeast"/>
        <w:ind w:firstLine="480"/>
        <w:rPr>
          <w:sz w:val="24"/>
          <w:highlight w:val="none"/>
        </w:rPr>
      </w:pPr>
      <w:r>
        <w:rPr>
          <w:rFonts w:hAnsi="宋体"/>
          <w:sz w:val="24"/>
          <w:highlight w:val="none"/>
        </w:rPr>
        <w:t>长城系（</w:t>
      </w:r>
      <w:r>
        <w:rPr>
          <w:sz w:val="24"/>
          <w:highlight w:val="none"/>
        </w:rPr>
        <w:t>Ch</w:t>
      </w:r>
      <w:r>
        <w:rPr>
          <w:rFonts w:hAnsi="宋体"/>
          <w:sz w:val="24"/>
          <w:highlight w:val="none"/>
        </w:rPr>
        <w:t>）</w:t>
      </w:r>
      <w:r>
        <w:rPr>
          <w:rFonts w:hint="eastAsia"/>
          <w:sz w:val="24"/>
          <w:highlight w:val="none"/>
        </w:rPr>
        <w:t>：</w:t>
      </w:r>
    </w:p>
    <w:p>
      <w:pPr>
        <w:spacing w:line="440" w:lineRule="atLeast"/>
        <w:ind w:firstLine="480"/>
        <w:rPr>
          <w:sz w:val="24"/>
          <w:highlight w:val="none"/>
        </w:rPr>
      </w:pPr>
      <w:r>
        <w:rPr>
          <w:rFonts w:hAnsi="宋体"/>
          <w:sz w:val="24"/>
          <w:highlight w:val="none"/>
        </w:rPr>
        <w:t>主要出露于笔架山－白草顶－天台山以南的广大地区，其中高于庄组伏于盆地的下部，总厚</w:t>
      </w:r>
      <w:r>
        <w:rPr>
          <w:sz w:val="24"/>
          <w:highlight w:val="none"/>
        </w:rPr>
        <w:t>3746</w:t>
      </w:r>
      <w:r>
        <w:rPr>
          <w:rFonts w:hAnsi="宋体"/>
          <w:sz w:val="24"/>
          <w:highlight w:val="none"/>
        </w:rPr>
        <w:t>-</w:t>
      </w:r>
      <w:r>
        <w:rPr>
          <w:sz w:val="24"/>
          <w:highlight w:val="none"/>
        </w:rPr>
        <w:t>4799m</w:t>
      </w:r>
      <w:r>
        <w:rPr>
          <w:rFonts w:hAnsi="宋体"/>
          <w:sz w:val="24"/>
          <w:highlight w:val="none"/>
        </w:rPr>
        <w:t>，自下而上由碎屑岩过度为碳酸盐岩，据岩石组合，可分为常州沟组（</w:t>
      </w:r>
      <w:r>
        <w:rPr>
          <w:sz w:val="24"/>
          <w:highlight w:val="none"/>
        </w:rPr>
        <w:t>Chc</w:t>
      </w:r>
      <w:r>
        <w:rPr>
          <w:rFonts w:hAnsi="宋体"/>
          <w:sz w:val="24"/>
          <w:highlight w:val="none"/>
        </w:rPr>
        <w:t>）、串岭沟组（</w:t>
      </w:r>
      <w:r>
        <w:rPr>
          <w:sz w:val="24"/>
          <w:highlight w:val="none"/>
        </w:rPr>
        <w:t>Ch</w:t>
      </w:r>
      <w:r>
        <w:rPr>
          <w:i/>
          <w:sz w:val="24"/>
          <w:highlight w:val="none"/>
        </w:rPr>
        <w:t>ch</w:t>
      </w:r>
      <w:r>
        <w:rPr>
          <w:rFonts w:hAnsi="宋体"/>
          <w:sz w:val="24"/>
          <w:highlight w:val="none"/>
        </w:rPr>
        <w:t>）、团山子组（</w:t>
      </w:r>
      <w:r>
        <w:rPr>
          <w:sz w:val="24"/>
          <w:highlight w:val="none"/>
        </w:rPr>
        <w:t>Ch</w:t>
      </w:r>
      <w:r>
        <w:rPr>
          <w:i/>
          <w:sz w:val="24"/>
          <w:highlight w:val="none"/>
        </w:rPr>
        <w:t>t</w:t>
      </w:r>
      <w:r>
        <w:rPr>
          <w:rFonts w:hAnsi="宋体"/>
          <w:sz w:val="24"/>
          <w:highlight w:val="none"/>
        </w:rPr>
        <w:t>）、大红峪组（</w:t>
      </w:r>
      <w:r>
        <w:rPr>
          <w:sz w:val="24"/>
          <w:highlight w:val="none"/>
        </w:rPr>
        <w:t>Ch</w:t>
      </w:r>
      <w:r>
        <w:rPr>
          <w:i/>
          <w:sz w:val="24"/>
          <w:highlight w:val="none"/>
        </w:rPr>
        <w:t>d</w:t>
      </w:r>
      <w:r>
        <w:rPr>
          <w:rFonts w:hAnsi="宋体"/>
          <w:sz w:val="24"/>
          <w:highlight w:val="none"/>
        </w:rPr>
        <w:t>）、高于庄组（</w:t>
      </w:r>
      <w:r>
        <w:rPr>
          <w:sz w:val="24"/>
          <w:highlight w:val="none"/>
        </w:rPr>
        <w:t>Ch</w:t>
      </w:r>
      <w:r>
        <w:rPr>
          <w:i/>
          <w:sz w:val="24"/>
          <w:highlight w:val="none"/>
        </w:rPr>
        <w:t>g</w:t>
      </w:r>
      <w:r>
        <w:rPr>
          <w:rFonts w:hAnsi="宋体"/>
          <w:sz w:val="24"/>
          <w:highlight w:val="none"/>
        </w:rPr>
        <w:t>）五个组。</w:t>
      </w:r>
    </w:p>
    <w:p>
      <w:pPr>
        <w:spacing w:line="440" w:lineRule="atLeast"/>
        <w:ind w:firstLine="480"/>
        <w:rPr>
          <w:sz w:val="24"/>
          <w:highlight w:val="none"/>
        </w:rPr>
      </w:pPr>
      <w:r>
        <w:rPr>
          <w:rFonts w:hAnsi="宋体"/>
          <w:sz w:val="24"/>
          <w:highlight w:val="none"/>
        </w:rPr>
        <w:t>蓟县系（</w:t>
      </w:r>
      <w:r>
        <w:rPr>
          <w:sz w:val="24"/>
          <w:highlight w:val="none"/>
        </w:rPr>
        <w:t>Jx</w:t>
      </w:r>
      <w:r>
        <w:rPr>
          <w:rFonts w:hAnsi="宋体"/>
          <w:sz w:val="24"/>
          <w:highlight w:val="none"/>
        </w:rPr>
        <w:t>）</w:t>
      </w:r>
      <w:r>
        <w:rPr>
          <w:rFonts w:hint="eastAsia"/>
          <w:sz w:val="24"/>
          <w:highlight w:val="none"/>
        </w:rPr>
        <w:t>：</w:t>
      </w:r>
    </w:p>
    <w:p>
      <w:pPr>
        <w:spacing w:line="440" w:lineRule="atLeast"/>
        <w:ind w:firstLine="480"/>
        <w:rPr>
          <w:rFonts w:hAnsi="宋体"/>
          <w:sz w:val="24"/>
          <w:highlight w:val="none"/>
        </w:rPr>
      </w:pPr>
      <w:r>
        <w:rPr>
          <w:rFonts w:hAnsi="宋体"/>
          <w:sz w:val="24"/>
          <w:highlight w:val="none"/>
        </w:rPr>
        <w:t>在本区只见有杨庄组和雾迷山组。主要岩性为白云岩及碳酸盐岩。</w:t>
      </w:r>
    </w:p>
    <w:p>
      <w:pPr>
        <w:pStyle w:val="3"/>
        <w:keepNext w:val="0"/>
        <w:keepLines w:val="0"/>
        <w:rPr>
          <w:rFonts w:eastAsia="宋体"/>
          <w:b/>
          <w:szCs w:val="24"/>
          <w:highlight w:val="none"/>
        </w:rPr>
      </w:pPr>
      <w:r>
        <w:rPr>
          <w:rFonts w:eastAsia="宋体"/>
          <w:b/>
          <w:szCs w:val="24"/>
          <w:highlight w:val="none"/>
        </w:rPr>
        <w:t>4.1.5.2第四纪地质</w:t>
      </w:r>
      <w:bookmarkEnd w:id="268"/>
      <w:bookmarkEnd w:id="269"/>
      <w:bookmarkEnd w:id="270"/>
    </w:p>
    <w:p>
      <w:pPr>
        <w:ind w:firstLine="480"/>
        <w:rPr>
          <w:sz w:val="24"/>
          <w:highlight w:val="none"/>
        </w:rPr>
      </w:pPr>
      <w:r>
        <w:rPr>
          <w:sz w:val="24"/>
          <w:highlight w:val="none"/>
        </w:rPr>
        <w:t>（1）第四系沉积古地理特征</w:t>
      </w:r>
    </w:p>
    <w:p>
      <w:pPr>
        <w:ind w:firstLine="480"/>
        <w:rPr>
          <w:sz w:val="24"/>
          <w:highlight w:val="none"/>
        </w:rPr>
      </w:pPr>
      <w:r>
        <w:rPr>
          <w:sz w:val="24"/>
          <w:highlight w:val="none"/>
        </w:rPr>
        <w:t>遵化盆地是一个封闭的盆地，是在以太古界、长城系为主的古老基岩夷平面上发育起来的第四纪断陷盆地。由中部弧形山分成南北两个盆地，北盆地地势较高，以冲洪积近源粗粒相为主。南盆地地势较低，受水文网的切割，是北盆地的泄水区，由于地势的封闭性，以冲积湖积相为主，沉积厚度较大，据钻孔揭露，厚度大于250m。受基底拗陷深度的控制，第四系厚度自西向东和由南北两侧向中心增大。同时基底表面不平，低洼处形成厚层粘土及含砾粘土堆积，而在隆起处遭受削蚀，以后堆积粗粒层，往往形成基岩“天窗带”。</w:t>
      </w:r>
    </w:p>
    <w:p>
      <w:pPr>
        <w:ind w:firstLine="480"/>
        <w:rPr>
          <w:sz w:val="24"/>
          <w:highlight w:val="none"/>
        </w:rPr>
      </w:pPr>
      <w:r>
        <w:rPr>
          <w:sz w:val="24"/>
          <w:highlight w:val="none"/>
        </w:rPr>
        <w:t>由于受构造和地形的控制，第四系沉积物主要来源于北部和东部，因此使第四系沉积物在水平方向上，由东北向南西有明显的水平分带规律，沿此方向，沉积物颗粒粒度变细，厚度变薄，粘土质层分隔层次增多变厚，沉积物中有机质、腐殖质和可溶盐含量增加，在成因上由冲积洪积相过渡到冲积湖积相和湖积相。沿上述方向，沉积岩性由厚层含卵砂砾石向西渐变为淤泥质土夹粉细砂层，北盆地的沉积中心在夏庄子－纪庄子一带，南盆地的沉积中心在西南部漳泗河以西一带。由于盆地边缘山麓冲积扇和古州河水系的摆动，形成三角洲相、泛流相和湖滨相的河湖交互相沉积。并由于北部抬升较强，使河流由北向南摆动，沿盆地南侧发育，现代地貌轮廓反映这一特征。</w:t>
      </w:r>
    </w:p>
    <w:p>
      <w:pPr>
        <w:ind w:firstLine="480"/>
        <w:rPr>
          <w:sz w:val="24"/>
          <w:highlight w:val="none"/>
        </w:rPr>
      </w:pPr>
      <w:r>
        <w:rPr>
          <w:sz w:val="24"/>
          <w:highlight w:val="none"/>
        </w:rPr>
        <w:t>由于构造条件和古气候的差异，新生代以来盆地的沉积环境的演变具有不同的特征，第三纪时本区为一隆起剥蚀区，气候炎热，风化较剧，是中元古界碳酸盐岩古岩溶形成的主要时期。第四纪以来，古气候有很大的变化，孢粉资料表明，由第三纪的干热气候向温冷转化，并出现数次冷暖交替的变化。据钻孔揭露，在深部早更新世地层中，见有棕褐及棕红色泥砾层，可能为冰水－冰湖沉积物，推测在山麓地带可能有冰川活动，中上更新世以来，孢粉资料反映出古气候有两个由冷变暖旋回，总的向偏干旱转化，至更新世晚期气候变干而多洪水，湖水退缩，过度为较广的河湖交互相沉积，Q</w:t>
      </w:r>
      <w:r>
        <w:rPr>
          <w:sz w:val="24"/>
          <w:highlight w:val="none"/>
          <w:vertAlign w:val="subscript"/>
        </w:rPr>
        <w:t>2</w:t>
      </w:r>
      <w:r>
        <w:rPr>
          <w:sz w:val="24"/>
          <w:highlight w:val="none"/>
        </w:rPr>
        <w:t>冲洪积物在沉积厚度，分布范围和颗粒粒度上，较其以前有一定的扩展，以沙河、淋河尤为明显，形成冲积扇的前缘迭加分布。</w:t>
      </w:r>
    </w:p>
    <w:p>
      <w:pPr>
        <w:ind w:firstLine="480"/>
        <w:rPr>
          <w:sz w:val="24"/>
          <w:highlight w:val="none"/>
        </w:rPr>
      </w:pPr>
      <w:r>
        <w:rPr>
          <w:sz w:val="24"/>
          <w:highlight w:val="none"/>
        </w:rPr>
        <w:t>古气候的演变直接影响沉积环境的变化。第四纪以来，盆地周边断裂的活动，便盆地下陷，成为区域水源的汇聚中心，形成整个下更新世的以湖相为主的河湖相沉积，在垂直方向上岩性有由粗到细两个沉积旋回；中更新世湖水波及范围最广，沉积厚度最大，湖盆中心在漳四河以西一带，中更新世早期，由于北盆地的抬升，在本区东部形成范围较广厚度较大的古州河水下三角洲沉积，有些地区厚达百米以上，其中颗粒较粗的砾砂层占80%以上。中更新世晚期有范围较广，含淤泥质的静水湖积层，富含有机层、石灰质和腐殖质，且盐分含量相对较高，并具明显薄页状水平层理。中更新世以后，湖水范围逐渐退缩，湖盆较局限，而代之以范围较广，厚度较大的冲洪积层，但至少有三次较大范围的湖水超覆沉积，形成细粒的淤泥质土沉积层。更新世晚期，由于洪水的冲切，沙河、淋河、黎河泛流相几乎遍及全区，并于燕山口切穿外泄，成为彩亭桥冲洪积扇的物源。全新世以来，以河流冲洪积物为主，在本区西部低洼地带有范围不大的湖沼沉积。</w:t>
      </w:r>
    </w:p>
    <w:p>
      <w:pPr>
        <w:ind w:firstLine="480"/>
        <w:rPr>
          <w:sz w:val="24"/>
          <w:highlight w:val="none"/>
        </w:rPr>
      </w:pPr>
      <w:r>
        <w:rPr>
          <w:sz w:val="24"/>
          <w:highlight w:val="none"/>
        </w:rPr>
        <w:t>（2）第四纪地层</w:t>
      </w:r>
    </w:p>
    <w:p>
      <w:pPr>
        <w:ind w:firstLine="480"/>
        <w:rPr>
          <w:sz w:val="24"/>
          <w:highlight w:val="none"/>
        </w:rPr>
      </w:pPr>
      <w:r>
        <w:rPr>
          <w:sz w:val="24"/>
          <w:highlight w:val="none"/>
        </w:rPr>
        <w:t>盆地内第四纪地层分布较广，北盆地内最厚度达270m，南盆地内厚度最厚超过250m，由于地质构造、古地理条件的控制，使第四系沉积物在不同地貌单元和不同地质时期，其成因、岩相和岩性具有不同特征。工作区揭露的第四纪地层，由老至新划分为四个地层组。</w:t>
      </w:r>
    </w:p>
    <w:p>
      <w:pPr>
        <w:ind w:firstLine="480"/>
        <w:rPr>
          <w:sz w:val="24"/>
          <w:highlight w:val="none"/>
        </w:rPr>
      </w:pPr>
      <w:r>
        <w:rPr>
          <w:rFonts w:hint="eastAsia" w:ascii="宋体" w:hAnsi="宋体" w:cs="宋体"/>
          <w:sz w:val="24"/>
          <w:highlight w:val="none"/>
        </w:rPr>
        <w:t>①</w:t>
      </w:r>
      <w:r>
        <w:rPr>
          <w:sz w:val="24"/>
          <w:highlight w:val="none"/>
        </w:rPr>
        <w:t>下更新统（Q</w:t>
      </w:r>
      <w:r>
        <w:rPr>
          <w:sz w:val="24"/>
          <w:highlight w:val="none"/>
          <w:vertAlign w:val="subscript"/>
        </w:rPr>
        <w:t>P</w:t>
      </w:r>
      <w:r>
        <w:rPr>
          <w:sz w:val="24"/>
          <w:highlight w:val="none"/>
          <w:vertAlign w:val="superscript"/>
        </w:rPr>
        <w:t>1</w:t>
      </w:r>
      <w:r>
        <w:rPr>
          <w:sz w:val="24"/>
          <w:highlight w:val="none"/>
        </w:rPr>
        <w:t>）：</w:t>
      </w:r>
    </w:p>
    <w:p>
      <w:pPr>
        <w:ind w:firstLine="480"/>
        <w:rPr>
          <w:sz w:val="24"/>
          <w:highlight w:val="none"/>
        </w:rPr>
      </w:pPr>
      <w:r>
        <w:rPr>
          <w:sz w:val="24"/>
          <w:highlight w:val="none"/>
        </w:rPr>
        <w:t>为一套以湖积为主，边缘可能为冰水沉积层，地表无出露，根据岩性特点，可分为上下两段：上段为灰黄、灰褐色含淤泥质粘土及砂粘土，层理不明显，夹砂层，厚度10-20m。下段为棕红色、紫红色含砾粘土夹泥质砂卵石，含铁锰质结核，砾卵石磨圆度较差，厚度10-25m。不整合覆于基岩风化带之上。</w:t>
      </w:r>
    </w:p>
    <w:p>
      <w:pPr>
        <w:ind w:firstLine="480"/>
        <w:rPr>
          <w:sz w:val="24"/>
          <w:highlight w:val="none"/>
        </w:rPr>
      </w:pPr>
      <w:r>
        <w:rPr>
          <w:rFonts w:hint="eastAsia" w:ascii="宋体" w:hAnsi="宋体" w:cs="宋体"/>
          <w:sz w:val="24"/>
          <w:highlight w:val="none"/>
        </w:rPr>
        <w:t>②</w:t>
      </w:r>
      <w:r>
        <w:rPr>
          <w:sz w:val="24"/>
          <w:highlight w:val="none"/>
        </w:rPr>
        <w:t>中更新统（Q</w:t>
      </w:r>
      <w:r>
        <w:rPr>
          <w:sz w:val="24"/>
          <w:highlight w:val="none"/>
          <w:vertAlign w:val="subscript"/>
        </w:rPr>
        <w:t>P</w:t>
      </w:r>
      <w:r>
        <w:rPr>
          <w:sz w:val="24"/>
          <w:highlight w:val="none"/>
          <w:vertAlign w:val="superscript"/>
        </w:rPr>
        <w:t>2</w:t>
      </w:r>
      <w:r>
        <w:rPr>
          <w:sz w:val="24"/>
          <w:highlight w:val="none"/>
        </w:rPr>
        <w:t>）：</w:t>
      </w:r>
    </w:p>
    <w:p>
      <w:pPr>
        <w:ind w:firstLine="480"/>
        <w:rPr>
          <w:sz w:val="24"/>
          <w:highlight w:val="none"/>
        </w:rPr>
      </w:pPr>
      <w:r>
        <w:rPr>
          <w:sz w:val="24"/>
          <w:highlight w:val="none"/>
        </w:rPr>
        <w:t>为一还原环境下的灰色湖相沉积层，几乎遍布全区。在东部，沙河及淋河流域为冲洪积－湖积交互沉积的湖滨三角洲相堆积物。其厚度和底板埋深受基底拗陷深度的控制，自东向西渐浅变薄，以东部南北山前断裂之间深拗陷带厚度最大，底板深度大于200m，向西和盆地边缘地带变薄，一般60-80m，由于沉积物源来自北部和东部，沉积颗粒由东向西和自北向南变细，沉积中心在漳泗河一线。在垂向上，有自下而上由粗变细的沉积旋回。可分为上下两组。一般下组较粗，厚度较大，主要岩性为灰黄色棕黄色砂砾石含砾中组砂夹薄层灰黄色砂粘土，颗粒较粗，砂层厚度大，东部上游地区砂砾层厚达80余米，向西和盆地内部颗粒变细，厚40-70m；上组岩性较细，为蓝灰色、灰绿色、青灰色淤泥质土夹薄层粉细纱，含大量有机质、腐殖质及石灰质，含盐量相对较高，薄层状水平层理明显，为一静水湖积层，厚30-45m。在沉积中心为厚层淤泥质粘土夹薄层粉细砂，与下伏下更新统呈整合接触。</w:t>
      </w:r>
    </w:p>
    <w:p>
      <w:pPr>
        <w:ind w:firstLine="480"/>
        <w:rPr>
          <w:sz w:val="24"/>
          <w:highlight w:val="none"/>
        </w:rPr>
      </w:pPr>
      <w:r>
        <w:rPr>
          <w:rFonts w:hint="eastAsia" w:ascii="宋体" w:hAnsi="宋体" w:cs="宋体"/>
          <w:sz w:val="24"/>
          <w:highlight w:val="none"/>
        </w:rPr>
        <w:t>③</w:t>
      </w:r>
      <w:r>
        <w:rPr>
          <w:sz w:val="24"/>
          <w:highlight w:val="none"/>
        </w:rPr>
        <w:t>上更新统（Q</w:t>
      </w:r>
      <w:r>
        <w:rPr>
          <w:sz w:val="24"/>
          <w:highlight w:val="none"/>
          <w:vertAlign w:val="subscript"/>
        </w:rPr>
        <w:t>P</w:t>
      </w:r>
      <w:r>
        <w:rPr>
          <w:sz w:val="24"/>
          <w:highlight w:val="none"/>
          <w:vertAlign w:val="superscript"/>
        </w:rPr>
        <w:t>3</w:t>
      </w:r>
      <w:r>
        <w:rPr>
          <w:sz w:val="24"/>
          <w:highlight w:val="none"/>
        </w:rPr>
        <w:t>）：</w:t>
      </w:r>
    </w:p>
    <w:p>
      <w:pPr>
        <w:ind w:firstLine="480"/>
        <w:rPr>
          <w:sz w:val="24"/>
          <w:highlight w:val="none"/>
        </w:rPr>
      </w:pPr>
      <w:r>
        <w:rPr>
          <w:sz w:val="24"/>
          <w:highlight w:val="none"/>
        </w:rPr>
        <w:t>盆地边缘和上部地层为冲洪积相，盆地内部和下部地层为冲积湖积的河湖交互相沉积物。由于沉积物来源于北部和东部，沉积颗粒也有自东向西和由边缘向盆地内部变细的规律，沉积厚度和底板埋深受古地形的影响，由盆地边缘向内部增厚变深，一般厚度40-60m，在盆地边缘地带厚度变薄，变为20-30m。主要岩性在边缘地带为含卵砂砾石、中粗砂及黄色砂粘土，夹三层薄层灰色淤泥质土，在垂向上以早期和晚期冲积砂砾石层分布较广；在盆地内部为灰黄色、浅灰色冲湖积含淤泥质砂粘土与中细纱，细纱互层。上更新统是在湖水逐渐退缩，过渡为河湖相的过程中形成的。</w:t>
      </w:r>
    </w:p>
    <w:p>
      <w:pPr>
        <w:ind w:firstLine="480"/>
        <w:rPr>
          <w:sz w:val="24"/>
          <w:highlight w:val="none"/>
        </w:rPr>
      </w:pPr>
      <w:r>
        <w:rPr>
          <w:sz w:val="24"/>
          <w:highlight w:val="none"/>
        </w:rPr>
        <w:t>山麓地带有分布较广的冲积洪积砂卵石及黄土状土坡积碎石粘土层，覆于盆地周边山麓阶地之上，一般5-20m。</w:t>
      </w:r>
    </w:p>
    <w:p>
      <w:pPr>
        <w:ind w:firstLine="480"/>
        <w:rPr>
          <w:sz w:val="24"/>
          <w:highlight w:val="none"/>
        </w:rPr>
      </w:pPr>
      <w:r>
        <w:rPr>
          <w:rFonts w:hint="eastAsia" w:ascii="宋体" w:hAnsi="宋体" w:cs="宋体"/>
          <w:sz w:val="24"/>
          <w:highlight w:val="none"/>
        </w:rPr>
        <w:t>④</w:t>
      </w:r>
      <w:r>
        <w:rPr>
          <w:sz w:val="24"/>
          <w:highlight w:val="none"/>
        </w:rPr>
        <w:t>全新统（Q</w:t>
      </w:r>
      <w:r>
        <w:rPr>
          <w:sz w:val="24"/>
          <w:highlight w:val="none"/>
          <w:vertAlign w:val="subscript"/>
        </w:rPr>
        <w:t>h</w:t>
      </w:r>
      <w:r>
        <w:rPr>
          <w:sz w:val="24"/>
          <w:highlight w:val="none"/>
        </w:rPr>
        <w:t>）：</w:t>
      </w:r>
    </w:p>
    <w:p>
      <w:pPr>
        <w:spacing w:line="440" w:lineRule="atLeast"/>
        <w:ind w:firstLine="480"/>
        <w:rPr>
          <w:rFonts w:hAnsi="宋体"/>
          <w:sz w:val="24"/>
          <w:highlight w:val="none"/>
        </w:rPr>
      </w:pPr>
      <w:r>
        <w:rPr>
          <w:rFonts w:hAnsi="宋体"/>
          <w:sz w:val="24"/>
          <w:highlight w:val="none"/>
        </w:rPr>
        <w:t>广覆于盆地表层，以冲洪积、冲积物为主，局部有冲湖积物。主要为黎河、沙河、淋河近代洪泛沉积物。主要岩性为黄色、棕黄色、黄褐色砂粘土、粘砂土夹薄层砂，下部往往有砂砾石或中粗细砂层，厚度</w:t>
      </w:r>
      <w:r>
        <w:rPr>
          <w:sz w:val="24"/>
          <w:highlight w:val="none"/>
        </w:rPr>
        <w:t>10</w:t>
      </w:r>
      <w:r>
        <w:rPr>
          <w:rFonts w:hAnsi="宋体"/>
          <w:sz w:val="24"/>
          <w:highlight w:val="none"/>
        </w:rPr>
        <w:t>-</w:t>
      </w:r>
      <w:r>
        <w:rPr>
          <w:sz w:val="24"/>
          <w:highlight w:val="none"/>
        </w:rPr>
        <w:t>20m</w:t>
      </w:r>
      <w:r>
        <w:rPr>
          <w:rFonts w:hAnsi="宋体"/>
          <w:sz w:val="24"/>
          <w:highlight w:val="none"/>
        </w:rPr>
        <w:t>，沉积物颗粒粒度由北向南和自盆地边缘向内部变细的趋势。</w:t>
      </w:r>
    </w:p>
    <w:p>
      <w:pPr>
        <w:spacing w:line="440" w:lineRule="atLeast"/>
        <w:ind w:firstLine="480"/>
        <w:rPr>
          <w:rFonts w:hAnsi="宋体"/>
          <w:sz w:val="24"/>
          <w:highlight w:val="none"/>
        </w:rPr>
        <w:sectPr>
          <w:footerReference r:id="rId17" w:type="default"/>
          <w:pgSz w:w="11905" w:h="16838"/>
          <w:pgMar w:top="1440" w:right="1803" w:bottom="1134" w:left="1803" w:header="850" w:footer="992" w:gutter="0"/>
          <w:cols w:space="0" w:num="1"/>
          <w:docGrid w:linePitch="312" w:charSpace="0"/>
        </w:sectPr>
      </w:pPr>
    </w:p>
    <w:p>
      <w:pPr>
        <w:ind w:firstLine="0" w:firstLineChars="0"/>
        <w:jc w:val="center"/>
        <w:rPr>
          <w:rFonts w:hAnsi="宋体"/>
          <w:sz w:val="24"/>
          <w:highlight w:val="none"/>
        </w:rPr>
      </w:pPr>
      <w:r>
        <w:rPr>
          <w:rFonts w:hAnsi="宋体"/>
          <w:sz w:val="24"/>
          <w:highlight w:val="none"/>
        </w:rPr>
        <mc:AlternateContent>
          <mc:Choice Requires="wps">
            <w:drawing>
              <wp:anchor distT="0" distB="0" distL="114300" distR="114300" simplePos="0" relativeHeight="251667456" behindDoc="0" locked="0" layoutInCell="1" allowOverlap="1">
                <wp:simplePos x="0" y="0"/>
                <wp:positionH relativeFrom="column">
                  <wp:posOffset>6213475</wp:posOffset>
                </wp:positionH>
                <wp:positionV relativeFrom="paragraph">
                  <wp:posOffset>2160270</wp:posOffset>
                </wp:positionV>
                <wp:extent cx="534035" cy="219075"/>
                <wp:effectExtent l="133350" t="0" r="18415" b="85725"/>
                <wp:wrapNone/>
                <wp:docPr id="111" name="自选图形 30"/>
                <wp:cNvGraphicFramePr/>
                <a:graphic xmlns:a="http://schemas.openxmlformats.org/drawingml/2006/main">
                  <a:graphicData uri="http://schemas.microsoft.com/office/word/2010/wordprocessingShape">
                    <wps:wsp>
                      <wps:cNvSpPr/>
                      <wps:spPr>
                        <a:xfrm>
                          <a:off x="0" y="0"/>
                          <a:ext cx="534035" cy="219075"/>
                        </a:xfrm>
                        <a:prstGeom prst="wedgeRoundRectCallout">
                          <a:avLst>
                            <a:gd name="adj1" fmla="val -67838"/>
                            <a:gd name="adj2" fmla="val 56958"/>
                            <a:gd name="adj3" fmla="val 16667"/>
                          </a:avLst>
                        </a:prstGeom>
                        <a:noFill/>
                        <a:ln w="9525" cap="flat" cmpd="sng">
                          <a:solidFill>
                            <a:srgbClr val="FF0000"/>
                          </a:solidFill>
                          <a:prstDash val="solid"/>
                          <a:miter/>
                          <a:headEnd type="none" w="med" len="med"/>
                          <a:tailEnd type="none" w="med" len="med"/>
                        </a:ln>
                      </wps:spPr>
                      <wps:txbx>
                        <w:txbxContent>
                          <w:p>
                            <w:pPr>
                              <w:spacing w:line="240" w:lineRule="auto"/>
                              <w:ind w:firstLine="0" w:firstLineChars="0"/>
                              <w:rPr>
                                <w:b/>
                                <w:color w:val="0000FF"/>
                                <w:sz w:val="16"/>
                              </w:rPr>
                            </w:pPr>
                            <w:r>
                              <w:rPr>
                                <w:rFonts w:hint="eastAsia"/>
                                <w:b/>
                                <w:color w:val="0000FF"/>
                                <w:sz w:val="16"/>
                              </w:rPr>
                              <w:t>厂位置</w:t>
                            </w:r>
                          </w:p>
                        </w:txbxContent>
                      </wps:txbx>
                      <wps:bodyPr lIns="91440" tIns="45720" rIns="91440" bIns="0" upright="1"/>
                    </wps:wsp>
                  </a:graphicData>
                </a:graphic>
              </wp:anchor>
            </w:drawing>
          </mc:Choice>
          <mc:Fallback>
            <w:pict>
              <v:shape id="自选图形 30" o:spid="_x0000_s1026" o:spt="62" type="#_x0000_t62" style="position:absolute;left:0pt;margin-left:489.25pt;margin-top:170.1pt;height:17.25pt;width:42.05pt;z-index:251667456;mso-width-relative:page;mso-height-relative:page;" filled="f" stroked="t" coordsize="21600,21600" o:gfxdata="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4/Ogn2wAAAAwBAAAPAAAAAAAAAAEAIAAAACIAAABkcnMvZG93bnJldi54bWxQSwECFAAUAAAA&#10;CACHTuJA1Rv/6F0CAAC/BAAADgAAAAAAAAABACAAAAAqAQAAZHJzL2Uyb0RvYy54bWxQSwUGAAAA&#10;AAYABgBZAQAA+QUAAAAA&#10;" adj="-3853,23103,14400">
                <v:fill on="f" focussize="0,0"/>
                <v:stroke color="#FF0000" joinstyle="miter"/>
                <v:imagedata o:title=""/>
                <o:lock v:ext="edit" aspectratio="f"/>
                <v:textbox inset="2.54mm,1.27mm,2.54mm,0mm">
                  <w:txbxContent>
                    <w:p>
                      <w:pPr>
                        <w:spacing w:line="240" w:lineRule="auto"/>
                        <w:ind w:firstLine="0" w:firstLineChars="0"/>
                        <w:rPr>
                          <w:b/>
                          <w:color w:val="0000FF"/>
                          <w:sz w:val="16"/>
                        </w:rPr>
                      </w:pPr>
                      <w:r>
                        <w:rPr>
                          <w:rFonts w:hint="eastAsia"/>
                          <w:b/>
                          <w:color w:val="0000FF"/>
                          <w:sz w:val="16"/>
                        </w:rPr>
                        <w:t>厂位置</w:t>
                      </w:r>
                    </w:p>
                  </w:txbxContent>
                </v:textbox>
              </v:shape>
            </w:pict>
          </mc:Fallback>
        </mc:AlternateContent>
      </w:r>
      <w:r>
        <w:rPr>
          <w:rFonts w:hAnsi="宋体"/>
          <w:sz w:val="24"/>
          <w:highlight w:val="none"/>
        </w:rPr>
        <w:drawing>
          <wp:inline distT="0" distB="0" distL="0" distR="0">
            <wp:extent cx="7981950" cy="5156200"/>
            <wp:effectExtent l="0" t="0" r="0" b="0"/>
            <wp:docPr id="61" name="图片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
                    <pic:cNvPicPr>
                      <a:picLocks noChangeAspect="1" noChangeArrowheads="1"/>
                    </pic:cNvPicPr>
                  </pic:nvPicPr>
                  <pic:blipFill>
                    <a:blip r:embed="rId44" cstate="print">
                      <a:extLst>
                        <a:ext uri="{28A0092B-C50C-407E-A947-70E740481C1C}">
                          <a14:useLocalDpi xmlns:a14="http://schemas.microsoft.com/office/drawing/2010/main" val="0"/>
                        </a:ext>
                      </a:extLst>
                    </a:blip>
                    <a:srcRect t="2054" r="28046" b="30597"/>
                    <a:stretch>
                      <a:fillRect/>
                    </a:stretch>
                  </pic:blipFill>
                  <pic:spPr>
                    <a:xfrm>
                      <a:off x="0" y="0"/>
                      <a:ext cx="8006438" cy="5172438"/>
                    </a:xfrm>
                    <a:prstGeom prst="rect">
                      <a:avLst/>
                    </a:prstGeom>
                    <a:noFill/>
                    <a:ln>
                      <a:noFill/>
                    </a:ln>
                  </pic:spPr>
                </pic:pic>
              </a:graphicData>
            </a:graphic>
          </wp:inline>
        </w:drawing>
      </w:r>
    </w:p>
    <w:p>
      <w:pPr>
        <w:ind w:firstLine="420"/>
        <w:jc w:val="center"/>
        <w:rPr>
          <w:rFonts w:eastAsia="黑体"/>
          <w:kern w:val="2"/>
          <w:sz w:val="21"/>
          <w:szCs w:val="21"/>
          <w:highlight w:val="none"/>
        </w:rPr>
        <w:sectPr>
          <w:footerReference r:id="rId18" w:type="default"/>
          <w:pgSz w:w="16838" w:h="11905" w:orient="landscape"/>
          <w:pgMar w:top="1418" w:right="1440" w:bottom="1803" w:left="1134" w:header="850" w:footer="992" w:gutter="0"/>
          <w:cols w:space="0" w:num="1"/>
          <w:docGrid w:linePitch="381" w:charSpace="0"/>
        </w:sectPr>
      </w:pPr>
      <w:r>
        <w:rPr>
          <w:rFonts w:hint="eastAsia" w:eastAsia="黑体"/>
          <w:kern w:val="2"/>
          <w:sz w:val="21"/>
          <w:szCs w:val="21"/>
          <w:highlight w:val="none"/>
        </w:rPr>
        <w:t>图4.1-5   区域地质图</w:t>
      </w:r>
    </w:p>
    <w:p>
      <w:pPr>
        <w:pStyle w:val="3"/>
        <w:rPr>
          <w:rFonts w:eastAsia="宋体"/>
          <w:b/>
          <w:szCs w:val="24"/>
          <w:highlight w:val="none"/>
        </w:rPr>
      </w:pPr>
      <w:r>
        <w:rPr>
          <w:rFonts w:eastAsia="宋体"/>
          <w:b/>
          <w:szCs w:val="24"/>
          <w:highlight w:val="none"/>
        </w:rPr>
        <w:t>4.1.5.3地质</w:t>
      </w:r>
      <w:r>
        <w:rPr>
          <w:rFonts w:hint="eastAsia" w:eastAsia="宋体"/>
          <w:b/>
          <w:szCs w:val="24"/>
          <w:highlight w:val="none"/>
        </w:rPr>
        <w:t>构造特征</w:t>
      </w:r>
    </w:p>
    <w:p>
      <w:pPr>
        <w:spacing w:line="440" w:lineRule="atLeast"/>
        <w:ind w:firstLine="480"/>
        <w:rPr>
          <w:sz w:val="24"/>
          <w:highlight w:val="none"/>
        </w:rPr>
      </w:pPr>
      <w:r>
        <w:rPr>
          <w:rFonts w:hAnsi="宋体"/>
          <w:sz w:val="24"/>
          <w:highlight w:val="none"/>
        </w:rPr>
        <w:t>本区太古界变质岩构成的基底构造近南北向，由中元古界长城系构成近东西向的褶皱群是区内的主体构造；自北向南的应力场形成一系列中晚期近南北向的张性断裂和平推断裂；古生带以来的历次构造运动使盖层构造复杂化，并有两次岩浆活动，北东和东西的菱形断裂控制断陷盆地的形成，断块构造构成本区的宏观构造格局。</w:t>
      </w:r>
    </w:p>
    <w:p>
      <w:pPr>
        <w:spacing w:line="440" w:lineRule="atLeast"/>
        <w:ind w:firstLine="480"/>
        <w:rPr>
          <w:sz w:val="24"/>
          <w:highlight w:val="none"/>
        </w:rPr>
      </w:pPr>
      <w:r>
        <w:rPr>
          <w:rFonts w:hAnsi="宋体"/>
          <w:sz w:val="24"/>
          <w:highlight w:val="none"/>
        </w:rPr>
        <w:t>新构造运动活跃，在老构造的基础上有继承性的发展，在区域上受北东和东西向菱形断裂的控制，形成本区第四纪断陷盆地，周边断裂控制着盆地的发育。盆地的主体延展方向近东西向，与区域构造一致。山区和平原的差异运动，不仅在山前形成广部的山麓基座阶地，也使盆地进一步下沉，盆地内呈东西向展布的阶梯断裂，使盆地中部深陷，在南北山前断裂之间，相成本区最深的幼陷带，据物探资料，最深达</w:t>
      </w:r>
      <w:r>
        <w:rPr>
          <w:sz w:val="24"/>
          <w:highlight w:val="none"/>
        </w:rPr>
        <w:t>300</w:t>
      </w:r>
      <w:r>
        <w:rPr>
          <w:rFonts w:hAnsi="宋体"/>
          <w:sz w:val="24"/>
          <w:highlight w:val="none"/>
        </w:rPr>
        <w:t>余</w:t>
      </w:r>
      <w:r>
        <w:rPr>
          <w:sz w:val="24"/>
          <w:highlight w:val="none"/>
        </w:rPr>
        <w:t>m</w:t>
      </w:r>
      <w:r>
        <w:rPr>
          <w:rFonts w:hAnsi="宋体"/>
          <w:sz w:val="24"/>
          <w:highlight w:val="none"/>
        </w:rPr>
        <w:t>。根据</w:t>
      </w:r>
      <w:r>
        <w:rPr>
          <w:sz w:val="24"/>
          <w:highlight w:val="none"/>
          <w:vertAlign w:val="superscript"/>
        </w:rPr>
        <w:t>14</w:t>
      </w:r>
      <w:r>
        <w:rPr>
          <w:rFonts w:hint="eastAsia" w:hAnsi="宋体"/>
          <w:sz w:val="24"/>
          <w:highlight w:val="none"/>
        </w:rPr>
        <w:t>C</w:t>
      </w:r>
      <w:r>
        <w:rPr>
          <w:rFonts w:hAnsi="宋体"/>
          <w:sz w:val="24"/>
          <w:highlight w:val="none"/>
        </w:rPr>
        <w:t>侧年资料，上更新世沉降速度</w:t>
      </w:r>
      <w:r>
        <w:rPr>
          <w:sz w:val="24"/>
          <w:highlight w:val="none"/>
        </w:rPr>
        <w:t>4</w:t>
      </w:r>
      <w:r>
        <w:rPr>
          <w:rFonts w:hAnsi="宋体"/>
          <w:sz w:val="24"/>
          <w:highlight w:val="none"/>
        </w:rPr>
        <w:t>-</w:t>
      </w:r>
      <w:r>
        <w:rPr>
          <w:sz w:val="24"/>
          <w:highlight w:val="none"/>
        </w:rPr>
        <w:t>7mm/a</w:t>
      </w:r>
      <w:r>
        <w:rPr>
          <w:rFonts w:hAnsi="宋体"/>
          <w:sz w:val="24"/>
          <w:highlight w:val="none"/>
        </w:rPr>
        <w:t>。</w:t>
      </w:r>
    </w:p>
    <w:p>
      <w:pPr>
        <w:spacing w:line="440" w:lineRule="atLeast"/>
        <w:ind w:firstLine="480"/>
        <w:rPr>
          <w:sz w:val="24"/>
          <w:highlight w:val="none"/>
        </w:rPr>
      </w:pPr>
      <w:r>
        <w:rPr>
          <w:rFonts w:hAnsi="宋体"/>
          <w:sz w:val="24"/>
          <w:highlight w:val="none"/>
        </w:rPr>
        <w:t>在北部变质岩地区，一般呈单斜构造，片麻理走向近于南北或东北，向西或北西方向倾斜，倾角一般</w:t>
      </w:r>
      <w:r>
        <w:rPr>
          <w:sz w:val="24"/>
          <w:highlight w:val="none"/>
        </w:rPr>
        <w:t>30</w:t>
      </w:r>
      <w:r>
        <w:rPr>
          <w:rFonts w:hAnsi="宋体"/>
          <w:sz w:val="24"/>
          <w:highlight w:val="none"/>
        </w:rPr>
        <w:t>-</w:t>
      </w:r>
      <w:r>
        <w:rPr>
          <w:sz w:val="24"/>
          <w:highlight w:val="none"/>
        </w:rPr>
        <w:t>70°</w:t>
      </w:r>
      <w:r>
        <w:rPr>
          <w:rFonts w:hAnsi="宋体"/>
          <w:sz w:val="24"/>
          <w:highlight w:val="none"/>
        </w:rPr>
        <w:t>不等。局部地区出现直立和倒转现象。较大的断裂以北东、北西或近南北向为主。其它方向规模较小。</w:t>
      </w:r>
    </w:p>
    <w:p>
      <w:pPr>
        <w:spacing w:line="440" w:lineRule="atLeast"/>
        <w:ind w:firstLine="480"/>
        <w:rPr>
          <w:sz w:val="24"/>
          <w:highlight w:val="none"/>
        </w:rPr>
      </w:pPr>
      <w:r>
        <w:rPr>
          <w:rFonts w:hAnsi="宋体"/>
          <w:sz w:val="24"/>
          <w:highlight w:val="none"/>
        </w:rPr>
        <w:t>在南部沉积岩地区，基岩总体走向近东西方向，向南倾斜。在莫台寺-大虫峪-吊虎崖形成向斜构造；而在党峪-大官屯-刘庄形成背斜构造。断裂也很发育，主要是北西向和东西向的断裂规模比较大，而北西方向的断裂大部分被后期煌斑岩脉充填</w:t>
      </w:r>
      <w:r>
        <w:rPr>
          <w:rFonts w:ascii="宋体" w:hAnsi="宋体"/>
          <w:sz w:val="24"/>
          <w:highlight w:val="none"/>
        </w:rPr>
        <w:t>。</w:t>
      </w:r>
    </w:p>
    <w:p>
      <w:pPr>
        <w:pStyle w:val="6"/>
        <w:numPr>
          <w:ilvl w:val="2"/>
          <w:numId w:val="1"/>
        </w:numPr>
        <w:spacing w:before="240" w:beforeLines="100"/>
        <w:rPr>
          <w:highlight w:val="none"/>
        </w:rPr>
      </w:pPr>
      <w:bookmarkStart w:id="271" w:name="_Toc521591779"/>
      <w:bookmarkStart w:id="272" w:name="_Toc5005"/>
      <w:r>
        <w:rPr>
          <w:rFonts w:hint="eastAsia"/>
          <w:highlight w:val="none"/>
        </w:rPr>
        <w:t>区域水文地质条件</w:t>
      </w:r>
      <w:bookmarkEnd w:id="271"/>
      <w:bookmarkEnd w:id="272"/>
    </w:p>
    <w:p>
      <w:pPr>
        <w:pStyle w:val="3"/>
        <w:rPr>
          <w:highlight w:val="none"/>
        </w:rPr>
      </w:pPr>
      <w:r>
        <w:rPr>
          <w:highlight w:val="none"/>
        </w:rPr>
        <w:t>4.1.6.1含水层组划分</w:t>
      </w:r>
    </w:p>
    <w:p>
      <w:pPr>
        <w:spacing w:line="440" w:lineRule="atLeast"/>
        <w:ind w:firstLine="480"/>
        <w:rPr>
          <w:sz w:val="24"/>
          <w:highlight w:val="none"/>
        </w:rPr>
      </w:pPr>
      <w:r>
        <w:rPr>
          <w:sz w:val="24"/>
          <w:highlight w:val="none"/>
        </w:rPr>
        <w:t>根据研究区的含水层介质条件，可以分为第四系孔隙水含水岩组、碳酸岩类岩溶裂隙水含水岩组、碎屑岩、变质岩岩浆岩裂隙水含水岩组。</w:t>
      </w:r>
    </w:p>
    <w:p>
      <w:pPr>
        <w:spacing w:line="440" w:lineRule="atLeast"/>
        <w:ind w:firstLine="480"/>
        <w:rPr>
          <w:sz w:val="24"/>
          <w:highlight w:val="none"/>
        </w:rPr>
      </w:pPr>
      <w:r>
        <w:rPr>
          <w:sz w:val="24"/>
          <w:highlight w:val="none"/>
        </w:rPr>
        <w:t>（1）碳酸岩类岩溶裂隙含水岩组</w:t>
      </w:r>
    </w:p>
    <w:p>
      <w:pPr>
        <w:spacing w:line="440" w:lineRule="atLeast"/>
        <w:ind w:firstLine="480"/>
        <w:rPr>
          <w:sz w:val="24"/>
          <w:highlight w:val="none"/>
        </w:rPr>
      </w:pPr>
      <w:r>
        <w:rPr>
          <w:sz w:val="24"/>
          <w:highlight w:val="none"/>
        </w:rPr>
        <w:t>该含水岩组主要为长城系大红峪组、团山子组碳酸盐岩夹碎屑岩岩溶裂隙含水岩组，呈东西向条带状分布于南北盆地之间的弧形山南缘，部分裸露，大部分为半裸露浅埋区。岩溶裂隙不发育，富水性较差，单井涌水量一般小于500m</w:t>
      </w:r>
      <w:r>
        <w:rPr>
          <w:sz w:val="24"/>
          <w:highlight w:val="none"/>
          <w:vertAlign w:val="superscript"/>
        </w:rPr>
        <w:t>3</w:t>
      </w:r>
      <w:r>
        <w:rPr>
          <w:sz w:val="24"/>
          <w:highlight w:val="none"/>
        </w:rPr>
        <w:t>/d。局部团山子组中白云岩岩溶裂隙较为发育，水量较大，可达1000-2000m</w:t>
      </w:r>
      <w:r>
        <w:rPr>
          <w:sz w:val="24"/>
          <w:highlight w:val="none"/>
          <w:vertAlign w:val="superscript"/>
        </w:rPr>
        <w:t>3</w:t>
      </w:r>
      <w:r>
        <w:rPr>
          <w:sz w:val="24"/>
          <w:highlight w:val="none"/>
        </w:rPr>
        <w:t>/d。</w:t>
      </w:r>
    </w:p>
    <w:p>
      <w:pPr>
        <w:spacing w:line="440" w:lineRule="atLeast"/>
        <w:ind w:firstLine="480"/>
        <w:rPr>
          <w:sz w:val="24"/>
          <w:highlight w:val="none"/>
        </w:rPr>
      </w:pPr>
      <w:r>
        <w:rPr>
          <w:sz w:val="24"/>
          <w:highlight w:val="none"/>
        </w:rPr>
        <w:t>（2）碎屑岩、变质岩岩浆岩裂隙水含水岩组</w:t>
      </w:r>
    </w:p>
    <w:p>
      <w:pPr>
        <w:spacing w:line="440" w:lineRule="atLeast"/>
        <w:ind w:firstLine="480"/>
        <w:rPr>
          <w:sz w:val="24"/>
          <w:highlight w:val="none"/>
        </w:rPr>
      </w:pPr>
      <w:r>
        <w:rPr>
          <w:sz w:val="24"/>
          <w:highlight w:val="none"/>
        </w:rPr>
        <w:t>碎屑岩裂隙含水岩组主要为长城系的串岭沟组、常州沟组，呈东西向条带状分布于南北盆地之间的弧形山，是南北盆地的分界体。裂隙不发育，富水性差，单井涌水量一般小于500m</w:t>
      </w:r>
      <w:r>
        <w:rPr>
          <w:sz w:val="24"/>
          <w:highlight w:val="none"/>
          <w:vertAlign w:val="superscript"/>
        </w:rPr>
        <w:t>3</w:t>
      </w:r>
      <w:r>
        <w:rPr>
          <w:sz w:val="24"/>
          <w:highlight w:val="none"/>
        </w:rPr>
        <w:t>/d。由于弧形山为张性断裂群穿切，局部地段裂隙发育，岩层含水量较大，涌水量可达500-1000 m</w:t>
      </w:r>
      <w:r>
        <w:rPr>
          <w:sz w:val="24"/>
          <w:highlight w:val="none"/>
          <w:vertAlign w:val="superscript"/>
        </w:rPr>
        <w:t>3</w:t>
      </w:r>
      <w:r>
        <w:rPr>
          <w:sz w:val="24"/>
          <w:highlight w:val="none"/>
        </w:rPr>
        <w:t>/d。水位埋深受地形影响，变化较大多在10-50m。该岩组含水微弱，可视为相对隔水层。</w:t>
      </w:r>
    </w:p>
    <w:p>
      <w:pPr>
        <w:spacing w:line="440" w:lineRule="atLeast"/>
        <w:ind w:firstLine="480"/>
        <w:rPr>
          <w:sz w:val="24"/>
          <w:highlight w:val="none"/>
        </w:rPr>
      </w:pPr>
      <w:r>
        <w:rPr>
          <w:sz w:val="24"/>
          <w:highlight w:val="none"/>
        </w:rPr>
        <w:t>变质岩、火成岩裂隙含水组，主要分布于北盆地。盆地北部周边山区为裸露区，盆地内被第四系覆盖。片麻岩主要为风化裂隙水和局部构造裂隙脉状水，含水性差，一般水量甚小，多小于200 m</w:t>
      </w:r>
      <w:r>
        <w:rPr>
          <w:sz w:val="24"/>
          <w:highlight w:val="none"/>
          <w:vertAlign w:val="superscript"/>
        </w:rPr>
        <w:t>3</w:t>
      </w:r>
      <w:r>
        <w:rPr>
          <w:sz w:val="24"/>
          <w:highlight w:val="none"/>
        </w:rPr>
        <w:t>/d，破碎地段可达500-1000 m</w:t>
      </w:r>
      <w:r>
        <w:rPr>
          <w:sz w:val="24"/>
          <w:highlight w:val="none"/>
          <w:vertAlign w:val="superscript"/>
        </w:rPr>
        <w:t>3</w:t>
      </w:r>
      <w:r>
        <w:rPr>
          <w:sz w:val="24"/>
          <w:highlight w:val="none"/>
        </w:rPr>
        <w:t>/d，泉水较发育，但流量不大，一般200 m</w:t>
      </w:r>
      <w:r>
        <w:rPr>
          <w:sz w:val="24"/>
          <w:highlight w:val="none"/>
          <w:vertAlign w:val="superscript"/>
        </w:rPr>
        <w:t>3</w:t>
      </w:r>
      <w:r>
        <w:rPr>
          <w:sz w:val="24"/>
          <w:highlight w:val="none"/>
        </w:rPr>
        <w:t>/d小于，泉群流量往往较大，可达300-800 m</w:t>
      </w:r>
      <w:r>
        <w:rPr>
          <w:sz w:val="24"/>
          <w:highlight w:val="none"/>
          <w:vertAlign w:val="superscript"/>
        </w:rPr>
        <w:t>3</w:t>
      </w:r>
      <w:r>
        <w:rPr>
          <w:sz w:val="24"/>
          <w:highlight w:val="none"/>
        </w:rPr>
        <w:t>/d。裸露的片麻岩片麻理近南北向，且与地形坡向一致，有利于降水的入渗补给。水位埋深变化较大，一般在0-20m。</w:t>
      </w:r>
    </w:p>
    <w:p>
      <w:pPr>
        <w:spacing w:line="440" w:lineRule="atLeast"/>
        <w:ind w:firstLine="480"/>
        <w:rPr>
          <w:sz w:val="24"/>
          <w:highlight w:val="none"/>
        </w:rPr>
      </w:pPr>
      <w:r>
        <w:rPr>
          <w:sz w:val="24"/>
          <w:highlight w:val="none"/>
        </w:rPr>
        <w:t>（3）第四系孔隙水含水岩组</w:t>
      </w:r>
    </w:p>
    <w:p>
      <w:pPr>
        <w:spacing w:line="440" w:lineRule="atLeast"/>
        <w:ind w:firstLine="480"/>
        <w:rPr>
          <w:sz w:val="24"/>
          <w:highlight w:val="none"/>
        </w:rPr>
      </w:pPr>
      <w:r>
        <w:rPr>
          <w:sz w:val="24"/>
          <w:highlight w:val="none"/>
        </w:rPr>
        <w:t>受古沉积环境的影响，论证区第四系含水层厚度变化较大，在山前地带，第四系厚度仅为几米到十余米，有山前到沉积盆地中心，第四系厚度达到280余米，由于第四系地层的沉积特点，决定了该区地层的含水条件变化较大。第四系含水层是本区的主要含水层，也是本次水源地的开采层。</w:t>
      </w:r>
    </w:p>
    <w:p>
      <w:pPr>
        <w:spacing w:line="440" w:lineRule="atLeast"/>
        <w:ind w:firstLine="480"/>
        <w:rPr>
          <w:sz w:val="24"/>
          <w:highlight w:val="none"/>
        </w:rPr>
      </w:pPr>
      <w:r>
        <w:rPr>
          <w:sz w:val="24"/>
          <w:highlight w:val="none"/>
        </w:rPr>
        <w:t>遵化北盆地，上部含水层为冲洪积层，主要为全新统和上更新统及中更新统的上段地层，底界埋深一般在40-110m，水力学性质为潜水－微承压水，含水层岩性有从东向西、由北至南逐渐变粗、变厚的特征，在西留村－蒲池河地区以细砂为主，砂层厚19.0-25.2m，在夏庄子地区最薄仅8.08m，到纪各庄－小渤海寨一带以砾卵石、砂卵砾石为主，砂层最厚可达50m。浅层潜水－微承压水的含水层颗粒粗，水量丰富，单井涌水量（按井深40m、井径0.25m、降深2m的出水量）最大可达3102.77m</w:t>
      </w:r>
      <w:r>
        <w:rPr>
          <w:sz w:val="24"/>
          <w:highlight w:val="none"/>
          <w:vertAlign w:val="superscript"/>
        </w:rPr>
        <w:t>3</w:t>
      </w:r>
      <w:r>
        <w:rPr>
          <w:sz w:val="24"/>
          <w:highlight w:val="none"/>
        </w:rPr>
        <w:t>/h，主要分布在提举坞至小渤海寨一带，其它地区一般在200-500 m</w:t>
      </w:r>
      <w:r>
        <w:rPr>
          <w:sz w:val="24"/>
          <w:highlight w:val="none"/>
          <w:vertAlign w:val="superscript"/>
        </w:rPr>
        <w:t>3</w:t>
      </w:r>
      <w:r>
        <w:rPr>
          <w:sz w:val="24"/>
          <w:highlight w:val="none"/>
        </w:rPr>
        <w:t>/h。该含水组水量丰富，补给量充沛，含水层埋藏浅，成井容易，开采方便，是生活用水和农业用水的主要水源。但是由于该含水组的上覆地层以亚砂土为主，且厚度较薄，防护能力差，受当地人类活动的影响较大，个别地区近年来污染较为严重，主要表现在水中NO</w:t>
      </w:r>
      <w:r>
        <w:rPr>
          <w:sz w:val="24"/>
          <w:highlight w:val="none"/>
          <w:vertAlign w:val="subscript"/>
        </w:rPr>
        <w:t>3</w:t>
      </w:r>
      <w:r>
        <w:rPr>
          <w:sz w:val="24"/>
          <w:highlight w:val="none"/>
          <w:vertAlign w:val="superscript"/>
        </w:rPr>
        <w:t>－</w:t>
      </w:r>
      <w:r>
        <w:rPr>
          <w:sz w:val="24"/>
          <w:highlight w:val="none"/>
        </w:rPr>
        <w:t>和NH</w:t>
      </w:r>
      <w:r>
        <w:rPr>
          <w:sz w:val="24"/>
          <w:highlight w:val="none"/>
          <w:vertAlign w:val="subscript"/>
        </w:rPr>
        <w:t>4</w:t>
      </w:r>
      <w:r>
        <w:rPr>
          <w:sz w:val="24"/>
          <w:highlight w:val="none"/>
          <w:vertAlign w:val="superscript"/>
        </w:rPr>
        <w:t>+</w:t>
      </w:r>
      <w:r>
        <w:rPr>
          <w:sz w:val="24"/>
          <w:highlight w:val="none"/>
        </w:rPr>
        <w:t>含量较高。</w:t>
      </w:r>
    </w:p>
    <w:p>
      <w:pPr>
        <w:spacing w:line="440" w:lineRule="atLeast"/>
        <w:ind w:firstLine="480"/>
        <w:rPr>
          <w:sz w:val="24"/>
          <w:highlight w:val="none"/>
        </w:rPr>
      </w:pPr>
      <w:r>
        <w:rPr>
          <w:sz w:val="24"/>
          <w:highlight w:val="none"/>
        </w:rPr>
        <w:t>下部含水层主要是中更新统下段和早更新统地层，该段地层厚度变化较大，主要分布在盆地的低洼地段，含水组底界最大埋深一般在150-240m，局部地区大于270m，在小埝庄－纪各庄一带最深大于250m。含水层岩性沿北阁老湾－南岭－北岭一线可分为东西两部分，在东部地区含水层岩性以粉细砂、中砂为主，而在西部地区以卵石、卵砾石为主。该段含水层由于风化较强烈，含水层颗粒多被风化为粘性土和粉细砂，富水性较差。</w:t>
      </w:r>
    </w:p>
    <w:p>
      <w:pPr>
        <w:spacing w:line="440" w:lineRule="atLeast"/>
        <w:ind w:firstLine="480"/>
        <w:rPr>
          <w:sz w:val="24"/>
          <w:highlight w:val="none"/>
        </w:rPr>
      </w:pPr>
      <w:r>
        <w:rPr>
          <w:sz w:val="24"/>
          <w:highlight w:val="none"/>
        </w:rPr>
        <w:t>根据钻孔资料和钻孔物探资料分析、以及水源地的勘探钻孔资料，我们可以看出，勘探孔的出水量与含水层的利用厚度不成正相关，而出水量却与利用上部含水层利用情况成正相关，如ZS04、ZS06、ZS07号孔，利用段是从60</w:t>
      </w:r>
      <w:r>
        <w:rPr>
          <w:rFonts w:hint="eastAsia"/>
          <w:sz w:val="24"/>
          <w:highlight w:val="none"/>
        </w:rPr>
        <w:t>m</w:t>
      </w:r>
      <w:r>
        <w:rPr>
          <w:sz w:val="24"/>
          <w:highlight w:val="none"/>
        </w:rPr>
        <w:t>左右开始利用，单位出水量18.65-48.68m</w:t>
      </w:r>
      <w:r>
        <w:rPr>
          <w:sz w:val="24"/>
          <w:highlight w:val="none"/>
          <w:vertAlign w:val="superscript"/>
        </w:rPr>
        <w:t>3</w:t>
      </w:r>
      <w:r>
        <w:rPr>
          <w:sz w:val="24"/>
          <w:highlight w:val="none"/>
        </w:rPr>
        <w:t>/h·m，而其它钻孔利用段大多在80</w:t>
      </w:r>
      <w:r>
        <w:rPr>
          <w:rFonts w:hint="eastAsia"/>
          <w:sz w:val="24"/>
          <w:highlight w:val="none"/>
        </w:rPr>
        <w:t>m</w:t>
      </w:r>
      <w:r>
        <w:rPr>
          <w:sz w:val="24"/>
          <w:highlight w:val="none"/>
        </w:rPr>
        <w:t>以下，单位出水量却比较小，因此可以看出，深部含水层富水性较差，含水层风化或含泥质成分较高。</w:t>
      </w:r>
    </w:p>
    <w:p>
      <w:pPr>
        <w:spacing w:line="440" w:lineRule="atLeast"/>
        <w:ind w:firstLine="480"/>
        <w:rPr>
          <w:sz w:val="24"/>
          <w:highlight w:val="none"/>
        </w:rPr>
      </w:pPr>
      <w:r>
        <w:rPr>
          <w:sz w:val="24"/>
          <w:highlight w:val="none"/>
        </w:rPr>
        <w:t>从总体上分析，该盆地的主要富水地段为上部含水层。根据地层结构分析，该区含水层为一个统一的第四系含水层，各含水层之间没有稳定的隔水层，因此该区的地下水含水层为一潜水微承压水含水系统。</w:t>
      </w:r>
    </w:p>
    <w:p>
      <w:pPr>
        <w:pStyle w:val="3"/>
        <w:spacing w:before="240" w:beforeLines="100"/>
        <w:rPr>
          <w:highlight w:val="none"/>
        </w:rPr>
      </w:pPr>
      <w:r>
        <w:rPr>
          <w:highlight w:val="none"/>
        </w:rPr>
        <w:t>4.1.6</w:t>
      </w:r>
      <w:r>
        <w:rPr>
          <w:rFonts w:hint="eastAsia"/>
          <w:highlight w:val="none"/>
        </w:rPr>
        <w:t>.2 水文地质分区</w:t>
      </w:r>
    </w:p>
    <w:p>
      <w:pPr>
        <w:widowControl/>
        <w:spacing w:line="440" w:lineRule="atLeast"/>
        <w:ind w:firstLine="480"/>
        <w:rPr>
          <w:sz w:val="24"/>
          <w:szCs w:val="24"/>
          <w:highlight w:val="none"/>
        </w:rPr>
      </w:pPr>
      <w:r>
        <w:rPr>
          <w:sz w:val="24"/>
          <w:szCs w:val="24"/>
          <w:highlight w:val="none"/>
        </w:rPr>
        <w:t>遵化市城区饮用水地下水水源分布于遵化市北川平原境内，根据地下水水源地附近区域地下水赋存条件及富水程度、岩性、地貌以及地下水补给条件，依据不同岩类地下水赋存特征，将遵化市北川平原划分为二个水文地质区，并根据各含水组的富水强弱，划分为四个含水亚区</w:t>
      </w:r>
      <w:r>
        <w:rPr>
          <w:rFonts w:hint="eastAsia"/>
          <w:sz w:val="24"/>
          <w:szCs w:val="24"/>
          <w:highlight w:val="none"/>
        </w:rPr>
        <w:t>（见图4.1-6）</w:t>
      </w:r>
      <w:r>
        <w:rPr>
          <w:sz w:val="24"/>
          <w:szCs w:val="24"/>
          <w:highlight w:val="none"/>
        </w:rPr>
        <w:t>，如下：</w:t>
      </w:r>
    </w:p>
    <w:p>
      <w:pPr>
        <w:widowControl/>
        <w:spacing w:line="440" w:lineRule="atLeast"/>
        <w:ind w:firstLine="480"/>
        <w:rPr>
          <w:sz w:val="24"/>
          <w:szCs w:val="24"/>
          <w:highlight w:val="none"/>
        </w:rPr>
      </w:pPr>
      <w:r>
        <w:rPr>
          <w:sz w:val="24"/>
          <w:szCs w:val="24"/>
          <w:highlight w:val="none"/>
        </w:rPr>
        <w:t>（1）松散岩类孔隙潜水含水区（</w:t>
      </w:r>
      <w:r>
        <w:rPr>
          <w:rFonts w:hint="eastAsia" w:hAnsi="宋体"/>
          <w:sz w:val="24"/>
          <w:szCs w:val="24"/>
          <w:highlight w:val="none"/>
        </w:rPr>
        <w:t>I</w:t>
      </w:r>
      <w:r>
        <w:rPr>
          <w:sz w:val="24"/>
          <w:szCs w:val="24"/>
          <w:highlight w:val="none"/>
        </w:rPr>
        <w:t>）</w:t>
      </w:r>
    </w:p>
    <w:p>
      <w:pPr>
        <w:widowControl/>
        <w:spacing w:line="440" w:lineRule="atLeast"/>
        <w:ind w:firstLine="480"/>
        <w:rPr>
          <w:sz w:val="24"/>
          <w:szCs w:val="24"/>
          <w:highlight w:val="none"/>
        </w:rPr>
      </w:pPr>
      <w:r>
        <w:rPr>
          <w:rFonts w:hAnsi="宋体"/>
          <w:sz w:val="24"/>
          <w:szCs w:val="24"/>
          <w:highlight w:val="none"/>
        </w:rPr>
        <w:t>①</w:t>
      </w:r>
      <w:r>
        <w:rPr>
          <w:sz w:val="24"/>
          <w:szCs w:val="24"/>
          <w:highlight w:val="none"/>
        </w:rPr>
        <w:t>极富水亚区（</w:t>
      </w:r>
      <w:r>
        <w:rPr>
          <w:rFonts w:hint="eastAsia" w:hAnsi="宋体"/>
          <w:sz w:val="24"/>
          <w:szCs w:val="24"/>
          <w:highlight w:val="none"/>
        </w:rPr>
        <w:t>I</w:t>
      </w:r>
      <w:r>
        <w:rPr>
          <w:sz w:val="24"/>
          <w:szCs w:val="24"/>
          <w:highlight w:val="none"/>
          <w:vertAlign w:val="subscript"/>
        </w:rPr>
        <w:t>1</w:t>
      </w:r>
      <w:r>
        <w:rPr>
          <w:sz w:val="24"/>
          <w:szCs w:val="24"/>
          <w:highlight w:val="none"/>
        </w:rPr>
        <w:t>）：为Q</w:t>
      </w:r>
      <w:r>
        <w:rPr>
          <w:sz w:val="24"/>
          <w:szCs w:val="24"/>
          <w:highlight w:val="none"/>
          <w:vertAlign w:val="subscript"/>
        </w:rPr>
        <w:t>4</w:t>
      </w:r>
      <w:r>
        <w:rPr>
          <w:sz w:val="24"/>
          <w:szCs w:val="24"/>
          <w:highlight w:val="none"/>
        </w:rPr>
        <w:t>及Q</w:t>
      </w:r>
      <w:r>
        <w:rPr>
          <w:sz w:val="24"/>
          <w:szCs w:val="24"/>
          <w:highlight w:val="none"/>
          <w:vertAlign w:val="subscript"/>
        </w:rPr>
        <w:t>3</w:t>
      </w:r>
      <w:r>
        <w:rPr>
          <w:sz w:val="24"/>
          <w:szCs w:val="24"/>
          <w:highlight w:val="none"/>
        </w:rPr>
        <w:t>冲洪积卵砾石层，及Q</w:t>
      </w:r>
      <w:r>
        <w:rPr>
          <w:sz w:val="24"/>
          <w:szCs w:val="24"/>
          <w:highlight w:val="none"/>
          <w:vertAlign w:val="subscript"/>
        </w:rPr>
        <w:t>2</w:t>
      </w:r>
      <w:r>
        <w:rPr>
          <w:sz w:val="24"/>
          <w:szCs w:val="24"/>
          <w:highlight w:val="none"/>
        </w:rPr>
        <w:t>的砾石层。卵砾石层占开采深度的70-80％，单井单位涌水量100m</w:t>
      </w:r>
      <w:r>
        <w:rPr>
          <w:sz w:val="24"/>
          <w:szCs w:val="24"/>
          <w:highlight w:val="none"/>
          <w:vertAlign w:val="superscript"/>
        </w:rPr>
        <w:t>3</w:t>
      </w:r>
      <w:r>
        <w:rPr>
          <w:sz w:val="24"/>
          <w:szCs w:val="24"/>
          <w:highlight w:val="none"/>
        </w:rPr>
        <w:t>/h·m。分布在北川平原，其东部位于冲洪积扇上部，西部位于冲洪积扇下部。此含水组为遵化市地下水水源地开采的主要组段。</w:t>
      </w:r>
    </w:p>
    <w:p>
      <w:pPr>
        <w:widowControl/>
        <w:spacing w:line="440" w:lineRule="atLeast"/>
        <w:ind w:firstLine="480"/>
        <w:rPr>
          <w:sz w:val="24"/>
          <w:szCs w:val="24"/>
          <w:highlight w:val="none"/>
        </w:rPr>
      </w:pPr>
      <w:r>
        <w:rPr>
          <w:rFonts w:hAnsi="宋体"/>
          <w:sz w:val="24"/>
          <w:szCs w:val="24"/>
          <w:highlight w:val="none"/>
        </w:rPr>
        <w:t>②</w:t>
      </w:r>
      <w:r>
        <w:rPr>
          <w:sz w:val="24"/>
          <w:szCs w:val="24"/>
          <w:highlight w:val="none"/>
        </w:rPr>
        <w:t>富水亚区（</w:t>
      </w:r>
      <w:r>
        <w:rPr>
          <w:rFonts w:hint="eastAsia" w:hAnsi="宋体"/>
          <w:sz w:val="24"/>
          <w:szCs w:val="24"/>
          <w:highlight w:val="none"/>
        </w:rPr>
        <w:t>I</w:t>
      </w:r>
      <w:r>
        <w:rPr>
          <w:sz w:val="24"/>
          <w:szCs w:val="24"/>
          <w:highlight w:val="none"/>
          <w:vertAlign w:val="subscript"/>
        </w:rPr>
        <w:t>2</w:t>
      </w:r>
      <w:r>
        <w:rPr>
          <w:sz w:val="24"/>
          <w:szCs w:val="24"/>
          <w:highlight w:val="none"/>
        </w:rPr>
        <w:t>）：为Q</w:t>
      </w:r>
      <w:r>
        <w:rPr>
          <w:sz w:val="24"/>
          <w:szCs w:val="24"/>
          <w:highlight w:val="none"/>
          <w:vertAlign w:val="subscript"/>
        </w:rPr>
        <w:t>3</w:t>
      </w:r>
      <w:r>
        <w:rPr>
          <w:sz w:val="24"/>
          <w:szCs w:val="24"/>
          <w:highlight w:val="none"/>
        </w:rPr>
        <w:t>及Q</w:t>
      </w:r>
      <w:r>
        <w:rPr>
          <w:sz w:val="24"/>
          <w:szCs w:val="24"/>
          <w:highlight w:val="none"/>
          <w:vertAlign w:val="subscript"/>
        </w:rPr>
        <w:t>4</w:t>
      </w:r>
      <w:r>
        <w:rPr>
          <w:sz w:val="24"/>
          <w:szCs w:val="24"/>
          <w:highlight w:val="none"/>
        </w:rPr>
        <w:t>冲洪积及洪积砂砾石和卵砾石层。砂砾石层厚一般5-15m，单井单位涌水量50-100m</w:t>
      </w:r>
      <w:r>
        <w:rPr>
          <w:sz w:val="24"/>
          <w:szCs w:val="24"/>
          <w:highlight w:val="none"/>
          <w:vertAlign w:val="superscript"/>
        </w:rPr>
        <w:t>3</w:t>
      </w:r>
      <w:r>
        <w:rPr>
          <w:sz w:val="24"/>
          <w:szCs w:val="24"/>
          <w:highlight w:val="none"/>
        </w:rPr>
        <w:t>/h·m。分布于冲洪积扇前缘及近洪积扇地带。</w:t>
      </w:r>
    </w:p>
    <w:p>
      <w:pPr>
        <w:widowControl/>
        <w:spacing w:line="440" w:lineRule="atLeast"/>
        <w:ind w:firstLine="480"/>
        <w:rPr>
          <w:sz w:val="24"/>
          <w:szCs w:val="24"/>
          <w:highlight w:val="none"/>
        </w:rPr>
      </w:pPr>
      <w:r>
        <w:rPr>
          <w:rFonts w:hAnsi="宋体"/>
          <w:sz w:val="24"/>
          <w:szCs w:val="24"/>
          <w:highlight w:val="none"/>
        </w:rPr>
        <w:t>③</w:t>
      </w:r>
      <w:r>
        <w:rPr>
          <w:sz w:val="24"/>
          <w:szCs w:val="24"/>
          <w:highlight w:val="none"/>
        </w:rPr>
        <w:t>中等富水亚区（I</w:t>
      </w:r>
      <w:r>
        <w:rPr>
          <w:sz w:val="24"/>
          <w:szCs w:val="24"/>
          <w:highlight w:val="none"/>
          <w:vertAlign w:val="subscript"/>
        </w:rPr>
        <w:t>3</w:t>
      </w:r>
      <w:r>
        <w:rPr>
          <w:sz w:val="24"/>
          <w:szCs w:val="24"/>
          <w:highlight w:val="none"/>
        </w:rPr>
        <w:t>）：为Q</w:t>
      </w:r>
      <w:r>
        <w:rPr>
          <w:sz w:val="24"/>
          <w:szCs w:val="24"/>
          <w:highlight w:val="none"/>
          <w:vertAlign w:val="subscript"/>
        </w:rPr>
        <w:t>3</w:t>
      </w:r>
      <w:r>
        <w:rPr>
          <w:sz w:val="24"/>
          <w:szCs w:val="24"/>
          <w:highlight w:val="none"/>
        </w:rPr>
        <w:t>冲洪积砂砾石及砂含砾石层。砂砾石层厚一般10m左右，该组下部个别地段夹有薄层淤泥质砂粘土。单井单位涌水量25-50m</w:t>
      </w:r>
      <w:r>
        <w:rPr>
          <w:sz w:val="24"/>
          <w:szCs w:val="24"/>
          <w:highlight w:val="none"/>
          <w:vertAlign w:val="superscript"/>
        </w:rPr>
        <w:t>3</w:t>
      </w:r>
      <w:r>
        <w:rPr>
          <w:sz w:val="24"/>
          <w:szCs w:val="24"/>
          <w:highlight w:val="none"/>
        </w:rPr>
        <w:t>/h·m。分布于北川平原的扇间地带。</w:t>
      </w:r>
    </w:p>
    <w:p>
      <w:pPr>
        <w:spacing w:line="440" w:lineRule="atLeast"/>
        <w:ind w:firstLine="480"/>
        <w:rPr>
          <w:sz w:val="24"/>
          <w:highlight w:val="none"/>
        </w:rPr>
      </w:pPr>
      <w:r>
        <w:rPr>
          <w:sz w:val="24"/>
          <w:highlight w:val="none"/>
        </w:rPr>
        <w:t>④弱富水亚组(I</w:t>
      </w:r>
      <w:r>
        <w:rPr>
          <w:sz w:val="24"/>
          <w:highlight w:val="none"/>
          <w:vertAlign w:val="subscript"/>
        </w:rPr>
        <w:t>4</w:t>
      </w:r>
      <w:r>
        <w:rPr>
          <w:sz w:val="24"/>
          <w:highlight w:val="none"/>
        </w:rPr>
        <w:t>)：为Q</w:t>
      </w:r>
      <w:r>
        <w:rPr>
          <w:sz w:val="24"/>
          <w:highlight w:val="none"/>
          <w:vertAlign w:val="subscript"/>
        </w:rPr>
        <w:t>3</w:t>
      </w:r>
      <w:r>
        <w:rPr>
          <w:sz w:val="24"/>
          <w:highlight w:val="none"/>
        </w:rPr>
        <w:t>及Q</w:t>
      </w:r>
      <w:r>
        <w:rPr>
          <w:sz w:val="24"/>
          <w:highlight w:val="none"/>
          <w:vertAlign w:val="subscript"/>
        </w:rPr>
        <w:t>4</w:t>
      </w:r>
      <w:r>
        <w:rPr>
          <w:sz w:val="24"/>
          <w:highlight w:val="none"/>
        </w:rPr>
        <w:t>冲洪积砂砾石层，单井涌水量小于50t</w:t>
      </w:r>
      <w:r>
        <w:rPr>
          <w:rFonts w:hint="eastAsia"/>
          <w:sz w:val="24"/>
          <w:highlight w:val="none"/>
        </w:rPr>
        <w:t>/</w:t>
      </w:r>
      <w:r>
        <w:rPr>
          <w:sz w:val="24"/>
          <w:highlight w:val="none"/>
        </w:rPr>
        <w:t>h。水位埋深一般2-5m，个别地段15-25m。分布于沟谷地带，以及地北头、枣林一带。</w:t>
      </w:r>
    </w:p>
    <w:p>
      <w:pPr>
        <w:spacing w:line="440" w:lineRule="atLeast"/>
        <w:ind w:firstLine="480"/>
        <w:rPr>
          <w:sz w:val="24"/>
          <w:highlight w:val="none"/>
        </w:rPr>
      </w:pPr>
      <w:r>
        <w:rPr>
          <w:rFonts w:hAnsi="宋体"/>
          <w:sz w:val="24"/>
          <w:highlight w:val="none"/>
        </w:rPr>
        <w:t>⑤</w:t>
      </w:r>
      <w:r>
        <w:rPr>
          <w:sz w:val="24"/>
          <w:highlight w:val="none"/>
        </w:rPr>
        <w:t>贫水亚组(I</w:t>
      </w:r>
      <w:r>
        <w:rPr>
          <w:rFonts w:hint="eastAsia"/>
          <w:sz w:val="24"/>
          <w:highlight w:val="none"/>
          <w:vertAlign w:val="subscript"/>
        </w:rPr>
        <w:t>5</w:t>
      </w:r>
      <w:r>
        <w:rPr>
          <w:sz w:val="24"/>
          <w:highlight w:val="none"/>
        </w:rPr>
        <w:t>)：为Q</w:t>
      </w:r>
      <w:r>
        <w:rPr>
          <w:sz w:val="24"/>
          <w:highlight w:val="none"/>
          <w:vertAlign w:val="subscript"/>
        </w:rPr>
        <w:t>3</w:t>
      </w:r>
      <w:r>
        <w:rPr>
          <w:sz w:val="24"/>
          <w:highlight w:val="none"/>
        </w:rPr>
        <w:t>及Q</w:t>
      </w:r>
      <w:r>
        <w:rPr>
          <w:sz w:val="24"/>
          <w:highlight w:val="none"/>
          <w:vertAlign w:val="subscript"/>
        </w:rPr>
        <w:t>4</w:t>
      </w:r>
      <w:r>
        <w:rPr>
          <w:sz w:val="24"/>
          <w:highlight w:val="none"/>
        </w:rPr>
        <w:t>冲洪积砂砾卵石层，单井涌水量小于30t</w:t>
      </w:r>
      <w:r>
        <w:rPr>
          <w:rFonts w:hint="eastAsia"/>
          <w:sz w:val="24"/>
          <w:highlight w:val="none"/>
        </w:rPr>
        <w:t>/</w:t>
      </w:r>
      <w:r>
        <w:rPr>
          <w:sz w:val="24"/>
          <w:highlight w:val="none"/>
        </w:rPr>
        <w:t>h。水位埋深3-5m。分布于山间沟谷地带。</w:t>
      </w:r>
    </w:p>
    <w:p>
      <w:pPr>
        <w:spacing w:line="440" w:lineRule="atLeast"/>
        <w:ind w:firstLine="480"/>
        <w:rPr>
          <w:sz w:val="24"/>
          <w:highlight w:val="none"/>
        </w:rPr>
      </w:pPr>
      <w:r>
        <w:rPr>
          <w:rFonts w:hAnsi="宋体"/>
          <w:sz w:val="24"/>
          <w:highlight w:val="none"/>
        </w:rPr>
        <w:t>⑥</w:t>
      </w:r>
      <w:r>
        <w:rPr>
          <w:sz w:val="24"/>
          <w:highlight w:val="none"/>
        </w:rPr>
        <w:t>微含水或不含水亚组(I</w:t>
      </w:r>
      <w:r>
        <w:rPr>
          <w:sz w:val="24"/>
          <w:highlight w:val="none"/>
          <w:vertAlign w:val="subscript"/>
        </w:rPr>
        <w:t>6</w:t>
      </w:r>
      <w:r>
        <w:rPr>
          <w:sz w:val="24"/>
          <w:highlight w:val="none"/>
        </w:rPr>
        <w:t>)：为Q</w:t>
      </w:r>
      <w:r>
        <w:rPr>
          <w:sz w:val="24"/>
          <w:highlight w:val="none"/>
          <w:vertAlign w:val="subscript"/>
        </w:rPr>
        <w:t>2</w:t>
      </w:r>
      <w:r>
        <w:rPr>
          <w:sz w:val="24"/>
          <w:highlight w:val="none"/>
        </w:rPr>
        <w:t>及Q</w:t>
      </w:r>
      <w:r>
        <w:rPr>
          <w:sz w:val="24"/>
          <w:highlight w:val="none"/>
          <w:vertAlign w:val="subscript"/>
        </w:rPr>
        <w:t>3</w:t>
      </w:r>
      <w:r>
        <w:rPr>
          <w:sz w:val="24"/>
          <w:highlight w:val="none"/>
        </w:rPr>
        <w:t>坡洪积层，主要岩性为粘砂土，或砂粘土含碎石，不含水或微含水。分布于山丘边缘。</w:t>
      </w:r>
    </w:p>
    <w:p>
      <w:pPr>
        <w:spacing w:line="440" w:lineRule="atLeast"/>
        <w:ind w:firstLine="480"/>
        <w:rPr>
          <w:sz w:val="24"/>
          <w:szCs w:val="24"/>
          <w:highlight w:val="none"/>
        </w:rPr>
      </w:pPr>
      <w:r>
        <w:rPr>
          <w:rFonts w:hint="eastAsia"/>
          <w:sz w:val="24"/>
          <w:szCs w:val="24"/>
          <w:highlight w:val="none"/>
        </w:rPr>
        <w:t>（2）碳酸盐岩类裂隙、岩溶裂隙含水区</w:t>
      </w:r>
      <w:r>
        <w:rPr>
          <w:sz w:val="24"/>
          <w:szCs w:val="24"/>
          <w:highlight w:val="none"/>
        </w:rPr>
        <w:t>（</w:t>
      </w:r>
      <w:r>
        <w:rPr>
          <w:rFonts w:hint="eastAsia" w:hAnsi="宋体"/>
          <w:sz w:val="24"/>
          <w:szCs w:val="24"/>
          <w:highlight w:val="none"/>
        </w:rPr>
        <w:t>II</w:t>
      </w:r>
      <w:r>
        <w:rPr>
          <w:sz w:val="24"/>
          <w:szCs w:val="24"/>
          <w:highlight w:val="none"/>
        </w:rPr>
        <w:t>）</w:t>
      </w:r>
    </w:p>
    <w:p>
      <w:pPr>
        <w:spacing w:line="440" w:lineRule="atLeast"/>
        <w:ind w:firstLine="480"/>
        <w:rPr>
          <w:sz w:val="24"/>
          <w:szCs w:val="24"/>
          <w:highlight w:val="none"/>
        </w:rPr>
      </w:pPr>
      <w:r>
        <w:rPr>
          <w:rFonts w:hint="eastAsia"/>
          <w:sz w:val="24"/>
          <w:szCs w:val="24"/>
          <w:highlight w:val="none"/>
        </w:rPr>
        <w:t>①富水亚组</w:t>
      </w:r>
      <w:r>
        <w:rPr>
          <w:sz w:val="24"/>
          <w:szCs w:val="24"/>
          <w:highlight w:val="none"/>
        </w:rPr>
        <w:t>（</w:t>
      </w:r>
      <w:r>
        <w:rPr>
          <w:rFonts w:hint="eastAsia"/>
          <w:sz w:val="24"/>
          <w:szCs w:val="24"/>
          <w:highlight w:val="none"/>
        </w:rPr>
        <w:t>I</w:t>
      </w:r>
      <w:r>
        <w:rPr>
          <w:rFonts w:hint="eastAsia" w:hAnsi="宋体"/>
          <w:sz w:val="24"/>
          <w:szCs w:val="24"/>
          <w:highlight w:val="none"/>
        </w:rPr>
        <w:t>I</w:t>
      </w:r>
      <w:r>
        <w:rPr>
          <w:sz w:val="24"/>
          <w:szCs w:val="24"/>
          <w:highlight w:val="none"/>
          <w:vertAlign w:val="subscript"/>
        </w:rPr>
        <w:t>1</w:t>
      </w:r>
      <w:r>
        <w:rPr>
          <w:sz w:val="24"/>
          <w:szCs w:val="24"/>
          <w:highlight w:val="none"/>
        </w:rPr>
        <w:t>）</w:t>
      </w:r>
      <w:r>
        <w:rPr>
          <w:rFonts w:hint="eastAsia"/>
          <w:sz w:val="24"/>
          <w:szCs w:val="24"/>
          <w:highlight w:val="none"/>
        </w:rPr>
        <w:t>：由于高于庄组和雾迷山两组构成，分布广泛。裂隙、岩溶裂隙发育，局部见有小溶洞，富水性强，但不均一，单井涌水量一般</w:t>
      </w:r>
      <w:r>
        <w:rPr>
          <w:sz w:val="24"/>
          <w:szCs w:val="24"/>
          <w:highlight w:val="none"/>
        </w:rPr>
        <w:t>30</w:t>
      </w:r>
      <w:r>
        <w:rPr>
          <w:rFonts w:hint="eastAsia"/>
          <w:sz w:val="24"/>
          <w:szCs w:val="24"/>
          <w:highlight w:val="none"/>
        </w:rPr>
        <w:t>-</w:t>
      </w:r>
      <w:r>
        <w:rPr>
          <w:sz w:val="24"/>
          <w:szCs w:val="24"/>
          <w:highlight w:val="none"/>
        </w:rPr>
        <w:t>50m</w:t>
      </w:r>
      <w:r>
        <w:rPr>
          <w:sz w:val="24"/>
          <w:szCs w:val="24"/>
          <w:highlight w:val="none"/>
          <w:vertAlign w:val="superscript"/>
        </w:rPr>
        <w:t>3</w:t>
      </w:r>
      <w:r>
        <w:rPr>
          <w:sz w:val="24"/>
          <w:szCs w:val="24"/>
          <w:highlight w:val="none"/>
        </w:rPr>
        <w:t>/h</w:t>
      </w:r>
      <w:r>
        <w:rPr>
          <w:rFonts w:hint="eastAsia"/>
          <w:sz w:val="24"/>
          <w:szCs w:val="24"/>
          <w:highlight w:val="none"/>
        </w:rPr>
        <w:t>，构造破碎带地段可达</w:t>
      </w:r>
      <w:r>
        <w:rPr>
          <w:sz w:val="24"/>
          <w:szCs w:val="24"/>
          <w:highlight w:val="none"/>
        </w:rPr>
        <w:t xml:space="preserve"> 100</w:t>
      </w:r>
      <w:r>
        <w:rPr>
          <w:rFonts w:hint="eastAsia"/>
          <w:sz w:val="24"/>
          <w:szCs w:val="24"/>
          <w:highlight w:val="none"/>
        </w:rPr>
        <w:t>-</w:t>
      </w:r>
      <w:r>
        <w:rPr>
          <w:sz w:val="24"/>
          <w:szCs w:val="24"/>
          <w:highlight w:val="none"/>
        </w:rPr>
        <w:t>250m</w:t>
      </w:r>
      <w:r>
        <w:rPr>
          <w:sz w:val="24"/>
          <w:szCs w:val="24"/>
          <w:highlight w:val="none"/>
          <w:vertAlign w:val="superscript"/>
        </w:rPr>
        <w:t>3</w:t>
      </w:r>
      <w:r>
        <w:rPr>
          <w:sz w:val="24"/>
          <w:szCs w:val="24"/>
          <w:highlight w:val="none"/>
        </w:rPr>
        <w:t>/h</w:t>
      </w:r>
      <w:r>
        <w:rPr>
          <w:rFonts w:hint="eastAsia"/>
          <w:sz w:val="24"/>
          <w:szCs w:val="24"/>
          <w:highlight w:val="none"/>
        </w:rPr>
        <w:t>。</w:t>
      </w:r>
    </w:p>
    <w:p>
      <w:pPr>
        <w:spacing w:line="440" w:lineRule="atLeast"/>
        <w:ind w:firstLine="480"/>
        <w:rPr>
          <w:sz w:val="24"/>
          <w:szCs w:val="24"/>
          <w:highlight w:val="none"/>
        </w:rPr>
      </w:pPr>
      <w:r>
        <w:rPr>
          <w:rFonts w:hint="eastAsia"/>
          <w:sz w:val="24"/>
          <w:szCs w:val="24"/>
          <w:highlight w:val="none"/>
        </w:rPr>
        <w:t>雾迷山组以白云质灰岩部位的层间裂隙水为最好，富水性强。在山区与平原交界地段高于庄组地下水年变幅一般</w:t>
      </w:r>
      <w:r>
        <w:rPr>
          <w:sz w:val="24"/>
          <w:szCs w:val="24"/>
          <w:highlight w:val="none"/>
        </w:rPr>
        <w:t>25</w:t>
      </w:r>
      <w:r>
        <w:rPr>
          <w:rFonts w:hint="eastAsia"/>
          <w:sz w:val="24"/>
          <w:szCs w:val="24"/>
          <w:highlight w:val="none"/>
        </w:rPr>
        <w:t>-</w:t>
      </w:r>
      <w:r>
        <w:rPr>
          <w:sz w:val="24"/>
          <w:szCs w:val="24"/>
          <w:highlight w:val="none"/>
        </w:rPr>
        <w:t>30m</w:t>
      </w:r>
      <w:r>
        <w:rPr>
          <w:rFonts w:hint="eastAsia"/>
          <w:sz w:val="24"/>
          <w:szCs w:val="24"/>
          <w:highlight w:val="none"/>
        </w:rPr>
        <w:t>，而雾迷山组为</w:t>
      </w:r>
      <w:r>
        <w:rPr>
          <w:sz w:val="24"/>
          <w:szCs w:val="24"/>
          <w:highlight w:val="none"/>
        </w:rPr>
        <w:t>10</w:t>
      </w:r>
      <w:r>
        <w:rPr>
          <w:rFonts w:hint="eastAsia"/>
          <w:sz w:val="24"/>
          <w:szCs w:val="24"/>
          <w:highlight w:val="none"/>
        </w:rPr>
        <w:t>-</w:t>
      </w:r>
      <w:r>
        <w:rPr>
          <w:sz w:val="24"/>
          <w:szCs w:val="24"/>
          <w:highlight w:val="none"/>
        </w:rPr>
        <w:t>20m</w:t>
      </w:r>
      <w:r>
        <w:rPr>
          <w:rFonts w:hint="eastAsia"/>
          <w:sz w:val="24"/>
          <w:szCs w:val="24"/>
          <w:highlight w:val="none"/>
        </w:rPr>
        <w:t>，但地形高处可达</w:t>
      </w:r>
      <w:r>
        <w:rPr>
          <w:sz w:val="24"/>
          <w:szCs w:val="24"/>
          <w:highlight w:val="none"/>
        </w:rPr>
        <w:t>50m</w:t>
      </w:r>
      <w:r>
        <w:rPr>
          <w:rFonts w:hint="eastAsia"/>
          <w:sz w:val="24"/>
          <w:szCs w:val="24"/>
          <w:highlight w:val="none"/>
        </w:rPr>
        <w:t>以上。</w:t>
      </w:r>
    </w:p>
    <w:p>
      <w:pPr>
        <w:spacing w:line="440" w:lineRule="atLeast"/>
        <w:ind w:firstLine="480"/>
        <w:rPr>
          <w:sz w:val="24"/>
          <w:szCs w:val="24"/>
          <w:highlight w:val="none"/>
        </w:rPr>
      </w:pPr>
      <w:r>
        <w:rPr>
          <w:rFonts w:hint="eastAsia"/>
          <w:sz w:val="24"/>
          <w:szCs w:val="24"/>
          <w:highlight w:val="none"/>
        </w:rPr>
        <w:t>②中等富水亚组</w:t>
      </w:r>
      <w:r>
        <w:rPr>
          <w:sz w:val="24"/>
          <w:szCs w:val="24"/>
          <w:highlight w:val="none"/>
        </w:rPr>
        <w:t>（</w:t>
      </w:r>
      <w:r>
        <w:rPr>
          <w:rFonts w:hint="eastAsia"/>
          <w:sz w:val="24"/>
          <w:szCs w:val="24"/>
          <w:highlight w:val="none"/>
        </w:rPr>
        <w:t>I</w:t>
      </w:r>
      <w:r>
        <w:rPr>
          <w:rFonts w:hint="eastAsia" w:hAnsi="宋体"/>
          <w:sz w:val="24"/>
          <w:szCs w:val="24"/>
          <w:highlight w:val="none"/>
        </w:rPr>
        <w:t>I</w:t>
      </w:r>
      <w:r>
        <w:rPr>
          <w:rFonts w:hint="eastAsia"/>
          <w:sz w:val="24"/>
          <w:szCs w:val="24"/>
          <w:highlight w:val="none"/>
          <w:vertAlign w:val="subscript"/>
        </w:rPr>
        <w:t>2</w:t>
      </w:r>
      <w:r>
        <w:rPr>
          <w:sz w:val="24"/>
          <w:szCs w:val="24"/>
          <w:highlight w:val="none"/>
        </w:rPr>
        <w:t>）</w:t>
      </w:r>
      <w:r>
        <w:rPr>
          <w:rFonts w:hint="eastAsia"/>
          <w:sz w:val="24"/>
          <w:szCs w:val="24"/>
          <w:highlight w:val="none"/>
        </w:rPr>
        <w:t>：由大洪峪组和杨庄组构成，裂隙、岩溶裂隙较为发育，单井涌水量一般为</w:t>
      </w:r>
      <w:r>
        <w:rPr>
          <w:sz w:val="24"/>
          <w:szCs w:val="24"/>
          <w:highlight w:val="none"/>
        </w:rPr>
        <w:t xml:space="preserve"> 20</w:t>
      </w:r>
      <w:r>
        <w:rPr>
          <w:rFonts w:hint="eastAsia"/>
          <w:sz w:val="24"/>
          <w:szCs w:val="24"/>
          <w:highlight w:val="none"/>
        </w:rPr>
        <w:t>-</w:t>
      </w:r>
      <w:r>
        <w:rPr>
          <w:sz w:val="24"/>
          <w:szCs w:val="24"/>
          <w:highlight w:val="none"/>
        </w:rPr>
        <w:t>30m</w:t>
      </w:r>
      <w:r>
        <w:rPr>
          <w:sz w:val="24"/>
          <w:szCs w:val="24"/>
          <w:highlight w:val="none"/>
          <w:vertAlign w:val="superscript"/>
        </w:rPr>
        <w:t>3</w:t>
      </w:r>
      <w:r>
        <w:rPr>
          <w:sz w:val="24"/>
          <w:szCs w:val="24"/>
          <w:highlight w:val="none"/>
        </w:rPr>
        <w:t>/h</w:t>
      </w:r>
      <w:r>
        <w:rPr>
          <w:rFonts w:hint="eastAsia"/>
          <w:sz w:val="24"/>
          <w:szCs w:val="24"/>
          <w:highlight w:val="none"/>
        </w:rPr>
        <w:t>，构造破碎带地段可达</w:t>
      </w:r>
      <w:r>
        <w:rPr>
          <w:sz w:val="24"/>
          <w:szCs w:val="24"/>
          <w:highlight w:val="none"/>
        </w:rPr>
        <w:t>70 m</w:t>
      </w:r>
      <w:r>
        <w:rPr>
          <w:sz w:val="24"/>
          <w:szCs w:val="24"/>
          <w:highlight w:val="none"/>
          <w:vertAlign w:val="superscript"/>
        </w:rPr>
        <w:t>3</w:t>
      </w:r>
      <w:r>
        <w:rPr>
          <w:sz w:val="24"/>
          <w:szCs w:val="24"/>
          <w:highlight w:val="none"/>
        </w:rPr>
        <w:t xml:space="preserve">/h </w:t>
      </w:r>
      <w:r>
        <w:rPr>
          <w:rFonts w:hint="eastAsia"/>
          <w:sz w:val="24"/>
          <w:szCs w:val="24"/>
          <w:highlight w:val="none"/>
        </w:rPr>
        <w:t>以上。</w:t>
      </w:r>
    </w:p>
    <w:p>
      <w:pPr>
        <w:spacing w:line="440" w:lineRule="atLeast"/>
        <w:ind w:firstLine="480"/>
        <w:rPr>
          <w:sz w:val="24"/>
          <w:szCs w:val="24"/>
          <w:highlight w:val="none"/>
        </w:rPr>
      </w:pPr>
      <w:r>
        <w:rPr>
          <w:rFonts w:hint="eastAsia"/>
          <w:sz w:val="24"/>
          <w:szCs w:val="24"/>
          <w:highlight w:val="none"/>
        </w:rPr>
        <w:t>（</w:t>
      </w:r>
      <w:r>
        <w:rPr>
          <w:sz w:val="24"/>
          <w:szCs w:val="24"/>
          <w:highlight w:val="none"/>
        </w:rPr>
        <w:t>3</w:t>
      </w:r>
      <w:r>
        <w:rPr>
          <w:rFonts w:hint="eastAsia"/>
          <w:sz w:val="24"/>
          <w:szCs w:val="24"/>
          <w:highlight w:val="none"/>
        </w:rPr>
        <w:t>）碎屑岩类裂隙含水岩区（III）</w:t>
      </w:r>
    </w:p>
    <w:p>
      <w:pPr>
        <w:spacing w:line="440" w:lineRule="atLeast"/>
        <w:ind w:firstLine="480"/>
        <w:rPr>
          <w:sz w:val="24"/>
          <w:szCs w:val="24"/>
          <w:highlight w:val="none"/>
        </w:rPr>
      </w:pPr>
      <w:r>
        <w:rPr>
          <w:rFonts w:hint="eastAsia"/>
          <w:sz w:val="24"/>
          <w:szCs w:val="24"/>
          <w:highlight w:val="none"/>
        </w:rPr>
        <w:t>①弱富水亚组</w:t>
      </w:r>
      <w:r>
        <w:rPr>
          <w:sz w:val="24"/>
          <w:szCs w:val="24"/>
          <w:highlight w:val="none"/>
        </w:rPr>
        <w:t>（</w:t>
      </w:r>
      <w:r>
        <w:rPr>
          <w:rFonts w:hint="eastAsia"/>
          <w:sz w:val="24"/>
          <w:szCs w:val="24"/>
          <w:highlight w:val="none"/>
        </w:rPr>
        <w:t>II</w:t>
      </w:r>
      <w:r>
        <w:rPr>
          <w:rFonts w:hint="eastAsia" w:hAnsi="宋体"/>
          <w:sz w:val="24"/>
          <w:szCs w:val="24"/>
          <w:highlight w:val="none"/>
        </w:rPr>
        <w:t>I</w:t>
      </w:r>
      <w:r>
        <w:rPr>
          <w:sz w:val="24"/>
          <w:szCs w:val="24"/>
          <w:highlight w:val="none"/>
          <w:vertAlign w:val="subscript"/>
        </w:rPr>
        <w:t>1</w:t>
      </w:r>
      <w:r>
        <w:rPr>
          <w:sz w:val="24"/>
          <w:szCs w:val="24"/>
          <w:highlight w:val="none"/>
        </w:rPr>
        <w:t>）</w:t>
      </w:r>
      <w:r>
        <w:rPr>
          <w:rFonts w:hint="eastAsia"/>
          <w:sz w:val="24"/>
          <w:szCs w:val="24"/>
          <w:highlight w:val="none"/>
        </w:rPr>
        <w:t>：主要为常州沟组底层，为含水弱的层间裂隙水，据成井资料统计，单井涌水量一般只有</w:t>
      </w:r>
      <w:r>
        <w:rPr>
          <w:sz w:val="24"/>
          <w:szCs w:val="24"/>
          <w:highlight w:val="none"/>
        </w:rPr>
        <w:t xml:space="preserve"> 3</w:t>
      </w:r>
      <w:r>
        <w:rPr>
          <w:rFonts w:hint="eastAsia"/>
          <w:sz w:val="24"/>
          <w:szCs w:val="24"/>
          <w:highlight w:val="none"/>
        </w:rPr>
        <w:t>-</w:t>
      </w:r>
      <w:r>
        <w:rPr>
          <w:sz w:val="24"/>
          <w:szCs w:val="24"/>
          <w:highlight w:val="none"/>
        </w:rPr>
        <w:t>20 m</w:t>
      </w:r>
      <w:r>
        <w:rPr>
          <w:sz w:val="24"/>
          <w:szCs w:val="24"/>
          <w:highlight w:val="none"/>
          <w:vertAlign w:val="superscript"/>
        </w:rPr>
        <w:t>3</w:t>
      </w:r>
      <w:r>
        <w:rPr>
          <w:sz w:val="24"/>
          <w:szCs w:val="24"/>
          <w:highlight w:val="none"/>
        </w:rPr>
        <w:t>/h</w:t>
      </w:r>
      <w:r>
        <w:rPr>
          <w:rFonts w:hint="eastAsia"/>
          <w:sz w:val="24"/>
          <w:szCs w:val="24"/>
          <w:highlight w:val="none"/>
        </w:rPr>
        <w:t>。</w:t>
      </w:r>
    </w:p>
    <w:p>
      <w:pPr>
        <w:spacing w:line="440" w:lineRule="atLeast"/>
        <w:ind w:firstLine="480"/>
        <w:rPr>
          <w:sz w:val="24"/>
          <w:szCs w:val="24"/>
          <w:highlight w:val="none"/>
        </w:rPr>
      </w:pPr>
      <w:r>
        <w:rPr>
          <w:rFonts w:hint="eastAsia"/>
          <w:sz w:val="24"/>
          <w:szCs w:val="24"/>
          <w:highlight w:val="none"/>
        </w:rPr>
        <w:t>②贫水亚组</w:t>
      </w:r>
      <w:r>
        <w:rPr>
          <w:sz w:val="24"/>
          <w:szCs w:val="24"/>
          <w:highlight w:val="none"/>
        </w:rPr>
        <w:t>（</w:t>
      </w:r>
      <w:r>
        <w:rPr>
          <w:rFonts w:hint="eastAsia"/>
          <w:sz w:val="24"/>
          <w:szCs w:val="24"/>
          <w:highlight w:val="none"/>
        </w:rPr>
        <w:t>II</w:t>
      </w:r>
      <w:r>
        <w:rPr>
          <w:rFonts w:hint="eastAsia" w:hAnsi="宋体"/>
          <w:sz w:val="24"/>
          <w:szCs w:val="24"/>
          <w:highlight w:val="none"/>
        </w:rPr>
        <w:t>I</w:t>
      </w:r>
      <w:r>
        <w:rPr>
          <w:rFonts w:hint="eastAsia"/>
          <w:sz w:val="24"/>
          <w:szCs w:val="24"/>
          <w:highlight w:val="none"/>
          <w:vertAlign w:val="subscript"/>
        </w:rPr>
        <w:t>2</w:t>
      </w:r>
      <w:r>
        <w:rPr>
          <w:sz w:val="24"/>
          <w:szCs w:val="24"/>
          <w:highlight w:val="none"/>
        </w:rPr>
        <w:t>）</w:t>
      </w:r>
      <w:r>
        <w:rPr>
          <w:rFonts w:hint="eastAsia"/>
          <w:sz w:val="24"/>
          <w:szCs w:val="24"/>
          <w:highlight w:val="none"/>
        </w:rPr>
        <w:t>：由串岭沟、团山子两组构成，本岩组裂隙多呈闭合状态。含水微弱，但在泥质白云岩分布地段亦有少量层间裂隙水。</w:t>
      </w:r>
    </w:p>
    <w:p>
      <w:pPr>
        <w:widowControl/>
        <w:spacing w:line="440" w:lineRule="atLeast"/>
        <w:ind w:firstLine="480"/>
        <w:rPr>
          <w:sz w:val="24"/>
          <w:szCs w:val="24"/>
          <w:highlight w:val="none"/>
        </w:rPr>
      </w:pPr>
      <w:r>
        <w:rPr>
          <w:sz w:val="24"/>
          <w:szCs w:val="24"/>
          <w:highlight w:val="none"/>
        </w:rPr>
        <w:t>（</w:t>
      </w:r>
      <w:r>
        <w:rPr>
          <w:rFonts w:hint="eastAsia"/>
          <w:sz w:val="24"/>
          <w:szCs w:val="24"/>
          <w:highlight w:val="none"/>
        </w:rPr>
        <w:t>4</w:t>
      </w:r>
      <w:r>
        <w:rPr>
          <w:sz w:val="24"/>
          <w:szCs w:val="24"/>
          <w:highlight w:val="none"/>
        </w:rPr>
        <w:t>）变质岩风化裂隙含水岩区（</w:t>
      </w:r>
      <w:r>
        <w:rPr>
          <w:rFonts w:hint="eastAsia"/>
          <w:sz w:val="24"/>
          <w:szCs w:val="24"/>
          <w:highlight w:val="none"/>
        </w:rPr>
        <w:t>IV</w:t>
      </w:r>
      <w:r>
        <w:rPr>
          <w:sz w:val="24"/>
          <w:szCs w:val="24"/>
          <w:highlight w:val="none"/>
        </w:rPr>
        <w:t>）</w:t>
      </w:r>
    </w:p>
    <w:p>
      <w:pPr>
        <w:widowControl/>
        <w:spacing w:line="440" w:lineRule="atLeast"/>
        <w:ind w:firstLine="480"/>
        <w:rPr>
          <w:sz w:val="24"/>
          <w:szCs w:val="24"/>
          <w:highlight w:val="none"/>
        </w:rPr>
      </w:pPr>
      <w:r>
        <w:rPr>
          <w:sz w:val="24"/>
          <w:szCs w:val="24"/>
          <w:highlight w:val="none"/>
        </w:rPr>
        <w:t>为太古界片麻岩，主要为上部风化裂隙水和局部脉状构造裂隙水。单井涌水量一般0.6-1.3m</w:t>
      </w:r>
      <w:r>
        <w:rPr>
          <w:sz w:val="24"/>
          <w:szCs w:val="24"/>
          <w:highlight w:val="none"/>
          <w:vertAlign w:val="superscript"/>
        </w:rPr>
        <w:t>3</w:t>
      </w:r>
      <w:r>
        <w:rPr>
          <w:sz w:val="24"/>
          <w:szCs w:val="24"/>
          <w:highlight w:val="none"/>
        </w:rPr>
        <w:t>/h，构造破碎带地段可达30-40m</w:t>
      </w:r>
      <w:r>
        <w:rPr>
          <w:sz w:val="24"/>
          <w:szCs w:val="24"/>
          <w:highlight w:val="none"/>
          <w:vertAlign w:val="superscript"/>
        </w:rPr>
        <w:t>3</w:t>
      </w:r>
      <w:r>
        <w:rPr>
          <w:sz w:val="24"/>
          <w:szCs w:val="24"/>
          <w:highlight w:val="none"/>
        </w:rPr>
        <w:t>/h。此含水组与上部松散岩类孔隙潜水含水组水力联系密切。</w:t>
      </w:r>
    </w:p>
    <w:p>
      <w:pPr>
        <w:spacing w:line="440" w:lineRule="atLeast"/>
        <w:ind w:firstLine="480"/>
        <w:rPr>
          <w:sz w:val="24"/>
          <w:highlight w:val="none"/>
        </w:rPr>
        <w:sectPr>
          <w:footerReference r:id="rId19" w:type="default"/>
          <w:pgSz w:w="11905" w:h="16838"/>
          <w:pgMar w:top="1440" w:right="1803" w:bottom="1134" w:left="1803" w:header="850" w:footer="992" w:gutter="0"/>
          <w:cols w:space="0" w:num="1"/>
          <w:docGrid w:linePitch="312" w:charSpace="0"/>
        </w:sectPr>
      </w:pPr>
    </w:p>
    <w:p>
      <w:pPr>
        <w:spacing w:line="440" w:lineRule="atLeast"/>
        <w:ind w:firstLine="480"/>
        <w:jc w:val="center"/>
        <w:rPr>
          <w:sz w:val="24"/>
          <w:highlight w:val="none"/>
        </w:rPr>
      </w:pPr>
      <w:r>
        <w:rPr>
          <w:sz w:val="24"/>
          <w:highlight w:val="none"/>
        </w:rPr>
        <mc:AlternateContent>
          <mc:Choice Requires="wps">
            <w:drawing>
              <wp:anchor distT="0" distB="0" distL="114300" distR="114300" simplePos="0" relativeHeight="251664384" behindDoc="0" locked="0" layoutInCell="1" allowOverlap="1">
                <wp:simplePos x="0" y="0"/>
                <wp:positionH relativeFrom="column">
                  <wp:posOffset>6204585</wp:posOffset>
                </wp:positionH>
                <wp:positionV relativeFrom="paragraph">
                  <wp:posOffset>906780</wp:posOffset>
                </wp:positionV>
                <wp:extent cx="534035" cy="267970"/>
                <wp:effectExtent l="4445" t="4445" r="185420" b="280035"/>
                <wp:wrapNone/>
                <wp:docPr id="108" name="自选图形 31"/>
                <wp:cNvGraphicFramePr/>
                <a:graphic xmlns:a="http://schemas.openxmlformats.org/drawingml/2006/main">
                  <a:graphicData uri="http://schemas.microsoft.com/office/word/2010/wordprocessingShape">
                    <wps:wsp>
                      <wps:cNvSpPr/>
                      <wps:spPr>
                        <a:xfrm>
                          <a:off x="0" y="0"/>
                          <a:ext cx="534035" cy="267970"/>
                        </a:xfrm>
                        <a:prstGeom prst="wedgeRoundRectCallout">
                          <a:avLst>
                            <a:gd name="adj1" fmla="val 76755"/>
                            <a:gd name="adj2" fmla="val 138389"/>
                            <a:gd name="adj3" fmla="val 16667"/>
                          </a:avLst>
                        </a:prstGeom>
                        <a:noFill/>
                        <a:ln w="9525" cap="flat" cmpd="sng">
                          <a:solidFill>
                            <a:srgbClr val="FF0000"/>
                          </a:solidFill>
                          <a:prstDash val="solid"/>
                          <a:miter/>
                          <a:headEnd type="none" w="med" len="med"/>
                          <a:tailEnd type="none" w="med" len="med"/>
                        </a:ln>
                      </wps:spPr>
                      <wps:txbx>
                        <w:txbxContent>
                          <w:p>
                            <w:pPr>
                              <w:spacing w:line="240" w:lineRule="auto"/>
                              <w:ind w:firstLine="0" w:firstLineChars="0"/>
                              <w:rPr>
                                <w:b/>
                                <w:color w:val="0000FF"/>
                                <w:sz w:val="16"/>
                              </w:rPr>
                            </w:pPr>
                            <w:r>
                              <w:rPr>
                                <w:rFonts w:hint="eastAsia"/>
                                <w:b/>
                                <w:color w:val="0000FF"/>
                                <w:sz w:val="16"/>
                              </w:rPr>
                              <w:t>厂位置</w:t>
                            </w:r>
                          </w:p>
                        </w:txbxContent>
                      </wps:txbx>
                      <wps:bodyPr upright="1"/>
                    </wps:wsp>
                  </a:graphicData>
                </a:graphic>
              </wp:anchor>
            </w:drawing>
          </mc:Choice>
          <mc:Fallback>
            <w:pict>
              <v:shape id="自选图形 31" o:spid="_x0000_s1026" o:spt="62" type="#_x0000_t62" style="position:absolute;left:0pt;margin-left:488.55pt;margin-top:71.4pt;height:21.1pt;width:42.05pt;z-index:251664384;mso-width-relative:page;mso-height-relative:page;" filled="f" stroked="t" coordsize="21600,21600" o:gfxdata="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jr//1wAAAAwBAAAPAAAAAAAAAAEAIAAA&#10;ACIAAABkcnMvZG93bnJldi54bWxQSwECFAAUAAAACACHTuJAcXtS9kYCAACPBAAADgAAAAAAAAAB&#10;ACAAAAAmAQAAZHJzL2Uyb0RvYy54bWxQSwUGAAAAAAYABgBZAQAA3gUAAAAA&#10;" adj="27379,40692,14400">
                <v:fill on="f" focussize="0,0"/>
                <v:stroke color="#FF0000" joinstyle="miter"/>
                <v:imagedata o:title=""/>
                <o:lock v:ext="edit" aspectratio="f"/>
                <v:textbox>
                  <w:txbxContent>
                    <w:p>
                      <w:pPr>
                        <w:spacing w:line="240" w:lineRule="auto"/>
                        <w:ind w:firstLine="0" w:firstLineChars="0"/>
                        <w:rPr>
                          <w:b/>
                          <w:color w:val="0000FF"/>
                          <w:sz w:val="16"/>
                        </w:rPr>
                      </w:pPr>
                      <w:r>
                        <w:rPr>
                          <w:rFonts w:hint="eastAsia"/>
                          <w:b/>
                          <w:color w:val="0000FF"/>
                          <w:sz w:val="16"/>
                        </w:rPr>
                        <w:t>厂位置</w:t>
                      </w:r>
                    </w:p>
                  </w:txbxContent>
                </v:textbox>
              </v:shape>
            </w:pict>
          </mc:Fallback>
        </mc:AlternateContent>
      </w:r>
      <w:r>
        <w:rPr>
          <w:szCs w:val="24"/>
          <w:highlight w:val="none"/>
        </w:rPr>
        <w:drawing>
          <wp:inline distT="0" distB="0" distL="0" distR="0">
            <wp:extent cx="7186295" cy="5121910"/>
            <wp:effectExtent l="0" t="0" r="0" b="0"/>
            <wp:docPr id="51" name="图片 51" descr="147[NY38)]ZEAZWBG9TGR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47[NY38)]ZEAZWBG9TGR4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7223794" cy="5148840"/>
                    </a:xfrm>
                    <a:prstGeom prst="rect">
                      <a:avLst/>
                    </a:prstGeom>
                    <a:noFill/>
                    <a:ln>
                      <a:noFill/>
                    </a:ln>
                  </pic:spPr>
                </pic:pic>
              </a:graphicData>
            </a:graphic>
          </wp:inline>
        </w:drawing>
      </w:r>
    </w:p>
    <w:p>
      <w:pPr>
        <w:ind w:firstLine="420"/>
        <w:jc w:val="center"/>
        <w:rPr>
          <w:rFonts w:eastAsia="黑体"/>
          <w:kern w:val="2"/>
          <w:sz w:val="21"/>
          <w:szCs w:val="21"/>
          <w:highlight w:val="none"/>
        </w:rPr>
      </w:pPr>
      <w:r>
        <w:rPr>
          <w:rFonts w:hint="eastAsia" w:eastAsia="黑体"/>
          <w:kern w:val="2"/>
          <w:sz w:val="21"/>
          <w:szCs w:val="21"/>
          <w:highlight w:val="none"/>
        </w:rPr>
        <w:t>图4.1-6   遵化市区域水文地质图</w:t>
      </w:r>
    </w:p>
    <w:p>
      <w:pPr>
        <w:spacing w:line="440" w:lineRule="atLeast"/>
        <w:ind w:firstLine="560"/>
        <w:jc w:val="center"/>
        <w:rPr>
          <w:bCs/>
          <w:highlight w:val="none"/>
        </w:rPr>
        <w:sectPr>
          <w:footerReference r:id="rId20" w:type="default"/>
          <w:pgSz w:w="16838" w:h="11905" w:orient="landscape"/>
          <w:pgMar w:top="1418" w:right="1440" w:bottom="1803" w:left="1134" w:header="850" w:footer="992" w:gutter="0"/>
          <w:cols w:space="0" w:num="1"/>
          <w:docGrid w:linePitch="381" w:charSpace="0"/>
        </w:sectPr>
      </w:pPr>
    </w:p>
    <w:p>
      <w:pPr>
        <w:pStyle w:val="3"/>
        <w:spacing w:before="48" w:after="48"/>
        <w:rPr>
          <w:highlight w:val="none"/>
        </w:rPr>
      </w:pPr>
      <w:r>
        <w:rPr>
          <w:highlight w:val="none"/>
        </w:rPr>
        <w:t>4</w:t>
      </w:r>
      <w:r>
        <w:rPr>
          <w:rFonts w:hint="eastAsia"/>
          <w:highlight w:val="none"/>
        </w:rPr>
        <w:t>.1.</w:t>
      </w:r>
      <w:r>
        <w:rPr>
          <w:highlight w:val="none"/>
        </w:rPr>
        <w:t>6</w:t>
      </w:r>
      <w:r>
        <w:rPr>
          <w:rFonts w:hint="eastAsia"/>
          <w:highlight w:val="none"/>
        </w:rPr>
        <w:t>.3 地下水埋藏条件</w:t>
      </w:r>
    </w:p>
    <w:p>
      <w:pPr>
        <w:ind w:firstLine="480"/>
        <w:rPr>
          <w:sz w:val="24"/>
          <w:highlight w:val="none"/>
        </w:rPr>
      </w:pPr>
      <w:r>
        <w:rPr>
          <w:rFonts w:hint="eastAsia"/>
          <w:sz w:val="24"/>
          <w:highlight w:val="none"/>
        </w:rPr>
        <w:t>根据区域水文地质剖面图（图</w:t>
      </w:r>
      <w:r>
        <w:rPr>
          <w:sz w:val="24"/>
          <w:highlight w:val="none"/>
        </w:rPr>
        <w:t>4.1-7</w:t>
      </w:r>
      <w:r>
        <w:rPr>
          <w:rFonts w:hint="eastAsia"/>
          <w:sz w:val="24"/>
          <w:highlight w:val="none"/>
        </w:rPr>
        <w:t>），按含水层岩性和地下水的埋藏条件，</w:t>
      </w:r>
      <w:r>
        <w:rPr>
          <w:sz w:val="24"/>
          <w:highlight w:val="none"/>
        </w:rPr>
        <w:t>自上而下分述如下：</w:t>
      </w:r>
    </w:p>
    <w:p>
      <w:pPr>
        <w:ind w:firstLine="480"/>
        <w:rPr>
          <w:sz w:val="24"/>
          <w:highlight w:val="none"/>
        </w:rPr>
      </w:pPr>
      <w:r>
        <w:rPr>
          <w:rFonts w:hint="eastAsia"/>
          <w:sz w:val="24"/>
          <w:highlight w:val="none"/>
        </w:rPr>
        <w:t>（1）第四系含水组</w:t>
      </w:r>
    </w:p>
    <w:p>
      <w:pPr>
        <w:ind w:firstLine="480"/>
        <w:rPr>
          <w:sz w:val="24"/>
          <w:highlight w:val="none"/>
        </w:rPr>
      </w:pPr>
      <w:r>
        <w:rPr>
          <w:rFonts w:hint="eastAsia" w:ascii="宋体" w:hAnsi="宋体" w:cs="宋体"/>
          <w:sz w:val="24"/>
          <w:highlight w:val="none"/>
        </w:rPr>
        <w:t>①</w:t>
      </w:r>
      <w:r>
        <w:rPr>
          <w:sz w:val="24"/>
          <w:highlight w:val="none"/>
        </w:rPr>
        <w:t>第一含水段（孔隙潜水</w:t>
      </w:r>
      <w:r>
        <w:rPr>
          <w:rFonts w:hint="eastAsia"/>
          <w:sz w:val="24"/>
          <w:highlight w:val="none"/>
        </w:rPr>
        <w:t>-</w:t>
      </w:r>
      <w:r>
        <w:rPr>
          <w:sz w:val="24"/>
          <w:highlight w:val="none"/>
        </w:rPr>
        <w:t>微承压水含水段）</w:t>
      </w:r>
    </w:p>
    <w:p>
      <w:pPr>
        <w:ind w:firstLine="480"/>
        <w:rPr>
          <w:sz w:val="24"/>
          <w:highlight w:val="none"/>
        </w:rPr>
      </w:pPr>
      <w:r>
        <w:rPr>
          <w:sz w:val="24"/>
          <w:highlight w:val="none"/>
        </w:rPr>
        <w:t>主要岩性为砾卵石，中粗砂、中细砂夹少量粉土、粉质粘土。厚度19.0-25.0m，最厚50m，底板埋深51.0-58.0m。据本次勘察抽水资料，单位涌水量q=29.08L/s·m。渗透系数K=88.77m/d。当地农业灌溉及生活用水均取自该层。</w:t>
      </w:r>
    </w:p>
    <w:p>
      <w:pPr>
        <w:ind w:firstLine="480"/>
        <w:rPr>
          <w:sz w:val="24"/>
          <w:highlight w:val="none"/>
        </w:rPr>
      </w:pPr>
      <w:r>
        <w:rPr>
          <w:rFonts w:hint="eastAsia" w:ascii="宋体" w:hAnsi="宋体" w:cs="宋体"/>
          <w:sz w:val="24"/>
          <w:highlight w:val="none"/>
        </w:rPr>
        <w:t>②</w:t>
      </w:r>
      <w:r>
        <w:rPr>
          <w:sz w:val="24"/>
          <w:highlight w:val="none"/>
        </w:rPr>
        <w:t>第一隔水层</w:t>
      </w:r>
    </w:p>
    <w:p>
      <w:pPr>
        <w:ind w:firstLine="480"/>
        <w:rPr>
          <w:sz w:val="24"/>
          <w:highlight w:val="none"/>
        </w:rPr>
      </w:pPr>
      <w:r>
        <w:rPr>
          <w:sz w:val="24"/>
          <w:highlight w:val="none"/>
        </w:rPr>
        <w:t>主要岩性为粉土，厚度2-4m，底板埋深55-60m，水平延展性差，不连续。</w:t>
      </w:r>
    </w:p>
    <w:p>
      <w:pPr>
        <w:ind w:firstLine="480"/>
        <w:rPr>
          <w:sz w:val="24"/>
          <w:highlight w:val="none"/>
        </w:rPr>
      </w:pPr>
      <w:r>
        <w:rPr>
          <w:rFonts w:hint="eastAsia" w:ascii="宋体" w:hAnsi="宋体" w:cs="宋体"/>
          <w:sz w:val="24"/>
          <w:highlight w:val="none"/>
        </w:rPr>
        <w:t>③</w:t>
      </w:r>
      <w:r>
        <w:rPr>
          <w:sz w:val="24"/>
          <w:highlight w:val="none"/>
        </w:rPr>
        <w:t>第二含水段（深层承压水含水段）</w:t>
      </w:r>
    </w:p>
    <w:p>
      <w:pPr>
        <w:ind w:firstLine="480"/>
        <w:rPr>
          <w:sz w:val="24"/>
          <w:highlight w:val="none"/>
        </w:rPr>
      </w:pPr>
      <w:r>
        <w:rPr>
          <w:sz w:val="24"/>
          <w:highlight w:val="none"/>
        </w:rPr>
        <w:t>主要岩性为中粗砂及砾卵石。厚度150m左右，底板埋深一般224-235m，涌水量140-159m³/h，单位涌水量q=1.84-2.93L/s·m，地下水类型为：HCO</w:t>
      </w:r>
      <w:r>
        <w:rPr>
          <w:sz w:val="24"/>
          <w:highlight w:val="none"/>
          <w:vertAlign w:val="subscript"/>
        </w:rPr>
        <w:t>3</w:t>
      </w:r>
      <w:r>
        <w:rPr>
          <w:sz w:val="24"/>
          <w:highlight w:val="none"/>
        </w:rPr>
        <w:t>.SO</w:t>
      </w:r>
      <w:r>
        <w:rPr>
          <w:sz w:val="24"/>
          <w:highlight w:val="none"/>
          <w:vertAlign w:val="subscript"/>
        </w:rPr>
        <w:t>4</w:t>
      </w:r>
      <w:r>
        <w:rPr>
          <w:rFonts w:hint="eastAsia"/>
          <w:sz w:val="24"/>
          <w:highlight w:val="none"/>
        </w:rPr>
        <w:t>-</w:t>
      </w:r>
      <w:r>
        <w:rPr>
          <w:sz w:val="24"/>
          <w:highlight w:val="none"/>
        </w:rPr>
        <w:t>Ca·Mg、HCO</w:t>
      </w:r>
      <w:r>
        <w:rPr>
          <w:sz w:val="24"/>
          <w:highlight w:val="none"/>
          <w:vertAlign w:val="subscript"/>
        </w:rPr>
        <w:t>3</w:t>
      </w:r>
      <w:r>
        <w:rPr>
          <w:sz w:val="24"/>
          <w:highlight w:val="none"/>
        </w:rPr>
        <w:t>·SO</w:t>
      </w:r>
      <w:r>
        <w:rPr>
          <w:sz w:val="24"/>
          <w:highlight w:val="none"/>
          <w:vertAlign w:val="subscript"/>
        </w:rPr>
        <w:t>4</w:t>
      </w:r>
      <w:r>
        <w:rPr>
          <w:rFonts w:hint="eastAsia"/>
          <w:sz w:val="24"/>
          <w:highlight w:val="none"/>
        </w:rPr>
        <w:t>-</w:t>
      </w:r>
      <w:r>
        <w:rPr>
          <w:sz w:val="24"/>
          <w:highlight w:val="none"/>
        </w:rPr>
        <w:t>Na·Ca型，是当地工农业供水的后备水源。</w:t>
      </w:r>
    </w:p>
    <w:p>
      <w:pPr>
        <w:ind w:firstLine="480"/>
        <w:rPr>
          <w:sz w:val="24"/>
          <w:highlight w:val="none"/>
        </w:rPr>
      </w:pPr>
      <w:r>
        <w:rPr>
          <w:rFonts w:hint="eastAsia" w:ascii="宋体" w:hAnsi="宋体" w:cs="宋体"/>
          <w:sz w:val="24"/>
          <w:highlight w:val="none"/>
        </w:rPr>
        <w:t>④</w:t>
      </w:r>
      <w:r>
        <w:rPr>
          <w:sz w:val="24"/>
          <w:highlight w:val="none"/>
        </w:rPr>
        <w:t>第二隔水层</w:t>
      </w:r>
    </w:p>
    <w:p>
      <w:pPr>
        <w:ind w:firstLine="480"/>
        <w:rPr>
          <w:sz w:val="24"/>
          <w:highlight w:val="none"/>
        </w:rPr>
      </w:pPr>
      <w:r>
        <w:rPr>
          <w:sz w:val="24"/>
          <w:highlight w:val="none"/>
        </w:rPr>
        <w:t>根据水文地质剖面图</w:t>
      </w:r>
      <w:r>
        <w:rPr>
          <w:rFonts w:hint="eastAsia"/>
          <w:sz w:val="24"/>
          <w:highlight w:val="none"/>
        </w:rPr>
        <w:t>6-5b</w:t>
      </w:r>
      <w:r>
        <w:rPr>
          <w:sz w:val="24"/>
          <w:highlight w:val="none"/>
        </w:rPr>
        <w:t>，该剖面线</w:t>
      </w:r>
      <w:r>
        <w:rPr>
          <w:rFonts w:hint="eastAsia"/>
          <w:sz w:val="24"/>
          <w:highlight w:val="none"/>
        </w:rPr>
        <w:t>起自八户庄，终至冷咀头河</w:t>
      </w:r>
      <w:r>
        <w:rPr>
          <w:sz w:val="24"/>
          <w:highlight w:val="none"/>
        </w:rPr>
        <w:t>，</w:t>
      </w:r>
      <w:r>
        <w:rPr>
          <w:rFonts w:hint="eastAsia"/>
          <w:sz w:val="24"/>
          <w:highlight w:val="none"/>
        </w:rPr>
        <w:t>包括</w:t>
      </w:r>
      <w:r>
        <w:rPr>
          <w:sz w:val="24"/>
          <w:highlight w:val="none"/>
        </w:rPr>
        <w:t>ZS01-ZS08</w:t>
      </w:r>
      <w:r>
        <w:rPr>
          <w:rFonts w:hint="eastAsia"/>
          <w:sz w:val="24"/>
          <w:highlight w:val="none"/>
        </w:rPr>
        <w:t>8个</w:t>
      </w:r>
      <w:r>
        <w:rPr>
          <w:sz w:val="24"/>
          <w:highlight w:val="none"/>
        </w:rPr>
        <w:t>钻孔，ZS02、ZS01、ZS05、ZS04钻孔揭露了基岩之上的隔水层，其余钻孔孔深均未达到该层深度，终孔于含水层中，根据揭露的隔水层情况，该层岩性主要为粉质粘土、粉土，厚度10-20m，底板埋深230-253m，地质时代为Q</w:t>
      </w:r>
      <w:r>
        <w:rPr>
          <w:sz w:val="24"/>
          <w:highlight w:val="none"/>
          <w:vertAlign w:val="subscript"/>
        </w:rPr>
        <w:t>1</w:t>
      </w:r>
      <w:r>
        <w:rPr>
          <w:sz w:val="24"/>
          <w:highlight w:val="none"/>
        </w:rPr>
        <w:t>。</w:t>
      </w:r>
    </w:p>
    <w:p>
      <w:pPr>
        <w:ind w:firstLine="480"/>
        <w:rPr>
          <w:sz w:val="24"/>
          <w:highlight w:val="none"/>
        </w:rPr>
      </w:pPr>
      <w:r>
        <w:rPr>
          <w:sz w:val="24"/>
          <w:highlight w:val="none"/>
        </w:rPr>
        <w:t>（2）基岩含水组</w:t>
      </w:r>
    </w:p>
    <w:p>
      <w:pPr>
        <w:ind w:firstLine="480"/>
        <w:rPr>
          <w:sz w:val="24"/>
          <w:highlight w:val="none"/>
        </w:rPr>
      </w:pPr>
      <w:r>
        <w:rPr>
          <w:rFonts w:hint="eastAsia" w:ascii="宋体" w:hAnsi="宋体" w:cs="宋体"/>
          <w:sz w:val="24"/>
          <w:highlight w:val="none"/>
        </w:rPr>
        <w:t>①</w:t>
      </w:r>
      <w:r>
        <w:rPr>
          <w:sz w:val="24"/>
          <w:highlight w:val="none"/>
        </w:rPr>
        <w:t>风化裂隙含水段</w:t>
      </w:r>
    </w:p>
    <w:p>
      <w:pPr>
        <w:ind w:firstLine="480"/>
        <w:rPr>
          <w:sz w:val="24"/>
          <w:highlight w:val="none"/>
        </w:rPr>
      </w:pPr>
      <w:r>
        <w:rPr>
          <w:sz w:val="24"/>
          <w:highlight w:val="none"/>
        </w:rPr>
        <w:t>根据本次收集钻孔资料，该矿区强风化带底板埋深239.06-272.72m，厚度0.60-4.30m。弱风化带底板埋深252.20-281.90m，厚度6.30-20.22m，岩性以斜长角闪片麻岩为主，少量铁石英岩，强风化带岩心多呈砂、土状，弱风化带岩心多为块状-柱状，裂隙较发育。</w:t>
      </w:r>
    </w:p>
    <w:p>
      <w:pPr>
        <w:ind w:firstLine="480"/>
        <w:rPr>
          <w:sz w:val="24"/>
          <w:highlight w:val="none"/>
        </w:rPr>
      </w:pPr>
      <w:r>
        <w:rPr>
          <w:rFonts w:hint="eastAsia" w:ascii="宋体" w:hAnsi="宋体" w:cs="宋体"/>
          <w:sz w:val="24"/>
          <w:highlight w:val="none"/>
        </w:rPr>
        <w:t>②</w:t>
      </w:r>
      <w:r>
        <w:rPr>
          <w:sz w:val="24"/>
          <w:highlight w:val="none"/>
        </w:rPr>
        <w:t>构造裂隙含水段</w:t>
      </w:r>
    </w:p>
    <w:p>
      <w:pPr>
        <w:ind w:firstLine="480"/>
        <w:rPr>
          <w:sz w:val="24"/>
          <w:highlight w:val="none"/>
        </w:rPr>
      </w:pPr>
      <w:r>
        <w:rPr>
          <w:sz w:val="24"/>
          <w:highlight w:val="none"/>
        </w:rPr>
        <w:t>矿层顶、底板围岩主要为斜长角闪片麻岩，岩心较完整，无明显的断裂构造，只在ZK17-3孔见到厚2.05的破碎带。根据DSJ-02井抽水试验结果Q=1.008m³/d，q=0.0036L/s·m，K=0.0276m/d。</w:t>
      </w:r>
    </w:p>
    <w:p>
      <w:pPr>
        <w:ind w:firstLine="480"/>
        <w:rPr>
          <w:sz w:val="24"/>
          <w:highlight w:val="none"/>
        </w:rPr>
      </w:pPr>
      <w:r>
        <w:rPr>
          <w:sz w:val="24"/>
          <w:highlight w:val="none"/>
        </w:rPr>
        <w:t>（3）不同含水岩组水位情况</w:t>
      </w:r>
    </w:p>
    <w:p>
      <w:pPr>
        <w:ind w:firstLine="480"/>
        <w:rPr>
          <w:sz w:val="24"/>
          <w:highlight w:val="none"/>
        </w:rPr>
      </w:pPr>
      <w:r>
        <w:rPr>
          <w:sz w:val="24"/>
          <w:highlight w:val="none"/>
        </w:rPr>
        <w:t>本区地下水类型主要分为三类：松散岩类潜水-微承压水、松散岩类深层承压水、基岩水。通过水位调查，可知区内潜水水位标高大于30m，且由</w:t>
      </w:r>
      <w:r>
        <w:rPr>
          <w:rFonts w:hint="eastAsia"/>
          <w:sz w:val="24"/>
          <w:highlight w:val="none"/>
        </w:rPr>
        <w:t>东</w:t>
      </w:r>
      <w:r>
        <w:rPr>
          <w:sz w:val="24"/>
          <w:highlight w:val="none"/>
        </w:rPr>
        <w:t>南向</w:t>
      </w:r>
      <w:r>
        <w:rPr>
          <w:rFonts w:hint="eastAsia"/>
          <w:sz w:val="24"/>
          <w:highlight w:val="none"/>
        </w:rPr>
        <w:t>西</w:t>
      </w:r>
      <w:r>
        <w:rPr>
          <w:sz w:val="24"/>
          <w:highlight w:val="none"/>
        </w:rPr>
        <w:t>北水位标高逐步升高；根据《河北省遵化市堡子店水源地保护区调整技术报告》提供的水源地情况，堡子店水源地开采松散岩类深层承压水，水源地平均水位埋深14.85m，平均水位标高30.21m，平均水位坡度0.0013左右。</w:t>
      </w:r>
    </w:p>
    <w:p>
      <w:pPr>
        <w:pStyle w:val="3"/>
        <w:spacing w:before="48" w:after="48"/>
        <w:rPr>
          <w:highlight w:val="none"/>
        </w:rPr>
      </w:pPr>
      <w:r>
        <w:rPr>
          <w:rFonts w:hint="eastAsia"/>
          <w:highlight w:val="none"/>
        </w:rPr>
        <w:t>4.1.6.4 地下水补径排条件</w:t>
      </w:r>
    </w:p>
    <w:p>
      <w:pPr>
        <w:spacing w:line="440" w:lineRule="atLeast"/>
        <w:ind w:firstLine="480"/>
        <w:rPr>
          <w:sz w:val="24"/>
          <w:highlight w:val="none"/>
        </w:rPr>
      </w:pPr>
      <w:r>
        <w:rPr>
          <w:sz w:val="24"/>
          <w:highlight w:val="none"/>
        </w:rPr>
        <w:t>遵化北盆地是一个相对独立的水文地质单元，四周地表水分水岭和地下水分水岭基本一致，北部分水岭为冀北山地与冀东丘陵区的分界线，东边界为潮白河水系与滦河水系的分水岭，西边界大致为河北省与天津市的分界线，南边界为遵化南、北盆地的分界线，盆地流域面积1107</w:t>
      </w:r>
      <w:r>
        <w:rPr>
          <w:rFonts w:hint="eastAsia"/>
          <w:sz w:val="24"/>
          <w:highlight w:val="none"/>
        </w:rPr>
        <w:t>k</w:t>
      </w:r>
      <w:r>
        <w:rPr>
          <w:sz w:val="24"/>
          <w:highlight w:val="none"/>
        </w:rPr>
        <w:t>m</w:t>
      </w:r>
      <w:r>
        <w:rPr>
          <w:sz w:val="24"/>
          <w:highlight w:val="none"/>
          <w:vertAlign w:val="superscript"/>
        </w:rPr>
        <w:t>2</w:t>
      </w:r>
      <w:r>
        <w:rPr>
          <w:sz w:val="24"/>
          <w:highlight w:val="none"/>
        </w:rPr>
        <w:t>。</w:t>
      </w:r>
    </w:p>
    <w:p>
      <w:pPr>
        <w:spacing w:line="440" w:lineRule="atLeast"/>
        <w:ind w:firstLine="480"/>
        <w:rPr>
          <w:sz w:val="24"/>
          <w:highlight w:val="none"/>
        </w:rPr>
      </w:pPr>
      <w:r>
        <w:rPr>
          <w:sz w:val="24"/>
          <w:highlight w:val="none"/>
        </w:rPr>
        <w:t>盆地区第四系地下水的补给主要有大气降水补给、河渠入渗补给、山区河谷、沟谷第四系潜流径流补给、山区基岩裂隙水的径流补给、除此之外还有灌溉回归补给。</w:t>
      </w:r>
    </w:p>
    <w:p>
      <w:pPr>
        <w:spacing w:line="440" w:lineRule="atLeast"/>
        <w:ind w:firstLine="480"/>
        <w:rPr>
          <w:sz w:val="24"/>
          <w:highlight w:val="none"/>
        </w:rPr>
      </w:pPr>
      <w:r>
        <w:rPr>
          <w:sz w:val="24"/>
          <w:highlight w:val="none"/>
        </w:rPr>
        <w:t>盆地流域的山区，降水后，一部分转换为地表径流顺沟谷汇入河流进入盆地区，一部分是大气降水后入渗补给风化裂隙带和构造裂隙带，基岩裂隙水经过径流汇入低洼的沟谷形成地下水潜流或直接以泉的形式出露于地表，地下潜流直接补给盆地区第四系地下水，出露于地表的泉水形成地表径流，一部分在有利地区补给地下水。</w:t>
      </w:r>
    </w:p>
    <w:p>
      <w:pPr>
        <w:spacing w:line="440" w:lineRule="atLeast"/>
        <w:ind w:firstLine="480"/>
        <w:rPr>
          <w:sz w:val="24"/>
          <w:highlight w:val="none"/>
        </w:rPr>
      </w:pPr>
      <w:r>
        <w:rPr>
          <w:sz w:val="24"/>
          <w:highlight w:val="none"/>
        </w:rPr>
        <w:t>通过以上分析，盆地区的地下水补给就是来源于该区域内的降水入渗补给。</w:t>
      </w:r>
    </w:p>
    <w:p>
      <w:pPr>
        <w:spacing w:line="440" w:lineRule="atLeast"/>
        <w:ind w:firstLine="480"/>
        <w:rPr>
          <w:sz w:val="24"/>
          <w:highlight w:val="none"/>
        </w:rPr>
      </w:pPr>
      <w:r>
        <w:rPr>
          <w:sz w:val="24"/>
          <w:highlight w:val="none"/>
        </w:rPr>
        <w:t>地下水的径流，在盆地内地下水的径流主要是受地形影响，总的方向是由北向南。最终流向最低洼地带，山区基岩裂隙地下水径流则是由高向低处径流，主要受地形及裂隙发育情况控制。盆地区地下水含水层主要以卵砾石构成径流条件较好，渗透系数一般在30-200m/d。</w:t>
      </w:r>
    </w:p>
    <w:p>
      <w:pPr>
        <w:spacing w:line="440" w:lineRule="atLeast"/>
        <w:ind w:firstLine="480"/>
        <w:rPr>
          <w:sz w:val="24"/>
          <w:highlight w:val="none"/>
        </w:rPr>
      </w:pPr>
      <w:r>
        <w:rPr>
          <w:sz w:val="24"/>
          <w:highlight w:val="none"/>
        </w:rPr>
        <w:t>地下水的排泄，天然条件下，地下水的径流在南北盆地连接处受到基岩的阻挡，地下水的排泄是在低洼地带转换成地表水，在基岩的低洼段，经河流流向南部盆地，主要河流有黎河和沙河，其它排泄方式还有潜水蒸发和地表水的蒸发。在目前条件下，地下水的人工开采成为了该区地下水的主要排泄方式，地下水转换为地表径流排泄和潜水蒸发，随着地下水开采量的不断增加，地下水位下降，地下水蒸发量目前很小，地下水的转换成地表径流量的水量也逐渐减少。</w:t>
      </w:r>
    </w:p>
    <w:p>
      <w:pPr>
        <w:pStyle w:val="3"/>
        <w:spacing w:before="240" w:beforeLines="100"/>
        <w:rPr>
          <w:highlight w:val="none"/>
        </w:rPr>
      </w:pPr>
      <w:r>
        <w:rPr>
          <w:highlight w:val="none"/>
        </w:rPr>
        <w:t>4.1.6</w:t>
      </w:r>
      <w:r>
        <w:rPr>
          <w:rFonts w:hint="eastAsia"/>
          <w:highlight w:val="none"/>
        </w:rPr>
        <w:t>.5 地下水动态特征</w:t>
      </w:r>
    </w:p>
    <w:p>
      <w:pPr>
        <w:ind w:firstLine="480"/>
        <w:rPr>
          <w:sz w:val="24"/>
          <w:szCs w:val="21"/>
          <w:highlight w:val="none"/>
        </w:rPr>
      </w:pPr>
      <w:r>
        <w:rPr>
          <w:rFonts w:hint="eastAsia"/>
          <w:sz w:val="24"/>
          <w:szCs w:val="21"/>
          <w:highlight w:val="none"/>
        </w:rPr>
        <w:t>研究区</w:t>
      </w:r>
      <w:r>
        <w:rPr>
          <w:sz w:val="24"/>
          <w:szCs w:val="21"/>
          <w:highlight w:val="none"/>
        </w:rPr>
        <w:t>地下水流场受地形、地貌及水文地质条件控制，同时受人为开采的影响。遵化盆地</w:t>
      </w:r>
      <w:r>
        <w:rPr>
          <w:rFonts w:hint="eastAsia"/>
          <w:sz w:val="24"/>
          <w:szCs w:val="21"/>
          <w:highlight w:val="none"/>
        </w:rPr>
        <w:t>地</w:t>
      </w:r>
      <w:r>
        <w:rPr>
          <w:sz w:val="24"/>
          <w:szCs w:val="21"/>
          <w:highlight w:val="none"/>
        </w:rPr>
        <w:t>下水一般由外围流向盆地中心。在北川平原，地下水由西北、北、东北流向中心，盆地边缘水力坡度1.3-4.4‰，盆地中心水力坡度0.4‰-0.8‰。南川平原地下水由东北流向西南，由黎河出口流出，水力坡度比北川平原略缓，一般为0.3‰-0.7‰</w:t>
      </w:r>
      <w:r>
        <w:rPr>
          <w:rFonts w:hint="eastAsia"/>
          <w:sz w:val="24"/>
          <w:szCs w:val="21"/>
          <w:highlight w:val="none"/>
        </w:rPr>
        <w:t>。</w:t>
      </w:r>
    </w:p>
    <w:p>
      <w:pPr>
        <w:ind w:firstLine="600" w:firstLineChars="250"/>
        <w:rPr>
          <w:sz w:val="24"/>
          <w:szCs w:val="21"/>
          <w:highlight w:val="none"/>
        </w:rPr>
      </w:pPr>
      <w:r>
        <w:rPr>
          <w:rFonts w:hint="eastAsia"/>
          <w:sz w:val="24"/>
          <w:szCs w:val="21"/>
          <w:highlight w:val="none"/>
        </w:rPr>
        <w:t>2011-2015年唐山市遵化盆地浅层地下水水位总体呈下降趋势，五年各年平均水位埋深分别为10.52m、8.93m、8.09m、8.16m、9.08m，五年平均水位埋深8.96m；年平均最高水位埋深为2012年4.57m；年平均最低水位埋深为2011年11.98m；年平均水位变幅最大为2012年7.13m，最小为2015年2.36m：五年各年末平均水位埋深分别为10.17m、8.11m、8.61m、8.95m、10.71m，变差为0.08m、2.06m、0.5m、0.34m、1.76m，下降速率为0.09m；高水位期一般出现在1月10日—3月30日，低水位期一般出现在5月20日-9月20日，上升期为每年8月—10月，下降期为4月—7月，平稳期为11月—翌年3月。2011-2015年遵化盆地第四系地下水平均水位埋深、年最高水位埋深、年最低水位埋深、年未水位埋深四项特征值进行首尾相比：水位分别上升1.44m、0.86m、1.53m、-0.54m，平均每年上升0.29m、0.17m、0.31m、-0.11m（图4.1-7）。</w:t>
      </w:r>
    </w:p>
    <w:p>
      <w:pPr>
        <w:ind w:firstLine="480"/>
        <w:rPr>
          <w:sz w:val="24"/>
          <w:szCs w:val="21"/>
          <w:highlight w:val="none"/>
        </w:rPr>
      </w:pPr>
      <w:r>
        <w:rPr>
          <w:sz w:val="24"/>
          <w:szCs w:val="21"/>
          <w:highlight w:val="none"/>
        </w:rPr>
        <w:t>20</w:t>
      </w:r>
      <w:r>
        <w:rPr>
          <w:rFonts w:hint="eastAsia"/>
          <w:sz w:val="24"/>
          <w:szCs w:val="21"/>
          <w:highlight w:val="none"/>
        </w:rPr>
        <w:t>15</w:t>
      </w:r>
      <w:r>
        <w:rPr>
          <w:sz w:val="24"/>
          <w:szCs w:val="21"/>
          <w:highlight w:val="none"/>
        </w:rPr>
        <w:t>年</w:t>
      </w:r>
      <w:r>
        <w:rPr>
          <w:rFonts w:hint="eastAsia"/>
          <w:sz w:val="24"/>
          <w:szCs w:val="21"/>
          <w:highlight w:val="none"/>
        </w:rPr>
        <w:t>低</w:t>
      </w:r>
      <w:r>
        <w:rPr>
          <w:sz w:val="24"/>
          <w:szCs w:val="21"/>
          <w:highlight w:val="none"/>
        </w:rPr>
        <w:t>水期等水位</w:t>
      </w:r>
      <w:r>
        <w:rPr>
          <w:rFonts w:hint="eastAsia"/>
          <w:sz w:val="24"/>
          <w:szCs w:val="21"/>
          <w:highlight w:val="none"/>
        </w:rPr>
        <w:t>期</w:t>
      </w:r>
      <w:r>
        <w:rPr>
          <w:sz w:val="24"/>
          <w:szCs w:val="21"/>
          <w:highlight w:val="none"/>
        </w:rPr>
        <w:t>，遵化镇以北的西三里甘泽庄及南新城、新店子及堡子店-大草店以北一带水位埋深大于10m</w:t>
      </w:r>
      <w:r>
        <w:rPr>
          <w:rFonts w:hint="eastAsia"/>
          <w:sz w:val="24"/>
          <w:szCs w:val="21"/>
          <w:highlight w:val="none"/>
        </w:rPr>
        <w:t>，</w:t>
      </w:r>
      <w:r>
        <w:rPr>
          <w:sz w:val="24"/>
          <w:szCs w:val="21"/>
          <w:highlight w:val="none"/>
        </w:rPr>
        <w:t>约占盆地面积的</w:t>
      </w:r>
      <w:r>
        <w:rPr>
          <w:rFonts w:hint="eastAsia"/>
          <w:sz w:val="24"/>
          <w:szCs w:val="21"/>
          <w:highlight w:val="none"/>
        </w:rPr>
        <w:t>48.44</w:t>
      </w:r>
      <w:r>
        <w:rPr>
          <w:sz w:val="24"/>
          <w:szCs w:val="21"/>
          <w:highlight w:val="none"/>
        </w:rPr>
        <w:t>%左右；小渤海寨、小马坊及崔家庄一带水位埋深小于6m，约占全区面积的</w:t>
      </w:r>
      <w:r>
        <w:rPr>
          <w:rFonts w:hint="eastAsia"/>
          <w:sz w:val="24"/>
          <w:szCs w:val="21"/>
          <w:highlight w:val="none"/>
        </w:rPr>
        <w:t>22.74</w:t>
      </w:r>
      <w:r>
        <w:rPr>
          <w:sz w:val="24"/>
          <w:szCs w:val="21"/>
          <w:highlight w:val="none"/>
        </w:rPr>
        <w:t>%左右；其余广大地区水位埋深在6-8m、8-10m之间，约占全区面积的</w:t>
      </w:r>
      <w:r>
        <w:rPr>
          <w:rFonts w:hint="eastAsia"/>
          <w:sz w:val="24"/>
          <w:szCs w:val="21"/>
          <w:highlight w:val="none"/>
        </w:rPr>
        <w:t>28.82</w:t>
      </w:r>
      <w:r>
        <w:rPr>
          <w:sz w:val="24"/>
          <w:szCs w:val="21"/>
          <w:highlight w:val="none"/>
        </w:rPr>
        <w:t>%左右。水位埋深以</w:t>
      </w:r>
      <w:r>
        <w:rPr>
          <w:rFonts w:hint="eastAsia"/>
          <w:sz w:val="24"/>
          <w:szCs w:val="21"/>
          <w:highlight w:val="none"/>
        </w:rPr>
        <w:t>10</w:t>
      </w:r>
      <w:r>
        <w:rPr>
          <w:sz w:val="24"/>
          <w:szCs w:val="21"/>
          <w:highlight w:val="none"/>
        </w:rPr>
        <w:t>-1</w:t>
      </w:r>
      <w:r>
        <w:rPr>
          <w:rFonts w:hint="eastAsia"/>
          <w:sz w:val="24"/>
          <w:szCs w:val="21"/>
          <w:highlight w:val="none"/>
        </w:rPr>
        <w:t>5</w:t>
      </w:r>
      <w:r>
        <w:rPr>
          <w:sz w:val="24"/>
          <w:szCs w:val="21"/>
          <w:highlight w:val="none"/>
        </w:rPr>
        <w:t>m区分布最大，为</w:t>
      </w:r>
      <w:r>
        <w:rPr>
          <w:rFonts w:hint="eastAsia"/>
          <w:sz w:val="24"/>
          <w:szCs w:val="21"/>
          <w:highlight w:val="none"/>
        </w:rPr>
        <w:t>164.62</w:t>
      </w:r>
      <w:r>
        <w:rPr>
          <w:sz w:val="24"/>
          <w:szCs w:val="21"/>
          <w:highlight w:val="none"/>
        </w:rPr>
        <w:t>km</w:t>
      </w:r>
      <w:r>
        <w:rPr>
          <w:sz w:val="24"/>
          <w:szCs w:val="21"/>
          <w:highlight w:val="none"/>
          <w:vertAlign w:val="superscript"/>
        </w:rPr>
        <w:t>2</w:t>
      </w:r>
      <w:r>
        <w:rPr>
          <w:sz w:val="24"/>
          <w:szCs w:val="21"/>
          <w:highlight w:val="none"/>
        </w:rPr>
        <w:t>，约占总面积的3</w:t>
      </w:r>
      <w:r>
        <w:rPr>
          <w:rFonts w:hint="eastAsia"/>
          <w:sz w:val="24"/>
          <w:szCs w:val="21"/>
          <w:highlight w:val="none"/>
        </w:rPr>
        <w:t>9.76</w:t>
      </w:r>
      <w:r>
        <w:rPr>
          <w:sz w:val="24"/>
          <w:szCs w:val="21"/>
          <w:highlight w:val="none"/>
        </w:rPr>
        <w:t>%。</w:t>
      </w:r>
    </w:p>
    <w:p>
      <w:pPr>
        <w:ind w:firstLine="480"/>
        <w:rPr>
          <w:sz w:val="24"/>
          <w:szCs w:val="21"/>
          <w:highlight w:val="none"/>
        </w:rPr>
      </w:pPr>
      <w:r>
        <w:rPr>
          <w:sz w:val="24"/>
          <w:szCs w:val="21"/>
          <w:highlight w:val="none"/>
        </w:rPr>
        <w:t>20</w:t>
      </w:r>
      <w:r>
        <w:rPr>
          <w:rFonts w:hint="eastAsia"/>
          <w:sz w:val="24"/>
          <w:szCs w:val="21"/>
          <w:highlight w:val="none"/>
        </w:rPr>
        <w:t>15</w:t>
      </w:r>
      <w:r>
        <w:rPr>
          <w:sz w:val="24"/>
          <w:szCs w:val="21"/>
          <w:highlight w:val="none"/>
        </w:rPr>
        <w:t>年</w:t>
      </w:r>
      <w:r>
        <w:rPr>
          <w:rFonts w:hint="eastAsia"/>
          <w:sz w:val="24"/>
          <w:szCs w:val="21"/>
          <w:highlight w:val="none"/>
        </w:rPr>
        <w:t>年末</w:t>
      </w:r>
      <w:r>
        <w:rPr>
          <w:sz w:val="24"/>
          <w:szCs w:val="21"/>
          <w:highlight w:val="none"/>
        </w:rPr>
        <w:t>，遵化镇以北的西三里甘泽庄及南新城、新店子及堡子店-大草店以北一带水位埋深大于10m；小渤海寨、小马坊及崔家庄一带水位埋深小于6m；其余广大地区水位埋深在6-10m之间。</w:t>
      </w:r>
    </w:p>
    <w:p>
      <w:pPr>
        <w:ind w:firstLine="0" w:firstLineChars="0"/>
        <w:rPr>
          <w:sz w:val="24"/>
          <w:szCs w:val="21"/>
          <w:highlight w:val="none"/>
        </w:rPr>
      </w:pPr>
      <w:r>
        <w:rPr>
          <w:sz w:val="24"/>
          <w:highlight w:val="none"/>
        </w:rPr>
        <w:drawing>
          <wp:inline distT="0" distB="0" distL="0" distR="0">
            <wp:extent cx="5334000" cy="218122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334000" cy="2181225"/>
                    </a:xfrm>
                    <a:prstGeom prst="rect">
                      <a:avLst/>
                    </a:prstGeom>
                    <a:noFill/>
                    <a:ln>
                      <a:noFill/>
                    </a:ln>
                  </pic:spPr>
                </pic:pic>
              </a:graphicData>
            </a:graphic>
          </wp:inline>
        </w:drawing>
      </w:r>
    </w:p>
    <w:p>
      <w:pPr>
        <w:ind w:firstLine="420"/>
        <w:jc w:val="center"/>
        <w:rPr>
          <w:rFonts w:eastAsia="黑体"/>
          <w:kern w:val="2"/>
          <w:sz w:val="21"/>
          <w:szCs w:val="21"/>
          <w:highlight w:val="none"/>
        </w:rPr>
      </w:pPr>
      <w:r>
        <w:rPr>
          <w:rFonts w:eastAsia="黑体"/>
          <w:kern w:val="2"/>
          <w:sz w:val="21"/>
          <w:szCs w:val="21"/>
          <w:highlight w:val="none"/>
        </w:rPr>
        <w:t>图4.1-</w:t>
      </w:r>
      <w:r>
        <w:rPr>
          <w:rFonts w:hint="eastAsia" w:eastAsia="黑体"/>
          <w:kern w:val="2"/>
          <w:sz w:val="21"/>
          <w:szCs w:val="21"/>
          <w:highlight w:val="none"/>
        </w:rPr>
        <w:t>7  遵化盆地第四系浅层地下水水位5年变化与降水关系曲线</w:t>
      </w:r>
    </w:p>
    <w:p>
      <w:pPr>
        <w:snapToGrid w:val="0"/>
        <w:ind w:firstLine="480"/>
        <w:rPr>
          <w:sz w:val="24"/>
          <w:szCs w:val="21"/>
          <w:highlight w:val="none"/>
        </w:rPr>
      </w:pPr>
      <w:r>
        <w:rPr>
          <w:sz w:val="24"/>
          <w:szCs w:val="21"/>
          <w:highlight w:val="none"/>
        </w:rPr>
        <w:t>遵化盆地1990及20</w:t>
      </w:r>
      <w:r>
        <w:rPr>
          <w:rFonts w:hint="eastAsia"/>
          <w:sz w:val="24"/>
          <w:szCs w:val="21"/>
          <w:highlight w:val="none"/>
        </w:rPr>
        <w:t>15</w:t>
      </w:r>
      <w:r>
        <w:rPr>
          <w:sz w:val="24"/>
          <w:szCs w:val="21"/>
          <w:highlight w:val="none"/>
        </w:rPr>
        <w:t>年末水位平均埋深分别为6.60m和</w:t>
      </w:r>
      <w:r>
        <w:rPr>
          <w:rFonts w:hint="eastAsia"/>
          <w:sz w:val="24"/>
          <w:szCs w:val="21"/>
          <w:highlight w:val="none"/>
        </w:rPr>
        <w:t>10.71</w:t>
      </w:r>
      <w:r>
        <w:rPr>
          <w:sz w:val="24"/>
          <w:szCs w:val="21"/>
          <w:highlight w:val="none"/>
        </w:rPr>
        <w:t>m，</w:t>
      </w:r>
      <w:r>
        <w:rPr>
          <w:rFonts w:hint="eastAsia"/>
          <w:sz w:val="24"/>
          <w:szCs w:val="21"/>
          <w:highlight w:val="none"/>
        </w:rPr>
        <w:t>25</w:t>
      </w:r>
      <w:r>
        <w:rPr>
          <w:sz w:val="24"/>
          <w:szCs w:val="21"/>
          <w:highlight w:val="none"/>
        </w:rPr>
        <w:t>年累计水位下降</w:t>
      </w:r>
      <w:r>
        <w:rPr>
          <w:rFonts w:hint="eastAsia"/>
          <w:sz w:val="24"/>
          <w:szCs w:val="21"/>
          <w:highlight w:val="none"/>
        </w:rPr>
        <w:t>4.11</w:t>
      </w:r>
      <w:r>
        <w:rPr>
          <w:sz w:val="24"/>
          <w:szCs w:val="21"/>
          <w:highlight w:val="none"/>
        </w:rPr>
        <w:t>m,年平均0.</w:t>
      </w:r>
      <w:r>
        <w:rPr>
          <w:rFonts w:hint="eastAsia"/>
          <w:sz w:val="24"/>
          <w:szCs w:val="21"/>
          <w:highlight w:val="none"/>
        </w:rPr>
        <w:t>16</w:t>
      </w:r>
      <w:r>
        <w:rPr>
          <w:sz w:val="24"/>
          <w:szCs w:val="21"/>
          <w:highlight w:val="none"/>
        </w:rPr>
        <w:t>m。1990-1995年末水位累计下降0.13m，年平均0.03m</w:t>
      </w:r>
      <w:r>
        <w:rPr>
          <w:rFonts w:hint="eastAsia"/>
          <w:sz w:val="24"/>
          <w:szCs w:val="21"/>
          <w:highlight w:val="none"/>
        </w:rPr>
        <w:t>，</w:t>
      </w:r>
      <w:r>
        <w:rPr>
          <w:sz w:val="24"/>
          <w:szCs w:val="21"/>
          <w:highlight w:val="none"/>
        </w:rPr>
        <w:t>基本处于稳定状态；1995年末至2000年末水位累计下降2.86m，年平均0.57m；2000年末至2005年末水位下降0.08m，年均0.02m，200</w:t>
      </w:r>
      <w:r>
        <w:rPr>
          <w:rFonts w:hint="eastAsia"/>
          <w:sz w:val="24"/>
          <w:szCs w:val="21"/>
          <w:highlight w:val="none"/>
        </w:rPr>
        <w:t>5</w:t>
      </w:r>
      <w:r>
        <w:rPr>
          <w:sz w:val="24"/>
          <w:szCs w:val="21"/>
          <w:highlight w:val="none"/>
        </w:rPr>
        <w:t>年末至20</w:t>
      </w:r>
      <w:r>
        <w:rPr>
          <w:rFonts w:hint="eastAsia"/>
          <w:sz w:val="24"/>
          <w:szCs w:val="21"/>
          <w:highlight w:val="none"/>
        </w:rPr>
        <w:t>10</w:t>
      </w:r>
      <w:r>
        <w:rPr>
          <w:sz w:val="24"/>
          <w:szCs w:val="21"/>
          <w:highlight w:val="none"/>
        </w:rPr>
        <w:t>年末水位下降</w:t>
      </w:r>
      <w:r>
        <w:rPr>
          <w:rFonts w:hint="eastAsia"/>
          <w:sz w:val="24"/>
          <w:szCs w:val="21"/>
          <w:highlight w:val="none"/>
        </w:rPr>
        <w:t>0.58</w:t>
      </w:r>
      <w:r>
        <w:rPr>
          <w:sz w:val="24"/>
          <w:szCs w:val="21"/>
          <w:highlight w:val="none"/>
        </w:rPr>
        <w:t>m，年均0.</w:t>
      </w:r>
      <w:r>
        <w:rPr>
          <w:rFonts w:hint="eastAsia"/>
          <w:sz w:val="24"/>
          <w:szCs w:val="21"/>
          <w:highlight w:val="none"/>
        </w:rPr>
        <w:t>1</w:t>
      </w:r>
      <w:r>
        <w:rPr>
          <w:sz w:val="24"/>
          <w:szCs w:val="21"/>
          <w:highlight w:val="none"/>
        </w:rPr>
        <w:t>2m，20</w:t>
      </w:r>
      <w:r>
        <w:rPr>
          <w:rFonts w:hint="eastAsia"/>
          <w:sz w:val="24"/>
          <w:szCs w:val="21"/>
          <w:highlight w:val="none"/>
        </w:rPr>
        <w:t>10</w:t>
      </w:r>
      <w:r>
        <w:rPr>
          <w:sz w:val="24"/>
          <w:szCs w:val="21"/>
          <w:highlight w:val="none"/>
        </w:rPr>
        <w:t>年末至20</w:t>
      </w:r>
      <w:r>
        <w:rPr>
          <w:rFonts w:hint="eastAsia"/>
          <w:sz w:val="24"/>
          <w:szCs w:val="21"/>
          <w:highlight w:val="none"/>
        </w:rPr>
        <w:t>15</w:t>
      </w:r>
      <w:r>
        <w:rPr>
          <w:sz w:val="24"/>
          <w:szCs w:val="21"/>
          <w:highlight w:val="none"/>
        </w:rPr>
        <w:t>年末水位</w:t>
      </w:r>
      <w:r>
        <w:rPr>
          <w:rFonts w:hint="eastAsia"/>
          <w:sz w:val="24"/>
          <w:szCs w:val="21"/>
          <w:highlight w:val="none"/>
        </w:rPr>
        <w:t>下降0.46</w:t>
      </w:r>
      <w:r>
        <w:rPr>
          <w:sz w:val="24"/>
          <w:szCs w:val="21"/>
          <w:highlight w:val="none"/>
        </w:rPr>
        <w:t>m，年均0.</w:t>
      </w:r>
      <w:r>
        <w:rPr>
          <w:rFonts w:hint="eastAsia"/>
          <w:sz w:val="24"/>
          <w:szCs w:val="21"/>
          <w:highlight w:val="none"/>
        </w:rPr>
        <w:t>05</w:t>
      </w:r>
      <w:r>
        <w:rPr>
          <w:sz w:val="24"/>
          <w:szCs w:val="21"/>
          <w:highlight w:val="none"/>
        </w:rPr>
        <w:t>m。</w:t>
      </w:r>
    </w:p>
    <w:p>
      <w:pPr>
        <w:spacing w:line="440" w:lineRule="atLeast"/>
        <w:ind w:firstLine="480"/>
        <w:rPr>
          <w:sz w:val="24"/>
          <w:highlight w:val="none"/>
        </w:rPr>
      </w:pPr>
      <w:r>
        <w:rPr>
          <w:sz w:val="24"/>
          <w:highlight w:val="none"/>
        </w:rPr>
        <w:t>在人口较为集中，经济较发达的水源地集中开采区，由于生产生活的需要，开采量相对增大，且多年水位变化略有下降，如堡子店周围情况就是如此。见图4.1-</w:t>
      </w:r>
      <w:r>
        <w:rPr>
          <w:rFonts w:hint="eastAsia"/>
          <w:sz w:val="24"/>
          <w:highlight w:val="none"/>
        </w:rPr>
        <w:t>8</w:t>
      </w:r>
      <w:r>
        <w:rPr>
          <w:sz w:val="24"/>
          <w:highlight w:val="none"/>
        </w:rPr>
        <w:t>。</w:t>
      </w:r>
    </w:p>
    <w:p>
      <w:pPr>
        <w:ind w:firstLine="0" w:firstLineChars="0"/>
        <w:rPr>
          <w:highlight w:val="none"/>
        </w:rPr>
      </w:pPr>
      <w:r>
        <w:rPr>
          <w:highlight w:val="none"/>
        </w:rPr>
        <w:drawing>
          <wp:inline distT="0" distB="0" distL="0" distR="0">
            <wp:extent cx="5419725" cy="17811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7" cstate="print">
                      <a:extLst>
                        <a:ext uri="{28A0092B-C50C-407E-A947-70E740481C1C}">
                          <a14:useLocalDpi xmlns:a14="http://schemas.microsoft.com/office/drawing/2010/main" val="0"/>
                        </a:ext>
                      </a:extLst>
                    </a:blip>
                    <a:srcRect r="2774"/>
                    <a:stretch>
                      <a:fillRect/>
                    </a:stretch>
                  </pic:blipFill>
                  <pic:spPr>
                    <a:xfrm>
                      <a:off x="0" y="0"/>
                      <a:ext cx="5419725" cy="1781175"/>
                    </a:xfrm>
                    <a:prstGeom prst="rect">
                      <a:avLst/>
                    </a:prstGeom>
                    <a:noFill/>
                    <a:ln>
                      <a:noFill/>
                    </a:ln>
                  </pic:spPr>
                </pic:pic>
              </a:graphicData>
            </a:graphic>
          </wp:inline>
        </w:drawing>
      </w:r>
    </w:p>
    <w:p>
      <w:pPr>
        <w:ind w:firstLine="420"/>
        <w:jc w:val="center"/>
        <w:rPr>
          <w:rFonts w:eastAsia="黑体"/>
          <w:kern w:val="2"/>
          <w:sz w:val="21"/>
          <w:szCs w:val="21"/>
          <w:highlight w:val="none"/>
        </w:rPr>
      </w:pPr>
      <w:r>
        <w:rPr>
          <w:rFonts w:eastAsia="黑体"/>
          <w:kern w:val="2"/>
          <w:sz w:val="21"/>
          <w:szCs w:val="21"/>
          <w:highlight w:val="none"/>
        </w:rPr>
        <w:t>图4.1-</w:t>
      </w:r>
      <w:r>
        <w:rPr>
          <w:rFonts w:hint="eastAsia" w:eastAsia="黑体"/>
          <w:kern w:val="2"/>
          <w:sz w:val="21"/>
          <w:szCs w:val="21"/>
          <w:highlight w:val="none"/>
        </w:rPr>
        <w:t xml:space="preserve">8   </w:t>
      </w:r>
      <w:r>
        <w:rPr>
          <w:rFonts w:eastAsia="黑体"/>
          <w:kern w:val="2"/>
          <w:sz w:val="21"/>
          <w:szCs w:val="21"/>
          <w:highlight w:val="none"/>
        </w:rPr>
        <w:t>堡子店地下水动态曲线</w:t>
      </w:r>
    </w:p>
    <w:p>
      <w:pPr>
        <w:ind w:firstLine="480"/>
        <w:rPr>
          <w:sz w:val="24"/>
          <w:highlight w:val="none"/>
        </w:rPr>
      </w:pPr>
      <w:r>
        <w:rPr>
          <w:sz w:val="24"/>
          <w:highlight w:val="none"/>
        </w:rPr>
        <w:t>遵化市20</w:t>
      </w:r>
      <w:r>
        <w:rPr>
          <w:rFonts w:hint="eastAsia"/>
          <w:sz w:val="24"/>
          <w:highlight w:val="none"/>
        </w:rPr>
        <w:t>11</w:t>
      </w:r>
      <w:r>
        <w:rPr>
          <w:sz w:val="24"/>
          <w:highlight w:val="none"/>
        </w:rPr>
        <w:t>-20</w:t>
      </w:r>
      <w:r>
        <w:rPr>
          <w:rFonts w:hint="eastAsia"/>
          <w:sz w:val="24"/>
          <w:highlight w:val="none"/>
        </w:rPr>
        <w:t>15</w:t>
      </w:r>
      <w:r>
        <w:rPr>
          <w:sz w:val="24"/>
          <w:highlight w:val="none"/>
        </w:rPr>
        <w:t>年年平均开采地下水</w:t>
      </w:r>
      <w:r>
        <w:rPr>
          <w:rFonts w:hint="eastAsia"/>
          <w:sz w:val="24"/>
          <w:highlight w:val="none"/>
        </w:rPr>
        <w:t>17729</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w:t>
      </w:r>
      <w:r>
        <w:rPr>
          <w:rFonts w:hint="eastAsia"/>
          <w:sz w:val="24"/>
          <w:highlight w:val="none"/>
        </w:rPr>
        <w:t>比2006-2010年均减少开采2234</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rFonts w:hint="eastAsia"/>
          <w:sz w:val="24"/>
          <w:highlight w:val="none"/>
        </w:rPr>
        <w:t>，</w:t>
      </w:r>
      <w:r>
        <w:rPr>
          <w:sz w:val="24"/>
          <w:highlight w:val="none"/>
        </w:rPr>
        <w:t>其中盆地区</w:t>
      </w:r>
      <w:r>
        <w:rPr>
          <w:rFonts w:hint="eastAsia"/>
          <w:sz w:val="24"/>
          <w:highlight w:val="none"/>
        </w:rPr>
        <w:t>15177</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，占遵化市开采量的</w:t>
      </w:r>
      <w:r>
        <w:rPr>
          <w:rFonts w:hint="eastAsia"/>
          <w:sz w:val="24"/>
          <w:highlight w:val="none"/>
        </w:rPr>
        <w:t>85.61</w:t>
      </w:r>
      <w:r>
        <w:rPr>
          <w:sz w:val="24"/>
          <w:highlight w:val="none"/>
        </w:rPr>
        <w:t>%。在盆地区，城镇生活及工业开采地下水量</w:t>
      </w:r>
      <w:r>
        <w:rPr>
          <w:rFonts w:hint="eastAsia"/>
          <w:sz w:val="24"/>
          <w:highlight w:val="none"/>
        </w:rPr>
        <w:t>880</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及</w:t>
      </w:r>
      <w:r>
        <w:rPr>
          <w:rFonts w:hint="eastAsia"/>
          <w:sz w:val="24"/>
          <w:highlight w:val="none"/>
        </w:rPr>
        <w:t>3178</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，分别占盆地区开采量的</w:t>
      </w:r>
      <w:r>
        <w:rPr>
          <w:rFonts w:hint="eastAsia"/>
          <w:sz w:val="24"/>
          <w:highlight w:val="none"/>
        </w:rPr>
        <w:t>5.8</w:t>
      </w:r>
      <w:r>
        <w:rPr>
          <w:sz w:val="24"/>
          <w:highlight w:val="none"/>
        </w:rPr>
        <w:t>%及</w:t>
      </w:r>
      <w:r>
        <w:rPr>
          <w:rFonts w:hint="eastAsia"/>
          <w:sz w:val="24"/>
          <w:highlight w:val="none"/>
        </w:rPr>
        <w:t>20.9</w:t>
      </w:r>
      <w:r>
        <w:rPr>
          <w:sz w:val="24"/>
          <w:highlight w:val="none"/>
        </w:rPr>
        <w:t>%，农田灌溉和农村生活开采地下水量分别为</w:t>
      </w:r>
      <w:r>
        <w:rPr>
          <w:rFonts w:hint="eastAsia"/>
          <w:sz w:val="24"/>
          <w:highlight w:val="none"/>
        </w:rPr>
        <w:t>10150</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及</w:t>
      </w:r>
      <w:r>
        <w:rPr>
          <w:rFonts w:hint="eastAsia"/>
          <w:sz w:val="24"/>
          <w:highlight w:val="none"/>
        </w:rPr>
        <w:t>969</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，分别占盆地区开采量的</w:t>
      </w:r>
      <w:r>
        <w:rPr>
          <w:rFonts w:hint="eastAsia"/>
          <w:sz w:val="24"/>
          <w:highlight w:val="none"/>
        </w:rPr>
        <w:t>66.9</w:t>
      </w:r>
      <w:r>
        <w:rPr>
          <w:sz w:val="24"/>
          <w:highlight w:val="none"/>
        </w:rPr>
        <w:t>%及</w:t>
      </w:r>
      <w:r>
        <w:rPr>
          <w:rFonts w:hint="eastAsia"/>
          <w:sz w:val="24"/>
          <w:highlight w:val="none"/>
        </w:rPr>
        <w:t>6.4</w:t>
      </w:r>
      <w:r>
        <w:rPr>
          <w:sz w:val="24"/>
          <w:highlight w:val="none"/>
        </w:rPr>
        <w:t>%</w:t>
      </w:r>
      <w:r>
        <w:rPr>
          <w:rFonts w:hint="eastAsia"/>
          <w:sz w:val="24"/>
          <w:highlight w:val="none"/>
        </w:rPr>
        <w:t>。</w:t>
      </w:r>
    </w:p>
    <w:p>
      <w:pPr>
        <w:ind w:firstLine="480"/>
        <w:rPr>
          <w:sz w:val="24"/>
          <w:highlight w:val="none"/>
        </w:rPr>
      </w:pPr>
      <w:r>
        <w:rPr>
          <w:sz w:val="24"/>
          <w:highlight w:val="none"/>
        </w:rPr>
        <w:t>遵化盆地区20</w:t>
      </w:r>
      <w:r>
        <w:rPr>
          <w:rFonts w:hint="eastAsia"/>
          <w:sz w:val="24"/>
          <w:highlight w:val="none"/>
        </w:rPr>
        <w:t>11</w:t>
      </w:r>
      <w:r>
        <w:rPr>
          <w:sz w:val="24"/>
          <w:highlight w:val="none"/>
        </w:rPr>
        <w:t>-20</w:t>
      </w:r>
      <w:r>
        <w:rPr>
          <w:rFonts w:hint="eastAsia"/>
          <w:sz w:val="24"/>
          <w:highlight w:val="none"/>
        </w:rPr>
        <w:t>15</w:t>
      </w:r>
      <w:r>
        <w:rPr>
          <w:sz w:val="24"/>
          <w:highlight w:val="none"/>
        </w:rPr>
        <w:t>年地下水平均年开采量</w:t>
      </w:r>
      <w:r>
        <w:rPr>
          <w:rFonts w:hint="eastAsia"/>
          <w:sz w:val="24"/>
          <w:highlight w:val="none"/>
        </w:rPr>
        <w:t>15177</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，与《唐山市水资源评价》确定的可采资源量13661×10</w:t>
      </w:r>
      <w:r>
        <w:rPr>
          <w:sz w:val="24"/>
          <w:highlight w:val="none"/>
          <w:vertAlign w:val="superscript"/>
        </w:rPr>
        <w:t>4</w:t>
      </w:r>
      <w:r>
        <w:rPr>
          <w:sz w:val="24"/>
          <w:highlight w:val="none"/>
        </w:rPr>
        <w:t>m</w:t>
      </w:r>
      <w:r>
        <w:rPr>
          <w:sz w:val="24"/>
          <w:highlight w:val="none"/>
          <w:vertAlign w:val="superscript"/>
        </w:rPr>
        <w:t>3</w:t>
      </w:r>
      <w:r>
        <w:rPr>
          <w:sz w:val="24"/>
          <w:highlight w:val="none"/>
        </w:rPr>
        <w:t>，</w:t>
      </w:r>
      <w:r>
        <w:rPr>
          <w:rFonts w:hint="eastAsia"/>
          <w:sz w:val="24"/>
          <w:highlight w:val="none"/>
        </w:rPr>
        <w:t>地下水超采1516</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，开采系数为</w:t>
      </w:r>
      <w:r>
        <w:rPr>
          <w:rFonts w:hint="eastAsia"/>
          <w:sz w:val="24"/>
          <w:highlight w:val="none"/>
        </w:rPr>
        <w:t>1.11</w:t>
      </w:r>
      <w:r>
        <w:rPr>
          <w:sz w:val="24"/>
          <w:highlight w:val="none"/>
        </w:rPr>
        <w:t>。</w:t>
      </w:r>
    </w:p>
    <w:p>
      <w:pPr>
        <w:ind w:firstLine="480"/>
        <w:rPr>
          <w:sz w:val="24"/>
          <w:highlight w:val="none"/>
        </w:rPr>
      </w:pPr>
      <w:r>
        <w:rPr>
          <w:sz w:val="24"/>
          <w:highlight w:val="none"/>
        </w:rPr>
        <w:t>20</w:t>
      </w:r>
      <w:r>
        <w:rPr>
          <w:rFonts w:hint="eastAsia"/>
          <w:sz w:val="24"/>
          <w:highlight w:val="none"/>
        </w:rPr>
        <w:t>15</w:t>
      </w:r>
      <w:r>
        <w:rPr>
          <w:sz w:val="24"/>
          <w:highlight w:val="none"/>
        </w:rPr>
        <w:t>年遵化盆地共开采地下水</w:t>
      </w:r>
      <w:r>
        <w:rPr>
          <w:rFonts w:hint="eastAsia"/>
          <w:sz w:val="24"/>
          <w:highlight w:val="none"/>
        </w:rPr>
        <w:t>14735</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，其中城镇生活及工业用水分别为</w:t>
      </w:r>
      <w:r>
        <w:rPr>
          <w:rFonts w:hint="eastAsia"/>
          <w:sz w:val="24"/>
          <w:highlight w:val="none"/>
        </w:rPr>
        <w:t>1018</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及</w:t>
      </w:r>
      <w:r>
        <w:rPr>
          <w:rFonts w:hint="eastAsia"/>
          <w:sz w:val="24"/>
          <w:highlight w:val="none"/>
        </w:rPr>
        <w:t>2930</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，农田灌溉及农村生活用水分别为</w:t>
      </w:r>
      <w:r>
        <w:rPr>
          <w:rFonts w:hint="eastAsia"/>
          <w:sz w:val="24"/>
          <w:highlight w:val="none"/>
        </w:rPr>
        <w:t>9847</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w:t>
      </w:r>
      <w:r>
        <w:rPr>
          <w:rFonts w:hint="eastAsia"/>
          <w:sz w:val="24"/>
          <w:highlight w:val="none"/>
        </w:rPr>
        <w:t>940</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。20</w:t>
      </w:r>
      <w:r>
        <w:rPr>
          <w:rFonts w:hint="eastAsia"/>
          <w:sz w:val="24"/>
          <w:highlight w:val="none"/>
        </w:rPr>
        <w:t>15</w:t>
      </w:r>
      <w:r>
        <w:rPr>
          <w:sz w:val="24"/>
          <w:highlight w:val="none"/>
        </w:rPr>
        <w:t>年与20</w:t>
      </w:r>
      <w:r>
        <w:rPr>
          <w:rFonts w:hint="eastAsia"/>
          <w:sz w:val="24"/>
          <w:highlight w:val="none"/>
        </w:rPr>
        <w:t>11</w:t>
      </w:r>
      <w:r>
        <w:rPr>
          <w:sz w:val="24"/>
          <w:highlight w:val="none"/>
        </w:rPr>
        <w:t>年对比，地下水开采量</w:t>
      </w:r>
      <w:r>
        <w:rPr>
          <w:rFonts w:hint="eastAsia"/>
          <w:sz w:val="24"/>
          <w:highlight w:val="none"/>
        </w:rPr>
        <w:t>减少1398</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w:t>
      </w:r>
      <w:r>
        <w:rPr>
          <w:rFonts w:hint="eastAsia"/>
          <w:sz w:val="24"/>
          <w:highlight w:val="none"/>
        </w:rPr>
        <w:t>减少率9.5</w:t>
      </w:r>
      <w:r>
        <w:rPr>
          <w:sz w:val="24"/>
          <w:highlight w:val="none"/>
        </w:rPr>
        <w:t>%。其中农田灌溉、工业用水</w:t>
      </w:r>
      <w:r>
        <w:rPr>
          <w:rFonts w:hint="eastAsia"/>
          <w:sz w:val="24"/>
          <w:highlight w:val="none"/>
        </w:rPr>
        <w:t>、</w:t>
      </w:r>
      <w:r>
        <w:rPr>
          <w:sz w:val="24"/>
          <w:highlight w:val="none"/>
        </w:rPr>
        <w:t>农村生活分别</w:t>
      </w:r>
      <w:r>
        <w:rPr>
          <w:rFonts w:hint="eastAsia"/>
          <w:sz w:val="24"/>
          <w:highlight w:val="none"/>
        </w:rPr>
        <w:t>减少1238</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rFonts w:hint="eastAsia"/>
          <w:sz w:val="24"/>
          <w:highlight w:val="none"/>
        </w:rPr>
        <w:t>、329</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sz w:val="24"/>
          <w:highlight w:val="none"/>
        </w:rPr>
        <w:t>和</w:t>
      </w:r>
      <w:r>
        <w:rPr>
          <w:rFonts w:hint="eastAsia"/>
          <w:sz w:val="24"/>
          <w:highlight w:val="none"/>
        </w:rPr>
        <w:t>61</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rFonts w:hint="eastAsia"/>
          <w:sz w:val="24"/>
          <w:highlight w:val="none"/>
        </w:rPr>
        <w:t>，城镇生活增加了229</w:t>
      </w:r>
      <w:r>
        <w:rPr>
          <w:sz w:val="24"/>
          <w:highlight w:val="none"/>
        </w:rPr>
        <w:t>×10</w:t>
      </w:r>
      <w:r>
        <w:rPr>
          <w:sz w:val="24"/>
          <w:highlight w:val="none"/>
          <w:vertAlign w:val="superscript"/>
        </w:rPr>
        <w:t>4</w:t>
      </w:r>
      <w:r>
        <w:rPr>
          <w:sz w:val="24"/>
          <w:highlight w:val="none"/>
        </w:rPr>
        <w:t>m</w:t>
      </w:r>
      <w:r>
        <w:rPr>
          <w:sz w:val="24"/>
          <w:highlight w:val="none"/>
          <w:vertAlign w:val="superscript"/>
        </w:rPr>
        <w:t>3</w:t>
      </w:r>
      <w:r>
        <w:rPr>
          <w:rFonts w:hint="eastAsia"/>
          <w:sz w:val="24"/>
          <w:highlight w:val="none"/>
        </w:rPr>
        <w:t>（见图4.1-9）</w:t>
      </w:r>
      <w:r>
        <w:rPr>
          <w:sz w:val="24"/>
          <w:highlight w:val="none"/>
        </w:rPr>
        <w:t>。</w:t>
      </w:r>
    </w:p>
    <w:p>
      <w:pPr>
        <w:pStyle w:val="104"/>
        <w:ind w:firstLine="0"/>
        <w:jc w:val="center"/>
        <w:rPr>
          <w:highlight w:val="none"/>
        </w:rPr>
      </w:pPr>
      <w:r>
        <w:rPr>
          <w:highlight w:val="none"/>
        </w:rPr>
        <w:drawing>
          <wp:inline distT="0" distB="0" distL="0" distR="0">
            <wp:extent cx="5233035" cy="2202815"/>
            <wp:effectExtent l="0" t="0" r="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104"/>
        <w:ind w:firstLine="0"/>
        <w:jc w:val="center"/>
        <w:rPr>
          <w:rFonts w:eastAsia="黑体"/>
          <w:sz w:val="21"/>
          <w:szCs w:val="21"/>
          <w:highlight w:val="none"/>
        </w:rPr>
      </w:pPr>
      <w:r>
        <w:rPr>
          <w:rFonts w:eastAsia="黑体"/>
          <w:sz w:val="21"/>
          <w:szCs w:val="21"/>
          <w:highlight w:val="none"/>
        </w:rPr>
        <w:t>图4.1-</w:t>
      </w:r>
      <w:r>
        <w:rPr>
          <w:rFonts w:hint="eastAsia" w:eastAsia="黑体"/>
          <w:sz w:val="21"/>
          <w:szCs w:val="21"/>
          <w:highlight w:val="none"/>
        </w:rPr>
        <w:t>9   遵化盆地2006-2015年地下水开采量动态变化曲线图</w:t>
      </w:r>
    </w:p>
    <w:p>
      <w:pPr>
        <w:pStyle w:val="6"/>
        <w:numPr>
          <w:ilvl w:val="2"/>
          <w:numId w:val="1"/>
        </w:numPr>
        <w:rPr>
          <w:szCs w:val="28"/>
          <w:highlight w:val="none"/>
        </w:rPr>
      </w:pPr>
      <w:bookmarkStart w:id="273" w:name="_Toc18597"/>
      <w:bookmarkStart w:id="274" w:name="_Toc521591780"/>
      <w:r>
        <w:rPr>
          <w:rFonts w:hint="eastAsia"/>
          <w:szCs w:val="28"/>
          <w:highlight w:val="none"/>
        </w:rPr>
        <w:t>土壤与植被</w:t>
      </w:r>
      <w:bookmarkEnd w:id="273"/>
      <w:bookmarkEnd w:id="274"/>
    </w:p>
    <w:p>
      <w:pPr>
        <w:ind w:firstLine="480"/>
        <w:jc w:val="both"/>
        <w:textAlignment w:val="auto"/>
        <w:rPr>
          <w:sz w:val="24"/>
          <w:szCs w:val="24"/>
          <w:highlight w:val="none"/>
        </w:rPr>
      </w:pPr>
      <w:r>
        <w:rPr>
          <w:sz w:val="24"/>
          <w:szCs w:val="24"/>
          <w:highlight w:val="none"/>
        </w:rPr>
        <w:t>遵化市土壤有3个土类，9个亚类，11个土属，41个土种。3大土类为棕壤、褐土和潮土。棕壤主要分布于市域北部300米以上的山地，占全市总面积的6%；褐土分布在海拔20-300米的地方，几乎遍及全市，占全市总面积的92.63%；潮土分布范围最窄，仅限于市域西南隅一小部分平原地带，占全市总面积的1.18%。</w:t>
      </w:r>
    </w:p>
    <w:p>
      <w:pPr>
        <w:ind w:firstLine="480"/>
        <w:jc w:val="both"/>
        <w:textAlignment w:val="auto"/>
        <w:rPr>
          <w:sz w:val="24"/>
          <w:szCs w:val="24"/>
          <w:highlight w:val="none"/>
        </w:rPr>
      </w:pPr>
      <w:r>
        <w:rPr>
          <w:sz w:val="24"/>
          <w:szCs w:val="24"/>
          <w:highlight w:val="none"/>
        </w:rPr>
        <w:t>全市土壤养分属于中等偏下，土壤肥力较低，有机质含量平均为1.18%，低于国家一级地有机质含量2%的标准，在全市土壤中，达到国家一级地有机质含量标准的只有15.93平方公里，仅占全市总面积的1%。全氮平均含量为0.074%，速效氮平均含量为68.74ppm，速效磷平均含量为21.55ppm，速效钾平均含量为85.8ppm，都低于国家要求的标准，处于缺磷、少氮、钾不足，有机质贫乏的状态。</w:t>
      </w:r>
    </w:p>
    <w:p>
      <w:pPr>
        <w:ind w:firstLine="480"/>
        <w:jc w:val="both"/>
        <w:textAlignment w:val="auto"/>
        <w:rPr>
          <w:sz w:val="24"/>
          <w:szCs w:val="24"/>
          <w:highlight w:val="none"/>
        </w:rPr>
      </w:pPr>
      <w:r>
        <w:rPr>
          <w:sz w:val="24"/>
          <w:szCs w:val="24"/>
          <w:highlight w:val="none"/>
        </w:rPr>
        <w:t>遵化市地带性植被为落叶阔叶林，代表树种为落叶栎类，针叶树主要是油松。由于长期垦植，海拔300m以下地带，野生植物已不复存在，大部分为人工植被所代替，只有在海拔300m以上未被垦植的山地，才有野生植被的分布。据调查，乔木树种有油松、白皮松、侧柏、槲、栎、山杨、椴等30多种，果树约有20多种，以板栗、核桃、苹果、柿、枣、梨、桃、杏、山楂等为主，在灌木中人工培植的紫穗槐分布普遍，野生灌木约30多种，比较常见的有荆条、酸枣、胡枝子、鼠李、大花溲疏、三裂绣线菊、锦鸡儿、榛、苦参等。</w:t>
      </w:r>
    </w:p>
    <w:p>
      <w:pPr>
        <w:ind w:firstLine="480"/>
        <w:jc w:val="both"/>
        <w:textAlignment w:val="auto"/>
        <w:rPr>
          <w:sz w:val="24"/>
          <w:szCs w:val="24"/>
          <w:highlight w:val="none"/>
        </w:rPr>
      </w:pPr>
      <w:r>
        <w:rPr>
          <w:sz w:val="24"/>
          <w:szCs w:val="24"/>
          <w:highlight w:val="none"/>
        </w:rPr>
        <w:t>境内草本植物在低山丘陵到处可见，盖度常达60-70%，北山多于南山，阴坡多于阳坡，除疏花草等少数种类北山分布普遍，东南部山地少见外，一般草本植物在全市均有广泛分布，其中最多的是菊科、豆科、禾本科、蔷薇科、莎草科，占绝对优势的是黄背草、白羊草等。藤本、蕨类、攀附植物仍可见到，寄生植物则很少见到。</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275" w:name="_Toc524284671"/>
      <w:bookmarkEnd w:id="275"/>
      <w:bookmarkStart w:id="276" w:name="_Toc524285631"/>
      <w:bookmarkEnd w:id="276"/>
      <w:bookmarkStart w:id="277" w:name="_Toc524285150"/>
      <w:bookmarkEnd w:id="277"/>
      <w:bookmarkStart w:id="278" w:name="_Toc524284670"/>
      <w:bookmarkEnd w:id="278"/>
      <w:bookmarkStart w:id="279" w:name="_Toc524285151"/>
      <w:bookmarkEnd w:id="279"/>
      <w:bookmarkStart w:id="280" w:name="_Toc524285679"/>
      <w:bookmarkEnd w:id="280"/>
      <w:bookmarkStart w:id="281" w:name="_Toc524285630"/>
      <w:bookmarkEnd w:id="281"/>
      <w:bookmarkStart w:id="282" w:name="_Toc524285680"/>
      <w:bookmarkEnd w:id="282"/>
      <w:bookmarkStart w:id="283" w:name="_Toc521591783"/>
      <w:bookmarkStart w:id="284" w:name="_Toc19454"/>
      <w:bookmarkStart w:id="285" w:name="_Toc16140"/>
      <w:bookmarkStart w:id="286" w:name="_Toc28495"/>
      <w:bookmarkStart w:id="287" w:name="_Toc510533943"/>
      <w:bookmarkStart w:id="288" w:name="_Toc13104"/>
      <w:bookmarkStart w:id="289" w:name="_Toc524284672"/>
      <w:r>
        <w:rPr>
          <w:rFonts w:ascii="Times New Roman" w:hAnsi="Times New Roman" w:eastAsia="宋体"/>
          <w:bCs w:val="0"/>
          <w:snapToGrid w:val="0"/>
          <w:kern w:val="0"/>
          <w:sz w:val="28"/>
          <w:szCs w:val="28"/>
          <w:highlight w:val="none"/>
        </w:rPr>
        <w:t>环境功能规划及环境保护目标调查</w:t>
      </w:r>
      <w:bookmarkEnd w:id="283"/>
      <w:bookmarkEnd w:id="284"/>
      <w:bookmarkEnd w:id="285"/>
      <w:bookmarkEnd w:id="286"/>
      <w:bookmarkEnd w:id="287"/>
      <w:bookmarkEnd w:id="288"/>
      <w:bookmarkEnd w:id="289"/>
    </w:p>
    <w:p>
      <w:pPr>
        <w:ind w:firstLine="480"/>
        <w:jc w:val="both"/>
        <w:textAlignment w:val="auto"/>
        <w:rPr>
          <w:sz w:val="24"/>
          <w:szCs w:val="24"/>
          <w:highlight w:val="none"/>
        </w:rPr>
      </w:pPr>
      <w:r>
        <w:rPr>
          <w:sz w:val="24"/>
          <w:szCs w:val="24"/>
          <w:highlight w:val="none"/>
        </w:rPr>
        <w:t>根据遵化市环境功能区划要求，该区域环境空气为二类区，执行《环境空气质量标准》（GB3095-2012）中的二级标准；地表水为Ⅲ类水体，执行《地表水环境质量标准》（GB3838-2002）中Ⅲ类标准；地下水为三类功能区，执行《地下水质量标准》（GB/T14848-2017）中Ⅲ类标准；噪声为2类功能区，执行《声环境质量标准》(GB3096-2008)2类区标准。</w:t>
      </w:r>
    </w:p>
    <w:p>
      <w:pPr>
        <w:ind w:firstLine="480"/>
        <w:jc w:val="both"/>
        <w:textAlignment w:val="auto"/>
        <w:rPr>
          <w:sz w:val="24"/>
          <w:szCs w:val="24"/>
          <w:highlight w:val="none"/>
        </w:rPr>
      </w:pPr>
      <w:r>
        <w:rPr>
          <w:sz w:val="24"/>
          <w:szCs w:val="24"/>
          <w:highlight w:val="none"/>
        </w:rPr>
        <w:t>项目评价区域内无自然保护区、风景名胜区、珍稀动植物资源、景观及其他环境敏感点。本项目符合遵化市环境功能规划要求，符合遵化市生态保护红线要求。根据工程特点及周围环境特征，确定项目环境保护目标为周边居民区，详见表2.</w:t>
      </w:r>
      <w:r>
        <w:rPr>
          <w:rFonts w:hint="eastAsia"/>
          <w:sz w:val="24"/>
          <w:szCs w:val="24"/>
          <w:highlight w:val="none"/>
        </w:rPr>
        <w:t>7</w:t>
      </w:r>
      <w:r>
        <w:rPr>
          <w:sz w:val="24"/>
          <w:szCs w:val="24"/>
          <w:highlight w:val="none"/>
        </w:rPr>
        <w:t>-1。</w:t>
      </w:r>
    </w:p>
    <w:bookmarkEnd w:id="247"/>
    <w:bookmarkEnd w:id="248"/>
    <w:bookmarkEnd w:id="249"/>
    <w:bookmarkEnd w:id="250"/>
    <w:bookmarkEnd w:id="251"/>
    <w:bookmarkEnd w:id="252"/>
    <w:bookmarkEnd w:id="253"/>
    <w:bookmarkEnd w:id="254"/>
    <w:bookmarkEnd w:id="255"/>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290" w:name="_Toc524284673"/>
      <w:bookmarkStart w:id="291" w:name="_Toc6173"/>
      <w:bookmarkStart w:id="292" w:name="_Toc499651413"/>
      <w:bookmarkStart w:id="293" w:name="_Toc521591784"/>
      <w:bookmarkStart w:id="294" w:name="_Toc503218112"/>
      <w:bookmarkStart w:id="295" w:name="_Toc19658"/>
      <w:bookmarkStart w:id="296" w:name="_Toc476574697"/>
      <w:bookmarkStart w:id="297" w:name="_Toc1371"/>
      <w:bookmarkStart w:id="298" w:name="_Toc3253"/>
      <w:r>
        <w:rPr>
          <w:rFonts w:ascii="Times New Roman" w:hAnsi="Times New Roman" w:eastAsia="宋体"/>
          <w:bCs w:val="0"/>
          <w:snapToGrid w:val="0"/>
          <w:kern w:val="0"/>
          <w:sz w:val="28"/>
          <w:szCs w:val="28"/>
          <w:highlight w:val="none"/>
        </w:rPr>
        <w:t>环境质量现状调查与评价</w:t>
      </w:r>
      <w:bookmarkEnd w:id="290"/>
      <w:bookmarkEnd w:id="291"/>
      <w:bookmarkEnd w:id="292"/>
      <w:bookmarkEnd w:id="293"/>
      <w:bookmarkEnd w:id="294"/>
      <w:bookmarkEnd w:id="295"/>
      <w:bookmarkEnd w:id="296"/>
      <w:bookmarkEnd w:id="297"/>
      <w:bookmarkEnd w:id="298"/>
    </w:p>
    <w:p>
      <w:pPr>
        <w:pStyle w:val="6"/>
        <w:numPr>
          <w:ilvl w:val="2"/>
          <w:numId w:val="1"/>
        </w:numPr>
        <w:rPr>
          <w:szCs w:val="28"/>
          <w:highlight w:val="none"/>
        </w:rPr>
      </w:pPr>
      <w:r>
        <w:rPr>
          <w:szCs w:val="28"/>
          <w:highlight w:val="none"/>
        </w:rPr>
        <w:t>环境空气</w:t>
      </w:r>
    </w:p>
    <w:p>
      <w:pPr>
        <w:pStyle w:val="3"/>
        <w:keepLines w:val="0"/>
        <w:spacing w:line="480" w:lineRule="exact"/>
        <w:jc w:val="both"/>
        <w:rPr>
          <w:bCs w:val="0"/>
          <w:kern w:val="2"/>
          <w:szCs w:val="24"/>
          <w:highlight w:val="none"/>
          <w:lang w:val="zh-CN"/>
        </w:rPr>
      </w:pPr>
      <w:r>
        <w:rPr>
          <w:bCs w:val="0"/>
          <w:kern w:val="2"/>
          <w:szCs w:val="24"/>
          <w:highlight w:val="none"/>
          <w:lang w:val="zh-CN"/>
        </w:rPr>
        <w:t>4.3.1.1达标区判定</w:t>
      </w:r>
    </w:p>
    <w:p>
      <w:pPr>
        <w:ind w:firstLine="480"/>
        <w:jc w:val="both"/>
        <w:rPr>
          <w:sz w:val="24"/>
          <w:szCs w:val="24"/>
          <w:highlight w:val="none"/>
        </w:rPr>
      </w:pPr>
      <w:bookmarkStart w:id="299" w:name="_Toc3431"/>
      <w:r>
        <w:rPr>
          <w:sz w:val="24"/>
          <w:szCs w:val="24"/>
          <w:highlight w:val="none"/>
        </w:rPr>
        <w:t>根据20</w:t>
      </w:r>
      <w:r>
        <w:rPr>
          <w:rFonts w:hint="eastAsia"/>
          <w:sz w:val="24"/>
          <w:szCs w:val="24"/>
          <w:highlight w:val="none"/>
        </w:rPr>
        <w:t>23</w:t>
      </w:r>
      <w:r>
        <w:rPr>
          <w:sz w:val="24"/>
          <w:szCs w:val="24"/>
          <w:highlight w:val="none"/>
        </w:rPr>
        <w:t>年6月年唐山市</w:t>
      </w:r>
      <w:r>
        <w:rPr>
          <w:rFonts w:hint="eastAsia"/>
          <w:sz w:val="24"/>
          <w:szCs w:val="24"/>
          <w:highlight w:val="none"/>
        </w:rPr>
        <w:t>生态环境</w:t>
      </w:r>
      <w:r>
        <w:rPr>
          <w:sz w:val="24"/>
          <w:szCs w:val="24"/>
          <w:highlight w:val="none"/>
        </w:rPr>
        <w:t>局发布的《20</w:t>
      </w:r>
      <w:r>
        <w:rPr>
          <w:rFonts w:hint="eastAsia"/>
          <w:sz w:val="24"/>
          <w:szCs w:val="24"/>
          <w:highlight w:val="none"/>
        </w:rPr>
        <w:t>22</w:t>
      </w:r>
      <w:r>
        <w:rPr>
          <w:sz w:val="24"/>
          <w:szCs w:val="24"/>
          <w:highlight w:val="none"/>
        </w:rPr>
        <w:t>年唐山市环境状况公报》显示，</w:t>
      </w:r>
      <w:r>
        <w:rPr>
          <w:rFonts w:hint="eastAsia"/>
          <w:sz w:val="24"/>
          <w:szCs w:val="24"/>
          <w:highlight w:val="none"/>
        </w:rPr>
        <w:t>2022年全市优良天数275天，同比增加19天，优良天数比例为75.3%，同比提高5.2个百分点。重度污染以上天数3天，占比0.8%，同比减少5天。全市空气质量综合指数4.47，同比下降10.6%，排名全国168个重点监测城市倒38名，较2021年提升30个位次。</w:t>
      </w:r>
    </w:p>
    <w:p>
      <w:pPr>
        <w:ind w:firstLine="480"/>
        <w:jc w:val="both"/>
        <w:rPr>
          <w:sz w:val="24"/>
          <w:szCs w:val="24"/>
          <w:highlight w:val="none"/>
        </w:rPr>
      </w:pPr>
      <w:r>
        <w:rPr>
          <w:rFonts w:hint="eastAsia"/>
          <w:sz w:val="24"/>
          <w:szCs w:val="24"/>
          <w:highlight w:val="none"/>
        </w:rPr>
        <w:t>2022年，全市细颗粒物（PM</w:t>
      </w:r>
      <w:r>
        <w:rPr>
          <w:rFonts w:hint="eastAsia"/>
          <w:sz w:val="24"/>
          <w:szCs w:val="24"/>
          <w:highlight w:val="none"/>
          <w:vertAlign w:val="subscript"/>
        </w:rPr>
        <w:t>2.5</w:t>
      </w:r>
      <w:r>
        <w:rPr>
          <w:rFonts w:hint="eastAsia"/>
          <w:sz w:val="24"/>
          <w:szCs w:val="24"/>
          <w:highlight w:val="none"/>
        </w:rPr>
        <w:t>）年均浓度为37微克/立方米，可吸入颗粒物（PM</w:t>
      </w:r>
      <w:r>
        <w:rPr>
          <w:rFonts w:hint="eastAsia"/>
          <w:sz w:val="24"/>
          <w:szCs w:val="24"/>
          <w:highlight w:val="none"/>
          <w:vertAlign w:val="subscript"/>
        </w:rPr>
        <w:t>10</w:t>
      </w:r>
      <w:r>
        <w:rPr>
          <w:rFonts w:hint="eastAsia"/>
          <w:sz w:val="24"/>
          <w:szCs w:val="24"/>
          <w:highlight w:val="none"/>
        </w:rPr>
        <w:t>）年均浓度为67微克/立方米，二氧化硫（SO</w:t>
      </w:r>
      <w:r>
        <w:rPr>
          <w:rFonts w:hint="eastAsia"/>
          <w:sz w:val="24"/>
          <w:szCs w:val="24"/>
          <w:highlight w:val="none"/>
          <w:vertAlign w:val="subscript"/>
        </w:rPr>
        <w:t>2</w:t>
      </w:r>
      <w:r>
        <w:rPr>
          <w:rFonts w:hint="eastAsia"/>
          <w:sz w:val="24"/>
          <w:szCs w:val="24"/>
          <w:highlight w:val="none"/>
        </w:rPr>
        <w:t>）年均浓度为8微克/立方米，二氧化氮（NO</w:t>
      </w:r>
      <w:r>
        <w:rPr>
          <w:rFonts w:hint="eastAsia"/>
          <w:sz w:val="24"/>
          <w:szCs w:val="24"/>
          <w:highlight w:val="none"/>
          <w:vertAlign w:val="subscript"/>
        </w:rPr>
        <w:t>2</w:t>
      </w:r>
      <w:r>
        <w:rPr>
          <w:rFonts w:hint="eastAsia"/>
          <w:sz w:val="24"/>
          <w:szCs w:val="24"/>
          <w:highlight w:val="none"/>
        </w:rPr>
        <w:t>）年均浓度为32微克/立方米，一氧化碳（CO）日均值第95百分位浓度平均为1.5毫克/立方米，臭氧（O</w:t>
      </w:r>
      <w:r>
        <w:rPr>
          <w:rFonts w:hint="eastAsia"/>
          <w:sz w:val="24"/>
          <w:szCs w:val="24"/>
          <w:highlight w:val="none"/>
          <w:vertAlign w:val="subscript"/>
        </w:rPr>
        <w:t>3</w:t>
      </w:r>
      <w:r>
        <w:rPr>
          <w:rFonts w:hint="eastAsia"/>
          <w:sz w:val="24"/>
          <w:szCs w:val="24"/>
          <w:highlight w:val="none"/>
        </w:rPr>
        <w:t>）日最大8小时平均第90百分位浓度平均为182微克/立方米。</w:t>
      </w:r>
    </w:p>
    <w:p>
      <w:pPr>
        <w:ind w:firstLine="480"/>
        <w:jc w:val="both"/>
        <w:rPr>
          <w:sz w:val="24"/>
          <w:szCs w:val="24"/>
          <w:highlight w:val="none"/>
        </w:rPr>
      </w:pPr>
      <w:r>
        <w:rPr>
          <w:rFonts w:hint="eastAsia"/>
          <w:sz w:val="24"/>
          <w:szCs w:val="24"/>
          <w:highlight w:val="none"/>
        </w:rPr>
        <w:t>综上</w:t>
      </w:r>
      <w:r>
        <w:rPr>
          <w:sz w:val="24"/>
          <w:szCs w:val="24"/>
          <w:highlight w:val="none"/>
        </w:rPr>
        <w:t>，项目所在区域（唐山市）属于非达标区。</w:t>
      </w:r>
    </w:p>
    <w:p>
      <w:pPr>
        <w:pStyle w:val="3"/>
        <w:rPr>
          <w:highlight w:val="none"/>
        </w:rPr>
      </w:pPr>
      <w:r>
        <w:rPr>
          <w:highlight w:val="none"/>
        </w:rPr>
        <w:t>4.3.1.2大气环境质量现状补充监测</w:t>
      </w:r>
      <w:bookmarkEnd w:id="299"/>
    </w:p>
    <w:p>
      <w:pPr>
        <w:spacing w:line="480" w:lineRule="exact"/>
        <w:ind w:firstLine="480"/>
        <w:rPr>
          <w:sz w:val="24"/>
          <w:szCs w:val="24"/>
          <w:highlight w:val="none"/>
        </w:rPr>
      </w:pPr>
      <w:r>
        <w:rPr>
          <w:sz w:val="24"/>
          <w:szCs w:val="24"/>
          <w:highlight w:val="none"/>
        </w:rPr>
        <w:t>本项目对TSP现状补充预测得到以下监测数据：</w:t>
      </w:r>
    </w:p>
    <w:p>
      <w:pPr>
        <w:spacing w:line="480" w:lineRule="exact"/>
        <w:ind w:firstLine="480"/>
        <w:rPr>
          <w:sz w:val="24"/>
          <w:szCs w:val="24"/>
          <w:highlight w:val="none"/>
        </w:rPr>
      </w:pPr>
      <w:r>
        <w:rPr>
          <w:sz w:val="24"/>
          <w:szCs w:val="24"/>
          <w:highlight w:val="none"/>
        </w:rPr>
        <w:t>1、监测点位置及监测因子</w:t>
      </w:r>
    </w:p>
    <w:p>
      <w:pPr>
        <w:spacing w:line="480" w:lineRule="exact"/>
        <w:ind w:firstLine="480"/>
        <w:rPr>
          <w:b/>
          <w:bCs/>
          <w:sz w:val="24"/>
          <w:szCs w:val="24"/>
          <w:highlight w:val="none"/>
        </w:rPr>
      </w:pPr>
      <w:r>
        <w:rPr>
          <w:sz w:val="24"/>
          <w:szCs w:val="24"/>
          <w:highlight w:val="none"/>
        </w:rPr>
        <w:t>根据项目污染源排放特征和所确定的大气环境评价等级，结合项目厂址所在区域的地形特点及当地的气象特征，本次评价选取项目厂区作为监测点，项目采样日期为</w:t>
      </w:r>
      <w:r>
        <w:rPr>
          <w:kern w:val="2"/>
          <w:sz w:val="24"/>
          <w:szCs w:val="24"/>
          <w:highlight w:val="none"/>
        </w:rPr>
        <w:t>202</w:t>
      </w:r>
      <w:r>
        <w:rPr>
          <w:rFonts w:hint="eastAsia"/>
          <w:kern w:val="2"/>
          <w:sz w:val="24"/>
          <w:szCs w:val="24"/>
          <w:highlight w:val="none"/>
        </w:rPr>
        <w:t>3</w:t>
      </w:r>
      <w:r>
        <w:rPr>
          <w:kern w:val="2"/>
          <w:sz w:val="24"/>
          <w:szCs w:val="24"/>
          <w:highlight w:val="none"/>
        </w:rPr>
        <w:t>年</w:t>
      </w:r>
      <w:r>
        <w:rPr>
          <w:rFonts w:hint="eastAsia"/>
          <w:kern w:val="2"/>
          <w:sz w:val="24"/>
          <w:szCs w:val="24"/>
          <w:highlight w:val="none"/>
        </w:rPr>
        <w:t>04</w:t>
      </w:r>
      <w:r>
        <w:rPr>
          <w:kern w:val="2"/>
          <w:sz w:val="24"/>
          <w:szCs w:val="24"/>
          <w:highlight w:val="none"/>
        </w:rPr>
        <w:t>月</w:t>
      </w:r>
      <w:r>
        <w:rPr>
          <w:rFonts w:hint="eastAsia"/>
          <w:kern w:val="2"/>
          <w:sz w:val="24"/>
          <w:szCs w:val="24"/>
          <w:highlight w:val="none"/>
        </w:rPr>
        <w:t>29</w:t>
      </w:r>
      <w:r>
        <w:rPr>
          <w:kern w:val="2"/>
          <w:sz w:val="24"/>
          <w:szCs w:val="24"/>
          <w:highlight w:val="none"/>
        </w:rPr>
        <w:t>日~0</w:t>
      </w:r>
      <w:r>
        <w:rPr>
          <w:rFonts w:hint="eastAsia"/>
          <w:kern w:val="2"/>
          <w:sz w:val="24"/>
          <w:szCs w:val="24"/>
          <w:highlight w:val="none"/>
        </w:rPr>
        <w:t>5</w:t>
      </w:r>
      <w:r>
        <w:rPr>
          <w:kern w:val="2"/>
          <w:sz w:val="24"/>
          <w:szCs w:val="24"/>
          <w:highlight w:val="none"/>
        </w:rPr>
        <w:t>月</w:t>
      </w:r>
      <w:r>
        <w:rPr>
          <w:rFonts w:hint="eastAsia"/>
          <w:kern w:val="2"/>
          <w:sz w:val="24"/>
          <w:szCs w:val="24"/>
          <w:highlight w:val="none"/>
        </w:rPr>
        <w:t>05</w:t>
      </w:r>
      <w:r>
        <w:rPr>
          <w:kern w:val="2"/>
          <w:sz w:val="24"/>
          <w:szCs w:val="24"/>
          <w:highlight w:val="none"/>
        </w:rPr>
        <w:t>日</w:t>
      </w:r>
      <w:r>
        <w:rPr>
          <w:sz w:val="24"/>
          <w:szCs w:val="24"/>
          <w:highlight w:val="none"/>
        </w:rPr>
        <w:t>，项目监测因子及相对厂址位置见表4.3-</w:t>
      </w:r>
      <w:r>
        <w:rPr>
          <w:rFonts w:hint="eastAsia"/>
          <w:sz w:val="24"/>
          <w:szCs w:val="24"/>
          <w:highlight w:val="none"/>
        </w:rPr>
        <w:t>1</w:t>
      </w:r>
      <w:r>
        <w:rPr>
          <w:sz w:val="24"/>
          <w:szCs w:val="24"/>
          <w:highlight w:val="none"/>
        </w:rPr>
        <w:t>。</w:t>
      </w:r>
    </w:p>
    <w:p>
      <w:pPr>
        <w:spacing w:line="240" w:lineRule="auto"/>
        <w:ind w:firstLine="420" w:firstLineChars="0"/>
        <w:jc w:val="center"/>
        <w:textAlignment w:val="baseline"/>
        <w:rPr>
          <w:rFonts w:eastAsia="黑体"/>
          <w:bCs/>
          <w:kern w:val="2"/>
          <w:sz w:val="21"/>
          <w:szCs w:val="21"/>
          <w:highlight w:val="none"/>
        </w:rPr>
      </w:pPr>
      <w:r>
        <w:rPr>
          <w:rFonts w:eastAsia="黑体"/>
          <w:bCs/>
          <w:kern w:val="2"/>
          <w:sz w:val="21"/>
          <w:szCs w:val="21"/>
          <w:highlight w:val="none"/>
        </w:rPr>
        <w:t>表4.3-</w:t>
      </w:r>
      <w:r>
        <w:rPr>
          <w:rFonts w:hint="eastAsia" w:eastAsia="黑体"/>
          <w:bCs/>
          <w:kern w:val="2"/>
          <w:sz w:val="21"/>
          <w:szCs w:val="21"/>
          <w:highlight w:val="none"/>
        </w:rPr>
        <w:t>1</w:t>
      </w:r>
      <w:r>
        <w:rPr>
          <w:rFonts w:eastAsia="黑体"/>
          <w:bCs/>
          <w:kern w:val="2"/>
          <w:sz w:val="21"/>
          <w:szCs w:val="21"/>
          <w:highlight w:val="none"/>
        </w:rPr>
        <w:t xml:space="preserve">  环境空气现状监测点及监测因子一览表</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515"/>
        <w:gridCol w:w="1968"/>
        <w:gridCol w:w="1843"/>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vMerge w:val="restart"/>
            <w:vAlign w:val="center"/>
          </w:tcPr>
          <w:p>
            <w:pPr>
              <w:spacing w:line="240" w:lineRule="auto"/>
              <w:ind w:firstLine="0" w:firstLineChars="0"/>
              <w:jc w:val="center"/>
              <w:rPr>
                <w:sz w:val="21"/>
                <w:szCs w:val="21"/>
                <w:highlight w:val="none"/>
              </w:rPr>
            </w:pPr>
            <w:r>
              <w:rPr>
                <w:sz w:val="21"/>
                <w:szCs w:val="21"/>
                <w:highlight w:val="none"/>
              </w:rPr>
              <w:t>序号</w:t>
            </w:r>
          </w:p>
        </w:tc>
        <w:tc>
          <w:tcPr>
            <w:tcW w:w="1515" w:type="dxa"/>
            <w:vMerge w:val="restart"/>
            <w:vAlign w:val="center"/>
          </w:tcPr>
          <w:p>
            <w:pPr>
              <w:spacing w:line="240" w:lineRule="auto"/>
              <w:ind w:firstLine="0" w:firstLineChars="0"/>
              <w:jc w:val="center"/>
              <w:rPr>
                <w:sz w:val="21"/>
                <w:szCs w:val="21"/>
                <w:highlight w:val="none"/>
              </w:rPr>
            </w:pPr>
            <w:r>
              <w:rPr>
                <w:sz w:val="21"/>
                <w:szCs w:val="21"/>
                <w:highlight w:val="none"/>
              </w:rPr>
              <w:t>监测点名称</w:t>
            </w:r>
          </w:p>
        </w:tc>
        <w:tc>
          <w:tcPr>
            <w:tcW w:w="1968" w:type="dxa"/>
            <w:vMerge w:val="restart"/>
            <w:vAlign w:val="center"/>
          </w:tcPr>
          <w:p>
            <w:pPr>
              <w:spacing w:line="240" w:lineRule="auto"/>
              <w:ind w:firstLine="0" w:firstLineChars="0"/>
              <w:jc w:val="center"/>
              <w:rPr>
                <w:sz w:val="21"/>
                <w:szCs w:val="21"/>
                <w:highlight w:val="none"/>
              </w:rPr>
            </w:pPr>
            <w:r>
              <w:rPr>
                <w:sz w:val="21"/>
                <w:szCs w:val="21"/>
                <w:highlight w:val="none"/>
              </w:rPr>
              <w:t>相对于项目方位</w:t>
            </w:r>
          </w:p>
        </w:tc>
        <w:tc>
          <w:tcPr>
            <w:tcW w:w="1843" w:type="dxa"/>
            <w:vMerge w:val="restart"/>
            <w:vAlign w:val="center"/>
          </w:tcPr>
          <w:p>
            <w:pPr>
              <w:spacing w:line="240" w:lineRule="auto"/>
              <w:ind w:firstLine="0" w:firstLineChars="0"/>
              <w:jc w:val="center"/>
              <w:rPr>
                <w:sz w:val="21"/>
                <w:szCs w:val="21"/>
                <w:highlight w:val="none"/>
              </w:rPr>
            </w:pPr>
            <w:r>
              <w:rPr>
                <w:sz w:val="21"/>
                <w:szCs w:val="21"/>
                <w:highlight w:val="none"/>
              </w:rPr>
              <w:t>距本项目距离</w:t>
            </w:r>
          </w:p>
        </w:tc>
        <w:tc>
          <w:tcPr>
            <w:tcW w:w="2413" w:type="dxa"/>
            <w:vAlign w:val="center"/>
          </w:tcPr>
          <w:p>
            <w:pPr>
              <w:spacing w:line="240" w:lineRule="auto"/>
              <w:ind w:firstLine="0" w:firstLineChars="0"/>
              <w:jc w:val="center"/>
              <w:rPr>
                <w:sz w:val="21"/>
                <w:szCs w:val="21"/>
                <w:highlight w:val="none"/>
              </w:rPr>
            </w:pPr>
            <w:r>
              <w:rPr>
                <w:sz w:val="21"/>
                <w:szCs w:val="21"/>
                <w:highlight w:val="none"/>
              </w:rPr>
              <w:t>方案及监测因子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vMerge w:val="continue"/>
            <w:vAlign w:val="center"/>
          </w:tcPr>
          <w:p>
            <w:pPr>
              <w:spacing w:line="240" w:lineRule="auto"/>
              <w:ind w:firstLine="0" w:firstLineChars="0"/>
              <w:jc w:val="center"/>
              <w:rPr>
                <w:sz w:val="21"/>
                <w:szCs w:val="21"/>
                <w:highlight w:val="none"/>
              </w:rPr>
            </w:pPr>
          </w:p>
        </w:tc>
        <w:tc>
          <w:tcPr>
            <w:tcW w:w="1515" w:type="dxa"/>
            <w:vMerge w:val="continue"/>
            <w:vAlign w:val="center"/>
          </w:tcPr>
          <w:p>
            <w:pPr>
              <w:spacing w:line="240" w:lineRule="auto"/>
              <w:ind w:firstLine="0" w:firstLineChars="0"/>
              <w:jc w:val="center"/>
              <w:rPr>
                <w:sz w:val="21"/>
                <w:szCs w:val="21"/>
                <w:highlight w:val="none"/>
              </w:rPr>
            </w:pPr>
          </w:p>
        </w:tc>
        <w:tc>
          <w:tcPr>
            <w:tcW w:w="1968" w:type="dxa"/>
            <w:vMerge w:val="continue"/>
            <w:vAlign w:val="center"/>
          </w:tcPr>
          <w:p>
            <w:pPr>
              <w:spacing w:line="240" w:lineRule="auto"/>
              <w:ind w:firstLine="0" w:firstLineChars="0"/>
              <w:jc w:val="center"/>
              <w:rPr>
                <w:sz w:val="21"/>
                <w:szCs w:val="21"/>
                <w:highlight w:val="none"/>
              </w:rPr>
            </w:pPr>
          </w:p>
        </w:tc>
        <w:tc>
          <w:tcPr>
            <w:tcW w:w="1843" w:type="dxa"/>
            <w:vMerge w:val="continue"/>
            <w:vAlign w:val="center"/>
          </w:tcPr>
          <w:p>
            <w:pPr>
              <w:spacing w:line="240" w:lineRule="auto"/>
              <w:ind w:firstLine="0" w:firstLineChars="0"/>
              <w:jc w:val="center"/>
              <w:rPr>
                <w:sz w:val="21"/>
                <w:szCs w:val="21"/>
                <w:highlight w:val="none"/>
              </w:rPr>
            </w:pPr>
          </w:p>
        </w:tc>
        <w:tc>
          <w:tcPr>
            <w:tcW w:w="2413" w:type="dxa"/>
            <w:vAlign w:val="center"/>
          </w:tcPr>
          <w:p>
            <w:pPr>
              <w:spacing w:line="240" w:lineRule="auto"/>
              <w:ind w:firstLine="0" w:firstLineChars="0"/>
              <w:jc w:val="center"/>
              <w:rPr>
                <w:sz w:val="21"/>
                <w:szCs w:val="21"/>
                <w:highlight w:val="none"/>
              </w:rPr>
            </w:pPr>
            <w:r>
              <w:rPr>
                <w:sz w:val="21"/>
                <w:szCs w:val="21"/>
                <w:highlight w:val="none"/>
              </w:rPr>
              <w:t>24小时平均浓度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vAlign w:val="center"/>
          </w:tcPr>
          <w:p>
            <w:pPr>
              <w:spacing w:line="240" w:lineRule="auto"/>
              <w:ind w:firstLine="0" w:firstLineChars="0"/>
              <w:jc w:val="center"/>
              <w:rPr>
                <w:sz w:val="21"/>
                <w:szCs w:val="21"/>
                <w:highlight w:val="none"/>
              </w:rPr>
            </w:pPr>
            <w:r>
              <w:rPr>
                <w:sz w:val="21"/>
                <w:szCs w:val="21"/>
                <w:highlight w:val="none"/>
              </w:rPr>
              <w:t>1</w:t>
            </w:r>
          </w:p>
        </w:tc>
        <w:tc>
          <w:tcPr>
            <w:tcW w:w="1515" w:type="dxa"/>
            <w:vAlign w:val="center"/>
          </w:tcPr>
          <w:p>
            <w:pPr>
              <w:spacing w:line="240" w:lineRule="auto"/>
              <w:ind w:firstLine="0" w:firstLineChars="0"/>
              <w:jc w:val="center"/>
              <w:rPr>
                <w:sz w:val="21"/>
                <w:szCs w:val="21"/>
                <w:highlight w:val="none"/>
              </w:rPr>
            </w:pPr>
            <w:r>
              <w:rPr>
                <w:sz w:val="21"/>
                <w:szCs w:val="21"/>
                <w:highlight w:val="none"/>
              </w:rPr>
              <w:t>项目厂区</w:t>
            </w:r>
          </w:p>
        </w:tc>
        <w:tc>
          <w:tcPr>
            <w:tcW w:w="1968" w:type="dxa"/>
            <w:vAlign w:val="center"/>
          </w:tcPr>
          <w:p>
            <w:pPr>
              <w:spacing w:line="240" w:lineRule="auto"/>
              <w:ind w:firstLine="0" w:firstLineChars="0"/>
              <w:jc w:val="center"/>
              <w:rPr>
                <w:sz w:val="21"/>
                <w:szCs w:val="21"/>
                <w:highlight w:val="none"/>
              </w:rPr>
            </w:pPr>
            <w:r>
              <w:rPr>
                <w:sz w:val="21"/>
                <w:szCs w:val="21"/>
                <w:highlight w:val="none"/>
              </w:rPr>
              <w:t>/</w:t>
            </w:r>
          </w:p>
        </w:tc>
        <w:tc>
          <w:tcPr>
            <w:tcW w:w="1843" w:type="dxa"/>
            <w:vAlign w:val="center"/>
          </w:tcPr>
          <w:p>
            <w:pPr>
              <w:spacing w:line="240" w:lineRule="auto"/>
              <w:ind w:firstLine="0" w:firstLineChars="0"/>
              <w:jc w:val="center"/>
              <w:rPr>
                <w:sz w:val="21"/>
                <w:szCs w:val="21"/>
                <w:highlight w:val="none"/>
              </w:rPr>
            </w:pPr>
            <w:r>
              <w:rPr>
                <w:sz w:val="21"/>
                <w:szCs w:val="21"/>
                <w:highlight w:val="none"/>
              </w:rPr>
              <w:t>/</w:t>
            </w:r>
          </w:p>
        </w:tc>
        <w:tc>
          <w:tcPr>
            <w:tcW w:w="2413" w:type="dxa"/>
            <w:vAlign w:val="center"/>
          </w:tcPr>
          <w:p>
            <w:pPr>
              <w:spacing w:line="240" w:lineRule="auto"/>
              <w:ind w:firstLine="0" w:firstLineChars="0"/>
              <w:jc w:val="center"/>
              <w:rPr>
                <w:sz w:val="21"/>
                <w:szCs w:val="21"/>
                <w:highlight w:val="none"/>
              </w:rPr>
            </w:pPr>
            <w:r>
              <w:rPr>
                <w:sz w:val="21"/>
                <w:szCs w:val="21"/>
                <w:highlight w:val="none"/>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vAlign w:val="center"/>
          </w:tcPr>
          <w:p>
            <w:pPr>
              <w:spacing w:line="240" w:lineRule="auto"/>
              <w:ind w:firstLine="0" w:firstLineChars="0"/>
              <w:jc w:val="center"/>
              <w:rPr>
                <w:sz w:val="21"/>
                <w:szCs w:val="21"/>
                <w:highlight w:val="none"/>
              </w:rPr>
            </w:pPr>
            <w:r>
              <w:rPr>
                <w:rFonts w:hint="eastAsia"/>
                <w:sz w:val="21"/>
                <w:szCs w:val="21"/>
                <w:highlight w:val="none"/>
              </w:rPr>
              <w:t>2</w:t>
            </w:r>
          </w:p>
        </w:tc>
        <w:tc>
          <w:tcPr>
            <w:tcW w:w="1515" w:type="dxa"/>
            <w:vAlign w:val="center"/>
          </w:tcPr>
          <w:p>
            <w:pPr>
              <w:spacing w:line="240" w:lineRule="auto"/>
              <w:ind w:firstLine="0" w:firstLineChars="0"/>
              <w:jc w:val="center"/>
              <w:rPr>
                <w:sz w:val="21"/>
                <w:szCs w:val="21"/>
                <w:highlight w:val="none"/>
              </w:rPr>
            </w:pPr>
            <w:r>
              <w:rPr>
                <w:rFonts w:hint="eastAsia"/>
                <w:sz w:val="21"/>
                <w:szCs w:val="21"/>
                <w:highlight w:val="none"/>
              </w:rPr>
              <w:t>马店子村</w:t>
            </w:r>
          </w:p>
        </w:tc>
        <w:tc>
          <w:tcPr>
            <w:tcW w:w="196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S</w:t>
            </w:r>
          </w:p>
        </w:tc>
        <w:tc>
          <w:tcPr>
            <w:tcW w:w="1843"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270m</w:t>
            </w:r>
          </w:p>
        </w:tc>
        <w:tc>
          <w:tcPr>
            <w:tcW w:w="2413" w:type="dxa"/>
            <w:vAlign w:val="center"/>
          </w:tcPr>
          <w:p>
            <w:pPr>
              <w:spacing w:line="240" w:lineRule="auto"/>
              <w:ind w:firstLine="0" w:firstLineChars="0"/>
              <w:jc w:val="center"/>
              <w:rPr>
                <w:sz w:val="21"/>
                <w:szCs w:val="21"/>
                <w:highlight w:val="none"/>
              </w:rPr>
            </w:pPr>
            <w:r>
              <w:rPr>
                <w:sz w:val="21"/>
                <w:szCs w:val="21"/>
                <w:highlight w:val="none"/>
              </w:rPr>
              <w:t>TSP</w:t>
            </w:r>
          </w:p>
        </w:tc>
      </w:tr>
    </w:tbl>
    <w:p>
      <w:pPr>
        <w:adjustRightInd w:val="0"/>
        <w:snapToGrid w:val="0"/>
        <w:spacing w:line="480" w:lineRule="exact"/>
        <w:ind w:firstLine="480"/>
        <w:rPr>
          <w:sz w:val="24"/>
          <w:szCs w:val="24"/>
          <w:highlight w:val="none"/>
        </w:rPr>
      </w:pPr>
      <w:r>
        <w:rPr>
          <w:sz w:val="24"/>
          <w:szCs w:val="24"/>
          <w:highlight w:val="none"/>
        </w:rPr>
        <w:t>监测期间同步观测气温、湿度、气压、风向、风速、总云量、低云量等气象资料（24小时数据）。</w:t>
      </w:r>
    </w:p>
    <w:p>
      <w:pPr>
        <w:spacing w:line="480" w:lineRule="exact"/>
        <w:ind w:firstLine="480"/>
        <w:rPr>
          <w:sz w:val="24"/>
          <w:szCs w:val="24"/>
          <w:highlight w:val="none"/>
        </w:rPr>
      </w:pPr>
      <w:r>
        <w:rPr>
          <w:sz w:val="24"/>
          <w:szCs w:val="24"/>
          <w:highlight w:val="none"/>
        </w:rPr>
        <w:t>2、监测周期及频率</w:t>
      </w:r>
    </w:p>
    <w:p>
      <w:pPr>
        <w:adjustRightInd w:val="0"/>
        <w:snapToGrid w:val="0"/>
        <w:spacing w:line="480" w:lineRule="exact"/>
        <w:ind w:firstLine="480"/>
        <w:rPr>
          <w:sz w:val="24"/>
          <w:szCs w:val="24"/>
          <w:highlight w:val="none"/>
        </w:rPr>
      </w:pPr>
      <w:r>
        <w:rPr>
          <w:sz w:val="24"/>
          <w:szCs w:val="24"/>
          <w:highlight w:val="none"/>
        </w:rPr>
        <w:t>TSP的24小时平均浓度，每天连续采样24小时。</w:t>
      </w:r>
    </w:p>
    <w:p>
      <w:pPr>
        <w:adjustRightInd w:val="0"/>
        <w:snapToGrid w:val="0"/>
        <w:spacing w:line="480" w:lineRule="exact"/>
        <w:ind w:firstLine="480"/>
        <w:rPr>
          <w:sz w:val="24"/>
          <w:szCs w:val="24"/>
          <w:highlight w:val="none"/>
        </w:rPr>
      </w:pPr>
      <w:r>
        <w:rPr>
          <w:sz w:val="24"/>
          <w:szCs w:val="24"/>
          <w:highlight w:val="none"/>
        </w:rPr>
        <w:t>3、测定方法</w:t>
      </w:r>
    </w:p>
    <w:p>
      <w:pPr>
        <w:adjustRightInd w:val="0"/>
        <w:snapToGrid w:val="0"/>
        <w:spacing w:line="480" w:lineRule="exact"/>
        <w:ind w:firstLine="480"/>
        <w:rPr>
          <w:sz w:val="24"/>
          <w:szCs w:val="24"/>
          <w:highlight w:val="none"/>
        </w:rPr>
      </w:pPr>
      <w:r>
        <w:rPr>
          <w:sz w:val="24"/>
          <w:szCs w:val="24"/>
          <w:highlight w:val="none"/>
        </w:rPr>
        <w:t>采样方法按《环境监测技术规范》（大气部分）进行，监测方法按《环境空气质量标准》（GB3095-2012）、《空气和废气监测分析方法》中有关规定进行。</w:t>
      </w:r>
    </w:p>
    <w:p>
      <w:pPr>
        <w:adjustRightInd w:val="0"/>
        <w:snapToGrid w:val="0"/>
        <w:spacing w:line="480" w:lineRule="exact"/>
        <w:ind w:firstLine="480"/>
        <w:rPr>
          <w:sz w:val="24"/>
          <w:szCs w:val="24"/>
          <w:highlight w:val="none"/>
        </w:rPr>
      </w:pPr>
      <w:r>
        <w:rPr>
          <w:sz w:val="24"/>
          <w:szCs w:val="24"/>
          <w:highlight w:val="none"/>
        </w:rPr>
        <w:t>4、评价标准</w:t>
      </w:r>
    </w:p>
    <w:p>
      <w:pPr>
        <w:adjustRightInd w:val="0"/>
        <w:snapToGrid w:val="0"/>
        <w:spacing w:line="480" w:lineRule="exact"/>
        <w:ind w:firstLine="480"/>
        <w:rPr>
          <w:sz w:val="24"/>
          <w:szCs w:val="24"/>
          <w:highlight w:val="none"/>
        </w:rPr>
      </w:pPr>
      <w:r>
        <w:rPr>
          <w:sz w:val="24"/>
          <w:szCs w:val="24"/>
          <w:highlight w:val="none"/>
        </w:rPr>
        <w:t>常规因子采用《环境空气质量标准》（GB3095-2012）中的二级标准。</w:t>
      </w:r>
    </w:p>
    <w:p>
      <w:pPr>
        <w:adjustRightInd w:val="0"/>
        <w:snapToGrid w:val="0"/>
        <w:spacing w:line="480" w:lineRule="exact"/>
        <w:ind w:firstLine="480"/>
        <w:rPr>
          <w:sz w:val="24"/>
          <w:szCs w:val="24"/>
          <w:highlight w:val="none"/>
        </w:rPr>
      </w:pPr>
      <w:r>
        <w:rPr>
          <w:sz w:val="24"/>
          <w:szCs w:val="24"/>
          <w:highlight w:val="none"/>
        </w:rPr>
        <w:t>5、评价方法</w:t>
      </w:r>
    </w:p>
    <w:p>
      <w:pPr>
        <w:adjustRightInd w:val="0"/>
        <w:snapToGrid w:val="0"/>
        <w:spacing w:line="480" w:lineRule="exact"/>
        <w:ind w:firstLine="480"/>
        <w:rPr>
          <w:sz w:val="24"/>
          <w:szCs w:val="24"/>
          <w:highlight w:val="none"/>
        </w:rPr>
      </w:pPr>
      <w:r>
        <w:rPr>
          <w:sz w:val="24"/>
          <w:szCs w:val="24"/>
          <w:highlight w:val="none"/>
        </w:rPr>
        <w:t>评价方法采用单项标准指数法，评价模式如下：</w:t>
      </w:r>
    </w:p>
    <w:p>
      <w:pPr>
        <w:adjustRightInd w:val="0"/>
        <w:snapToGrid w:val="0"/>
        <w:spacing w:line="480" w:lineRule="exact"/>
        <w:ind w:firstLine="480"/>
        <w:jc w:val="center"/>
        <w:rPr>
          <w:sz w:val="24"/>
          <w:szCs w:val="24"/>
          <w:highlight w:val="none"/>
        </w:rPr>
      </w:pPr>
      <w:r>
        <w:rPr>
          <w:sz w:val="24"/>
          <w:szCs w:val="24"/>
          <w:highlight w:val="none"/>
        </w:rPr>
        <w:t>Pi＝Ci/C0i</w:t>
      </w:r>
    </w:p>
    <w:p>
      <w:pPr>
        <w:adjustRightInd w:val="0"/>
        <w:snapToGrid w:val="0"/>
        <w:spacing w:line="480" w:lineRule="exact"/>
        <w:ind w:firstLine="480"/>
        <w:rPr>
          <w:sz w:val="24"/>
          <w:szCs w:val="24"/>
          <w:highlight w:val="none"/>
        </w:rPr>
      </w:pPr>
      <w:r>
        <w:rPr>
          <w:sz w:val="24"/>
          <w:szCs w:val="24"/>
          <w:highlight w:val="none"/>
        </w:rPr>
        <w:t>式中：Pi—i污染物标准指数；</w:t>
      </w:r>
    </w:p>
    <w:p>
      <w:pPr>
        <w:adjustRightInd w:val="0"/>
        <w:snapToGrid w:val="0"/>
        <w:spacing w:line="480" w:lineRule="exact"/>
        <w:ind w:firstLine="1200" w:firstLineChars="500"/>
        <w:rPr>
          <w:sz w:val="24"/>
          <w:szCs w:val="24"/>
          <w:highlight w:val="none"/>
        </w:rPr>
      </w:pPr>
      <w:r>
        <w:rPr>
          <w:sz w:val="24"/>
          <w:szCs w:val="24"/>
          <w:highlight w:val="none"/>
        </w:rPr>
        <w:t>Ci—i污染物实测浓度，mg/m</w:t>
      </w:r>
      <w:r>
        <w:rPr>
          <w:sz w:val="24"/>
          <w:szCs w:val="24"/>
          <w:highlight w:val="none"/>
          <w:vertAlign w:val="superscript"/>
        </w:rPr>
        <w:t>3</w:t>
      </w:r>
      <w:r>
        <w:rPr>
          <w:sz w:val="24"/>
          <w:szCs w:val="24"/>
          <w:highlight w:val="none"/>
        </w:rPr>
        <w:t>；</w:t>
      </w:r>
    </w:p>
    <w:p>
      <w:pPr>
        <w:adjustRightInd w:val="0"/>
        <w:snapToGrid w:val="0"/>
        <w:spacing w:line="480" w:lineRule="exact"/>
        <w:ind w:firstLine="1200" w:firstLineChars="500"/>
        <w:rPr>
          <w:sz w:val="24"/>
          <w:szCs w:val="24"/>
          <w:highlight w:val="none"/>
        </w:rPr>
      </w:pPr>
      <w:r>
        <w:rPr>
          <w:sz w:val="24"/>
          <w:szCs w:val="24"/>
          <w:highlight w:val="none"/>
        </w:rPr>
        <w:t>C0i—i污染物评价标准值，mg/m</w:t>
      </w:r>
      <w:r>
        <w:rPr>
          <w:sz w:val="24"/>
          <w:szCs w:val="24"/>
          <w:highlight w:val="none"/>
          <w:vertAlign w:val="superscript"/>
        </w:rPr>
        <w:t>3</w:t>
      </w:r>
      <w:r>
        <w:rPr>
          <w:sz w:val="24"/>
          <w:szCs w:val="24"/>
          <w:highlight w:val="none"/>
        </w:rPr>
        <w:t>。</w:t>
      </w:r>
    </w:p>
    <w:p>
      <w:pPr>
        <w:adjustRightInd w:val="0"/>
        <w:snapToGrid w:val="0"/>
        <w:spacing w:line="480" w:lineRule="exact"/>
        <w:ind w:firstLine="480"/>
        <w:rPr>
          <w:sz w:val="24"/>
          <w:szCs w:val="24"/>
          <w:highlight w:val="none"/>
        </w:rPr>
      </w:pPr>
      <w:r>
        <w:rPr>
          <w:sz w:val="24"/>
          <w:szCs w:val="24"/>
          <w:highlight w:val="none"/>
        </w:rPr>
        <w:t>6、评价结果</w:t>
      </w:r>
    </w:p>
    <w:p>
      <w:pPr>
        <w:adjustRightInd w:val="0"/>
        <w:snapToGrid w:val="0"/>
        <w:spacing w:line="480" w:lineRule="exact"/>
        <w:ind w:firstLine="480"/>
        <w:rPr>
          <w:sz w:val="24"/>
          <w:szCs w:val="24"/>
          <w:highlight w:val="none"/>
        </w:rPr>
      </w:pPr>
      <w:r>
        <w:rPr>
          <w:sz w:val="24"/>
          <w:szCs w:val="24"/>
          <w:highlight w:val="none"/>
        </w:rPr>
        <w:t>监测点环境空气现状监测浓度评价结果见表4.3-</w:t>
      </w:r>
      <w:r>
        <w:rPr>
          <w:rFonts w:hint="eastAsia"/>
          <w:sz w:val="24"/>
          <w:szCs w:val="24"/>
          <w:highlight w:val="none"/>
        </w:rPr>
        <w:t>2</w:t>
      </w:r>
      <w:r>
        <w:rPr>
          <w:sz w:val="24"/>
          <w:szCs w:val="24"/>
          <w:highlight w:val="none"/>
        </w:rPr>
        <w:t>。</w:t>
      </w:r>
    </w:p>
    <w:p>
      <w:pPr>
        <w:spacing w:line="240" w:lineRule="auto"/>
        <w:ind w:firstLine="420" w:firstLineChars="0"/>
        <w:jc w:val="center"/>
        <w:textAlignment w:val="baseline"/>
        <w:rPr>
          <w:rFonts w:eastAsia="黑体"/>
          <w:bCs/>
          <w:kern w:val="2"/>
          <w:sz w:val="21"/>
          <w:szCs w:val="21"/>
          <w:highlight w:val="none"/>
        </w:rPr>
      </w:pPr>
      <w:r>
        <w:rPr>
          <w:rFonts w:eastAsia="黑体"/>
          <w:bCs/>
          <w:kern w:val="2"/>
          <w:sz w:val="21"/>
          <w:szCs w:val="21"/>
          <w:highlight w:val="none"/>
        </w:rPr>
        <w:t>表4.3-</w:t>
      </w:r>
      <w:r>
        <w:rPr>
          <w:rFonts w:hint="eastAsia" w:eastAsia="黑体"/>
          <w:bCs/>
          <w:kern w:val="2"/>
          <w:sz w:val="21"/>
          <w:szCs w:val="21"/>
          <w:highlight w:val="none"/>
        </w:rPr>
        <w:t>2</w:t>
      </w:r>
      <w:r>
        <w:rPr>
          <w:rFonts w:eastAsia="黑体"/>
          <w:bCs/>
          <w:kern w:val="2"/>
          <w:sz w:val="21"/>
          <w:szCs w:val="21"/>
          <w:highlight w:val="none"/>
        </w:rPr>
        <w:t xml:space="preserve">  环境空气现状监测值评价结果一览表  单位：μg/m</w:t>
      </w:r>
      <w:r>
        <w:rPr>
          <w:rFonts w:eastAsia="黑体"/>
          <w:bCs/>
          <w:kern w:val="2"/>
          <w:sz w:val="21"/>
          <w:szCs w:val="21"/>
          <w:highlight w:val="none"/>
          <w:vertAlign w:val="superscript"/>
        </w:rPr>
        <w:t>3</w:t>
      </w:r>
    </w:p>
    <w:tbl>
      <w:tblPr>
        <w:tblStyle w:val="5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330"/>
        <w:gridCol w:w="1390"/>
        <w:gridCol w:w="1283"/>
        <w:gridCol w:w="1042"/>
        <w:gridCol w:w="1484"/>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Align w:val="center"/>
          </w:tcPr>
          <w:p>
            <w:pPr>
              <w:spacing w:line="240" w:lineRule="auto"/>
              <w:ind w:firstLine="0" w:firstLineChars="0"/>
              <w:jc w:val="center"/>
              <w:rPr>
                <w:sz w:val="21"/>
                <w:szCs w:val="21"/>
                <w:highlight w:val="none"/>
              </w:rPr>
            </w:pPr>
            <w:r>
              <w:rPr>
                <w:sz w:val="21"/>
                <w:szCs w:val="21"/>
                <w:highlight w:val="none"/>
              </w:rPr>
              <w:t>污染物名称</w:t>
            </w:r>
          </w:p>
        </w:tc>
        <w:tc>
          <w:tcPr>
            <w:tcW w:w="781" w:type="pct"/>
            <w:vAlign w:val="center"/>
          </w:tcPr>
          <w:p>
            <w:pPr>
              <w:spacing w:line="240" w:lineRule="auto"/>
              <w:ind w:firstLine="0" w:firstLineChars="0"/>
              <w:jc w:val="center"/>
              <w:rPr>
                <w:sz w:val="21"/>
                <w:szCs w:val="21"/>
                <w:highlight w:val="none"/>
              </w:rPr>
            </w:pPr>
            <w:r>
              <w:rPr>
                <w:sz w:val="21"/>
                <w:szCs w:val="21"/>
                <w:highlight w:val="none"/>
              </w:rPr>
              <w:t>监测点名称</w:t>
            </w:r>
          </w:p>
        </w:tc>
        <w:tc>
          <w:tcPr>
            <w:tcW w:w="816" w:type="pct"/>
            <w:vAlign w:val="center"/>
          </w:tcPr>
          <w:p>
            <w:pPr>
              <w:spacing w:line="240" w:lineRule="auto"/>
              <w:ind w:firstLine="0" w:firstLineChars="0"/>
              <w:jc w:val="center"/>
              <w:rPr>
                <w:sz w:val="21"/>
                <w:szCs w:val="21"/>
                <w:highlight w:val="none"/>
              </w:rPr>
            </w:pPr>
            <w:r>
              <w:rPr>
                <w:sz w:val="21"/>
                <w:szCs w:val="21"/>
                <w:highlight w:val="none"/>
              </w:rPr>
              <w:t>类别</w:t>
            </w:r>
          </w:p>
        </w:tc>
        <w:tc>
          <w:tcPr>
            <w:tcW w:w="753" w:type="pct"/>
            <w:vAlign w:val="center"/>
          </w:tcPr>
          <w:p>
            <w:pPr>
              <w:spacing w:line="240" w:lineRule="auto"/>
              <w:ind w:firstLine="0" w:firstLineChars="0"/>
              <w:jc w:val="center"/>
              <w:rPr>
                <w:sz w:val="21"/>
                <w:szCs w:val="21"/>
                <w:highlight w:val="none"/>
              </w:rPr>
            </w:pPr>
            <w:r>
              <w:rPr>
                <w:sz w:val="21"/>
                <w:szCs w:val="21"/>
                <w:highlight w:val="none"/>
              </w:rPr>
              <w:t>监测值</w:t>
            </w:r>
          </w:p>
        </w:tc>
        <w:tc>
          <w:tcPr>
            <w:tcW w:w="612" w:type="pct"/>
            <w:vAlign w:val="center"/>
          </w:tcPr>
          <w:p>
            <w:pPr>
              <w:spacing w:line="240" w:lineRule="auto"/>
              <w:ind w:firstLine="0" w:firstLineChars="0"/>
              <w:jc w:val="center"/>
              <w:rPr>
                <w:sz w:val="21"/>
                <w:szCs w:val="21"/>
                <w:highlight w:val="none"/>
              </w:rPr>
            </w:pPr>
            <w:r>
              <w:rPr>
                <w:sz w:val="21"/>
                <w:szCs w:val="21"/>
                <w:highlight w:val="none"/>
              </w:rPr>
              <w:t>标准值</w:t>
            </w:r>
          </w:p>
        </w:tc>
        <w:tc>
          <w:tcPr>
            <w:tcW w:w="871" w:type="pct"/>
            <w:vAlign w:val="center"/>
          </w:tcPr>
          <w:p>
            <w:pPr>
              <w:spacing w:line="240" w:lineRule="auto"/>
              <w:ind w:firstLine="0" w:firstLineChars="0"/>
              <w:jc w:val="center"/>
              <w:rPr>
                <w:sz w:val="21"/>
                <w:szCs w:val="21"/>
                <w:highlight w:val="none"/>
              </w:rPr>
            </w:pPr>
            <w:r>
              <w:rPr>
                <w:sz w:val="21"/>
                <w:szCs w:val="21"/>
                <w:highlight w:val="none"/>
              </w:rPr>
              <w:t>标准指数</w:t>
            </w:r>
          </w:p>
        </w:tc>
        <w:tc>
          <w:tcPr>
            <w:tcW w:w="481" w:type="pct"/>
            <w:vAlign w:val="center"/>
          </w:tcPr>
          <w:p>
            <w:pPr>
              <w:spacing w:line="240" w:lineRule="auto"/>
              <w:ind w:firstLine="0" w:firstLineChars="0"/>
              <w:jc w:val="center"/>
              <w:rPr>
                <w:sz w:val="21"/>
                <w:szCs w:val="21"/>
                <w:highlight w:val="none"/>
              </w:rPr>
            </w:pPr>
            <w:r>
              <w:rPr>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restart"/>
            <w:vAlign w:val="center"/>
          </w:tcPr>
          <w:p>
            <w:pPr>
              <w:spacing w:line="240" w:lineRule="auto"/>
              <w:ind w:firstLine="0" w:firstLineChars="0"/>
              <w:jc w:val="center"/>
              <w:rPr>
                <w:sz w:val="21"/>
                <w:szCs w:val="21"/>
                <w:highlight w:val="none"/>
              </w:rPr>
            </w:pPr>
            <w:r>
              <w:rPr>
                <w:sz w:val="21"/>
                <w:szCs w:val="21"/>
                <w:highlight w:val="none"/>
              </w:rPr>
              <w:t>TSP</w:t>
            </w:r>
          </w:p>
        </w:tc>
        <w:tc>
          <w:tcPr>
            <w:tcW w:w="781" w:type="pct"/>
            <w:vAlign w:val="center"/>
          </w:tcPr>
          <w:p>
            <w:pPr>
              <w:spacing w:line="240" w:lineRule="auto"/>
              <w:ind w:firstLine="0" w:firstLineChars="0"/>
              <w:jc w:val="center"/>
              <w:rPr>
                <w:sz w:val="21"/>
                <w:szCs w:val="21"/>
                <w:highlight w:val="none"/>
              </w:rPr>
            </w:pPr>
            <w:r>
              <w:rPr>
                <w:sz w:val="21"/>
                <w:szCs w:val="21"/>
                <w:highlight w:val="none"/>
              </w:rPr>
              <w:t>项目厂区</w:t>
            </w:r>
          </w:p>
        </w:tc>
        <w:tc>
          <w:tcPr>
            <w:tcW w:w="816" w:type="pct"/>
            <w:vAlign w:val="center"/>
          </w:tcPr>
          <w:p>
            <w:pPr>
              <w:spacing w:line="240" w:lineRule="auto"/>
              <w:ind w:firstLine="0" w:firstLineChars="0"/>
              <w:jc w:val="center"/>
              <w:rPr>
                <w:sz w:val="21"/>
                <w:szCs w:val="21"/>
                <w:highlight w:val="none"/>
              </w:rPr>
            </w:pPr>
            <w:r>
              <w:rPr>
                <w:sz w:val="21"/>
                <w:szCs w:val="21"/>
                <w:highlight w:val="none"/>
              </w:rPr>
              <w:t>24小时平均</w:t>
            </w:r>
          </w:p>
        </w:tc>
        <w:tc>
          <w:tcPr>
            <w:tcW w:w="753" w:type="pct"/>
            <w:vAlign w:val="center"/>
          </w:tcPr>
          <w:p>
            <w:pPr>
              <w:spacing w:line="240" w:lineRule="auto"/>
              <w:ind w:firstLine="0" w:firstLineChars="0"/>
              <w:jc w:val="center"/>
              <w:rPr>
                <w:sz w:val="21"/>
                <w:szCs w:val="21"/>
                <w:highlight w:val="none"/>
              </w:rPr>
            </w:pPr>
            <w:r>
              <w:rPr>
                <w:rFonts w:hint="eastAsia"/>
                <w:sz w:val="21"/>
                <w:szCs w:val="21"/>
                <w:highlight w:val="none"/>
              </w:rPr>
              <w:t>95</w:t>
            </w:r>
            <w:r>
              <w:rPr>
                <w:sz w:val="21"/>
                <w:szCs w:val="21"/>
                <w:highlight w:val="none"/>
              </w:rPr>
              <w:t>～</w:t>
            </w:r>
            <w:r>
              <w:rPr>
                <w:rFonts w:hint="eastAsia"/>
                <w:sz w:val="21"/>
                <w:szCs w:val="21"/>
                <w:highlight w:val="none"/>
              </w:rPr>
              <w:t>113</w:t>
            </w:r>
          </w:p>
        </w:tc>
        <w:tc>
          <w:tcPr>
            <w:tcW w:w="612" w:type="pct"/>
            <w:vAlign w:val="center"/>
          </w:tcPr>
          <w:p>
            <w:pPr>
              <w:spacing w:line="240" w:lineRule="auto"/>
              <w:ind w:firstLine="0" w:firstLineChars="0"/>
              <w:jc w:val="center"/>
              <w:rPr>
                <w:sz w:val="21"/>
                <w:szCs w:val="21"/>
                <w:highlight w:val="none"/>
              </w:rPr>
            </w:pPr>
            <w:r>
              <w:rPr>
                <w:sz w:val="21"/>
                <w:szCs w:val="21"/>
                <w:highlight w:val="none"/>
              </w:rPr>
              <w:t>300</w:t>
            </w:r>
          </w:p>
        </w:tc>
        <w:tc>
          <w:tcPr>
            <w:tcW w:w="871" w:type="pct"/>
            <w:vAlign w:val="center"/>
          </w:tcPr>
          <w:p>
            <w:pPr>
              <w:spacing w:line="240" w:lineRule="auto"/>
              <w:ind w:firstLine="0" w:firstLineChars="0"/>
              <w:jc w:val="center"/>
              <w:rPr>
                <w:sz w:val="21"/>
                <w:szCs w:val="21"/>
                <w:highlight w:val="none"/>
              </w:rPr>
            </w:pPr>
            <w:r>
              <w:rPr>
                <w:sz w:val="21"/>
                <w:szCs w:val="21"/>
                <w:highlight w:val="none"/>
              </w:rPr>
              <w:t>0.</w:t>
            </w:r>
            <w:r>
              <w:rPr>
                <w:rFonts w:hint="eastAsia"/>
                <w:sz w:val="21"/>
                <w:szCs w:val="21"/>
                <w:highlight w:val="none"/>
              </w:rPr>
              <w:t>32</w:t>
            </w:r>
            <w:r>
              <w:rPr>
                <w:sz w:val="21"/>
                <w:szCs w:val="21"/>
                <w:highlight w:val="none"/>
              </w:rPr>
              <w:t>～0.</w:t>
            </w:r>
            <w:r>
              <w:rPr>
                <w:rFonts w:hint="eastAsia"/>
                <w:sz w:val="21"/>
                <w:szCs w:val="21"/>
                <w:highlight w:val="none"/>
              </w:rPr>
              <w:t>38</w:t>
            </w:r>
          </w:p>
        </w:tc>
        <w:tc>
          <w:tcPr>
            <w:tcW w:w="481" w:type="pct"/>
            <w:vAlign w:val="center"/>
          </w:tcPr>
          <w:p>
            <w:pPr>
              <w:spacing w:line="240" w:lineRule="auto"/>
              <w:ind w:firstLine="0" w:firstLineChars="0"/>
              <w:jc w:val="center"/>
              <w:rPr>
                <w:sz w:val="21"/>
                <w:szCs w:val="21"/>
                <w:highlight w:val="none"/>
              </w:rPr>
            </w:pPr>
            <w:r>
              <w:rPr>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pPr>
              <w:spacing w:line="240" w:lineRule="auto"/>
              <w:ind w:firstLine="0" w:firstLineChars="0"/>
              <w:jc w:val="center"/>
              <w:rPr>
                <w:sz w:val="21"/>
                <w:szCs w:val="21"/>
                <w:highlight w:val="none"/>
              </w:rPr>
            </w:pPr>
          </w:p>
        </w:tc>
        <w:tc>
          <w:tcPr>
            <w:tcW w:w="781" w:type="pct"/>
            <w:vAlign w:val="center"/>
          </w:tcPr>
          <w:p>
            <w:pPr>
              <w:spacing w:line="240" w:lineRule="auto"/>
              <w:ind w:firstLine="0" w:firstLineChars="0"/>
              <w:jc w:val="center"/>
              <w:rPr>
                <w:sz w:val="21"/>
                <w:szCs w:val="21"/>
                <w:highlight w:val="none"/>
              </w:rPr>
            </w:pPr>
            <w:r>
              <w:rPr>
                <w:rFonts w:hint="eastAsia"/>
                <w:sz w:val="21"/>
                <w:szCs w:val="21"/>
                <w:highlight w:val="none"/>
              </w:rPr>
              <w:t>马店子村</w:t>
            </w:r>
          </w:p>
        </w:tc>
        <w:tc>
          <w:tcPr>
            <w:tcW w:w="816" w:type="pct"/>
            <w:vAlign w:val="center"/>
          </w:tcPr>
          <w:p>
            <w:pPr>
              <w:spacing w:line="240" w:lineRule="auto"/>
              <w:ind w:firstLine="0" w:firstLineChars="0"/>
              <w:jc w:val="center"/>
              <w:rPr>
                <w:sz w:val="21"/>
                <w:szCs w:val="21"/>
                <w:highlight w:val="none"/>
              </w:rPr>
            </w:pPr>
            <w:r>
              <w:rPr>
                <w:sz w:val="21"/>
                <w:szCs w:val="21"/>
                <w:highlight w:val="none"/>
              </w:rPr>
              <w:t>24小时平均</w:t>
            </w:r>
          </w:p>
        </w:tc>
        <w:tc>
          <w:tcPr>
            <w:tcW w:w="753" w:type="pct"/>
            <w:vAlign w:val="center"/>
          </w:tcPr>
          <w:p>
            <w:pPr>
              <w:spacing w:line="240" w:lineRule="auto"/>
              <w:ind w:firstLine="0" w:firstLineChars="0"/>
              <w:jc w:val="center"/>
              <w:rPr>
                <w:sz w:val="21"/>
                <w:szCs w:val="21"/>
                <w:highlight w:val="none"/>
              </w:rPr>
            </w:pPr>
            <w:r>
              <w:rPr>
                <w:rFonts w:hint="eastAsia"/>
                <w:sz w:val="21"/>
                <w:szCs w:val="21"/>
                <w:highlight w:val="none"/>
              </w:rPr>
              <w:t>97</w:t>
            </w:r>
            <w:r>
              <w:rPr>
                <w:sz w:val="21"/>
                <w:szCs w:val="21"/>
                <w:highlight w:val="none"/>
              </w:rPr>
              <w:t>～</w:t>
            </w:r>
            <w:r>
              <w:rPr>
                <w:rFonts w:hint="eastAsia"/>
                <w:sz w:val="21"/>
                <w:szCs w:val="21"/>
                <w:highlight w:val="none"/>
              </w:rPr>
              <w:t>111</w:t>
            </w:r>
          </w:p>
        </w:tc>
        <w:tc>
          <w:tcPr>
            <w:tcW w:w="612" w:type="pct"/>
            <w:vAlign w:val="center"/>
          </w:tcPr>
          <w:p>
            <w:pPr>
              <w:spacing w:line="240" w:lineRule="auto"/>
              <w:ind w:firstLine="0" w:firstLineChars="0"/>
              <w:jc w:val="center"/>
              <w:rPr>
                <w:sz w:val="21"/>
                <w:szCs w:val="21"/>
                <w:highlight w:val="none"/>
              </w:rPr>
            </w:pPr>
            <w:r>
              <w:rPr>
                <w:sz w:val="21"/>
                <w:szCs w:val="21"/>
                <w:highlight w:val="none"/>
              </w:rPr>
              <w:t>300</w:t>
            </w:r>
          </w:p>
        </w:tc>
        <w:tc>
          <w:tcPr>
            <w:tcW w:w="871" w:type="pct"/>
            <w:vAlign w:val="center"/>
          </w:tcPr>
          <w:p>
            <w:pPr>
              <w:spacing w:line="240" w:lineRule="auto"/>
              <w:ind w:firstLine="0" w:firstLineChars="0"/>
              <w:jc w:val="center"/>
              <w:rPr>
                <w:sz w:val="21"/>
                <w:szCs w:val="21"/>
                <w:highlight w:val="none"/>
              </w:rPr>
            </w:pPr>
            <w:r>
              <w:rPr>
                <w:sz w:val="21"/>
                <w:szCs w:val="21"/>
                <w:highlight w:val="none"/>
              </w:rPr>
              <w:t>0.</w:t>
            </w:r>
            <w:r>
              <w:rPr>
                <w:rFonts w:hint="eastAsia"/>
                <w:sz w:val="21"/>
                <w:szCs w:val="21"/>
                <w:highlight w:val="none"/>
              </w:rPr>
              <w:t>32</w:t>
            </w:r>
            <w:r>
              <w:rPr>
                <w:sz w:val="21"/>
                <w:szCs w:val="21"/>
                <w:highlight w:val="none"/>
              </w:rPr>
              <w:t>～0.</w:t>
            </w:r>
            <w:r>
              <w:rPr>
                <w:rFonts w:hint="eastAsia"/>
                <w:sz w:val="21"/>
                <w:szCs w:val="21"/>
                <w:highlight w:val="none"/>
              </w:rPr>
              <w:t>37</w:t>
            </w:r>
          </w:p>
        </w:tc>
        <w:tc>
          <w:tcPr>
            <w:tcW w:w="481" w:type="pct"/>
            <w:vAlign w:val="center"/>
          </w:tcPr>
          <w:p>
            <w:pPr>
              <w:spacing w:line="240" w:lineRule="auto"/>
              <w:ind w:firstLine="0" w:firstLineChars="0"/>
              <w:jc w:val="center"/>
              <w:rPr>
                <w:sz w:val="21"/>
                <w:szCs w:val="21"/>
                <w:highlight w:val="none"/>
              </w:rPr>
            </w:pPr>
            <w:r>
              <w:rPr>
                <w:sz w:val="21"/>
                <w:szCs w:val="21"/>
                <w:highlight w:val="none"/>
              </w:rPr>
              <w:t>达标</w:t>
            </w:r>
          </w:p>
        </w:tc>
      </w:tr>
    </w:tbl>
    <w:p>
      <w:pPr>
        <w:ind w:firstLine="496"/>
        <w:jc w:val="both"/>
        <w:rPr>
          <w:spacing w:val="4"/>
          <w:sz w:val="24"/>
          <w:highlight w:val="none"/>
        </w:rPr>
      </w:pPr>
      <w:r>
        <w:rPr>
          <w:spacing w:val="4"/>
          <w:sz w:val="24"/>
          <w:highlight w:val="none"/>
        </w:rPr>
        <w:t>由上表分析可知，监测期间监测点TSP的24小时平均浓度标准指数为0.</w:t>
      </w:r>
      <w:r>
        <w:rPr>
          <w:rFonts w:hint="eastAsia"/>
          <w:spacing w:val="4"/>
          <w:sz w:val="24"/>
          <w:highlight w:val="none"/>
        </w:rPr>
        <w:t>32</w:t>
      </w:r>
      <w:r>
        <w:rPr>
          <w:spacing w:val="4"/>
          <w:sz w:val="24"/>
          <w:highlight w:val="none"/>
        </w:rPr>
        <w:t>～0.</w:t>
      </w:r>
      <w:r>
        <w:rPr>
          <w:rFonts w:hint="eastAsia"/>
          <w:spacing w:val="4"/>
          <w:sz w:val="24"/>
          <w:highlight w:val="none"/>
        </w:rPr>
        <w:t>38</w:t>
      </w:r>
      <w:r>
        <w:rPr>
          <w:spacing w:val="4"/>
          <w:sz w:val="24"/>
          <w:highlight w:val="none"/>
        </w:rPr>
        <w:t>，监测期间评价区域内TSP监测浓度满足《环境空气质量标准》（GB3095-2012）中的二级标准。</w:t>
      </w:r>
    </w:p>
    <w:p>
      <w:pPr>
        <w:pStyle w:val="6"/>
        <w:numPr>
          <w:ilvl w:val="2"/>
          <w:numId w:val="1"/>
        </w:numPr>
        <w:spacing w:line="460" w:lineRule="exact"/>
        <w:rPr>
          <w:szCs w:val="28"/>
          <w:highlight w:val="none"/>
        </w:rPr>
      </w:pPr>
      <w:bookmarkStart w:id="300" w:name="_Toc25557"/>
      <w:bookmarkStart w:id="301" w:name="_Toc521591788"/>
      <w:r>
        <w:rPr>
          <w:szCs w:val="28"/>
          <w:highlight w:val="none"/>
        </w:rPr>
        <w:t>地</w:t>
      </w:r>
      <w:r>
        <w:rPr>
          <w:rFonts w:hint="eastAsia"/>
          <w:szCs w:val="28"/>
          <w:highlight w:val="none"/>
        </w:rPr>
        <w:t>下</w:t>
      </w:r>
      <w:r>
        <w:rPr>
          <w:szCs w:val="28"/>
          <w:highlight w:val="none"/>
        </w:rPr>
        <w:t>水</w:t>
      </w:r>
    </w:p>
    <w:p>
      <w:pPr>
        <w:spacing w:line="480" w:lineRule="exact"/>
        <w:ind w:firstLine="480"/>
        <w:rPr>
          <w:sz w:val="24"/>
          <w:szCs w:val="24"/>
          <w:highlight w:val="none"/>
        </w:rPr>
      </w:pPr>
      <w:bookmarkStart w:id="302" w:name="_Toc13987"/>
      <w:bookmarkStart w:id="303" w:name="_Toc2301"/>
      <w:bookmarkStart w:id="304" w:name="_Toc16632"/>
      <w:bookmarkStart w:id="305" w:name="_Toc499740311"/>
      <w:r>
        <w:rPr>
          <w:sz w:val="24"/>
          <w:szCs w:val="24"/>
          <w:highlight w:val="none"/>
        </w:rPr>
        <w:t>按照《环境影响评价技术导则 地下水环境》（HJ610-2016）规范要求，</w:t>
      </w:r>
      <w:r>
        <w:rPr>
          <w:rFonts w:hint="eastAsia"/>
          <w:sz w:val="24"/>
          <w:szCs w:val="24"/>
          <w:highlight w:val="none"/>
        </w:rPr>
        <w:t>委托监测单位</w:t>
      </w:r>
      <w:r>
        <w:rPr>
          <w:sz w:val="24"/>
          <w:szCs w:val="24"/>
          <w:highlight w:val="none"/>
        </w:rPr>
        <w:t>于202</w:t>
      </w:r>
      <w:r>
        <w:rPr>
          <w:rFonts w:hint="eastAsia"/>
          <w:sz w:val="24"/>
          <w:szCs w:val="24"/>
          <w:highlight w:val="none"/>
        </w:rPr>
        <w:t>3</w:t>
      </w:r>
      <w:r>
        <w:rPr>
          <w:sz w:val="24"/>
          <w:szCs w:val="24"/>
          <w:highlight w:val="none"/>
        </w:rPr>
        <w:t>年</w:t>
      </w:r>
      <w:r>
        <w:rPr>
          <w:rFonts w:hint="eastAsia"/>
          <w:sz w:val="24"/>
          <w:szCs w:val="24"/>
          <w:highlight w:val="none"/>
        </w:rPr>
        <w:t>4</w:t>
      </w:r>
      <w:r>
        <w:rPr>
          <w:sz w:val="24"/>
          <w:szCs w:val="24"/>
          <w:highlight w:val="none"/>
        </w:rPr>
        <w:t>月</w:t>
      </w:r>
      <w:r>
        <w:rPr>
          <w:rFonts w:hint="eastAsia"/>
          <w:sz w:val="24"/>
          <w:szCs w:val="24"/>
          <w:highlight w:val="none"/>
        </w:rPr>
        <w:t>30</w:t>
      </w:r>
      <w:r>
        <w:rPr>
          <w:sz w:val="24"/>
          <w:szCs w:val="24"/>
          <w:highlight w:val="none"/>
        </w:rPr>
        <w:t>日对本项目所在区域的地下水环境质量现状进行监测，根据《地下水环境质量标准》（GB/T14848-2017）并参照《地表水环境质量标准》（GB3838-2002）对本项目地下水环境进行评价。</w:t>
      </w:r>
    </w:p>
    <w:p>
      <w:pPr>
        <w:spacing w:line="480" w:lineRule="exact"/>
        <w:ind w:firstLine="480"/>
        <w:rPr>
          <w:sz w:val="24"/>
          <w:szCs w:val="24"/>
          <w:highlight w:val="none"/>
        </w:rPr>
      </w:pPr>
      <w:r>
        <w:rPr>
          <w:sz w:val="24"/>
          <w:szCs w:val="24"/>
          <w:highlight w:val="none"/>
        </w:rPr>
        <w:t>1、监测点位与监测因子</w:t>
      </w:r>
    </w:p>
    <w:p>
      <w:pPr>
        <w:spacing w:line="480" w:lineRule="exact"/>
        <w:ind w:firstLine="480"/>
        <w:rPr>
          <w:sz w:val="24"/>
          <w:szCs w:val="24"/>
          <w:highlight w:val="none"/>
        </w:rPr>
      </w:pPr>
      <w:r>
        <w:rPr>
          <w:sz w:val="24"/>
          <w:szCs w:val="24"/>
          <w:highlight w:val="none"/>
        </w:rPr>
        <w:t>根据厂址所在区域地下水流向及地下水导则要求，在评价区域内共设置5个监测点位进行水质及水位监测。各监测井及监测因子见表4.3-</w:t>
      </w:r>
      <w:r>
        <w:rPr>
          <w:rFonts w:hint="eastAsia"/>
          <w:sz w:val="24"/>
          <w:szCs w:val="24"/>
          <w:highlight w:val="none"/>
        </w:rPr>
        <w:t>3</w:t>
      </w:r>
      <w:r>
        <w:rPr>
          <w:sz w:val="24"/>
          <w:szCs w:val="24"/>
          <w:highlight w:val="none"/>
        </w:rPr>
        <w:t>。</w:t>
      </w:r>
    </w:p>
    <w:p>
      <w:pPr>
        <w:pStyle w:val="55"/>
        <w:spacing w:after="0" w:line="480" w:lineRule="exact"/>
        <w:ind w:left="0" w:leftChars="0" w:firstLine="422"/>
        <w:jc w:val="center"/>
        <w:rPr>
          <w:b/>
          <w:bCs/>
          <w:highlight w:val="none"/>
        </w:rPr>
      </w:pPr>
      <w:r>
        <w:rPr>
          <w:b/>
          <w:bCs/>
          <w:highlight w:val="none"/>
        </w:rPr>
        <w:t>表4.3-</w:t>
      </w:r>
      <w:r>
        <w:rPr>
          <w:rFonts w:hint="eastAsia"/>
          <w:b/>
          <w:bCs/>
          <w:highlight w:val="none"/>
        </w:rPr>
        <w:t>3</w:t>
      </w:r>
      <w:r>
        <w:rPr>
          <w:b/>
          <w:bCs/>
          <w:highlight w:val="none"/>
        </w:rPr>
        <w:t xml:space="preserve">  地下水监测点及监测因子一览表</w:t>
      </w:r>
    </w:p>
    <w:tbl>
      <w:tblPr>
        <w:tblStyle w:val="56"/>
        <w:tblW w:w="8653"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 w:type="dxa"/>
          <w:bottom w:w="0" w:type="dxa"/>
          <w:right w:w="1" w:type="dxa"/>
        </w:tblCellMar>
      </w:tblPr>
      <w:tblGrid>
        <w:gridCol w:w="296"/>
        <w:gridCol w:w="1084"/>
        <w:gridCol w:w="1065"/>
        <w:gridCol w:w="1414"/>
        <w:gridCol w:w="2155"/>
        <w:gridCol w:w="144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375" w:hRule="atLeast"/>
        </w:trPr>
        <w:tc>
          <w:tcPr>
            <w:tcW w:w="296" w:type="dxa"/>
            <w:vMerge w:val="restart"/>
            <w:vAlign w:val="center"/>
          </w:tcPr>
          <w:p>
            <w:pPr>
              <w:spacing w:line="240" w:lineRule="auto"/>
              <w:ind w:firstLine="0" w:firstLineChars="0"/>
              <w:jc w:val="center"/>
              <w:rPr>
                <w:sz w:val="21"/>
                <w:szCs w:val="21"/>
                <w:highlight w:val="none"/>
              </w:rPr>
            </w:pPr>
            <w:r>
              <w:rPr>
                <w:sz w:val="21"/>
                <w:szCs w:val="21"/>
                <w:highlight w:val="none"/>
              </w:rPr>
              <w:t>序</w:t>
            </w:r>
          </w:p>
          <w:p>
            <w:pPr>
              <w:spacing w:line="240" w:lineRule="auto"/>
              <w:ind w:firstLine="0" w:firstLineChars="0"/>
              <w:jc w:val="center"/>
              <w:rPr>
                <w:sz w:val="21"/>
                <w:szCs w:val="21"/>
                <w:highlight w:val="none"/>
              </w:rPr>
            </w:pPr>
            <w:r>
              <w:rPr>
                <w:sz w:val="21"/>
                <w:szCs w:val="21"/>
                <w:highlight w:val="none"/>
              </w:rPr>
              <w:t>号</w:t>
            </w:r>
          </w:p>
        </w:tc>
        <w:tc>
          <w:tcPr>
            <w:tcW w:w="1084" w:type="dxa"/>
            <w:vMerge w:val="restart"/>
            <w:vAlign w:val="center"/>
          </w:tcPr>
          <w:p>
            <w:pPr>
              <w:spacing w:line="240" w:lineRule="auto"/>
              <w:ind w:firstLine="0" w:firstLineChars="0"/>
              <w:jc w:val="center"/>
              <w:rPr>
                <w:sz w:val="21"/>
                <w:szCs w:val="21"/>
                <w:highlight w:val="none"/>
              </w:rPr>
            </w:pPr>
            <w:r>
              <w:rPr>
                <w:sz w:val="21"/>
                <w:szCs w:val="21"/>
                <w:highlight w:val="none"/>
              </w:rPr>
              <w:t>监测点</w:t>
            </w:r>
          </w:p>
          <w:p>
            <w:pPr>
              <w:spacing w:line="240" w:lineRule="auto"/>
              <w:ind w:firstLine="0" w:firstLineChars="0"/>
              <w:jc w:val="center"/>
              <w:rPr>
                <w:sz w:val="21"/>
                <w:szCs w:val="21"/>
                <w:highlight w:val="none"/>
              </w:rPr>
            </w:pPr>
            <w:r>
              <w:rPr>
                <w:sz w:val="21"/>
                <w:szCs w:val="21"/>
                <w:highlight w:val="none"/>
              </w:rPr>
              <w:t>名称</w:t>
            </w:r>
          </w:p>
        </w:tc>
        <w:tc>
          <w:tcPr>
            <w:tcW w:w="1065" w:type="dxa"/>
            <w:vMerge w:val="restart"/>
            <w:vAlign w:val="center"/>
          </w:tcPr>
          <w:p>
            <w:pPr>
              <w:spacing w:line="240" w:lineRule="auto"/>
              <w:ind w:firstLine="0" w:firstLineChars="0"/>
              <w:jc w:val="center"/>
              <w:rPr>
                <w:sz w:val="21"/>
                <w:szCs w:val="21"/>
                <w:highlight w:val="none"/>
              </w:rPr>
            </w:pPr>
            <w:r>
              <w:rPr>
                <w:sz w:val="21"/>
                <w:szCs w:val="21"/>
                <w:highlight w:val="none"/>
              </w:rPr>
              <w:t>监测层位</w:t>
            </w:r>
          </w:p>
          <w:p>
            <w:pPr>
              <w:spacing w:line="240" w:lineRule="auto"/>
              <w:ind w:firstLine="0" w:firstLineChars="0"/>
              <w:jc w:val="center"/>
              <w:rPr>
                <w:sz w:val="21"/>
                <w:szCs w:val="21"/>
                <w:highlight w:val="none"/>
              </w:rPr>
            </w:pPr>
          </w:p>
        </w:tc>
        <w:tc>
          <w:tcPr>
            <w:tcW w:w="1414" w:type="dxa"/>
            <w:vMerge w:val="restart"/>
            <w:vAlign w:val="center"/>
          </w:tcPr>
          <w:p>
            <w:pPr>
              <w:spacing w:line="240" w:lineRule="auto"/>
              <w:ind w:firstLine="0" w:firstLineChars="0"/>
              <w:jc w:val="center"/>
              <w:rPr>
                <w:sz w:val="21"/>
                <w:szCs w:val="21"/>
                <w:highlight w:val="none"/>
              </w:rPr>
            </w:pPr>
            <w:r>
              <w:rPr>
                <w:sz w:val="21"/>
                <w:szCs w:val="21"/>
                <w:highlight w:val="none"/>
              </w:rPr>
              <w:t>监测点与</w:t>
            </w:r>
          </w:p>
          <w:p>
            <w:pPr>
              <w:spacing w:line="240" w:lineRule="auto"/>
              <w:ind w:firstLine="0" w:firstLineChars="0"/>
              <w:jc w:val="center"/>
              <w:rPr>
                <w:sz w:val="21"/>
                <w:szCs w:val="21"/>
                <w:highlight w:val="none"/>
              </w:rPr>
            </w:pPr>
            <w:r>
              <w:rPr>
                <w:sz w:val="21"/>
                <w:szCs w:val="21"/>
                <w:highlight w:val="none"/>
              </w:rPr>
              <w:t>厂址的方位</w:t>
            </w:r>
          </w:p>
        </w:tc>
        <w:tc>
          <w:tcPr>
            <w:tcW w:w="4794" w:type="dxa"/>
            <w:gridSpan w:val="3"/>
            <w:vAlign w:val="center"/>
          </w:tcPr>
          <w:p>
            <w:pPr>
              <w:spacing w:line="240" w:lineRule="auto"/>
              <w:ind w:firstLine="0" w:firstLineChars="0"/>
              <w:jc w:val="center"/>
              <w:rPr>
                <w:sz w:val="21"/>
                <w:szCs w:val="21"/>
                <w:highlight w:val="none"/>
              </w:rPr>
            </w:pPr>
            <w:r>
              <w:rPr>
                <w:sz w:val="21"/>
                <w:szCs w:val="21"/>
                <w:highlight w:val="none"/>
              </w:rPr>
              <w:t>监测与调查项目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240" w:hRule="atLeast"/>
        </w:trPr>
        <w:tc>
          <w:tcPr>
            <w:tcW w:w="296" w:type="dxa"/>
            <w:vMerge w:val="continue"/>
            <w:vAlign w:val="center"/>
          </w:tcPr>
          <w:p>
            <w:pPr>
              <w:spacing w:line="240" w:lineRule="auto"/>
              <w:ind w:firstLine="0" w:firstLineChars="0"/>
              <w:jc w:val="center"/>
              <w:rPr>
                <w:sz w:val="21"/>
                <w:szCs w:val="21"/>
                <w:highlight w:val="none"/>
              </w:rPr>
            </w:pPr>
          </w:p>
        </w:tc>
        <w:tc>
          <w:tcPr>
            <w:tcW w:w="1084" w:type="dxa"/>
            <w:vMerge w:val="continue"/>
            <w:vAlign w:val="center"/>
          </w:tcPr>
          <w:p>
            <w:pPr>
              <w:spacing w:line="240" w:lineRule="auto"/>
              <w:ind w:firstLine="0" w:firstLineChars="0"/>
              <w:jc w:val="center"/>
              <w:rPr>
                <w:sz w:val="21"/>
                <w:szCs w:val="21"/>
                <w:highlight w:val="none"/>
              </w:rPr>
            </w:pPr>
          </w:p>
        </w:tc>
        <w:tc>
          <w:tcPr>
            <w:tcW w:w="1065" w:type="dxa"/>
            <w:vMerge w:val="continue"/>
            <w:vAlign w:val="center"/>
          </w:tcPr>
          <w:p>
            <w:pPr>
              <w:spacing w:line="240" w:lineRule="auto"/>
              <w:ind w:firstLine="0" w:firstLineChars="0"/>
              <w:jc w:val="center"/>
              <w:rPr>
                <w:sz w:val="21"/>
                <w:szCs w:val="21"/>
                <w:highlight w:val="none"/>
              </w:rPr>
            </w:pPr>
          </w:p>
        </w:tc>
        <w:tc>
          <w:tcPr>
            <w:tcW w:w="1414" w:type="dxa"/>
            <w:vMerge w:val="continue"/>
            <w:vAlign w:val="center"/>
          </w:tcPr>
          <w:p>
            <w:pPr>
              <w:spacing w:line="240" w:lineRule="auto"/>
              <w:ind w:firstLine="0" w:firstLineChars="0"/>
              <w:jc w:val="center"/>
              <w:rPr>
                <w:sz w:val="21"/>
                <w:szCs w:val="21"/>
                <w:highlight w:val="none"/>
              </w:rPr>
            </w:pPr>
          </w:p>
        </w:tc>
        <w:tc>
          <w:tcPr>
            <w:tcW w:w="2155" w:type="dxa"/>
            <w:vAlign w:val="center"/>
          </w:tcPr>
          <w:p>
            <w:pPr>
              <w:spacing w:line="240" w:lineRule="auto"/>
              <w:ind w:firstLine="0" w:firstLineChars="0"/>
              <w:jc w:val="center"/>
              <w:rPr>
                <w:sz w:val="21"/>
                <w:szCs w:val="21"/>
                <w:highlight w:val="none"/>
              </w:rPr>
            </w:pPr>
            <w:r>
              <w:rPr>
                <w:sz w:val="21"/>
                <w:szCs w:val="21"/>
                <w:highlight w:val="none"/>
              </w:rPr>
              <w:t>监测因子</w:t>
            </w:r>
          </w:p>
        </w:tc>
        <w:tc>
          <w:tcPr>
            <w:tcW w:w="1448" w:type="dxa"/>
            <w:vAlign w:val="center"/>
          </w:tcPr>
          <w:p>
            <w:pPr>
              <w:spacing w:line="240" w:lineRule="auto"/>
              <w:ind w:firstLine="0" w:firstLineChars="0"/>
              <w:jc w:val="center"/>
              <w:rPr>
                <w:sz w:val="21"/>
                <w:szCs w:val="21"/>
                <w:highlight w:val="none"/>
              </w:rPr>
            </w:pPr>
            <w:r>
              <w:rPr>
                <w:sz w:val="21"/>
                <w:szCs w:val="21"/>
                <w:highlight w:val="none"/>
              </w:rPr>
              <w:t>检测因子</w:t>
            </w:r>
          </w:p>
        </w:tc>
        <w:tc>
          <w:tcPr>
            <w:tcW w:w="1191" w:type="dxa"/>
            <w:vAlign w:val="center"/>
          </w:tcPr>
          <w:p>
            <w:pPr>
              <w:spacing w:line="240" w:lineRule="auto"/>
              <w:ind w:firstLine="0" w:firstLineChars="0"/>
              <w:jc w:val="center"/>
              <w:rPr>
                <w:sz w:val="21"/>
                <w:szCs w:val="21"/>
                <w:highlight w:val="none"/>
              </w:rPr>
            </w:pPr>
            <w:r>
              <w:rPr>
                <w:sz w:val="21"/>
                <w:szCs w:val="21"/>
                <w:highlight w:val="none"/>
              </w:rPr>
              <w:t>调查项目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675" w:hRule="atLeast"/>
        </w:trPr>
        <w:tc>
          <w:tcPr>
            <w:tcW w:w="296" w:type="dxa"/>
            <w:vAlign w:val="center"/>
          </w:tcPr>
          <w:p>
            <w:pPr>
              <w:spacing w:line="240" w:lineRule="auto"/>
              <w:ind w:firstLine="0" w:firstLineChars="0"/>
              <w:jc w:val="center"/>
              <w:rPr>
                <w:sz w:val="21"/>
                <w:szCs w:val="21"/>
                <w:highlight w:val="none"/>
              </w:rPr>
            </w:pPr>
            <w:r>
              <w:rPr>
                <w:sz w:val="21"/>
                <w:szCs w:val="21"/>
                <w:highlight w:val="none"/>
              </w:rPr>
              <w:t>1</w:t>
            </w:r>
          </w:p>
        </w:tc>
        <w:tc>
          <w:tcPr>
            <w:tcW w:w="1084" w:type="dxa"/>
            <w:vAlign w:val="center"/>
          </w:tcPr>
          <w:p>
            <w:pPr>
              <w:spacing w:line="240" w:lineRule="auto"/>
              <w:ind w:firstLine="0" w:firstLineChars="0"/>
              <w:jc w:val="center"/>
              <w:rPr>
                <w:sz w:val="21"/>
                <w:szCs w:val="21"/>
                <w:highlight w:val="none"/>
              </w:rPr>
            </w:pPr>
            <w:r>
              <w:rPr>
                <w:rFonts w:hint="eastAsia"/>
                <w:sz w:val="21"/>
                <w:szCs w:val="21"/>
                <w:highlight w:val="none"/>
              </w:rPr>
              <w:t>西苇店村</w:t>
            </w:r>
          </w:p>
        </w:tc>
        <w:tc>
          <w:tcPr>
            <w:tcW w:w="1065" w:type="dxa"/>
            <w:vAlign w:val="center"/>
          </w:tcPr>
          <w:p>
            <w:pPr>
              <w:spacing w:line="240" w:lineRule="auto"/>
              <w:ind w:firstLine="0" w:firstLineChars="0"/>
              <w:jc w:val="center"/>
              <w:rPr>
                <w:sz w:val="21"/>
                <w:szCs w:val="21"/>
                <w:highlight w:val="none"/>
              </w:rPr>
            </w:pPr>
            <w:r>
              <w:rPr>
                <w:sz w:val="21"/>
                <w:szCs w:val="21"/>
                <w:highlight w:val="none"/>
              </w:rPr>
              <w:t>潜水</w:t>
            </w:r>
          </w:p>
        </w:tc>
        <w:tc>
          <w:tcPr>
            <w:tcW w:w="1414" w:type="dxa"/>
            <w:vAlign w:val="center"/>
          </w:tcPr>
          <w:p>
            <w:pPr>
              <w:spacing w:line="240" w:lineRule="auto"/>
              <w:ind w:firstLine="0" w:firstLineChars="0"/>
              <w:jc w:val="center"/>
              <w:rPr>
                <w:sz w:val="21"/>
                <w:szCs w:val="21"/>
                <w:highlight w:val="none"/>
              </w:rPr>
            </w:pPr>
            <w:r>
              <w:rPr>
                <w:sz w:val="21"/>
                <w:szCs w:val="21"/>
                <w:highlight w:val="none"/>
              </w:rPr>
              <w:t>N</w:t>
            </w:r>
          </w:p>
        </w:tc>
        <w:tc>
          <w:tcPr>
            <w:tcW w:w="2155" w:type="dxa"/>
            <w:vMerge w:val="restart"/>
            <w:vAlign w:val="center"/>
          </w:tcPr>
          <w:p>
            <w:pPr>
              <w:spacing w:line="0" w:lineRule="atLeast"/>
              <w:ind w:firstLine="420"/>
              <w:jc w:val="center"/>
              <w:rPr>
                <w:spacing w:val="-10"/>
                <w:sz w:val="21"/>
                <w:szCs w:val="21"/>
                <w:highlight w:val="none"/>
              </w:rPr>
            </w:pPr>
            <w:r>
              <w:rPr>
                <w:sz w:val="21"/>
                <w:szCs w:val="21"/>
                <w:highlight w:val="none"/>
              </w:rPr>
              <w:t>pH、耗氧量、总硬度、溶解性总固体、氨氮、硝酸盐、亚硝酸盐、硫酸盐、氯化物、氰化物、挥发性酚类、氟、砷、汞、镉、六价铬、铅、铁、锰、石油类</w:t>
            </w:r>
          </w:p>
        </w:tc>
        <w:tc>
          <w:tcPr>
            <w:tcW w:w="1448" w:type="dxa"/>
            <w:vMerge w:val="restart"/>
            <w:vAlign w:val="center"/>
          </w:tcPr>
          <w:p>
            <w:pPr>
              <w:spacing w:line="0" w:lineRule="atLeast"/>
              <w:ind w:firstLine="420"/>
              <w:jc w:val="center"/>
              <w:rPr>
                <w:spacing w:val="-10"/>
                <w:sz w:val="21"/>
                <w:szCs w:val="21"/>
                <w:highlight w:val="none"/>
              </w:rPr>
            </w:pPr>
            <w:r>
              <w:rPr>
                <w:sz w:val="21"/>
                <w:szCs w:val="21"/>
                <w:highlight w:val="none"/>
              </w:rPr>
              <w:t>K</w:t>
            </w:r>
            <w:r>
              <w:rPr>
                <w:sz w:val="21"/>
                <w:szCs w:val="21"/>
                <w:highlight w:val="none"/>
                <w:vertAlign w:val="superscript"/>
              </w:rPr>
              <w:t>+</w:t>
            </w:r>
            <w:r>
              <w:rPr>
                <w:sz w:val="21"/>
                <w:szCs w:val="21"/>
                <w:highlight w:val="none"/>
              </w:rPr>
              <w:t>、Na</w:t>
            </w:r>
            <w:r>
              <w:rPr>
                <w:sz w:val="21"/>
                <w:szCs w:val="21"/>
                <w:highlight w:val="none"/>
                <w:vertAlign w:val="superscript"/>
              </w:rPr>
              <w:t>+</w:t>
            </w:r>
            <w:r>
              <w:rPr>
                <w:sz w:val="21"/>
                <w:szCs w:val="21"/>
                <w:highlight w:val="none"/>
              </w:rPr>
              <w:t>、Ca</w:t>
            </w:r>
            <w:r>
              <w:rPr>
                <w:sz w:val="21"/>
                <w:szCs w:val="21"/>
                <w:highlight w:val="none"/>
                <w:vertAlign w:val="superscript"/>
              </w:rPr>
              <w:t>2+</w:t>
            </w:r>
            <w:r>
              <w:rPr>
                <w:sz w:val="21"/>
                <w:szCs w:val="21"/>
                <w:highlight w:val="none"/>
              </w:rPr>
              <w:t>、Mg</w:t>
            </w:r>
            <w:r>
              <w:rPr>
                <w:sz w:val="21"/>
                <w:szCs w:val="21"/>
                <w:highlight w:val="none"/>
                <w:vertAlign w:val="superscript"/>
              </w:rPr>
              <w:t>2+</w:t>
            </w:r>
            <w:r>
              <w:rPr>
                <w:sz w:val="21"/>
                <w:szCs w:val="21"/>
                <w:highlight w:val="none"/>
              </w:rPr>
              <w:t>、CO</w:t>
            </w:r>
            <w:r>
              <w:rPr>
                <w:sz w:val="21"/>
                <w:szCs w:val="21"/>
                <w:highlight w:val="none"/>
                <w:vertAlign w:val="subscript"/>
              </w:rPr>
              <w:t>3</w:t>
            </w:r>
            <w:r>
              <w:rPr>
                <w:sz w:val="21"/>
                <w:szCs w:val="21"/>
                <w:highlight w:val="none"/>
                <w:vertAlign w:val="superscript"/>
              </w:rPr>
              <w:t>2-</w:t>
            </w:r>
            <w:r>
              <w:rPr>
                <w:sz w:val="21"/>
                <w:szCs w:val="21"/>
                <w:highlight w:val="none"/>
              </w:rPr>
              <w:t>、HCO</w:t>
            </w:r>
            <w:r>
              <w:rPr>
                <w:sz w:val="21"/>
                <w:szCs w:val="21"/>
                <w:highlight w:val="none"/>
                <w:vertAlign w:val="subscript"/>
              </w:rPr>
              <w:t>3</w:t>
            </w:r>
            <w:r>
              <w:rPr>
                <w:sz w:val="21"/>
                <w:szCs w:val="21"/>
                <w:highlight w:val="none"/>
                <w:vertAlign w:val="superscript"/>
              </w:rPr>
              <w:t>-</w:t>
            </w:r>
          </w:p>
        </w:tc>
        <w:tc>
          <w:tcPr>
            <w:tcW w:w="1191" w:type="dxa"/>
            <w:vMerge w:val="restart"/>
            <w:vAlign w:val="center"/>
          </w:tcPr>
          <w:p>
            <w:pPr>
              <w:spacing w:line="0" w:lineRule="atLeast"/>
              <w:ind w:firstLine="0" w:firstLineChars="0"/>
              <w:jc w:val="both"/>
              <w:rPr>
                <w:spacing w:val="-10"/>
                <w:sz w:val="21"/>
                <w:szCs w:val="21"/>
                <w:highlight w:val="none"/>
              </w:rPr>
            </w:pPr>
            <w:r>
              <w:rPr>
                <w:spacing w:val="-10"/>
                <w:sz w:val="21"/>
                <w:szCs w:val="21"/>
                <w:highlight w:val="none"/>
              </w:rPr>
              <w:t>水位标高(m)、</w:t>
            </w:r>
          </w:p>
          <w:p>
            <w:pPr>
              <w:spacing w:line="0" w:lineRule="atLeast"/>
              <w:ind w:firstLine="0" w:firstLineChars="0"/>
              <w:jc w:val="both"/>
              <w:rPr>
                <w:spacing w:val="-10"/>
                <w:sz w:val="21"/>
                <w:szCs w:val="21"/>
                <w:highlight w:val="none"/>
              </w:rPr>
            </w:pPr>
            <w:r>
              <w:rPr>
                <w:spacing w:val="-10"/>
                <w:sz w:val="21"/>
                <w:szCs w:val="21"/>
                <w:highlight w:val="none"/>
              </w:rPr>
              <w:t>井口标高(m)、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486" w:hRule="atLeast"/>
        </w:trPr>
        <w:tc>
          <w:tcPr>
            <w:tcW w:w="296" w:type="dxa"/>
            <w:vAlign w:val="center"/>
          </w:tcPr>
          <w:p>
            <w:pPr>
              <w:spacing w:line="240" w:lineRule="auto"/>
              <w:ind w:firstLine="0" w:firstLineChars="0"/>
              <w:jc w:val="center"/>
              <w:rPr>
                <w:sz w:val="21"/>
                <w:szCs w:val="21"/>
                <w:highlight w:val="none"/>
              </w:rPr>
            </w:pPr>
            <w:r>
              <w:rPr>
                <w:sz w:val="21"/>
                <w:szCs w:val="21"/>
                <w:highlight w:val="none"/>
              </w:rPr>
              <w:t>2</w:t>
            </w:r>
          </w:p>
        </w:tc>
        <w:tc>
          <w:tcPr>
            <w:tcW w:w="1084" w:type="dxa"/>
            <w:vAlign w:val="center"/>
          </w:tcPr>
          <w:p>
            <w:pPr>
              <w:spacing w:line="240" w:lineRule="auto"/>
              <w:ind w:firstLine="0" w:firstLineChars="0"/>
              <w:jc w:val="center"/>
              <w:rPr>
                <w:sz w:val="21"/>
                <w:szCs w:val="21"/>
                <w:highlight w:val="none"/>
              </w:rPr>
            </w:pPr>
            <w:r>
              <w:rPr>
                <w:rFonts w:hint="eastAsia"/>
                <w:sz w:val="21"/>
                <w:szCs w:val="21"/>
                <w:highlight w:val="none"/>
              </w:rPr>
              <w:t>官房子村</w:t>
            </w:r>
          </w:p>
        </w:tc>
        <w:tc>
          <w:tcPr>
            <w:tcW w:w="1065" w:type="dxa"/>
            <w:vAlign w:val="center"/>
          </w:tcPr>
          <w:p>
            <w:pPr>
              <w:spacing w:line="240" w:lineRule="auto"/>
              <w:ind w:firstLine="0" w:firstLineChars="0"/>
              <w:jc w:val="center"/>
              <w:rPr>
                <w:sz w:val="21"/>
                <w:szCs w:val="21"/>
                <w:highlight w:val="none"/>
              </w:rPr>
            </w:pPr>
            <w:r>
              <w:rPr>
                <w:sz w:val="21"/>
                <w:szCs w:val="21"/>
                <w:highlight w:val="none"/>
              </w:rPr>
              <w:t>潜水</w:t>
            </w:r>
          </w:p>
        </w:tc>
        <w:tc>
          <w:tcPr>
            <w:tcW w:w="1414" w:type="dxa"/>
            <w:vAlign w:val="center"/>
          </w:tcPr>
          <w:p>
            <w:pPr>
              <w:spacing w:line="240" w:lineRule="auto"/>
              <w:ind w:firstLine="0" w:firstLineChars="0"/>
              <w:jc w:val="center"/>
              <w:rPr>
                <w:sz w:val="21"/>
                <w:szCs w:val="21"/>
                <w:highlight w:val="none"/>
              </w:rPr>
            </w:pPr>
            <w:r>
              <w:rPr>
                <w:rFonts w:hint="eastAsia"/>
                <w:sz w:val="21"/>
                <w:szCs w:val="21"/>
                <w:highlight w:val="none"/>
              </w:rPr>
              <w:t>W</w:t>
            </w:r>
          </w:p>
        </w:tc>
        <w:tc>
          <w:tcPr>
            <w:tcW w:w="2155" w:type="dxa"/>
            <w:vMerge w:val="continue"/>
            <w:vAlign w:val="center"/>
          </w:tcPr>
          <w:p>
            <w:pPr>
              <w:spacing w:line="0" w:lineRule="atLeast"/>
              <w:ind w:firstLine="380"/>
              <w:jc w:val="center"/>
              <w:rPr>
                <w:spacing w:val="-10"/>
                <w:sz w:val="21"/>
                <w:szCs w:val="21"/>
                <w:highlight w:val="none"/>
              </w:rPr>
            </w:pPr>
          </w:p>
        </w:tc>
        <w:tc>
          <w:tcPr>
            <w:tcW w:w="1448" w:type="dxa"/>
            <w:vMerge w:val="continue"/>
            <w:vAlign w:val="center"/>
          </w:tcPr>
          <w:p>
            <w:pPr>
              <w:spacing w:line="0" w:lineRule="atLeast"/>
              <w:ind w:firstLine="380"/>
              <w:jc w:val="center"/>
              <w:rPr>
                <w:spacing w:val="-10"/>
                <w:sz w:val="21"/>
                <w:szCs w:val="21"/>
                <w:highlight w:val="none"/>
              </w:rPr>
            </w:pPr>
          </w:p>
        </w:tc>
        <w:tc>
          <w:tcPr>
            <w:tcW w:w="1191" w:type="dxa"/>
            <w:vMerge w:val="continue"/>
            <w:vAlign w:val="center"/>
          </w:tcPr>
          <w:p>
            <w:pPr>
              <w:spacing w:line="0" w:lineRule="atLeast"/>
              <w:ind w:firstLine="380"/>
              <w:jc w:val="center"/>
              <w:rPr>
                <w:spacing w:val="-1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486" w:hRule="atLeast"/>
        </w:trPr>
        <w:tc>
          <w:tcPr>
            <w:tcW w:w="296" w:type="dxa"/>
            <w:vAlign w:val="center"/>
          </w:tcPr>
          <w:p>
            <w:pPr>
              <w:spacing w:line="240" w:lineRule="auto"/>
              <w:ind w:firstLine="0" w:firstLineChars="0"/>
              <w:jc w:val="center"/>
              <w:rPr>
                <w:sz w:val="21"/>
                <w:szCs w:val="21"/>
                <w:highlight w:val="none"/>
              </w:rPr>
            </w:pPr>
            <w:r>
              <w:rPr>
                <w:sz w:val="21"/>
                <w:szCs w:val="21"/>
                <w:highlight w:val="none"/>
              </w:rPr>
              <w:t>3</w:t>
            </w:r>
          </w:p>
        </w:tc>
        <w:tc>
          <w:tcPr>
            <w:tcW w:w="1084" w:type="dxa"/>
            <w:vAlign w:val="center"/>
          </w:tcPr>
          <w:p>
            <w:pPr>
              <w:spacing w:line="240" w:lineRule="auto"/>
              <w:ind w:firstLine="0" w:firstLineChars="0"/>
              <w:jc w:val="center"/>
              <w:rPr>
                <w:sz w:val="21"/>
                <w:szCs w:val="21"/>
                <w:highlight w:val="none"/>
              </w:rPr>
            </w:pPr>
            <w:r>
              <w:rPr>
                <w:rFonts w:hint="eastAsia"/>
                <w:sz w:val="21"/>
                <w:szCs w:val="21"/>
                <w:highlight w:val="none"/>
              </w:rPr>
              <w:t>厂区内</w:t>
            </w:r>
          </w:p>
        </w:tc>
        <w:tc>
          <w:tcPr>
            <w:tcW w:w="1065" w:type="dxa"/>
            <w:vAlign w:val="center"/>
          </w:tcPr>
          <w:p>
            <w:pPr>
              <w:spacing w:line="240" w:lineRule="auto"/>
              <w:ind w:firstLine="0" w:firstLineChars="0"/>
              <w:jc w:val="center"/>
              <w:rPr>
                <w:sz w:val="21"/>
                <w:szCs w:val="21"/>
                <w:highlight w:val="none"/>
              </w:rPr>
            </w:pPr>
            <w:r>
              <w:rPr>
                <w:sz w:val="21"/>
                <w:szCs w:val="21"/>
                <w:highlight w:val="none"/>
              </w:rPr>
              <w:t>潜水</w:t>
            </w:r>
          </w:p>
        </w:tc>
        <w:tc>
          <w:tcPr>
            <w:tcW w:w="1414" w:type="dxa"/>
            <w:vAlign w:val="center"/>
          </w:tcPr>
          <w:p>
            <w:pPr>
              <w:spacing w:line="240" w:lineRule="auto"/>
              <w:ind w:firstLine="0" w:firstLineChars="0"/>
              <w:jc w:val="center"/>
              <w:rPr>
                <w:sz w:val="21"/>
                <w:szCs w:val="21"/>
                <w:highlight w:val="none"/>
              </w:rPr>
            </w:pPr>
            <w:r>
              <w:rPr>
                <w:sz w:val="21"/>
                <w:szCs w:val="21"/>
                <w:highlight w:val="none"/>
              </w:rPr>
              <w:t>—</w:t>
            </w:r>
          </w:p>
        </w:tc>
        <w:tc>
          <w:tcPr>
            <w:tcW w:w="2155" w:type="dxa"/>
            <w:vMerge w:val="continue"/>
            <w:vAlign w:val="center"/>
          </w:tcPr>
          <w:p>
            <w:pPr>
              <w:spacing w:line="0" w:lineRule="atLeast"/>
              <w:ind w:firstLine="380"/>
              <w:jc w:val="center"/>
              <w:rPr>
                <w:spacing w:val="-10"/>
                <w:sz w:val="21"/>
                <w:szCs w:val="21"/>
                <w:highlight w:val="none"/>
              </w:rPr>
            </w:pPr>
          </w:p>
        </w:tc>
        <w:tc>
          <w:tcPr>
            <w:tcW w:w="1448" w:type="dxa"/>
            <w:vMerge w:val="continue"/>
            <w:vAlign w:val="center"/>
          </w:tcPr>
          <w:p>
            <w:pPr>
              <w:spacing w:line="0" w:lineRule="atLeast"/>
              <w:ind w:firstLine="380"/>
              <w:jc w:val="center"/>
              <w:rPr>
                <w:spacing w:val="-10"/>
                <w:sz w:val="21"/>
                <w:szCs w:val="21"/>
                <w:highlight w:val="none"/>
              </w:rPr>
            </w:pPr>
          </w:p>
        </w:tc>
        <w:tc>
          <w:tcPr>
            <w:tcW w:w="1191" w:type="dxa"/>
            <w:vMerge w:val="continue"/>
            <w:vAlign w:val="center"/>
          </w:tcPr>
          <w:p>
            <w:pPr>
              <w:spacing w:line="0" w:lineRule="atLeast"/>
              <w:ind w:firstLine="380"/>
              <w:jc w:val="center"/>
              <w:rPr>
                <w:spacing w:val="-1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486" w:hRule="atLeast"/>
        </w:trPr>
        <w:tc>
          <w:tcPr>
            <w:tcW w:w="296" w:type="dxa"/>
            <w:vAlign w:val="center"/>
          </w:tcPr>
          <w:p>
            <w:pPr>
              <w:spacing w:line="240" w:lineRule="auto"/>
              <w:ind w:firstLine="0" w:firstLineChars="0"/>
              <w:jc w:val="center"/>
              <w:rPr>
                <w:sz w:val="21"/>
                <w:szCs w:val="21"/>
                <w:highlight w:val="none"/>
              </w:rPr>
            </w:pPr>
            <w:r>
              <w:rPr>
                <w:sz w:val="21"/>
                <w:szCs w:val="21"/>
                <w:highlight w:val="none"/>
              </w:rPr>
              <w:t>4</w:t>
            </w:r>
          </w:p>
        </w:tc>
        <w:tc>
          <w:tcPr>
            <w:tcW w:w="1084" w:type="dxa"/>
            <w:vAlign w:val="center"/>
          </w:tcPr>
          <w:p>
            <w:pPr>
              <w:spacing w:line="240" w:lineRule="auto"/>
              <w:ind w:firstLine="0" w:firstLineChars="0"/>
              <w:jc w:val="center"/>
              <w:rPr>
                <w:sz w:val="21"/>
                <w:szCs w:val="21"/>
                <w:highlight w:val="none"/>
              </w:rPr>
            </w:pPr>
            <w:r>
              <w:rPr>
                <w:rFonts w:hint="eastAsia"/>
                <w:sz w:val="21"/>
                <w:szCs w:val="21"/>
                <w:highlight w:val="none"/>
              </w:rPr>
              <w:t>马店子村</w:t>
            </w:r>
          </w:p>
        </w:tc>
        <w:tc>
          <w:tcPr>
            <w:tcW w:w="1065" w:type="dxa"/>
            <w:vAlign w:val="center"/>
          </w:tcPr>
          <w:p>
            <w:pPr>
              <w:spacing w:line="240" w:lineRule="auto"/>
              <w:ind w:firstLine="0" w:firstLineChars="0"/>
              <w:jc w:val="center"/>
              <w:rPr>
                <w:sz w:val="21"/>
                <w:szCs w:val="21"/>
                <w:highlight w:val="none"/>
              </w:rPr>
            </w:pPr>
            <w:r>
              <w:rPr>
                <w:sz w:val="21"/>
                <w:szCs w:val="21"/>
                <w:highlight w:val="none"/>
              </w:rPr>
              <w:t>潜水</w:t>
            </w:r>
          </w:p>
        </w:tc>
        <w:tc>
          <w:tcPr>
            <w:tcW w:w="1414" w:type="dxa"/>
            <w:vAlign w:val="center"/>
          </w:tcPr>
          <w:p>
            <w:pPr>
              <w:spacing w:line="240" w:lineRule="auto"/>
              <w:ind w:firstLine="0" w:firstLineChars="0"/>
              <w:jc w:val="center"/>
              <w:rPr>
                <w:sz w:val="21"/>
                <w:szCs w:val="21"/>
                <w:highlight w:val="none"/>
              </w:rPr>
            </w:pPr>
            <w:r>
              <w:rPr>
                <w:rFonts w:hint="eastAsia"/>
                <w:sz w:val="21"/>
                <w:szCs w:val="21"/>
                <w:highlight w:val="none"/>
              </w:rPr>
              <w:t>SE</w:t>
            </w:r>
          </w:p>
        </w:tc>
        <w:tc>
          <w:tcPr>
            <w:tcW w:w="2155" w:type="dxa"/>
            <w:vMerge w:val="continue"/>
            <w:vAlign w:val="center"/>
          </w:tcPr>
          <w:p>
            <w:pPr>
              <w:spacing w:line="0" w:lineRule="atLeast"/>
              <w:ind w:firstLine="380"/>
              <w:jc w:val="center"/>
              <w:rPr>
                <w:spacing w:val="-10"/>
                <w:sz w:val="21"/>
                <w:szCs w:val="21"/>
                <w:highlight w:val="none"/>
              </w:rPr>
            </w:pPr>
          </w:p>
        </w:tc>
        <w:tc>
          <w:tcPr>
            <w:tcW w:w="1448" w:type="dxa"/>
            <w:vMerge w:val="continue"/>
            <w:vAlign w:val="center"/>
          </w:tcPr>
          <w:p>
            <w:pPr>
              <w:spacing w:line="0" w:lineRule="atLeast"/>
              <w:ind w:firstLine="380"/>
              <w:jc w:val="center"/>
              <w:rPr>
                <w:spacing w:val="-10"/>
                <w:sz w:val="21"/>
                <w:szCs w:val="21"/>
                <w:highlight w:val="none"/>
              </w:rPr>
            </w:pPr>
          </w:p>
        </w:tc>
        <w:tc>
          <w:tcPr>
            <w:tcW w:w="1191" w:type="dxa"/>
            <w:vMerge w:val="continue"/>
            <w:vAlign w:val="center"/>
          </w:tcPr>
          <w:p>
            <w:pPr>
              <w:spacing w:line="0" w:lineRule="atLeast"/>
              <w:ind w:firstLine="380"/>
              <w:jc w:val="center"/>
              <w:rPr>
                <w:spacing w:val="-1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490" w:hRule="atLeast"/>
        </w:trPr>
        <w:tc>
          <w:tcPr>
            <w:tcW w:w="296" w:type="dxa"/>
            <w:vAlign w:val="center"/>
          </w:tcPr>
          <w:p>
            <w:pPr>
              <w:spacing w:line="240" w:lineRule="auto"/>
              <w:ind w:firstLine="0" w:firstLineChars="0"/>
              <w:jc w:val="center"/>
              <w:rPr>
                <w:sz w:val="21"/>
                <w:szCs w:val="21"/>
                <w:highlight w:val="none"/>
              </w:rPr>
            </w:pPr>
            <w:r>
              <w:rPr>
                <w:sz w:val="21"/>
                <w:szCs w:val="21"/>
                <w:highlight w:val="none"/>
              </w:rPr>
              <w:t>5</w:t>
            </w:r>
          </w:p>
        </w:tc>
        <w:tc>
          <w:tcPr>
            <w:tcW w:w="1084" w:type="dxa"/>
            <w:vAlign w:val="center"/>
          </w:tcPr>
          <w:p>
            <w:pPr>
              <w:spacing w:line="240" w:lineRule="auto"/>
              <w:ind w:firstLine="0" w:firstLineChars="0"/>
              <w:jc w:val="center"/>
              <w:rPr>
                <w:sz w:val="21"/>
                <w:szCs w:val="21"/>
                <w:highlight w:val="none"/>
              </w:rPr>
            </w:pPr>
            <w:r>
              <w:rPr>
                <w:rFonts w:hint="eastAsia"/>
                <w:sz w:val="21"/>
                <w:szCs w:val="21"/>
                <w:highlight w:val="none"/>
              </w:rPr>
              <w:t>思恭庄村</w:t>
            </w:r>
          </w:p>
        </w:tc>
        <w:tc>
          <w:tcPr>
            <w:tcW w:w="1065" w:type="dxa"/>
            <w:vAlign w:val="center"/>
          </w:tcPr>
          <w:p>
            <w:pPr>
              <w:spacing w:line="240" w:lineRule="auto"/>
              <w:ind w:firstLine="0" w:firstLineChars="0"/>
              <w:jc w:val="center"/>
              <w:rPr>
                <w:sz w:val="21"/>
                <w:szCs w:val="21"/>
                <w:highlight w:val="none"/>
              </w:rPr>
            </w:pPr>
            <w:r>
              <w:rPr>
                <w:sz w:val="21"/>
                <w:szCs w:val="21"/>
                <w:highlight w:val="none"/>
              </w:rPr>
              <w:t>潜水</w:t>
            </w:r>
          </w:p>
        </w:tc>
        <w:tc>
          <w:tcPr>
            <w:tcW w:w="1414" w:type="dxa"/>
            <w:vAlign w:val="center"/>
          </w:tcPr>
          <w:p>
            <w:pPr>
              <w:spacing w:line="240" w:lineRule="auto"/>
              <w:ind w:firstLine="0" w:firstLineChars="0"/>
              <w:jc w:val="center"/>
              <w:rPr>
                <w:sz w:val="21"/>
                <w:szCs w:val="21"/>
                <w:highlight w:val="none"/>
              </w:rPr>
            </w:pPr>
            <w:r>
              <w:rPr>
                <w:rFonts w:hint="eastAsia"/>
                <w:sz w:val="21"/>
                <w:szCs w:val="21"/>
                <w:highlight w:val="none"/>
              </w:rPr>
              <w:t>S</w:t>
            </w:r>
          </w:p>
        </w:tc>
        <w:tc>
          <w:tcPr>
            <w:tcW w:w="2155" w:type="dxa"/>
            <w:vMerge w:val="continue"/>
            <w:vAlign w:val="center"/>
          </w:tcPr>
          <w:p>
            <w:pPr>
              <w:spacing w:line="0" w:lineRule="atLeast"/>
              <w:ind w:firstLine="380"/>
              <w:jc w:val="center"/>
              <w:rPr>
                <w:spacing w:val="-10"/>
                <w:sz w:val="21"/>
                <w:szCs w:val="21"/>
                <w:highlight w:val="none"/>
              </w:rPr>
            </w:pPr>
          </w:p>
        </w:tc>
        <w:tc>
          <w:tcPr>
            <w:tcW w:w="1448" w:type="dxa"/>
            <w:vMerge w:val="continue"/>
            <w:vAlign w:val="center"/>
          </w:tcPr>
          <w:p>
            <w:pPr>
              <w:spacing w:line="0" w:lineRule="atLeast"/>
              <w:ind w:firstLine="380"/>
              <w:jc w:val="center"/>
              <w:rPr>
                <w:spacing w:val="-10"/>
                <w:sz w:val="21"/>
                <w:szCs w:val="21"/>
                <w:highlight w:val="none"/>
              </w:rPr>
            </w:pPr>
          </w:p>
        </w:tc>
        <w:tc>
          <w:tcPr>
            <w:tcW w:w="1191" w:type="dxa"/>
            <w:vMerge w:val="continue"/>
            <w:vAlign w:val="center"/>
          </w:tcPr>
          <w:p>
            <w:pPr>
              <w:spacing w:line="0" w:lineRule="atLeast"/>
              <w:ind w:firstLine="380"/>
              <w:jc w:val="center"/>
              <w:rPr>
                <w:spacing w:val="-10"/>
                <w:sz w:val="21"/>
                <w:szCs w:val="21"/>
                <w:highlight w:val="none"/>
              </w:rPr>
            </w:pPr>
          </w:p>
        </w:tc>
      </w:tr>
    </w:tbl>
    <w:p>
      <w:pPr>
        <w:spacing w:line="480" w:lineRule="exact"/>
        <w:ind w:firstLine="480"/>
        <w:rPr>
          <w:sz w:val="24"/>
          <w:szCs w:val="24"/>
          <w:highlight w:val="none"/>
        </w:rPr>
      </w:pPr>
      <w:r>
        <w:rPr>
          <w:sz w:val="24"/>
          <w:szCs w:val="24"/>
          <w:highlight w:val="none"/>
        </w:rPr>
        <w:t>2、监测时间及频率</w:t>
      </w:r>
    </w:p>
    <w:p>
      <w:pPr>
        <w:spacing w:line="480" w:lineRule="exact"/>
        <w:ind w:firstLine="480"/>
        <w:rPr>
          <w:kern w:val="24"/>
          <w:sz w:val="24"/>
          <w:szCs w:val="24"/>
          <w:highlight w:val="none"/>
        </w:rPr>
      </w:pPr>
      <w:r>
        <w:rPr>
          <w:kern w:val="24"/>
          <w:sz w:val="24"/>
          <w:szCs w:val="24"/>
          <w:highlight w:val="none"/>
        </w:rPr>
        <w:t>监测1天，各采样1次。</w:t>
      </w:r>
    </w:p>
    <w:p>
      <w:pPr>
        <w:spacing w:line="480" w:lineRule="exact"/>
        <w:ind w:firstLine="480"/>
        <w:rPr>
          <w:sz w:val="24"/>
          <w:szCs w:val="24"/>
          <w:highlight w:val="none"/>
        </w:rPr>
      </w:pPr>
      <w:r>
        <w:rPr>
          <w:sz w:val="24"/>
          <w:szCs w:val="24"/>
          <w:highlight w:val="none"/>
        </w:rPr>
        <w:t>3、评价方法：采用单因子标准指数法，计算公式为：</w:t>
      </w:r>
    </w:p>
    <w:p>
      <w:pPr>
        <w:spacing w:line="480" w:lineRule="exact"/>
        <w:ind w:firstLine="480"/>
        <w:jc w:val="center"/>
        <w:rPr>
          <w:sz w:val="24"/>
          <w:szCs w:val="24"/>
          <w:highlight w:val="none"/>
        </w:rPr>
      </w:pPr>
      <w:r>
        <w:rPr>
          <w:sz w:val="24"/>
          <w:szCs w:val="24"/>
          <w:highlight w:val="none"/>
        </w:rPr>
        <w:t>P</w:t>
      </w:r>
      <w:r>
        <w:rPr>
          <w:sz w:val="24"/>
          <w:szCs w:val="24"/>
          <w:highlight w:val="none"/>
          <w:vertAlign w:val="subscript"/>
        </w:rPr>
        <w:t>i</w:t>
      </w:r>
      <w:r>
        <w:rPr>
          <w:sz w:val="24"/>
          <w:szCs w:val="24"/>
          <w:highlight w:val="none"/>
        </w:rPr>
        <w:t>=C</w:t>
      </w:r>
      <w:r>
        <w:rPr>
          <w:sz w:val="24"/>
          <w:szCs w:val="24"/>
          <w:highlight w:val="none"/>
          <w:vertAlign w:val="subscript"/>
        </w:rPr>
        <w:t>i</w:t>
      </w:r>
      <w:r>
        <w:rPr>
          <w:sz w:val="24"/>
          <w:szCs w:val="24"/>
          <w:highlight w:val="none"/>
        </w:rPr>
        <w:t>/C</w:t>
      </w:r>
      <w:r>
        <w:rPr>
          <w:sz w:val="24"/>
          <w:szCs w:val="24"/>
          <w:highlight w:val="none"/>
          <w:vertAlign w:val="subscript"/>
        </w:rPr>
        <w:t>oi</w:t>
      </w:r>
    </w:p>
    <w:p>
      <w:pPr>
        <w:spacing w:line="480" w:lineRule="exact"/>
        <w:ind w:firstLine="480"/>
        <w:rPr>
          <w:sz w:val="24"/>
          <w:szCs w:val="24"/>
          <w:highlight w:val="none"/>
        </w:rPr>
      </w:pPr>
      <w:r>
        <w:rPr>
          <w:sz w:val="24"/>
          <w:szCs w:val="24"/>
          <w:highlight w:val="none"/>
        </w:rPr>
        <w:t>式中：P</w:t>
      </w:r>
      <w:r>
        <w:rPr>
          <w:sz w:val="24"/>
          <w:szCs w:val="24"/>
          <w:highlight w:val="none"/>
          <w:vertAlign w:val="subscript"/>
        </w:rPr>
        <w:t>i</w:t>
      </w:r>
      <w:r>
        <w:rPr>
          <w:sz w:val="24"/>
          <w:szCs w:val="24"/>
          <w:highlight w:val="none"/>
        </w:rPr>
        <w:t>—i种污染物的标准指数，无量纲；</w:t>
      </w:r>
    </w:p>
    <w:p>
      <w:pPr>
        <w:spacing w:line="480" w:lineRule="exact"/>
        <w:ind w:firstLine="1200" w:firstLineChars="500"/>
        <w:rPr>
          <w:sz w:val="24"/>
          <w:szCs w:val="24"/>
          <w:highlight w:val="none"/>
        </w:rPr>
      </w:pPr>
      <w:r>
        <w:rPr>
          <w:sz w:val="24"/>
          <w:szCs w:val="24"/>
          <w:highlight w:val="none"/>
        </w:rPr>
        <w:t>C</w:t>
      </w:r>
      <w:r>
        <w:rPr>
          <w:sz w:val="24"/>
          <w:szCs w:val="24"/>
          <w:highlight w:val="none"/>
          <w:vertAlign w:val="subscript"/>
        </w:rPr>
        <w:t>i</w:t>
      </w:r>
      <w:r>
        <w:rPr>
          <w:sz w:val="24"/>
          <w:szCs w:val="24"/>
          <w:highlight w:val="none"/>
        </w:rPr>
        <w:t>—i种污染物的实测浓度，mg/L；</w:t>
      </w:r>
    </w:p>
    <w:p>
      <w:pPr>
        <w:spacing w:line="480" w:lineRule="exact"/>
        <w:ind w:firstLine="1200" w:firstLineChars="500"/>
        <w:rPr>
          <w:sz w:val="24"/>
          <w:szCs w:val="24"/>
          <w:highlight w:val="none"/>
        </w:rPr>
      </w:pPr>
      <w:r>
        <w:rPr>
          <w:sz w:val="24"/>
          <w:szCs w:val="24"/>
          <w:highlight w:val="none"/>
        </w:rPr>
        <w:t>C</w:t>
      </w:r>
      <w:r>
        <w:rPr>
          <w:sz w:val="24"/>
          <w:szCs w:val="24"/>
          <w:highlight w:val="none"/>
          <w:vertAlign w:val="subscript"/>
        </w:rPr>
        <w:t>o</w:t>
      </w:r>
      <w:r>
        <w:rPr>
          <w:sz w:val="24"/>
          <w:szCs w:val="24"/>
          <w:highlight w:val="none"/>
        </w:rPr>
        <w:t>—i种污染物的环境质量标准，mg/L；</w:t>
      </w:r>
    </w:p>
    <w:p>
      <w:pPr>
        <w:spacing w:line="480" w:lineRule="exact"/>
        <w:ind w:firstLine="480"/>
        <w:rPr>
          <w:sz w:val="24"/>
          <w:szCs w:val="24"/>
          <w:highlight w:val="none"/>
        </w:rPr>
      </w:pPr>
      <w:r>
        <w:rPr>
          <w:sz w:val="24"/>
          <w:szCs w:val="24"/>
          <w:highlight w:val="none"/>
        </w:rPr>
        <w:t>对于pH值，评价公式为：</w:t>
      </w:r>
    </w:p>
    <w:p>
      <w:pPr>
        <w:spacing w:line="480" w:lineRule="exact"/>
        <w:ind w:firstLine="480"/>
        <w:jc w:val="center"/>
        <w:rPr>
          <w:sz w:val="24"/>
          <w:szCs w:val="24"/>
          <w:highlight w:val="none"/>
        </w:rPr>
      </w:pPr>
      <w:r>
        <w:rPr>
          <w:sz w:val="24"/>
          <w:szCs w:val="24"/>
          <w:highlight w:val="none"/>
        </w:rPr>
        <w:t>P</w:t>
      </w:r>
      <w:r>
        <w:rPr>
          <w:sz w:val="24"/>
          <w:szCs w:val="24"/>
          <w:highlight w:val="none"/>
          <w:vertAlign w:val="subscript"/>
        </w:rPr>
        <w:t>PH</w:t>
      </w:r>
      <w:r>
        <w:rPr>
          <w:sz w:val="24"/>
          <w:szCs w:val="24"/>
          <w:highlight w:val="none"/>
        </w:rPr>
        <w:t>=(7.0-pH)/(7.0-pH</w:t>
      </w:r>
      <w:r>
        <w:rPr>
          <w:sz w:val="24"/>
          <w:szCs w:val="24"/>
          <w:highlight w:val="none"/>
          <w:vertAlign w:val="subscript"/>
        </w:rPr>
        <w:t>sd</w:t>
      </w:r>
      <w:r>
        <w:rPr>
          <w:sz w:val="24"/>
          <w:szCs w:val="24"/>
          <w:highlight w:val="none"/>
        </w:rPr>
        <w:t>)(pH≤7.0)</w:t>
      </w:r>
    </w:p>
    <w:p>
      <w:pPr>
        <w:spacing w:line="480" w:lineRule="exact"/>
        <w:ind w:firstLine="480"/>
        <w:jc w:val="center"/>
        <w:rPr>
          <w:sz w:val="24"/>
          <w:szCs w:val="24"/>
          <w:highlight w:val="none"/>
        </w:rPr>
      </w:pPr>
      <w:r>
        <w:rPr>
          <w:sz w:val="24"/>
          <w:szCs w:val="24"/>
          <w:highlight w:val="none"/>
        </w:rPr>
        <w:t>P</w:t>
      </w:r>
      <w:r>
        <w:rPr>
          <w:sz w:val="24"/>
          <w:szCs w:val="24"/>
          <w:highlight w:val="none"/>
          <w:vertAlign w:val="subscript"/>
        </w:rPr>
        <w:t>PH</w:t>
      </w:r>
      <w:r>
        <w:rPr>
          <w:sz w:val="24"/>
          <w:szCs w:val="24"/>
          <w:highlight w:val="none"/>
        </w:rPr>
        <w:t>=(pH-7.0)/(pH</w:t>
      </w:r>
      <w:r>
        <w:rPr>
          <w:sz w:val="24"/>
          <w:szCs w:val="24"/>
          <w:highlight w:val="none"/>
          <w:vertAlign w:val="subscript"/>
        </w:rPr>
        <w:t>su</w:t>
      </w:r>
      <w:r>
        <w:rPr>
          <w:sz w:val="24"/>
          <w:szCs w:val="24"/>
          <w:highlight w:val="none"/>
        </w:rPr>
        <w:t>-7.0)(pH</w:t>
      </w:r>
      <w:r>
        <w:rPr>
          <w:sz w:val="24"/>
          <w:szCs w:val="24"/>
          <w:highlight w:val="none"/>
          <w:vertAlign w:val="subscript"/>
        </w:rPr>
        <w:t>i</w:t>
      </w:r>
      <w:r>
        <w:rPr>
          <w:sz w:val="24"/>
          <w:szCs w:val="24"/>
          <w:highlight w:val="none"/>
        </w:rPr>
        <w:t>&gt;7.0)</w:t>
      </w:r>
    </w:p>
    <w:p>
      <w:pPr>
        <w:spacing w:line="480" w:lineRule="exact"/>
        <w:ind w:firstLine="480"/>
        <w:rPr>
          <w:sz w:val="24"/>
          <w:szCs w:val="24"/>
          <w:highlight w:val="none"/>
        </w:rPr>
      </w:pPr>
      <w:r>
        <w:rPr>
          <w:sz w:val="24"/>
          <w:szCs w:val="24"/>
          <w:highlight w:val="none"/>
        </w:rPr>
        <w:t>式中：P</w:t>
      </w:r>
      <w:r>
        <w:rPr>
          <w:sz w:val="24"/>
          <w:szCs w:val="24"/>
          <w:highlight w:val="none"/>
          <w:vertAlign w:val="subscript"/>
        </w:rPr>
        <w:t>PH</w:t>
      </w:r>
      <w:r>
        <w:rPr>
          <w:sz w:val="24"/>
          <w:szCs w:val="24"/>
          <w:highlight w:val="none"/>
        </w:rPr>
        <w:t>—pH的标准指数，无量纲；</w:t>
      </w:r>
    </w:p>
    <w:p>
      <w:pPr>
        <w:spacing w:line="480" w:lineRule="exact"/>
        <w:ind w:firstLine="1200" w:firstLineChars="500"/>
        <w:rPr>
          <w:sz w:val="24"/>
          <w:szCs w:val="24"/>
          <w:highlight w:val="none"/>
        </w:rPr>
      </w:pPr>
      <w:r>
        <w:rPr>
          <w:sz w:val="24"/>
          <w:szCs w:val="24"/>
          <w:highlight w:val="none"/>
        </w:rPr>
        <w:t>pH—pH监测值；</w:t>
      </w:r>
    </w:p>
    <w:p>
      <w:pPr>
        <w:spacing w:line="480" w:lineRule="exact"/>
        <w:ind w:firstLine="1200" w:firstLineChars="500"/>
        <w:rPr>
          <w:sz w:val="24"/>
          <w:szCs w:val="24"/>
          <w:highlight w:val="none"/>
        </w:rPr>
      </w:pPr>
      <w:r>
        <w:rPr>
          <w:sz w:val="24"/>
          <w:szCs w:val="24"/>
          <w:highlight w:val="none"/>
        </w:rPr>
        <w:t>pH</w:t>
      </w:r>
      <w:r>
        <w:rPr>
          <w:sz w:val="24"/>
          <w:szCs w:val="24"/>
          <w:highlight w:val="none"/>
          <w:vertAlign w:val="subscript"/>
        </w:rPr>
        <w:t>sd</w:t>
      </w:r>
      <w:r>
        <w:rPr>
          <w:sz w:val="24"/>
          <w:szCs w:val="24"/>
          <w:highlight w:val="none"/>
        </w:rPr>
        <w:t>—标准中pH的下限值；</w:t>
      </w:r>
    </w:p>
    <w:p>
      <w:pPr>
        <w:spacing w:line="480" w:lineRule="exact"/>
        <w:ind w:firstLine="1200" w:firstLineChars="500"/>
        <w:rPr>
          <w:sz w:val="24"/>
          <w:szCs w:val="24"/>
          <w:highlight w:val="none"/>
        </w:rPr>
      </w:pPr>
      <w:r>
        <w:rPr>
          <w:sz w:val="24"/>
          <w:szCs w:val="24"/>
          <w:highlight w:val="none"/>
        </w:rPr>
        <w:t>pH</w:t>
      </w:r>
      <w:r>
        <w:rPr>
          <w:sz w:val="24"/>
          <w:szCs w:val="24"/>
          <w:highlight w:val="none"/>
          <w:vertAlign w:val="subscript"/>
        </w:rPr>
        <w:t>su</w:t>
      </w:r>
      <w:r>
        <w:rPr>
          <w:sz w:val="24"/>
          <w:szCs w:val="24"/>
          <w:highlight w:val="none"/>
        </w:rPr>
        <w:t>—标准中pH的上限值。</w:t>
      </w:r>
    </w:p>
    <w:p>
      <w:pPr>
        <w:spacing w:line="480" w:lineRule="exact"/>
        <w:ind w:firstLine="480"/>
        <w:rPr>
          <w:sz w:val="24"/>
          <w:szCs w:val="24"/>
          <w:highlight w:val="none"/>
        </w:rPr>
      </w:pPr>
      <w:r>
        <w:rPr>
          <w:sz w:val="24"/>
          <w:szCs w:val="24"/>
          <w:highlight w:val="none"/>
        </w:rPr>
        <w:t>4、评价标准</w:t>
      </w:r>
    </w:p>
    <w:p>
      <w:pPr>
        <w:spacing w:line="480" w:lineRule="exact"/>
        <w:ind w:firstLine="480"/>
        <w:rPr>
          <w:sz w:val="24"/>
          <w:szCs w:val="24"/>
          <w:highlight w:val="none"/>
        </w:rPr>
      </w:pPr>
      <w:r>
        <w:rPr>
          <w:sz w:val="24"/>
          <w:szCs w:val="24"/>
          <w:highlight w:val="none"/>
        </w:rPr>
        <w:t>采用《地下水质量标准》（GB/T14848-2017）中III类标准进行评价。</w:t>
      </w:r>
    </w:p>
    <w:p>
      <w:pPr>
        <w:spacing w:line="480" w:lineRule="exact"/>
        <w:ind w:firstLine="480"/>
        <w:rPr>
          <w:sz w:val="24"/>
          <w:szCs w:val="24"/>
          <w:highlight w:val="none"/>
        </w:rPr>
      </w:pPr>
      <w:r>
        <w:rPr>
          <w:sz w:val="24"/>
          <w:szCs w:val="24"/>
          <w:highlight w:val="none"/>
        </w:rPr>
        <w:t>5、监测及评价结果</w:t>
      </w:r>
    </w:p>
    <w:p>
      <w:pPr>
        <w:spacing w:line="480" w:lineRule="exact"/>
        <w:ind w:firstLine="480"/>
        <w:rPr>
          <w:sz w:val="24"/>
          <w:szCs w:val="24"/>
          <w:highlight w:val="none"/>
        </w:rPr>
      </w:pPr>
      <w:r>
        <w:rPr>
          <w:sz w:val="24"/>
          <w:szCs w:val="24"/>
          <w:highlight w:val="none"/>
        </w:rPr>
        <w:t>地下水现状监测结果见表4.3-</w:t>
      </w:r>
      <w:r>
        <w:rPr>
          <w:rFonts w:hint="eastAsia"/>
          <w:sz w:val="24"/>
          <w:szCs w:val="24"/>
          <w:highlight w:val="none"/>
        </w:rPr>
        <w:t>4</w:t>
      </w:r>
      <w:r>
        <w:rPr>
          <w:sz w:val="24"/>
          <w:szCs w:val="24"/>
          <w:highlight w:val="none"/>
        </w:rPr>
        <w:t>，地下水现状评价结果见表4.3-</w:t>
      </w:r>
      <w:r>
        <w:rPr>
          <w:rFonts w:hint="eastAsia"/>
          <w:sz w:val="24"/>
          <w:szCs w:val="24"/>
          <w:highlight w:val="none"/>
        </w:rPr>
        <w:t>5</w:t>
      </w:r>
      <w:r>
        <w:rPr>
          <w:sz w:val="24"/>
          <w:szCs w:val="24"/>
          <w:highlight w:val="none"/>
        </w:rPr>
        <w:t>。</w:t>
      </w:r>
    </w:p>
    <w:p>
      <w:pPr>
        <w:pStyle w:val="55"/>
        <w:spacing w:after="0" w:line="480" w:lineRule="exact"/>
        <w:ind w:left="0" w:leftChars="0" w:firstLine="422"/>
        <w:jc w:val="center"/>
        <w:rPr>
          <w:b/>
          <w:bCs/>
          <w:highlight w:val="none"/>
        </w:rPr>
      </w:pPr>
      <w:r>
        <w:rPr>
          <w:b/>
          <w:bCs/>
          <w:highlight w:val="none"/>
        </w:rPr>
        <w:t>表4.3-</w:t>
      </w:r>
      <w:r>
        <w:rPr>
          <w:rFonts w:hint="eastAsia"/>
          <w:b/>
          <w:bCs/>
          <w:highlight w:val="none"/>
        </w:rPr>
        <w:t>4</w:t>
      </w:r>
      <w:r>
        <w:rPr>
          <w:b/>
          <w:bCs/>
          <w:highlight w:val="none"/>
        </w:rPr>
        <w:t xml:space="preserve">    地下水现状监测结果一览表</w:t>
      </w:r>
    </w:p>
    <w:tbl>
      <w:tblPr>
        <w:tblStyle w:val="5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176"/>
        <w:gridCol w:w="1422"/>
        <w:gridCol w:w="1423"/>
        <w:gridCol w:w="1424"/>
        <w:gridCol w:w="922"/>
        <w:gridCol w:w="922"/>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40" w:type="pct"/>
            <w:gridSpan w:val="2"/>
            <w:vAlign w:val="center"/>
          </w:tcPr>
          <w:p>
            <w:pPr>
              <w:spacing w:line="240" w:lineRule="auto"/>
              <w:ind w:firstLine="0" w:firstLineChars="0"/>
              <w:jc w:val="center"/>
              <w:rPr>
                <w:sz w:val="21"/>
                <w:szCs w:val="21"/>
                <w:highlight w:val="none"/>
              </w:rPr>
            </w:pPr>
          </w:p>
          <w:p>
            <w:pPr>
              <w:spacing w:line="240" w:lineRule="auto"/>
              <w:ind w:firstLine="0" w:firstLineChars="0"/>
              <w:jc w:val="center"/>
              <w:rPr>
                <w:sz w:val="21"/>
                <w:szCs w:val="21"/>
                <w:highlight w:val="none"/>
              </w:rPr>
            </w:pPr>
          </w:p>
          <w:p>
            <w:pPr>
              <w:spacing w:line="240" w:lineRule="auto"/>
              <w:ind w:firstLine="0" w:firstLineChars="0"/>
              <w:jc w:val="center"/>
              <w:rPr>
                <w:sz w:val="21"/>
                <w:szCs w:val="21"/>
                <w:highlight w:val="none"/>
              </w:rPr>
            </w:pPr>
            <w:r>
              <w:rPr>
                <w:rFonts w:hint="eastAsia"/>
                <w:sz w:val="21"/>
                <w:szCs w:val="21"/>
                <w:highlight w:val="none"/>
              </w:rPr>
              <w:t>监测点位</w:t>
            </w:r>
          </w:p>
          <w:p>
            <w:pPr>
              <w:spacing w:line="240" w:lineRule="auto"/>
              <w:ind w:firstLine="0" w:firstLineChars="0"/>
              <w:jc w:val="center"/>
              <w:rPr>
                <w:sz w:val="21"/>
                <w:szCs w:val="21"/>
                <w:highlight w:val="none"/>
              </w:rPr>
            </w:pPr>
          </w:p>
          <w:p>
            <w:pPr>
              <w:spacing w:line="240" w:lineRule="auto"/>
              <w:ind w:firstLine="0" w:firstLineChars="0"/>
              <w:jc w:val="center"/>
              <w:rPr>
                <w:sz w:val="21"/>
                <w:szCs w:val="21"/>
                <w:highlight w:val="none"/>
              </w:rPr>
            </w:pP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西苇店村</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官房子村</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厂区内</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马店子村</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思恭庄</w:t>
            </w:r>
          </w:p>
        </w:tc>
        <w:tc>
          <w:tcPr>
            <w:tcW w:w="468" w:type="pct"/>
            <w:vAlign w:val="center"/>
          </w:tcPr>
          <w:p>
            <w:pPr>
              <w:spacing w:line="240" w:lineRule="auto"/>
              <w:ind w:firstLine="0" w:firstLineChars="0"/>
              <w:jc w:val="center"/>
              <w:rPr>
                <w:sz w:val="21"/>
                <w:szCs w:val="21"/>
                <w:highlight w:val="none"/>
              </w:rPr>
            </w:pPr>
            <w:r>
              <w:rPr>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w:t>
            </w:r>
          </w:p>
        </w:tc>
        <w:tc>
          <w:tcPr>
            <w:tcW w:w="690" w:type="pct"/>
            <w:vAlign w:val="center"/>
          </w:tcPr>
          <w:p>
            <w:pPr>
              <w:spacing w:line="240" w:lineRule="auto"/>
              <w:ind w:firstLine="0" w:firstLineChars="0"/>
              <w:jc w:val="center"/>
              <w:rPr>
                <w:sz w:val="21"/>
                <w:szCs w:val="21"/>
                <w:highlight w:val="none"/>
              </w:rPr>
            </w:pPr>
            <w:r>
              <w:rPr>
                <w:sz w:val="21"/>
                <w:szCs w:val="21"/>
                <w:highlight w:val="none"/>
              </w:rPr>
              <w:t>pH</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7.5</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7.5</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7.4</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7.4</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7.6</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总硬度</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444</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415</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400</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422</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414</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3</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溶解性总固体</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861</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452</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526</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481</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442</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4</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硫酸盐</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106</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134</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204</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92</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54</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5</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氯化物</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14.7</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10.2</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20.7</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11.2</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15.8</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6</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铁</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0.03L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0.03L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0.03L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0.03L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0.03L</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7</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锰</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8</w:t>
            </w:r>
          </w:p>
        </w:tc>
        <w:tc>
          <w:tcPr>
            <w:tcW w:w="690" w:type="pct"/>
            <w:vAlign w:val="center"/>
          </w:tcPr>
          <w:p>
            <w:pPr>
              <w:spacing w:line="240" w:lineRule="auto"/>
              <w:ind w:firstLine="0" w:firstLineChars="0"/>
              <w:jc w:val="center"/>
              <w:rPr>
                <w:sz w:val="21"/>
                <w:szCs w:val="21"/>
                <w:highlight w:val="none"/>
              </w:rPr>
            </w:pPr>
            <w:r>
              <w:rPr>
                <w:sz w:val="21"/>
                <w:szCs w:val="21"/>
                <w:highlight w:val="none"/>
              </w:rPr>
              <w:t>钾</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1.28</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0.93</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3.21</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0.88</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0.91</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9</w:t>
            </w:r>
          </w:p>
        </w:tc>
        <w:tc>
          <w:tcPr>
            <w:tcW w:w="690" w:type="pct"/>
            <w:vAlign w:val="center"/>
          </w:tcPr>
          <w:p>
            <w:pPr>
              <w:spacing w:line="240" w:lineRule="auto"/>
              <w:ind w:firstLine="0" w:firstLineChars="0"/>
              <w:jc w:val="center"/>
              <w:rPr>
                <w:sz w:val="21"/>
                <w:szCs w:val="21"/>
                <w:highlight w:val="none"/>
              </w:rPr>
            </w:pPr>
            <w:r>
              <w:rPr>
                <w:sz w:val="21"/>
                <w:szCs w:val="21"/>
                <w:highlight w:val="none"/>
              </w:rPr>
              <w:t>钙</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145</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129</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135</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148</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125</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10</w:t>
            </w:r>
          </w:p>
        </w:tc>
        <w:tc>
          <w:tcPr>
            <w:tcW w:w="690" w:type="pct"/>
            <w:vAlign w:val="center"/>
          </w:tcPr>
          <w:p>
            <w:pPr>
              <w:spacing w:line="240" w:lineRule="auto"/>
              <w:ind w:firstLine="0" w:firstLineChars="0"/>
              <w:jc w:val="center"/>
              <w:rPr>
                <w:sz w:val="21"/>
                <w:szCs w:val="21"/>
                <w:highlight w:val="none"/>
              </w:rPr>
            </w:pPr>
            <w:r>
              <w:rPr>
                <w:sz w:val="21"/>
                <w:szCs w:val="21"/>
                <w:highlight w:val="none"/>
              </w:rPr>
              <w:t>镁</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29.9</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27.3</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22.4</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18.7</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29.6</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11</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钠</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27.3</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16.4</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37.4</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18.5</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18.5</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12</w:t>
            </w:r>
          </w:p>
        </w:tc>
        <w:tc>
          <w:tcPr>
            <w:tcW w:w="690" w:type="pct"/>
            <w:vAlign w:val="center"/>
          </w:tcPr>
          <w:p>
            <w:pPr>
              <w:spacing w:line="240" w:lineRule="auto"/>
              <w:ind w:firstLine="0" w:firstLineChars="0"/>
              <w:jc w:val="center"/>
              <w:rPr>
                <w:sz w:val="21"/>
                <w:szCs w:val="21"/>
                <w:highlight w:val="none"/>
              </w:rPr>
            </w:pPr>
            <w:r>
              <w:rPr>
                <w:sz w:val="21"/>
                <w:szCs w:val="21"/>
                <w:highlight w:val="none"/>
              </w:rPr>
              <w:t>碳酸盐</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5L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5L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5L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5L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5L</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13</w:t>
            </w:r>
          </w:p>
        </w:tc>
        <w:tc>
          <w:tcPr>
            <w:tcW w:w="690" w:type="pct"/>
            <w:vAlign w:val="center"/>
          </w:tcPr>
          <w:p>
            <w:pPr>
              <w:spacing w:line="240" w:lineRule="auto"/>
              <w:ind w:firstLine="0" w:firstLineChars="0"/>
              <w:jc w:val="center"/>
              <w:rPr>
                <w:sz w:val="21"/>
                <w:szCs w:val="21"/>
                <w:highlight w:val="none"/>
              </w:rPr>
            </w:pPr>
            <w:r>
              <w:rPr>
                <w:sz w:val="21"/>
                <w:szCs w:val="21"/>
                <w:highlight w:val="none"/>
              </w:rPr>
              <w:t>重碳酸盐</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226</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205</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208</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286</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296</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14</w:t>
            </w:r>
          </w:p>
        </w:tc>
        <w:tc>
          <w:tcPr>
            <w:tcW w:w="690" w:type="pct"/>
            <w:vAlign w:val="center"/>
          </w:tcPr>
          <w:p>
            <w:pPr>
              <w:spacing w:line="240" w:lineRule="auto"/>
              <w:ind w:firstLine="0" w:firstLineChars="0"/>
              <w:jc w:val="center"/>
              <w:rPr>
                <w:sz w:val="21"/>
                <w:szCs w:val="21"/>
                <w:highlight w:val="none"/>
              </w:rPr>
            </w:pPr>
            <w:r>
              <w:rPr>
                <w:sz w:val="21"/>
                <w:szCs w:val="21"/>
                <w:highlight w:val="none"/>
              </w:rPr>
              <w:t>挥发性酚类</w:t>
            </w:r>
            <w:r>
              <w:rPr>
                <w:rFonts w:hint="eastAsia"/>
                <w:sz w:val="21"/>
                <w:szCs w:val="21"/>
                <w:highlight w:val="none"/>
              </w:rPr>
              <w:t>（以苯酚计）</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0.0003L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0.0003L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0.0003L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0.0003L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0.0003L</w:t>
            </w:r>
          </w:p>
        </w:tc>
        <w:tc>
          <w:tcPr>
            <w:tcW w:w="468" w:type="pct"/>
            <w:vAlign w:val="center"/>
          </w:tcPr>
          <w:p>
            <w:pPr>
              <w:spacing w:line="240" w:lineRule="auto"/>
              <w:ind w:firstLine="0" w:firstLineChars="0"/>
              <w:jc w:val="center"/>
              <w:rPr>
                <w:sz w:val="21"/>
                <w:szCs w:val="21"/>
                <w:highlight w:val="none"/>
              </w:rPr>
            </w:pPr>
            <w:r>
              <w:rPr>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15</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耗氧量</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1.71</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1.46</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1.91</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1.80</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1.58</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16</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氨氮</w:t>
            </w:r>
          </w:p>
          <w:p>
            <w:pPr>
              <w:spacing w:line="240" w:lineRule="auto"/>
              <w:ind w:firstLine="0" w:firstLineChars="0"/>
              <w:jc w:val="center"/>
              <w:rPr>
                <w:sz w:val="21"/>
                <w:szCs w:val="21"/>
                <w:highlight w:val="none"/>
              </w:rPr>
            </w:pPr>
            <w:r>
              <w:rPr>
                <w:sz w:val="21"/>
                <w:szCs w:val="21"/>
                <w:highlight w:val="none"/>
              </w:rPr>
              <w:t>（以N计）</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0.025L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0.489</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0.475</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0.463</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0.025L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17</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总大肠菌群</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未检出</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未检出</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未检出</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未检出</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未检出</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MPN/</w:t>
            </w:r>
          </w:p>
          <w:p>
            <w:pPr>
              <w:spacing w:line="240" w:lineRule="auto"/>
              <w:ind w:firstLine="0" w:firstLineChars="0"/>
              <w:jc w:val="center"/>
              <w:rPr>
                <w:sz w:val="21"/>
                <w:szCs w:val="21"/>
                <w:highlight w:val="none"/>
              </w:rPr>
            </w:pPr>
            <w:r>
              <w:rPr>
                <w:rFonts w:hint="eastAsia"/>
                <w:sz w:val="21"/>
                <w:szCs w:val="21"/>
                <w:highlight w:val="none"/>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18</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菌落总数</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66</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71</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75</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73</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63</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CFU/</w:t>
            </w:r>
          </w:p>
          <w:p>
            <w:pPr>
              <w:spacing w:line="240" w:lineRule="auto"/>
              <w:ind w:firstLine="0" w:firstLineChars="0"/>
              <w:jc w:val="center"/>
              <w:rPr>
                <w:sz w:val="21"/>
                <w:szCs w:val="21"/>
                <w:highlight w:val="none"/>
              </w:rPr>
            </w:pPr>
            <w:r>
              <w:rPr>
                <w:rFonts w:hint="eastAsia"/>
                <w:sz w:val="21"/>
                <w:szCs w:val="21"/>
                <w:highlight w:val="none"/>
              </w:rPr>
              <w: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19</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硝酸盐</w:t>
            </w:r>
          </w:p>
          <w:p>
            <w:pPr>
              <w:spacing w:line="240" w:lineRule="auto"/>
              <w:ind w:firstLine="0" w:firstLineChars="0"/>
              <w:jc w:val="center"/>
              <w:rPr>
                <w:sz w:val="21"/>
                <w:szCs w:val="21"/>
                <w:highlight w:val="none"/>
              </w:rPr>
            </w:pPr>
            <w:r>
              <w:rPr>
                <w:rFonts w:hint="eastAsia"/>
                <w:sz w:val="21"/>
                <w:szCs w:val="21"/>
                <w:highlight w:val="none"/>
              </w:rPr>
              <w:t>（以N计）</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18.4</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19.2</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14.2</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19.7</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18.8</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20</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亚硝酸盐</w:t>
            </w:r>
          </w:p>
          <w:p>
            <w:pPr>
              <w:spacing w:line="240" w:lineRule="auto"/>
              <w:ind w:firstLine="0" w:firstLineChars="0"/>
              <w:jc w:val="center"/>
              <w:rPr>
                <w:sz w:val="21"/>
                <w:szCs w:val="21"/>
                <w:highlight w:val="none"/>
              </w:rPr>
            </w:pPr>
            <w:r>
              <w:rPr>
                <w:rFonts w:hint="eastAsia"/>
                <w:sz w:val="21"/>
                <w:szCs w:val="21"/>
                <w:highlight w:val="none"/>
              </w:rPr>
              <w:t>（以N计）</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0.003L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0.003L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0.003L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0.003L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0.003L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21</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氰化物</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0.002L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0.002L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0.002L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0.002L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0.002L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22</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氟化物</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0.19</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0.18</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0.23</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0.21</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0.34</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23</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汞</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0.04L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0.04L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0.04L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0.04L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0.04L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24</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砷</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0.3L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0.3L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0.3L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0.3L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0.3L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25</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镉</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0.5L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0.5L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0.5L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0.5L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0.5L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26</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铬（六价）</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0.004L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0.004L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0.004L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0.004L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0.004L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27</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铅</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2.5L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2.5L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2.5L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2.5L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2.5L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spacing w:line="240" w:lineRule="auto"/>
              <w:ind w:firstLine="0" w:firstLineChars="0"/>
              <w:jc w:val="center"/>
              <w:rPr>
                <w:sz w:val="21"/>
                <w:szCs w:val="21"/>
                <w:highlight w:val="none"/>
              </w:rPr>
            </w:pPr>
            <w:r>
              <w:rPr>
                <w:rFonts w:hint="eastAsia"/>
                <w:sz w:val="21"/>
                <w:szCs w:val="21"/>
                <w:highlight w:val="none"/>
              </w:rPr>
              <w:t>28</w:t>
            </w:r>
          </w:p>
        </w:tc>
        <w:tc>
          <w:tcPr>
            <w:tcW w:w="690" w:type="pct"/>
            <w:vAlign w:val="center"/>
          </w:tcPr>
          <w:p>
            <w:pPr>
              <w:spacing w:line="240" w:lineRule="auto"/>
              <w:ind w:firstLine="0" w:firstLineChars="0"/>
              <w:jc w:val="center"/>
              <w:rPr>
                <w:sz w:val="21"/>
                <w:szCs w:val="21"/>
                <w:highlight w:val="none"/>
              </w:rPr>
            </w:pPr>
            <w:r>
              <w:rPr>
                <w:rFonts w:hint="eastAsia"/>
                <w:sz w:val="21"/>
                <w:szCs w:val="21"/>
                <w:highlight w:val="none"/>
              </w:rPr>
              <w:t>石油类</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1518"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1519"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922"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645" w:type="dxa"/>
            <w:vAlign w:val="center"/>
          </w:tcPr>
          <w:p>
            <w:pPr>
              <w:spacing w:line="240" w:lineRule="auto"/>
              <w:ind w:firstLine="0" w:firstLineChars="0"/>
              <w:jc w:val="center"/>
              <w:rPr>
                <w:sz w:val="21"/>
                <w:szCs w:val="21"/>
                <w:highlight w:val="none"/>
              </w:rPr>
            </w:pPr>
            <w:r>
              <w:rPr>
                <w:rFonts w:hint="eastAsia"/>
                <w:sz w:val="21"/>
                <w:szCs w:val="21"/>
                <w:highlight w:val="none"/>
              </w:rPr>
              <w:t>0.01L</w:t>
            </w:r>
          </w:p>
        </w:tc>
        <w:tc>
          <w:tcPr>
            <w:tcW w:w="468" w:type="pct"/>
            <w:vAlign w:val="center"/>
          </w:tcPr>
          <w:p>
            <w:pPr>
              <w:spacing w:line="240" w:lineRule="auto"/>
              <w:ind w:firstLine="0" w:firstLineChars="0"/>
              <w:jc w:val="center"/>
              <w:rPr>
                <w:sz w:val="21"/>
                <w:szCs w:val="21"/>
                <w:highlight w:val="none"/>
              </w:rPr>
            </w:pPr>
            <w:r>
              <w:rPr>
                <w:rFonts w:hint="eastAsia"/>
                <w:sz w:val="21"/>
                <w:szCs w:val="21"/>
                <w:highlight w:val="none"/>
              </w:rPr>
              <w:t>mg/L</w:t>
            </w:r>
          </w:p>
        </w:tc>
      </w:tr>
    </w:tbl>
    <w:p>
      <w:pPr>
        <w:pStyle w:val="55"/>
        <w:spacing w:after="0" w:line="480" w:lineRule="exact"/>
        <w:ind w:left="0" w:leftChars="0" w:firstLine="422"/>
        <w:jc w:val="center"/>
        <w:rPr>
          <w:b/>
          <w:bCs/>
          <w:highlight w:val="none"/>
        </w:rPr>
      </w:pPr>
      <w:r>
        <w:rPr>
          <w:b/>
          <w:bCs/>
          <w:highlight w:val="none"/>
        </w:rPr>
        <w:t>表4.3-</w:t>
      </w:r>
      <w:r>
        <w:rPr>
          <w:rFonts w:hint="eastAsia"/>
          <w:b/>
          <w:bCs/>
          <w:highlight w:val="none"/>
        </w:rPr>
        <w:t>5</w:t>
      </w:r>
      <w:r>
        <w:rPr>
          <w:b/>
          <w:bCs/>
          <w:highlight w:val="none"/>
        </w:rPr>
        <w:t xml:space="preserve">       地下水现状评价结果一览表</w:t>
      </w:r>
    </w:p>
    <w:tbl>
      <w:tblPr>
        <w:tblStyle w:val="5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219"/>
        <w:gridCol w:w="1204"/>
        <w:gridCol w:w="1194"/>
        <w:gridCol w:w="1313"/>
        <w:gridCol w:w="1282"/>
        <w:gridCol w:w="12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Merge w:val="restart"/>
            <w:vAlign w:val="center"/>
          </w:tcPr>
          <w:p>
            <w:pPr>
              <w:spacing w:line="240" w:lineRule="auto"/>
              <w:ind w:firstLine="0" w:firstLineChars="0"/>
              <w:jc w:val="center"/>
              <w:rPr>
                <w:sz w:val="21"/>
                <w:szCs w:val="21"/>
                <w:highlight w:val="none"/>
              </w:rPr>
            </w:pPr>
            <w:r>
              <w:rPr>
                <w:sz w:val="21"/>
                <w:szCs w:val="21"/>
                <w:highlight w:val="none"/>
              </w:rPr>
              <w:t>监测因子</w:t>
            </w:r>
          </w:p>
        </w:tc>
        <w:tc>
          <w:tcPr>
            <w:tcW w:w="716" w:type="pct"/>
            <w:vMerge w:val="restart"/>
            <w:vAlign w:val="center"/>
          </w:tcPr>
          <w:p>
            <w:pPr>
              <w:spacing w:line="240" w:lineRule="auto"/>
              <w:ind w:firstLine="0" w:firstLineChars="0"/>
              <w:jc w:val="center"/>
              <w:rPr>
                <w:sz w:val="21"/>
                <w:szCs w:val="21"/>
                <w:highlight w:val="none"/>
              </w:rPr>
            </w:pPr>
            <w:r>
              <w:rPr>
                <w:sz w:val="21"/>
                <w:szCs w:val="21"/>
                <w:highlight w:val="none"/>
              </w:rPr>
              <w:t>标准值</w:t>
            </w:r>
          </w:p>
        </w:tc>
        <w:tc>
          <w:tcPr>
            <w:tcW w:w="3672" w:type="pct"/>
            <w:gridSpan w:val="5"/>
            <w:vAlign w:val="center"/>
          </w:tcPr>
          <w:p>
            <w:pPr>
              <w:spacing w:line="240" w:lineRule="auto"/>
              <w:ind w:firstLine="0" w:firstLineChars="0"/>
              <w:jc w:val="center"/>
              <w:rPr>
                <w:sz w:val="21"/>
                <w:szCs w:val="21"/>
                <w:highlight w:val="none"/>
              </w:rPr>
            </w:pPr>
            <w:r>
              <w:rPr>
                <w:sz w:val="21"/>
                <w:szCs w:val="21"/>
                <w:highlight w:val="none"/>
              </w:rPr>
              <w:t>监测点达标情况分析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Merge w:val="continue"/>
            <w:vAlign w:val="center"/>
          </w:tcPr>
          <w:p>
            <w:pPr>
              <w:spacing w:line="240" w:lineRule="auto"/>
              <w:ind w:firstLine="0" w:firstLineChars="0"/>
              <w:jc w:val="center"/>
              <w:rPr>
                <w:sz w:val="21"/>
                <w:szCs w:val="21"/>
                <w:highlight w:val="none"/>
              </w:rPr>
            </w:pPr>
          </w:p>
        </w:tc>
        <w:tc>
          <w:tcPr>
            <w:tcW w:w="716" w:type="pct"/>
            <w:vMerge w:val="continue"/>
            <w:vAlign w:val="center"/>
          </w:tcPr>
          <w:p>
            <w:pPr>
              <w:spacing w:line="240" w:lineRule="auto"/>
              <w:ind w:firstLine="0" w:firstLineChars="0"/>
              <w:jc w:val="center"/>
              <w:rPr>
                <w:sz w:val="21"/>
                <w:szCs w:val="21"/>
                <w:highlight w:val="none"/>
              </w:rPr>
            </w:pPr>
          </w:p>
        </w:tc>
        <w:tc>
          <w:tcPr>
            <w:tcW w:w="2004" w:type="dxa"/>
            <w:vAlign w:val="center"/>
          </w:tcPr>
          <w:p>
            <w:pPr>
              <w:spacing w:line="240" w:lineRule="auto"/>
              <w:ind w:firstLine="0" w:firstLineChars="0"/>
              <w:jc w:val="center"/>
              <w:rPr>
                <w:sz w:val="21"/>
                <w:szCs w:val="21"/>
                <w:highlight w:val="none"/>
              </w:rPr>
            </w:pPr>
            <w:r>
              <w:rPr>
                <w:rFonts w:hint="eastAsia"/>
                <w:sz w:val="21"/>
                <w:szCs w:val="21"/>
                <w:highlight w:val="none"/>
              </w:rPr>
              <w:t>西苇店村</w:t>
            </w:r>
          </w:p>
        </w:tc>
        <w:tc>
          <w:tcPr>
            <w:tcW w:w="1987" w:type="dxa"/>
            <w:vAlign w:val="center"/>
          </w:tcPr>
          <w:p>
            <w:pPr>
              <w:spacing w:line="240" w:lineRule="auto"/>
              <w:ind w:firstLine="0" w:firstLineChars="0"/>
              <w:jc w:val="center"/>
              <w:rPr>
                <w:sz w:val="21"/>
                <w:szCs w:val="21"/>
                <w:highlight w:val="none"/>
              </w:rPr>
            </w:pPr>
            <w:r>
              <w:rPr>
                <w:rFonts w:hint="eastAsia"/>
                <w:sz w:val="21"/>
                <w:szCs w:val="21"/>
                <w:highlight w:val="none"/>
              </w:rPr>
              <w:t>官房子村</w:t>
            </w:r>
          </w:p>
        </w:tc>
        <w:tc>
          <w:tcPr>
            <w:tcW w:w="2186" w:type="dxa"/>
            <w:vAlign w:val="center"/>
          </w:tcPr>
          <w:p>
            <w:pPr>
              <w:spacing w:line="240" w:lineRule="auto"/>
              <w:ind w:firstLine="0" w:firstLineChars="0"/>
              <w:jc w:val="center"/>
              <w:rPr>
                <w:sz w:val="21"/>
                <w:szCs w:val="21"/>
                <w:highlight w:val="none"/>
              </w:rPr>
            </w:pPr>
            <w:r>
              <w:rPr>
                <w:rFonts w:hint="eastAsia"/>
                <w:sz w:val="21"/>
                <w:szCs w:val="21"/>
                <w:highlight w:val="none"/>
              </w:rPr>
              <w:t>厂区内</w:t>
            </w:r>
          </w:p>
        </w:tc>
        <w:tc>
          <w:tcPr>
            <w:tcW w:w="2135" w:type="dxa"/>
            <w:vAlign w:val="center"/>
          </w:tcPr>
          <w:p>
            <w:pPr>
              <w:spacing w:line="240" w:lineRule="auto"/>
              <w:ind w:firstLine="0" w:firstLineChars="0"/>
              <w:jc w:val="center"/>
              <w:rPr>
                <w:sz w:val="21"/>
                <w:szCs w:val="21"/>
                <w:highlight w:val="none"/>
              </w:rPr>
            </w:pPr>
            <w:r>
              <w:rPr>
                <w:rFonts w:hint="eastAsia"/>
                <w:sz w:val="21"/>
                <w:szCs w:val="21"/>
                <w:highlight w:val="none"/>
              </w:rPr>
              <w:t>马店子村</w:t>
            </w:r>
          </w:p>
        </w:tc>
        <w:tc>
          <w:tcPr>
            <w:tcW w:w="2098" w:type="dxa"/>
            <w:vAlign w:val="center"/>
          </w:tcPr>
          <w:p>
            <w:pPr>
              <w:spacing w:line="240" w:lineRule="auto"/>
              <w:ind w:firstLine="0" w:firstLineChars="0"/>
              <w:jc w:val="center"/>
              <w:rPr>
                <w:sz w:val="21"/>
                <w:szCs w:val="21"/>
                <w:highlight w:val="none"/>
              </w:rPr>
            </w:pPr>
            <w:r>
              <w:rPr>
                <w:rFonts w:hint="eastAsia"/>
                <w:sz w:val="21"/>
                <w:szCs w:val="21"/>
                <w:highlight w:val="none"/>
              </w:rPr>
              <w:t>思恭庄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石油类</w:t>
            </w:r>
          </w:p>
        </w:tc>
        <w:tc>
          <w:tcPr>
            <w:tcW w:w="716" w:type="pct"/>
            <w:vAlign w:val="center"/>
          </w:tcPr>
          <w:p>
            <w:pPr>
              <w:spacing w:line="240" w:lineRule="auto"/>
              <w:ind w:firstLine="0" w:firstLineChars="0"/>
              <w:jc w:val="center"/>
              <w:rPr>
                <w:sz w:val="21"/>
                <w:szCs w:val="21"/>
                <w:highlight w:val="none"/>
              </w:rPr>
            </w:pPr>
            <w:r>
              <w:rPr>
                <w:sz w:val="21"/>
                <w:szCs w:val="21"/>
                <w:highlight w:val="none"/>
              </w:rPr>
              <w:t>0.05mg/L</w:t>
            </w:r>
          </w:p>
        </w:tc>
        <w:tc>
          <w:tcPr>
            <w:tcW w:w="707" w:type="pct"/>
            <w:tcBorders>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0.10</w:t>
            </w:r>
          </w:p>
        </w:tc>
        <w:tc>
          <w:tcPr>
            <w:tcW w:w="701" w:type="pct"/>
            <w:tcBorders>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0.10</w:t>
            </w:r>
          </w:p>
        </w:tc>
        <w:tc>
          <w:tcPr>
            <w:tcW w:w="771" w:type="pct"/>
            <w:tcBorders>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0.10</w:t>
            </w:r>
          </w:p>
        </w:tc>
        <w:tc>
          <w:tcPr>
            <w:tcW w:w="753" w:type="pct"/>
            <w:tcBorders>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0.10</w:t>
            </w:r>
          </w:p>
        </w:tc>
        <w:tc>
          <w:tcPr>
            <w:tcW w:w="737" w:type="pct"/>
            <w:tcBorders>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pH</w:t>
            </w:r>
          </w:p>
        </w:tc>
        <w:tc>
          <w:tcPr>
            <w:tcW w:w="716" w:type="pct"/>
            <w:vAlign w:val="center"/>
          </w:tcPr>
          <w:p>
            <w:pPr>
              <w:spacing w:line="240" w:lineRule="auto"/>
              <w:ind w:firstLine="0" w:firstLineChars="0"/>
              <w:jc w:val="center"/>
              <w:rPr>
                <w:sz w:val="21"/>
                <w:szCs w:val="21"/>
                <w:highlight w:val="none"/>
              </w:rPr>
            </w:pPr>
            <w:r>
              <w:rPr>
                <w:sz w:val="21"/>
                <w:szCs w:val="21"/>
                <w:highlight w:val="none"/>
              </w:rPr>
              <w:t>6.5～8.5</w:t>
            </w:r>
          </w:p>
        </w:tc>
        <w:tc>
          <w:tcPr>
            <w:tcW w:w="1206"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0.33</w:t>
            </w:r>
          </w:p>
        </w:tc>
        <w:tc>
          <w:tcPr>
            <w:tcW w:w="1196"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0.33</w:t>
            </w:r>
          </w:p>
        </w:tc>
        <w:tc>
          <w:tcPr>
            <w:tcW w:w="1315"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0.27</w:t>
            </w:r>
          </w:p>
        </w:tc>
        <w:tc>
          <w:tcPr>
            <w:tcW w:w="128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0.27</w:t>
            </w:r>
          </w:p>
        </w:tc>
        <w:tc>
          <w:tcPr>
            <w:tcW w:w="1262"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耗氧量</w:t>
            </w:r>
          </w:p>
        </w:tc>
        <w:tc>
          <w:tcPr>
            <w:tcW w:w="716" w:type="pct"/>
            <w:vAlign w:val="center"/>
          </w:tcPr>
          <w:p>
            <w:pPr>
              <w:spacing w:line="240" w:lineRule="auto"/>
              <w:ind w:firstLine="0" w:firstLineChars="0"/>
              <w:jc w:val="center"/>
              <w:rPr>
                <w:sz w:val="21"/>
                <w:szCs w:val="21"/>
                <w:highlight w:val="none"/>
              </w:rPr>
            </w:pPr>
            <w:r>
              <w:rPr>
                <w:sz w:val="21"/>
                <w:szCs w:val="21"/>
                <w:highlight w:val="none"/>
              </w:rPr>
              <w:t>3.0 mg/L</w:t>
            </w:r>
          </w:p>
        </w:tc>
        <w:tc>
          <w:tcPr>
            <w:tcW w:w="120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0.57</w:t>
            </w:r>
          </w:p>
        </w:tc>
        <w:tc>
          <w:tcPr>
            <w:tcW w:w="119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0.49</w:t>
            </w:r>
          </w:p>
        </w:tc>
        <w:tc>
          <w:tcPr>
            <w:tcW w:w="1313"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0.64</w:t>
            </w:r>
          </w:p>
        </w:tc>
        <w:tc>
          <w:tcPr>
            <w:tcW w:w="1282"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0.6</w:t>
            </w:r>
          </w:p>
        </w:tc>
        <w:tc>
          <w:tcPr>
            <w:tcW w:w="126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总硬度</w:t>
            </w:r>
          </w:p>
        </w:tc>
        <w:tc>
          <w:tcPr>
            <w:tcW w:w="716" w:type="pct"/>
            <w:vAlign w:val="center"/>
          </w:tcPr>
          <w:p>
            <w:pPr>
              <w:spacing w:line="240" w:lineRule="auto"/>
              <w:ind w:firstLine="0" w:firstLineChars="0"/>
              <w:jc w:val="center"/>
              <w:rPr>
                <w:sz w:val="21"/>
                <w:szCs w:val="21"/>
                <w:highlight w:val="none"/>
              </w:rPr>
            </w:pPr>
            <w:r>
              <w:rPr>
                <w:sz w:val="21"/>
                <w:szCs w:val="21"/>
                <w:highlight w:val="none"/>
              </w:rPr>
              <w:t>450 mg/L</w:t>
            </w:r>
          </w:p>
        </w:tc>
        <w:tc>
          <w:tcPr>
            <w:tcW w:w="120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0.98</w:t>
            </w:r>
          </w:p>
        </w:tc>
        <w:tc>
          <w:tcPr>
            <w:tcW w:w="119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0.95</w:t>
            </w:r>
          </w:p>
        </w:tc>
        <w:tc>
          <w:tcPr>
            <w:tcW w:w="1313"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0.89</w:t>
            </w:r>
          </w:p>
        </w:tc>
        <w:tc>
          <w:tcPr>
            <w:tcW w:w="1282"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0.94</w:t>
            </w:r>
          </w:p>
        </w:tc>
        <w:tc>
          <w:tcPr>
            <w:tcW w:w="126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溶解性总固体</w:t>
            </w:r>
          </w:p>
        </w:tc>
        <w:tc>
          <w:tcPr>
            <w:tcW w:w="716" w:type="pct"/>
            <w:vAlign w:val="center"/>
          </w:tcPr>
          <w:p>
            <w:pPr>
              <w:spacing w:line="240" w:lineRule="auto"/>
              <w:ind w:firstLine="0" w:firstLineChars="0"/>
              <w:jc w:val="center"/>
              <w:rPr>
                <w:sz w:val="21"/>
                <w:szCs w:val="21"/>
                <w:highlight w:val="none"/>
              </w:rPr>
            </w:pPr>
            <w:r>
              <w:rPr>
                <w:sz w:val="21"/>
                <w:szCs w:val="21"/>
                <w:highlight w:val="none"/>
              </w:rPr>
              <w:t>1000mg/L</w:t>
            </w:r>
          </w:p>
        </w:tc>
        <w:tc>
          <w:tcPr>
            <w:tcW w:w="120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0.861</w:t>
            </w:r>
          </w:p>
        </w:tc>
        <w:tc>
          <w:tcPr>
            <w:tcW w:w="119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0.452</w:t>
            </w:r>
          </w:p>
        </w:tc>
        <w:tc>
          <w:tcPr>
            <w:tcW w:w="1313"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0.526</w:t>
            </w:r>
          </w:p>
        </w:tc>
        <w:tc>
          <w:tcPr>
            <w:tcW w:w="1282"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0.481</w:t>
            </w:r>
          </w:p>
        </w:tc>
        <w:tc>
          <w:tcPr>
            <w:tcW w:w="126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0.442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氨氮</w:t>
            </w:r>
          </w:p>
        </w:tc>
        <w:tc>
          <w:tcPr>
            <w:tcW w:w="716" w:type="pct"/>
            <w:vAlign w:val="center"/>
          </w:tcPr>
          <w:p>
            <w:pPr>
              <w:spacing w:line="240" w:lineRule="auto"/>
              <w:ind w:firstLine="0" w:firstLineChars="0"/>
              <w:jc w:val="center"/>
              <w:rPr>
                <w:sz w:val="21"/>
                <w:szCs w:val="21"/>
                <w:highlight w:val="none"/>
              </w:rPr>
            </w:pPr>
            <w:r>
              <w:rPr>
                <w:sz w:val="21"/>
                <w:szCs w:val="21"/>
                <w:highlight w:val="none"/>
              </w:rPr>
              <w:t>0.5 mg/L</w:t>
            </w:r>
          </w:p>
        </w:tc>
        <w:tc>
          <w:tcPr>
            <w:tcW w:w="120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0.025</w:t>
            </w:r>
          </w:p>
        </w:tc>
        <w:tc>
          <w:tcPr>
            <w:tcW w:w="119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0.978</w:t>
            </w:r>
          </w:p>
        </w:tc>
        <w:tc>
          <w:tcPr>
            <w:tcW w:w="1313"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0.95</w:t>
            </w:r>
          </w:p>
        </w:tc>
        <w:tc>
          <w:tcPr>
            <w:tcW w:w="1282"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0.92</w:t>
            </w:r>
          </w:p>
        </w:tc>
        <w:tc>
          <w:tcPr>
            <w:tcW w:w="126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硝酸盐</w:t>
            </w:r>
          </w:p>
        </w:tc>
        <w:tc>
          <w:tcPr>
            <w:tcW w:w="716" w:type="pct"/>
            <w:vAlign w:val="center"/>
          </w:tcPr>
          <w:p>
            <w:pPr>
              <w:spacing w:line="240" w:lineRule="auto"/>
              <w:ind w:firstLine="0" w:firstLineChars="0"/>
              <w:jc w:val="center"/>
              <w:rPr>
                <w:sz w:val="21"/>
                <w:szCs w:val="21"/>
                <w:highlight w:val="none"/>
              </w:rPr>
            </w:pPr>
            <w:r>
              <w:rPr>
                <w:sz w:val="21"/>
                <w:szCs w:val="21"/>
                <w:highlight w:val="none"/>
              </w:rPr>
              <w:t>20 mg/L</w:t>
            </w:r>
          </w:p>
        </w:tc>
        <w:tc>
          <w:tcPr>
            <w:tcW w:w="120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0.92</w:t>
            </w:r>
          </w:p>
        </w:tc>
        <w:tc>
          <w:tcPr>
            <w:tcW w:w="119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0.96</w:t>
            </w:r>
          </w:p>
        </w:tc>
        <w:tc>
          <w:tcPr>
            <w:tcW w:w="1313"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0.71</w:t>
            </w:r>
          </w:p>
        </w:tc>
        <w:tc>
          <w:tcPr>
            <w:tcW w:w="1282"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0.98</w:t>
            </w:r>
          </w:p>
        </w:tc>
        <w:tc>
          <w:tcPr>
            <w:tcW w:w="126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亚硝酸盐</w:t>
            </w:r>
          </w:p>
        </w:tc>
        <w:tc>
          <w:tcPr>
            <w:tcW w:w="716" w:type="pct"/>
            <w:vAlign w:val="center"/>
          </w:tcPr>
          <w:p>
            <w:pPr>
              <w:spacing w:line="240" w:lineRule="auto"/>
              <w:ind w:firstLine="0" w:firstLineChars="0"/>
              <w:jc w:val="center"/>
              <w:rPr>
                <w:sz w:val="21"/>
                <w:szCs w:val="21"/>
                <w:highlight w:val="none"/>
              </w:rPr>
            </w:pPr>
            <w:r>
              <w:rPr>
                <w:sz w:val="21"/>
                <w:szCs w:val="21"/>
                <w:highlight w:val="none"/>
              </w:rPr>
              <w:t>1.0mg/L</w:t>
            </w:r>
          </w:p>
        </w:tc>
        <w:tc>
          <w:tcPr>
            <w:tcW w:w="707"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0</w:t>
            </w:r>
            <w:r>
              <w:rPr>
                <w:sz w:val="21"/>
                <w:szCs w:val="21"/>
                <w:highlight w:val="none"/>
              </w:rPr>
              <w:t>1</w:t>
            </w:r>
            <w:r>
              <w:rPr>
                <w:rFonts w:hint="eastAsia"/>
                <w:sz w:val="21"/>
                <w:szCs w:val="21"/>
                <w:highlight w:val="none"/>
              </w:rPr>
              <w:t>5</w:t>
            </w:r>
          </w:p>
        </w:tc>
        <w:tc>
          <w:tcPr>
            <w:tcW w:w="701"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0</w:t>
            </w:r>
            <w:r>
              <w:rPr>
                <w:sz w:val="21"/>
                <w:szCs w:val="21"/>
                <w:highlight w:val="none"/>
              </w:rPr>
              <w:t>1</w:t>
            </w:r>
            <w:r>
              <w:rPr>
                <w:rFonts w:hint="eastAsia"/>
                <w:sz w:val="21"/>
                <w:szCs w:val="21"/>
                <w:highlight w:val="none"/>
              </w:rPr>
              <w:t>5</w:t>
            </w:r>
          </w:p>
        </w:tc>
        <w:tc>
          <w:tcPr>
            <w:tcW w:w="771"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0</w:t>
            </w:r>
            <w:r>
              <w:rPr>
                <w:sz w:val="21"/>
                <w:szCs w:val="21"/>
                <w:highlight w:val="none"/>
              </w:rPr>
              <w:t>1</w:t>
            </w:r>
            <w:r>
              <w:rPr>
                <w:rFonts w:hint="eastAsia"/>
                <w:sz w:val="21"/>
                <w:szCs w:val="21"/>
                <w:highlight w:val="none"/>
              </w:rPr>
              <w:t>5</w:t>
            </w:r>
          </w:p>
        </w:tc>
        <w:tc>
          <w:tcPr>
            <w:tcW w:w="753"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0</w:t>
            </w:r>
            <w:r>
              <w:rPr>
                <w:sz w:val="21"/>
                <w:szCs w:val="21"/>
                <w:highlight w:val="none"/>
              </w:rPr>
              <w:t>1</w:t>
            </w:r>
            <w:r>
              <w:rPr>
                <w:rFonts w:hint="eastAsia"/>
                <w:sz w:val="21"/>
                <w:szCs w:val="21"/>
                <w:highlight w:val="none"/>
              </w:rPr>
              <w:t>5</w:t>
            </w:r>
          </w:p>
        </w:tc>
        <w:tc>
          <w:tcPr>
            <w:tcW w:w="737"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0</w:t>
            </w:r>
            <w:r>
              <w:rPr>
                <w:sz w:val="21"/>
                <w:szCs w:val="21"/>
                <w:highlight w:val="none"/>
              </w:rPr>
              <w:t>1</w:t>
            </w:r>
            <w:r>
              <w:rPr>
                <w:rFonts w:hint="eastAsia"/>
                <w:sz w:val="21"/>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硫酸盐</w:t>
            </w:r>
          </w:p>
        </w:tc>
        <w:tc>
          <w:tcPr>
            <w:tcW w:w="716" w:type="pct"/>
            <w:vAlign w:val="center"/>
          </w:tcPr>
          <w:p>
            <w:pPr>
              <w:spacing w:line="240" w:lineRule="auto"/>
              <w:ind w:firstLine="0" w:firstLineChars="0"/>
              <w:jc w:val="center"/>
              <w:rPr>
                <w:sz w:val="21"/>
                <w:szCs w:val="21"/>
                <w:highlight w:val="none"/>
              </w:rPr>
            </w:pPr>
            <w:r>
              <w:rPr>
                <w:sz w:val="21"/>
                <w:szCs w:val="21"/>
                <w:highlight w:val="none"/>
              </w:rPr>
              <w:t>250 mg/L</w:t>
            </w:r>
          </w:p>
        </w:tc>
        <w:tc>
          <w:tcPr>
            <w:tcW w:w="120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0.42</w:t>
            </w:r>
          </w:p>
        </w:tc>
        <w:tc>
          <w:tcPr>
            <w:tcW w:w="119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0.54</w:t>
            </w:r>
          </w:p>
        </w:tc>
        <w:tc>
          <w:tcPr>
            <w:tcW w:w="1313"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0.82</w:t>
            </w:r>
          </w:p>
        </w:tc>
        <w:tc>
          <w:tcPr>
            <w:tcW w:w="1282"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0.37</w:t>
            </w:r>
          </w:p>
        </w:tc>
        <w:tc>
          <w:tcPr>
            <w:tcW w:w="126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氯化物</w:t>
            </w:r>
          </w:p>
        </w:tc>
        <w:tc>
          <w:tcPr>
            <w:tcW w:w="716" w:type="pct"/>
            <w:vAlign w:val="center"/>
          </w:tcPr>
          <w:p>
            <w:pPr>
              <w:spacing w:line="240" w:lineRule="auto"/>
              <w:ind w:firstLine="0" w:firstLineChars="0"/>
              <w:jc w:val="center"/>
              <w:rPr>
                <w:sz w:val="21"/>
                <w:szCs w:val="21"/>
                <w:highlight w:val="none"/>
              </w:rPr>
            </w:pPr>
            <w:r>
              <w:rPr>
                <w:sz w:val="21"/>
                <w:szCs w:val="21"/>
                <w:highlight w:val="none"/>
              </w:rPr>
              <w:t>250 mg/L</w:t>
            </w:r>
          </w:p>
        </w:tc>
        <w:tc>
          <w:tcPr>
            <w:tcW w:w="120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0.06</w:t>
            </w:r>
          </w:p>
        </w:tc>
        <w:tc>
          <w:tcPr>
            <w:tcW w:w="119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0.04</w:t>
            </w:r>
          </w:p>
        </w:tc>
        <w:tc>
          <w:tcPr>
            <w:tcW w:w="1313"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0.08</w:t>
            </w:r>
          </w:p>
        </w:tc>
        <w:tc>
          <w:tcPr>
            <w:tcW w:w="1282"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0.04</w:t>
            </w:r>
          </w:p>
        </w:tc>
        <w:tc>
          <w:tcPr>
            <w:tcW w:w="126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氰化物</w:t>
            </w:r>
          </w:p>
        </w:tc>
        <w:tc>
          <w:tcPr>
            <w:tcW w:w="716" w:type="pct"/>
            <w:vAlign w:val="center"/>
          </w:tcPr>
          <w:p>
            <w:pPr>
              <w:spacing w:line="240" w:lineRule="auto"/>
              <w:ind w:firstLine="0" w:firstLineChars="0"/>
              <w:jc w:val="center"/>
              <w:rPr>
                <w:sz w:val="21"/>
                <w:szCs w:val="21"/>
                <w:highlight w:val="none"/>
              </w:rPr>
            </w:pPr>
            <w:r>
              <w:rPr>
                <w:sz w:val="21"/>
                <w:szCs w:val="21"/>
                <w:highlight w:val="none"/>
              </w:rPr>
              <w:t>0.05 mg/L</w:t>
            </w:r>
          </w:p>
        </w:tc>
        <w:tc>
          <w:tcPr>
            <w:tcW w:w="707"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0.02</w:t>
            </w:r>
          </w:p>
        </w:tc>
        <w:tc>
          <w:tcPr>
            <w:tcW w:w="701"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0.02</w:t>
            </w:r>
          </w:p>
        </w:tc>
        <w:tc>
          <w:tcPr>
            <w:tcW w:w="771"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0.02</w:t>
            </w:r>
          </w:p>
        </w:tc>
        <w:tc>
          <w:tcPr>
            <w:tcW w:w="753"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0.02</w:t>
            </w:r>
          </w:p>
        </w:tc>
        <w:tc>
          <w:tcPr>
            <w:tcW w:w="737"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挥发性酚类</w:t>
            </w:r>
          </w:p>
        </w:tc>
        <w:tc>
          <w:tcPr>
            <w:tcW w:w="716" w:type="pct"/>
            <w:vAlign w:val="center"/>
          </w:tcPr>
          <w:p>
            <w:pPr>
              <w:spacing w:line="240" w:lineRule="auto"/>
              <w:ind w:firstLine="0" w:firstLineChars="0"/>
              <w:jc w:val="center"/>
              <w:rPr>
                <w:sz w:val="21"/>
                <w:szCs w:val="21"/>
                <w:highlight w:val="none"/>
              </w:rPr>
            </w:pPr>
            <w:r>
              <w:rPr>
                <w:sz w:val="21"/>
                <w:szCs w:val="21"/>
                <w:highlight w:val="none"/>
              </w:rPr>
              <w:t>0.002 mg/L</w:t>
            </w:r>
          </w:p>
        </w:tc>
        <w:tc>
          <w:tcPr>
            <w:tcW w:w="707"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0.075</w:t>
            </w:r>
          </w:p>
        </w:tc>
        <w:tc>
          <w:tcPr>
            <w:tcW w:w="701"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0.075</w:t>
            </w:r>
          </w:p>
        </w:tc>
        <w:tc>
          <w:tcPr>
            <w:tcW w:w="771"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0.075</w:t>
            </w:r>
          </w:p>
        </w:tc>
        <w:tc>
          <w:tcPr>
            <w:tcW w:w="753"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0.075</w:t>
            </w:r>
          </w:p>
        </w:tc>
        <w:tc>
          <w:tcPr>
            <w:tcW w:w="737"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氟</w:t>
            </w:r>
          </w:p>
        </w:tc>
        <w:tc>
          <w:tcPr>
            <w:tcW w:w="716" w:type="pct"/>
            <w:vAlign w:val="center"/>
          </w:tcPr>
          <w:p>
            <w:pPr>
              <w:spacing w:line="240" w:lineRule="auto"/>
              <w:ind w:firstLine="0" w:firstLineChars="0"/>
              <w:jc w:val="center"/>
              <w:rPr>
                <w:sz w:val="21"/>
                <w:szCs w:val="21"/>
                <w:highlight w:val="none"/>
              </w:rPr>
            </w:pPr>
            <w:r>
              <w:rPr>
                <w:sz w:val="21"/>
                <w:szCs w:val="21"/>
                <w:highlight w:val="none"/>
              </w:rPr>
              <w:t>1.0 mg/L</w:t>
            </w:r>
          </w:p>
        </w:tc>
        <w:tc>
          <w:tcPr>
            <w:tcW w:w="1204"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0.19</w:t>
            </w:r>
          </w:p>
        </w:tc>
        <w:tc>
          <w:tcPr>
            <w:tcW w:w="1987"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0.18</w:t>
            </w:r>
          </w:p>
        </w:tc>
        <w:tc>
          <w:tcPr>
            <w:tcW w:w="2186"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0.23</w:t>
            </w:r>
          </w:p>
        </w:tc>
        <w:tc>
          <w:tcPr>
            <w:tcW w:w="2135"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0.21</w:t>
            </w:r>
          </w:p>
        </w:tc>
        <w:tc>
          <w:tcPr>
            <w:tcW w:w="126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rFonts w:hint="eastAsia"/>
                <w:sz w:val="21"/>
                <w:szCs w:val="21"/>
                <w:highlight w:val="none"/>
              </w:rPr>
              <w:t>0.34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砷</w:t>
            </w:r>
          </w:p>
        </w:tc>
        <w:tc>
          <w:tcPr>
            <w:tcW w:w="716" w:type="pct"/>
            <w:vAlign w:val="center"/>
          </w:tcPr>
          <w:p>
            <w:pPr>
              <w:spacing w:line="240" w:lineRule="auto"/>
              <w:ind w:firstLine="0" w:firstLineChars="0"/>
              <w:jc w:val="center"/>
              <w:rPr>
                <w:sz w:val="21"/>
                <w:szCs w:val="21"/>
                <w:highlight w:val="none"/>
              </w:rPr>
            </w:pPr>
            <w:r>
              <w:rPr>
                <w:sz w:val="21"/>
                <w:szCs w:val="21"/>
                <w:highlight w:val="none"/>
              </w:rPr>
              <w:t>0.01mg/L</w:t>
            </w:r>
          </w:p>
        </w:tc>
        <w:tc>
          <w:tcPr>
            <w:tcW w:w="707"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1</w:t>
            </w:r>
            <w:r>
              <w:rPr>
                <w:sz w:val="21"/>
                <w:szCs w:val="21"/>
                <w:highlight w:val="none"/>
              </w:rPr>
              <w:t>5</w:t>
            </w:r>
          </w:p>
        </w:tc>
        <w:tc>
          <w:tcPr>
            <w:tcW w:w="701"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1</w:t>
            </w:r>
            <w:r>
              <w:rPr>
                <w:sz w:val="21"/>
                <w:szCs w:val="21"/>
                <w:highlight w:val="none"/>
              </w:rPr>
              <w:t>5</w:t>
            </w:r>
          </w:p>
        </w:tc>
        <w:tc>
          <w:tcPr>
            <w:tcW w:w="771"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1</w:t>
            </w:r>
            <w:r>
              <w:rPr>
                <w:sz w:val="21"/>
                <w:szCs w:val="21"/>
                <w:highlight w:val="none"/>
              </w:rPr>
              <w:t>5</w:t>
            </w:r>
          </w:p>
        </w:tc>
        <w:tc>
          <w:tcPr>
            <w:tcW w:w="753"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1</w:t>
            </w:r>
            <w:r>
              <w:rPr>
                <w:sz w:val="21"/>
                <w:szCs w:val="21"/>
                <w:highlight w:val="none"/>
              </w:rPr>
              <w:t>5</w:t>
            </w:r>
          </w:p>
        </w:tc>
        <w:tc>
          <w:tcPr>
            <w:tcW w:w="737" w:type="pct"/>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0.0</w:t>
            </w:r>
            <w:r>
              <w:rPr>
                <w:rFonts w:hint="eastAsia"/>
                <w:sz w:val="21"/>
                <w:szCs w:val="21"/>
                <w:highlight w:val="none"/>
              </w:rPr>
              <w:t>1</w:t>
            </w:r>
            <w:r>
              <w:rPr>
                <w:sz w:val="21"/>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汞</w:t>
            </w:r>
          </w:p>
        </w:tc>
        <w:tc>
          <w:tcPr>
            <w:tcW w:w="716" w:type="pct"/>
            <w:vAlign w:val="center"/>
          </w:tcPr>
          <w:p>
            <w:pPr>
              <w:spacing w:line="240" w:lineRule="auto"/>
              <w:ind w:firstLine="0" w:firstLineChars="0"/>
              <w:jc w:val="center"/>
              <w:rPr>
                <w:sz w:val="21"/>
                <w:szCs w:val="21"/>
                <w:highlight w:val="none"/>
              </w:rPr>
            </w:pPr>
            <w:r>
              <w:rPr>
                <w:sz w:val="21"/>
                <w:szCs w:val="21"/>
                <w:highlight w:val="none"/>
              </w:rPr>
              <w:t>0.001 mg/L</w:t>
            </w:r>
          </w:p>
        </w:tc>
        <w:tc>
          <w:tcPr>
            <w:tcW w:w="707" w:type="pct"/>
            <w:vAlign w:val="center"/>
          </w:tcPr>
          <w:p>
            <w:pPr>
              <w:spacing w:line="240" w:lineRule="auto"/>
              <w:ind w:firstLine="0" w:firstLineChars="0"/>
              <w:jc w:val="center"/>
              <w:rPr>
                <w:sz w:val="21"/>
                <w:szCs w:val="21"/>
                <w:highlight w:val="none"/>
              </w:rPr>
            </w:pPr>
            <w:r>
              <w:rPr>
                <w:sz w:val="21"/>
                <w:szCs w:val="21"/>
                <w:highlight w:val="none"/>
              </w:rPr>
              <w:t>0.02</w:t>
            </w:r>
          </w:p>
        </w:tc>
        <w:tc>
          <w:tcPr>
            <w:tcW w:w="701" w:type="pct"/>
            <w:vAlign w:val="center"/>
          </w:tcPr>
          <w:p>
            <w:pPr>
              <w:spacing w:line="240" w:lineRule="auto"/>
              <w:ind w:firstLine="0" w:firstLineChars="0"/>
              <w:jc w:val="center"/>
              <w:rPr>
                <w:sz w:val="21"/>
                <w:szCs w:val="21"/>
                <w:highlight w:val="none"/>
              </w:rPr>
            </w:pPr>
            <w:r>
              <w:rPr>
                <w:sz w:val="21"/>
                <w:szCs w:val="21"/>
                <w:highlight w:val="none"/>
              </w:rPr>
              <w:t>0.02</w:t>
            </w:r>
          </w:p>
        </w:tc>
        <w:tc>
          <w:tcPr>
            <w:tcW w:w="771" w:type="pct"/>
            <w:vAlign w:val="center"/>
          </w:tcPr>
          <w:p>
            <w:pPr>
              <w:spacing w:line="240" w:lineRule="auto"/>
              <w:ind w:firstLine="0" w:firstLineChars="0"/>
              <w:jc w:val="center"/>
              <w:rPr>
                <w:sz w:val="21"/>
                <w:szCs w:val="21"/>
                <w:highlight w:val="none"/>
              </w:rPr>
            </w:pPr>
            <w:r>
              <w:rPr>
                <w:sz w:val="21"/>
                <w:szCs w:val="21"/>
                <w:highlight w:val="none"/>
              </w:rPr>
              <w:t>0.02</w:t>
            </w:r>
          </w:p>
        </w:tc>
        <w:tc>
          <w:tcPr>
            <w:tcW w:w="753" w:type="pct"/>
            <w:vAlign w:val="center"/>
          </w:tcPr>
          <w:p>
            <w:pPr>
              <w:spacing w:line="240" w:lineRule="auto"/>
              <w:ind w:firstLine="0" w:firstLineChars="0"/>
              <w:jc w:val="center"/>
              <w:rPr>
                <w:sz w:val="21"/>
                <w:szCs w:val="21"/>
                <w:highlight w:val="none"/>
              </w:rPr>
            </w:pPr>
            <w:r>
              <w:rPr>
                <w:sz w:val="21"/>
                <w:szCs w:val="21"/>
                <w:highlight w:val="none"/>
              </w:rPr>
              <w:t>0.02</w:t>
            </w:r>
          </w:p>
        </w:tc>
        <w:tc>
          <w:tcPr>
            <w:tcW w:w="737" w:type="pct"/>
            <w:vAlign w:val="center"/>
          </w:tcPr>
          <w:p>
            <w:pPr>
              <w:spacing w:line="240" w:lineRule="auto"/>
              <w:ind w:firstLine="0" w:firstLineChars="0"/>
              <w:jc w:val="center"/>
              <w:rPr>
                <w:sz w:val="21"/>
                <w:szCs w:val="21"/>
                <w:highlight w:val="none"/>
              </w:rPr>
            </w:pPr>
            <w:r>
              <w:rPr>
                <w:rFonts w:hint="eastAsia"/>
                <w:sz w:val="21"/>
                <w:szCs w:val="21"/>
                <w:highlight w:val="none"/>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镉</w:t>
            </w:r>
          </w:p>
        </w:tc>
        <w:tc>
          <w:tcPr>
            <w:tcW w:w="716" w:type="pct"/>
            <w:vAlign w:val="center"/>
          </w:tcPr>
          <w:p>
            <w:pPr>
              <w:spacing w:line="240" w:lineRule="auto"/>
              <w:ind w:firstLine="0" w:firstLineChars="0"/>
              <w:jc w:val="center"/>
              <w:rPr>
                <w:sz w:val="21"/>
                <w:szCs w:val="21"/>
                <w:highlight w:val="none"/>
              </w:rPr>
            </w:pPr>
            <w:r>
              <w:rPr>
                <w:sz w:val="21"/>
                <w:szCs w:val="21"/>
                <w:highlight w:val="none"/>
              </w:rPr>
              <w:t>0.005mg/L</w:t>
            </w:r>
          </w:p>
        </w:tc>
        <w:tc>
          <w:tcPr>
            <w:tcW w:w="707" w:type="pct"/>
            <w:vAlign w:val="center"/>
          </w:tcPr>
          <w:p>
            <w:pPr>
              <w:spacing w:line="240" w:lineRule="auto"/>
              <w:ind w:firstLine="0" w:firstLineChars="0"/>
              <w:jc w:val="center"/>
              <w:rPr>
                <w:sz w:val="21"/>
                <w:szCs w:val="21"/>
                <w:highlight w:val="none"/>
              </w:rPr>
            </w:pPr>
            <w:r>
              <w:rPr>
                <w:rFonts w:hint="eastAsia"/>
                <w:sz w:val="21"/>
                <w:szCs w:val="21"/>
                <w:highlight w:val="none"/>
              </w:rPr>
              <w:t>0.05</w:t>
            </w:r>
          </w:p>
        </w:tc>
        <w:tc>
          <w:tcPr>
            <w:tcW w:w="701" w:type="pct"/>
            <w:vAlign w:val="center"/>
          </w:tcPr>
          <w:p>
            <w:pPr>
              <w:spacing w:line="240" w:lineRule="auto"/>
              <w:ind w:firstLine="0" w:firstLineChars="0"/>
              <w:jc w:val="center"/>
              <w:rPr>
                <w:sz w:val="21"/>
                <w:szCs w:val="21"/>
                <w:highlight w:val="none"/>
              </w:rPr>
            </w:pPr>
            <w:r>
              <w:rPr>
                <w:rFonts w:hint="eastAsia"/>
                <w:sz w:val="21"/>
                <w:szCs w:val="21"/>
                <w:highlight w:val="none"/>
              </w:rPr>
              <w:t>0.05</w:t>
            </w:r>
          </w:p>
        </w:tc>
        <w:tc>
          <w:tcPr>
            <w:tcW w:w="771" w:type="pct"/>
            <w:vAlign w:val="center"/>
          </w:tcPr>
          <w:p>
            <w:pPr>
              <w:spacing w:line="240" w:lineRule="auto"/>
              <w:ind w:firstLine="0" w:firstLineChars="0"/>
              <w:jc w:val="center"/>
              <w:rPr>
                <w:sz w:val="21"/>
                <w:szCs w:val="21"/>
                <w:highlight w:val="none"/>
              </w:rPr>
            </w:pPr>
            <w:r>
              <w:rPr>
                <w:rFonts w:hint="eastAsia"/>
                <w:sz w:val="21"/>
                <w:szCs w:val="21"/>
                <w:highlight w:val="none"/>
              </w:rPr>
              <w:t>0.05</w:t>
            </w:r>
          </w:p>
        </w:tc>
        <w:tc>
          <w:tcPr>
            <w:tcW w:w="753" w:type="pct"/>
            <w:vAlign w:val="center"/>
          </w:tcPr>
          <w:p>
            <w:pPr>
              <w:spacing w:line="240" w:lineRule="auto"/>
              <w:ind w:firstLine="0" w:firstLineChars="0"/>
              <w:jc w:val="center"/>
              <w:rPr>
                <w:sz w:val="21"/>
                <w:szCs w:val="21"/>
                <w:highlight w:val="none"/>
              </w:rPr>
            </w:pPr>
            <w:r>
              <w:rPr>
                <w:rFonts w:hint="eastAsia"/>
                <w:sz w:val="21"/>
                <w:szCs w:val="21"/>
                <w:highlight w:val="none"/>
              </w:rPr>
              <w:t>0.05</w:t>
            </w:r>
          </w:p>
        </w:tc>
        <w:tc>
          <w:tcPr>
            <w:tcW w:w="737" w:type="pct"/>
            <w:vAlign w:val="center"/>
          </w:tcPr>
          <w:p>
            <w:pPr>
              <w:spacing w:line="240" w:lineRule="auto"/>
              <w:ind w:firstLine="0" w:firstLineChars="0"/>
              <w:jc w:val="center"/>
              <w:rPr>
                <w:sz w:val="21"/>
                <w:szCs w:val="21"/>
                <w:highlight w:val="none"/>
              </w:rPr>
            </w:pPr>
            <w:r>
              <w:rPr>
                <w:rFonts w:hint="eastAsia"/>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六价铬</w:t>
            </w:r>
          </w:p>
        </w:tc>
        <w:tc>
          <w:tcPr>
            <w:tcW w:w="716" w:type="pct"/>
            <w:vAlign w:val="center"/>
          </w:tcPr>
          <w:p>
            <w:pPr>
              <w:spacing w:line="240" w:lineRule="auto"/>
              <w:ind w:firstLine="0" w:firstLineChars="0"/>
              <w:jc w:val="center"/>
              <w:rPr>
                <w:sz w:val="21"/>
                <w:szCs w:val="21"/>
                <w:highlight w:val="none"/>
              </w:rPr>
            </w:pPr>
            <w:r>
              <w:rPr>
                <w:sz w:val="21"/>
                <w:szCs w:val="21"/>
                <w:highlight w:val="none"/>
              </w:rPr>
              <w:t>0.05 mg/L</w:t>
            </w:r>
          </w:p>
        </w:tc>
        <w:tc>
          <w:tcPr>
            <w:tcW w:w="707" w:type="pct"/>
            <w:vAlign w:val="center"/>
          </w:tcPr>
          <w:p>
            <w:pPr>
              <w:spacing w:line="240" w:lineRule="auto"/>
              <w:ind w:firstLine="0" w:firstLineChars="0"/>
              <w:jc w:val="center"/>
              <w:rPr>
                <w:sz w:val="21"/>
                <w:szCs w:val="21"/>
                <w:highlight w:val="none"/>
              </w:rPr>
            </w:pPr>
            <w:r>
              <w:rPr>
                <w:rFonts w:hint="eastAsia"/>
                <w:sz w:val="21"/>
                <w:szCs w:val="21"/>
                <w:highlight w:val="none"/>
              </w:rPr>
              <w:t>0.40</w:t>
            </w:r>
          </w:p>
        </w:tc>
        <w:tc>
          <w:tcPr>
            <w:tcW w:w="701" w:type="pct"/>
            <w:vAlign w:val="center"/>
          </w:tcPr>
          <w:p>
            <w:pPr>
              <w:spacing w:line="240" w:lineRule="auto"/>
              <w:ind w:firstLine="0" w:firstLineChars="0"/>
              <w:jc w:val="center"/>
              <w:rPr>
                <w:sz w:val="21"/>
                <w:szCs w:val="21"/>
                <w:highlight w:val="none"/>
              </w:rPr>
            </w:pPr>
            <w:r>
              <w:rPr>
                <w:rFonts w:hint="eastAsia"/>
                <w:sz w:val="21"/>
                <w:szCs w:val="21"/>
                <w:highlight w:val="none"/>
              </w:rPr>
              <w:t>0.40</w:t>
            </w:r>
          </w:p>
        </w:tc>
        <w:tc>
          <w:tcPr>
            <w:tcW w:w="771" w:type="pct"/>
            <w:vAlign w:val="center"/>
          </w:tcPr>
          <w:p>
            <w:pPr>
              <w:spacing w:line="240" w:lineRule="auto"/>
              <w:ind w:firstLine="0" w:firstLineChars="0"/>
              <w:jc w:val="center"/>
              <w:rPr>
                <w:sz w:val="21"/>
                <w:szCs w:val="21"/>
                <w:highlight w:val="none"/>
              </w:rPr>
            </w:pPr>
            <w:r>
              <w:rPr>
                <w:rFonts w:hint="eastAsia"/>
                <w:sz w:val="21"/>
                <w:szCs w:val="21"/>
                <w:highlight w:val="none"/>
              </w:rPr>
              <w:t>0.40</w:t>
            </w:r>
          </w:p>
        </w:tc>
        <w:tc>
          <w:tcPr>
            <w:tcW w:w="753" w:type="pct"/>
            <w:vAlign w:val="center"/>
          </w:tcPr>
          <w:p>
            <w:pPr>
              <w:spacing w:line="240" w:lineRule="auto"/>
              <w:ind w:firstLine="0" w:firstLineChars="0"/>
              <w:jc w:val="center"/>
              <w:rPr>
                <w:sz w:val="21"/>
                <w:szCs w:val="21"/>
                <w:highlight w:val="none"/>
              </w:rPr>
            </w:pPr>
            <w:r>
              <w:rPr>
                <w:rFonts w:hint="eastAsia"/>
                <w:sz w:val="21"/>
                <w:szCs w:val="21"/>
                <w:highlight w:val="none"/>
              </w:rPr>
              <w:t>0.40</w:t>
            </w:r>
          </w:p>
        </w:tc>
        <w:tc>
          <w:tcPr>
            <w:tcW w:w="737" w:type="pct"/>
            <w:vAlign w:val="center"/>
          </w:tcPr>
          <w:p>
            <w:pPr>
              <w:spacing w:line="240" w:lineRule="auto"/>
              <w:ind w:firstLine="0" w:firstLineChars="0"/>
              <w:jc w:val="center"/>
              <w:rPr>
                <w:sz w:val="21"/>
                <w:szCs w:val="21"/>
                <w:highlight w:val="none"/>
              </w:rPr>
            </w:pPr>
            <w:r>
              <w:rPr>
                <w:rFonts w:hint="eastAsia"/>
                <w:sz w:val="21"/>
                <w:szCs w:val="21"/>
                <w:highlight w:val="none"/>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铅</w:t>
            </w:r>
          </w:p>
        </w:tc>
        <w:tc>
          <w:tcPr>
            <w:tcW w:w="716" w:type="pct"/>
            <w:vAlign w:val="center"/>
          </w:tcPr>
          <w:p>
            <w:pPr>
              <w:spacing w:line="240" w:lineRule="auto"/>
              <w:ind w:firstLine="0" w:firstLineChars="0"/>
              <w:jc w:val="center"/>
              <w:rPr>
                <w:sz w:val="21"/>
                <w:szCs w:val="21"/>
                <w:highlight w:val="none"/>
              </w:rPr>
            </w:pPr>
            <w:r>
              <w:rPr>
                <w:sz w:val="21"/>
                <w:szCs w:val="21"/>
                <w:highlight w:val="none"/>
              </w:rPr>
              <w:t>0.01mg/L</w:t>
            </w:r>
          </w:p>
        </w:tc>
        <w:tc>
          <w:tcPr>
            <w:tcW w:w="707" w:type="pct"/>
            <w:vAlign w:val="center"/>
          </w:tcPr>
          <w:p>
            <w:pPr>
              <w:spacing w:line="240" w:lineRule="auto"/>
              <w:ind w:firstLine="0" w:firstLineChars="0"/>
              <w:jc w:val="center"/>
              <w:rPr>
                <w:sz w:val="21"/>
                <w:szCs w:val="21"/>
                <w:highlight w:val="none"/>
              </w:rPr>
            </w:pPr>
            <w:r>
              <w:rPr>
                <w:rFonts w:hint="eastAsia"/>
                <w:sz w:val="21"/>
                <w:szCs w:val="21"/>
                <w:highlight w:val="none"/>
              </w:rPr>
              <w:t>0.125</w:t>
            </w:r>
          </w:p>
        </w:tc>
        <w:tc>
          <w:tcPr>
            <w:tcW w:w="701" w:type="pct"/>
            <w:vAlign w:val="center"/>
          </w:tcPr>
          <w:p>
            <w:pPr>
              <w:spacing w:line="240" w:lineRule="auto"/>
              <w:ind w:firstLine="0" w:firstLineChars="0"/>
              <w:jc w:val="center"/>
              <w:rPr>
                <w:sz w:val="21"/>
                <w:szCs w:val="21"/>
                <w:highlight w:val="none"/>
              </w:rPr>
            </w:pPr>
            <w:r>
              <w:rPr>
                <w:rFonts w:hint="eastAsia"/>
                <w:sz w:val="21"/>
                <w:szCs w:val="21"/>
                <w:highlight w:val="none"/>
              </w:rPr>
              <w:t>0.125</w:t>
            </w:r>
          </w:p>
        </w:tc>
        <w:tc>
          <w:tcPr>
            <w:tcW w:w="771" w:type="pct"/>
            <w:vAlign w:val="center"/>
          </w:tcPr>
          <w:p>
            <w:pPr>
              <w:spacing w:line="240" w:lineRule="auto"/>
              <w:ind w:firstLine="0" w:firstLineChars="0"/>
              <w:jc w:val="center"/>
              <w:rPr>
                <w:sz w:val="21"/>
                <w:szCs w:val="21"/>
                <w:highlight w:val="none"/>
              </w:rPr>
            </w:pPr>
            <w:r>
              <w:rPr>
                <w:rFonts w:hint="eastAsia"/>
                <w:sz w:val="21"/>
                <w:szCs w:val="21"/>
                <w:highlight w:val="none"/>
              </w:rPr>
              <w:t>0.125</w:t>
            </w:r>
          </w:p>
        </w:tc>
        <w:tc>
          <w:tcPr>
            <w:tcW w:w="753" w:type="pct"/>
            <w:vAlign w:val="center"/>
          </w:tcPr>
          <w:p>
            <w:pPr>
              <w:spacing w:line="240" w:lineRule="auto"/>
              <w:ind w:firstLine="0" w:firstLineChars="0"/>
              <w:jc w:val="center"/>
              <w:rPr>
                <w:sz w:val="21"/>
                <w:szCs w:val="21"/>
                <w:highlight w:val="none"/>
              </w:rPr>
            </w:pPr>
            <w:r>
              <w:rPr>
                <w:rFonts w:hint="eastAsia"/>
                <w:sz w:val="21"/>
                <w:szCs w:val="21"/>
                <w:highlight w:val="none"/>
              </w:rPr>
              <w:t>0.125</w:t>
            </w:r>
          </w:p>
        </w:tc>
        <w:tc>
          <w:tcPr>
            <w:tcW w:w="737" w:type="pct"/>
            <w:vAlign w:val="center"/>
          </w:tcPr>
          <w:p>
            <w:pPr>
              <w:spacing w:line="240" w:lineRule="auto"/>
              <w:ind w:firstLine="0" w:firstLineChars="0"/>
              <w:jc w:val="center"/>
              <w:rPr>
                <w:sz w:val="21"/>
                <w:szCs w:val="21"/>
                <w:highlight w:val="none"/>
              </w:rPr>
            </w:pPr>
            <w:r>
              <w:rPr>
                <w:rFonts w:hint="eastAsia"/>
                <w:sz w:val="21"/>
                <w:szCs w:val="21"/>
                <w:highlight w:val="none"/>
              </w:rPr>
              <w:t>0.125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铁</w:t>
            </w:r>
          </w:p>
        </w:tc>
        <w:tc>
          <w:tcPr>
            <w:tcW w:w="716" w:type="pct"/>
            <w:vAlign w:val="center"/>
          </w:tcPr>
          <w:p>
            <w:pPr>
              <w:spacing w:line="240" w:lineRule="auto"/>
              <w:ind w:firstLine="0" w:firstLineChars="0"/>
              <w:jc w:val="center"/>
              <w:rPr>
                <w:sz w:val="21"/>
                <w:szCs w:val="21"/>
                <w:highlight w:val="none"/>
              </w:rPr>
            </w:pPr>
            <w:r>
              <w:rPr>
                <w:sz w:val="21"/>
                <w:szCs w:val="21"/>
                <w:highlight w:val="none"/>
              </w:rPr>
              <w:t>0.3 mg/L</w:t>
            </w:r>
          </w:p>
        </w:tc>
        <w:tc>
          <w:tcPr>
            <w:tcW w:w="707" w:type="pct"/>
            <w:vAlign w:val="center"/>
          </w:tcPr>
          <w:p>
            <w:pPr>
              <w:spacing w:line="240" w:lineRule="auto"/>
              <w:ind w:firstLine="0" w:firstLineChars="0"/>
              <w:jc w:val="center"/>
              <w:rPr>
                <w:sz w:val="21"/>
                <w:szCs w:val="21"/>
                <w:highlight w:val="none"/>
              </w:rPr>
            </w:pPr>
            <w:r>
              <w:rPr>
                <w:sz w:val="21"/>
                <w:szCs w:val="21"/>
                <w:highlight w:val="none"/>
              </w:rPr>
              <w:t>0.05</w:t>
            </w:r>
          </w:p>
        </w:tc>
        <w:tc>
          <w:tcPr>
            <w:tcW w:w="701" w:type="pct"/>
            <w:vAlign w:val="center"/>
          </w:tcPr>
          <w:p>
            <w:pPr>
              <w:spacing w:line="240" w:lineRule="auto"/>
              <w:ind w:firstLine="0" w:firstLineChars="0"/>
              <w:jc w:val="center"/>
              <w:rPr>
                <w:sz w:val="21"/>
                <w:szCs w:val="21"/>
                <w:highlight w:val="none"/>
              </w:rPr>
            </w:pPr>
            <w:r>
              <w:rPr>
                <w:sz w:val="21"/>
                <w:szCs w:val="21"/>
                <w:highlight w:val="none"/>
              </w:rPr>
              <w:t>0.05</w:t>
            </w:r>
          </w:p>
        </w:tc>
        <w:tc>
          <w:tcPr>
            <w:tcW w:w="771" w:type="pct"/>
            <w:vAlign w:val="center"/>
          </w:tcPr>
          <w:p>
            <w:pPr>
              <w:spacing w:line="240" w:lineRule="auto"/>
              <w:ind w:firstLine="0" w:firstLineChars="0"/>
              <w:jc w:val="center"/>
              <w:rPr>
                <w:sz w:val="21"/>
                <w:szCs w:val="21"/>
                <w:highlight w:val="none"/>
              </w:rPr>
            </w:pPr>
            <w:r>
              <w:rPr>
                <w:sz w:val="21"/>
                <w:szCs w:val="21"/>
                <w:highlight w:val="none"/>
              </w:rPr>
              <w:t>0.05</w:t>
            </w:r>
          </w:p>
        </w:tc>
        <w:tc>
          <w:tcPr>
            <w:tcW w:w="753" w:type="pct"/>
            <w:vAlign w:val="center"/>
          </w:tcPr>
          <w:p>
            <w:pPr>
              <w:spacing w:line="240" w:lineRule="auto"/>
              <w:ind w:firstLine="0" w:firstLineChars="0"/>
              <w:jc w:val="center"/>
              <w:rPr>
                <w:sz w:val="21"/>
                <w:szCs w:val="21"/>
                <w:highlight w:val="none"/>
              </w:rPr>
            </w:pPr>
            <w:r>
              <w:rPr>
                <w:sz w:val="21"/>
                <w:szCs w:val="21"/>
                <w:highlight w:val="none"/>
              </w:rPr>
              <w:t>0.05</w:t>
            </w:r>
          </w:p>
        </w:tc>
        <w:tc>
          <w:tcPr>
            <w:tcW w:w="737" w:type="pct"/>
            <w:vAlign w:val="center"/>
          </w:tcPr>
          <w:p>
            <w:pPr>
              <w:spacing w:line="240" w:lineRule="auto"/>
              <w:ind w:firstLine="0" w:firstLineChars="0"/>
              <w:jc w:val="center"/>
              <w:rPr>
                <w:sz w:val="21"/>
                <w:szCs w:val="21"/>
                <w:highlight w:val="none"/>
              </w:rPr>
            </w:pPr>
            <w:r>
              <w:rPr>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11" w:type="pct"/>
            <w:vAlign w:val="center"/>
          </w:tcPr>
          <w:p>
            <w:pPr>
              <w:spacing w:line="240" w:lineRule="auto"/>
              <w:ind w:firstLine="0" w:firstLineChars="0"/>
              <w:jc w:val="center"/>
              <w:rPr>
                <w:sz w:val="21"/>
                <w:szCs w:val="21"/>
                <w:highlight w:val="none"/>
              </w:rPr>
            </w:pPr>
            <w:r>
              <w:rPr>
                <w:sz w:val="21"/>
                <w:szCs w:val="21"/>
                <w:highlight w:val="none"/>
              </w:rPr>
              <w:t>锰</w:t>
            </w:r>
          </w:p>
        </w:tc>
        <w:tc>
          <w:tcPr>
            <w:tcW w:w="716" w:type="pct"/>
            <w:vAlign w:val="center"/>
          </w:tcPr>
          <w:p>
            <w:pPr>
              <w:spacing w:line="240" w:lineRule="auto"/>
              <w:ind w:firstLine="0" w:firstLineChars="0"/>
              <w:jc w:val="center"/>
              <w:rPr>
                <w:sz w:val="21"/>
                <w:szCs w:val="21"/>
                <w:highlight w:val="none"/>
              </w:rPr>
            </w:pPr>
            <w:r>
              <w:rPr>
                <w:sz w:val="21"/>
                <w:szCs w:val="21"/>
                <w:highlight w:val="none"/>
              </w:rPr>
              <w:t>0.1 mg/L</w:t>
            </w:r>
          </w:p>
        </w:tc>
        <w:tc>
          <w:tcPr>
            <w:tcW w:w="707" w:type="pct"/>
            <w:vAlign w:val="center"/>
          </w:tcPr>
          <w:p>
            <w:pPr>
              <w:spacing w:line="240" w:lineRule="auto"/>
              <w:ind w:firstLine="0" w:firstLineChars="0"/>
              <w:jc w:val="center"/>
              <w:rPr>
                <w:sz w:val="21"/>
                <w:szCs w:val="21"/>
                <w:highlight w:val="none"/>
              </w:rPr>
            </w:pPr>
            <w:r>
              <w:rPr>
                <w:sz w:val="21"/>
                <w:szCs w:val="21"/>
                <w:highlight w:val="none"/>
              </w:rPr>
              <w:t>0.05</w:t>
            </w:r>
          </w:p>
        </w:tc>
        <w:tc>
          <w:tcPr>
            <w:tcW w:w="701" w:type="pct"/>
            <w:vAlign w:val="center"/>
          </w:tcPr>
          <w:p>
            <w:pPr>
              <w:spacing w:line="240" w:lineRule="auto"/>
              <w:ind w:firstLine="0" w:firstLineChars="0"/>
              <w:jc w:val="center"/>
              <w:rPr>
                <w:sz w:val="21"/>
                <w:szCs w:val="21"/>
                <w:highlight w:val="none"/>
              </w:rPr>
            </w:pPr>
            <w:r>
              <w:rPr>
                <w:sz w:val="21"/>
                <w:szCs w:val="21"/>
                <w:highlight w:val="none"/>
              </w:rPr>
              <w:t>0.05</w:t>
            </w:r>
          </w:p>
        </w:tc>
        <w:tc>
          <w:tcPr>
            <w:tcW w:w="771" w:type="pct"/>
            <w:vAlign w:val="center"/>
          </w:tcPr>
          <w:p>
            <w:pPr>
              <w:spacing w:line="240" w:lineRule="auto"/>
              <w:ind w:firstLine="0" w:firstLineChars="0"/>
              <w:jc w:val="center"/>
              <w:rPr>
                <w:sz w:val="21"/>
                <w:szCs w:val="21"/>
                <w:highlight w:val="none"/>
              </w:rPr>
            </w:pPr>
            <w:r>
              <w:rPr>
                <w:sz w:val="21"/>
                <w:szCs w:val="21"/>
                <w:highlight w:val="none"/>
              </w:rPr>
              <w:t>0.05</w:t>
            </w:r>
          </w:p>
        </w:tc>
        <w:tc>
          <w:tcPr>
            <w:tcW w:w="753" w:type="pct"/>
            <w:vAlign w:val="center"/>
          </w:tcPr>
          <w:p>
            <w:pPr>
              <w:spacing w:line="240" w:lineRule="auto"/>
              <w:ind w:firstLine="0" w:firstLineChars="0"/>
              <w:jc w:val="center"/>
              <w:rPr>
                <w:sz w:val="21"/>
                <w:szCs w:val="21"/>
                <w:highlight w:val="none"/>
              </w:rPr>
            </w:pPr>
            <w:r>
              <w:rPr>
                <w:sz w:val="21"/>
                <w:szCs w:val="21"/>
                <w:highlight w:val="none"/>
              </w:rPr>
              <w:t>0.05</w:t>
            </w:r>
          </w:p>
        </w:tc>
        <w:tc>
          <w:tcPr>
            <w:tcW w:w="737" w:type="pct"/>
            <w:vAlign w:val="center"/>
          </w:tcPr>
          <w:p>
            <w:pPr>
              <w:spacing w:line="240" w:lineRule="auto"/>
              <w:ind w:firstLine="0" w:firstLineChars="0"/>
              <w:jc w:val="center"/>
              <w:rPr>
                <w:sz w:val="21"/>
                <w:szCs w:val="21"/>
                <w:highlight w:val="none"/>
              </w:rPr>
            </w:pPr>
            <w:r>
              <w:rPr>
                <w:sz w:val="21"/>
                <w:szCs w:val="21"/>
                <w:highlight w:val="none"/>
              </w:rPr>
              <w:t>0.05</w:t>
            </w:r>
          </w:p>
        </w:tc>
      </w:tr>
    </w:tbl>
    <w:p>
      <w:pPr>
        <w:spacing w:line="440" w:lineRule="exact"/>
        <w:ind w:firstLine="480"/>
        <w:jc w:val="both"/>
        <w:rPr>
          <w:sz w:val="24"/>
          <w:highlight w:val="none"/>
        </w:rPr>
      </w:pPr>
      <w:r>
        <w:rPr>
          <w:sz w:val="24"/>
          <w:highlight w:val="none"/>
        </w:rPr>
        <w:t>由上述结果可知，项目所在区域地下水中所有监测因子均满足《地下水质量标准》（GB/T14848-2017）中III类标准限值要求，其中石油类满足《地表水环境质量标准》（GB3838-2002）中表1 III类标准限值要求。</w:t>
      </w:r>
    </w:p>
    <w:bookmarkEnd w:id="302"/>
    <w:bookmarkEnd w:id="303"/>
    <w:bookmarkEnd w:id="304"/>
    <w:bookmarkEnd w:id="305"/>
    <w:p>
      <w:pPr>
        <w:pStyle w:val="6"/>
        <w:numPr>
          <w:ilvl w:val="2"/>
          <w:numId w:val="1"/>
        </w:numPr>
        <w:rPr>
          <w:szCs w:val="28"/>
          <w:highlight w:val="none"/>
        </w:rPr>
      </w:pPr>
      <w:r>
        <w:rPr>
          <w:szCs w:val="28"/>
          <w:highlight w:val="none"/>
        </w:rPr>
        <w:t>噪声</w:t>
      </w:r>
      <w:bookmarkEnd w:id="300"/>
      <w:bookmarkEnd w:id="301"/>
    </w:p>
    <w:p>
      <w:pPr>
        <w:pStyle w:val="419"/>
        <w:widowControl w:val="0"/>
        <w:spacing w:line="480" w:lineRule="exact"/>
        <w:ind w:firstLine="480"/>
        <w:rPr>
          <w:highlight w:val="none"/>
        </w:rPr>
      </w:pPr>
      <w:r>
        <w:rPr>
          <w:highlight w:val="none"/>
        </w:rPr>
        <w:t>为了解项目厂界噪声现状，</w:t>
      </w:r>
      <w:r>
        <w:rPr>
          <w:rFonts w:hint="eastAsia"/>
          <w:highlight w:val="none"/>
        </w:rPr>
        <w:t>委托监测单位</w:t>
      </w:r>
      <w:r>
        <w:rPr>
          <w:highlight w:val="none"/>
        </w:rPr>
        <w:t>于202</w:t>
      </w:r>
      <w:r>
        <w:rPr>
          <w:rFonts w:hint="eastAsia"/>
          <w:highlight w:val="none"/>
        </w:rPr>
        <w:t>3</w:t>
      </w:r>
      <w:r>
        <w:rPr>
          <w:highlight w:val="none"/>
        </w:rPr>
        <w:t>年</w:t>
      </w:r>
      <w:r>
        <w:rPr>
          <w:rFonts w:hint="eastAsia"/>
          <w:highlight w:val="none"/>
        </w:rPr>
        <w:t>05</w:t>
      </w:r>
      <w:r>
        <w:rPr>
          <w:highlight w:val="none"/>
        </w:rPr>
        <w:t>月</w:t>
      </w:r>
      <w:r>
        <w:rPr>
          <w:rFonts w:hint="eastAsia"/>
          <w:highlight w:val="none"/>
        </w:rPr>
        <w:t>01</w:t>
      </w:r>
      <w:r>
        <w:rPr>
          <w:highlight w:val="none"/>
        </w:rPr>
        <w:t>日对厂界噪声现状值进行了监测。</w:t>
      </w:r>
    </w:p>
    <w:p>
      <w:pPr>
        <w:pStyle w:val="419"/>
        <w:widowControl w:val="0"/>
        <w:spacing w:line="480" w:lineRule="exact"/>
        <w:ind w:firstLine="480"/>
        <w:rPr>
          <w:highlight w:val="none"/>
        </w:rPr>
      </w:pPr>
      <w:r>
        <w:rPr>
          <w:highlight w:val="none"/>
        </w:rPr>
        <w:t>1、监测因子：等效连续A声级。</w:t>
      </w:r>
    </w:p>
    <w:p>
      <w:pPr>
        <w:spacing w:line="480" w:lineRule="exact"/>
        <w:ind w:firstLine="480"/>
        <w:rPr>
          <w:sz w:val="24"/>
          <w:szCs w:val="24"/>
          <w:highlight w:val="none"/>
        </w:rPr>
      </w:pPr>
      <w:r>
        <w:rPr>
          <w:sz w:val="24"/>
          <w:szCs w:val="24"/>
          <w:highlight w:val="none"/>
        </w:rPr>
        <w:t>2、监测布点：在厂区四周边界各布设1个噪声监测点，</w:t>
      </w:r>
      <w:r>
        <w:rPr>
          <w:rFonts w:hint="eastAsia"/>
          <w:sz w:val="24"/>
          <w:szCs w:val="24"/>
          <w:highlight w:val="none"/>
        </w:rPr>
        <w:t>共</w:t>
      </w:r>
      <w:r>
        <w:rPr>
          <w:sz w:val="24"/>
          <w:szCs w:val="24"/>
          <w:highlight w:val="none"/>
        </w:rPr>
        <w:t>设4个监测点。</w:t>
      </w:r>
    </w:p>
    <w:p>
      <w:pPr>
        <w:pStyle w:val="419"/>
        <w:widowControl w:val="0"/>
        <w:spacing w:line="480" w:lineRule="exact"/>
        <w:ind w:firstLine="480"/>
        <w:rPr>
          <w:highlight w:val="none"/>
        </w:rPr>
      </w:pPr>
      <w:r>
        <w:rPr>
          <w:highlight w:val="none"/>
        </w:rPr>
        <w:t>3、监测时间及监测频次</w:t>
      </w:r>
    </w:p>
    <w:p>
      <w:pPr>
        <w:pStyle w:val="419"/>
        <w:widowControl w:val="0"/>
        <w:spacing w:line="480" w:lineRule="exact"/>
        <w:ind w:firstLine="480"/>
        <w:rPr>
          <w:highlight w:val="none"/>
        </w:rPr>
      </w:pPr>
      <w:r>
        <w:rPr>
          <w:highlight w:val="none"/>
        </w:rPr>
        <w:t>监测1天，昼间、夜间分别监测，昼间监测时段为6:00～22:00，夜间监测时段为22:00～次日06:00。</w:t>
      </w:r>
    </w:p>
    <w:p>
      <w:pPr>
        <w:pStyle w:val="419"/>
        <w:widowControl w:val="0"/>
        <w:spacing w:line="480" w:lineRule="exact"/>
        <w:ind w:firstLine="480"/>
        <w:rPr>
          <w:highlight w:val="none"/>
        </w:rPr>
      </w:pPr>
      <w:r>
        <w:rPr>
          <w:highlight w:val="none"/>
        </w:rPr>
        <w:t>4、监测与评价方法</w:t>
      </w:r>
    </w:p>
    <w:p>
      <w:pPr>
        <w:spacing w:line="480" w:lineRule="exact"/>
        <w:ind w:firstLine="480"/>
        <w:rPr>
          <w:sz w:val="24"/>
          <w:szCs w:val="24"/>
          <w:highlight w:val="none"/>
        </w:rPr>
      </w:pPr>
      <w:r>
        <w:rPr>
          <w:sz w:val="24"/>
          <w:szCs w:val="24"/>
          <w:highlight w:val="none"/>
        </w:rPr>
        <w:t>监测按照《声环境质量标准》（GB3096-2008）中的规定进行；评价采用等效声级与相应标准值比较的方法进行。</w:t>
      </w:r>
    </w:p>
    <w:p>
      <w:pPr>
        <w:spacing w:line="480" w:lineRule="exact"/>
        <w:ind w:firstLine="480"/>
        <w:rPr>
          <w:kern w:val="24"/>
          <w:sz w:val="24"/>
          <w:szCs w:val="24"/>
          <w:highlight w:val="none"/>
        </w:rPr>
      </w:pPr>
      <w:r>
        <w:rPr>
          <w:kern w:val="24"/>
          <w:sz w:val="24"/>
          <w:szCs w:val="24"/>
          <w:highlight w:val="none"/>
        </w:rPr>
        <w:t>5、评价标准</w:t>
      </w:r>
    </w:p>
    <w:p>
      <w:pPr>
        <w:pStyle w:val="173"/>
        <w:spacing w:line="480" w:lineRule="exact"/>
        <w:ind w:firstLine="480"/>
        <w:rPr>
          <w:highlight w:val="none"/>
        </w:rPr>
      </w:pPr>
      <w:r>
        <w:rPr>
          <w:highlight w:val="none"/>
        </w:rPr>
        <w:t>执行《声环境质量标准》(GB3096-2008)中2类区标准：昼间60dB(A)、夜间50dB(A)。</w:t>
      </w:r>
    </w:p>
    <w:p>
      <w:pPr>
        <w:pStyle w:val="419"/>
        <w:widowControl w:val="0"/>
        <w:numPr>
          <w:ilvl w:val="0"/>
          <w:numId w:val="5"/>
        </w:numPr>
        <w:spacing w:line="480" w:lineRule="exact"/>
        <w:ind w:firstLine="480"/>
        <w:rPr>
          <w:highlight w:val="none"/>
        </w:rPr>
      </w:pPr>
      <w:r>
        <w:rPr>
          <w:highlight w:val="none"/>
        </w:rPr>
        <w:t>监测及评价结果</w:t>
      </w:r>
    </w:p>
    <w:p>
      <w:pPr>
        <w:pStyle w:val="419"/>
        <w:widowControl w:val="0"/>
        <w:spacing w:line="480" w:lineRule="exact"/>
        <w:ind w:firstLine="480"/>
        <w:rPr>
          <w:highlight w:val="none"/>
        </w:rPr>
      </w:pPr>
      <w:r>
        <w:rPr>
          <w:highlight w:val="none"/>
        </w:rPr>
        <w:t>监测及评价结果见表4.3-</w:t>
      </w:r>
      <w:r>
        <w:rPr>
          <w:rFonts w:hint="eastAsia"/>
          <w:highlight w:val="none"/>
        </w:rPr>
        <w:t>6</w:t>
      </w:r>
      <w:r>
        <w:rPr>
          <w:highlight w:val="none"/>
        </w:rPr>
        <w:t>。</w:t>
      </w:r>
    </w:p>
    <w:p>
      <w:pPr>
        <w:adjustRightInd w:val="0"/>
        <w:snapToGrid w:val="0"/>
        <w:spacing w:line="240" w:lineRule="auto"/>
        <w:ind w:firstLine="0" w:firstLineChars="0"/>
        <w:jc w:val="center"/>
        <w:textAlignment w:val="auto"/>
        <w:rPr>
          <w:rFonts w:eastAsia="黑体"/>
          <w:bCs/>
          <w:kern w:val="2"/>
          <w:sz w:val="21"/>
          <w:szCs w:val="22"/>
          <w:highlight w:val="none"/>
        </w:rPr>
      </w:pPr>
      <w:r>
        <w:rPr>
          <w:rFonts w:eastAsia="黑体"/>
          <w:bCs/>
          <w:kern w:val="2"/>
          <w:sz w:val="21"/>
          <w:szCs w:val="22"/>
          <w:highlight w:val="none"/>
        </w:rPr>
        <w:t>表4.3-</w:t>
      </w:r>
      <w:r>
        <w:rPr>
          <w:rFonts w:hint="eastAsia" w:eastAsia="黑体"/>
          <w:bCs/>
          <w:kern w:val="2"/>
          <w:sz w:val="21"/>
          <w:szCs w:val="22"/>
          <w:highlight w:val="none"/>
        </w:rPr>
        <w:t>6</w:t>
      </w:r>
      <w:r>
        <w:rPr>
          <w:rFonts w:eastAsia="黑体"/>
          <w:bCs/>
          <w:kern w:val="2"/>
          <w:sz w:val="21"/>
          <w:szCs w:val="22"/>
          <w:highlight w:val="none"/>
        </w:rPr>
        <w:t xml:space="preserve">  声环境现状监测及评价结果一览表  单位：dB(A)</w:t>
      </w:r>
    </w:p>
    <w:tbl>
      <w:tblPr>
        <w:tblStyle w:val="5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035"/>
        <w:gridCol w:w="930"/>
        <w:gridCol w:w="1108"/>
        <w:gridCol w:w="1202"/>
        <w:gridCol w:w="1184"/>
        <w:gridCol w:w="13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399" w:type="dxa"/>
            <w:vMerge w:val="restart"/>
            <w:vAlign w:val="center"/>
          </w:tcPr>
          <w:p>
            <w:pPr>
              <w:spacing w:line="240" w:lineRule="auto"/>
              <w:ind w:firstLine="0" w:firstLineChars="0"/>
              <w:jc w:val="center"/>
              <w:rPr>
                <w:sz w:val="21"/>
                <w:szCs w:val="21"/>
                <w:highlight w:val="none"/>
              </w:rPr>
            </w:pPr>
            <w:r>
              <w:rPr>
                <w:sz w:val="21"/>
                <w:szCs w:val="21"/>
                <w:highlight w:val="none"/>
              </w:rPr>
              <w:t>位置</w:t>
            </w:r>
          </w:p>
        </w:tc>
        <w:tc>
          <w:tcPr>
            <w:tcW w:w="3073" w:type="dxa"/>
            <w:gridSpan w:val="3"/>
            <w:vAlign w:val="center"/>
          </w:tcPr>
          <w:p>
            <w:pPr>
              <w:spacing w:line="240" w:lineRule="auto"/>
              <w:ind w:firstLine="0" w:firstLineChars="0"/>
              <w:jc w:val="center"/>
              <w:rPr>
                <w:sz w:val="21"/>
                <w:szCs w:val="21"/>
                <w:highlight w:val="none"/>
              </w:rPr>
            </w:pPr>
            <w:r>
              <w:rPr>
                <w:sz w:val="21"/>
                <w:szCs w:val="21"/>
                <w:highlight w:val="none"/>
              </w:rPr>
              <w:t>昼间</w:t>
            </w:r>
          </w:p>
        </w:tc>
        <w:tc>
          <w:tcPr>
            <w:tcW w:w="3748" w:type="dxa"/>
            <w:gridSpan w:val="3"/>
            <w:vAlign w:val="center"/>
          </w:tcPr>
          <w:p>
            <w:pPr>
              <w:spacing w:line="240" w:lineRule="auto"/>
              <w:ind w:firstLine="0" w:firstLineChars="0"/>
              <w:jc w:val="center"/>
              <w:rPr>
                <w:sz w:val="21"/>
                <w:szCs w:val="21"/>
                <w:highlight w:val="none"/>
              </w:rPr>
            </w:pPr>
            <w:r>
              <w:rPr>
                <w:sz w:val="21"/>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399" w:type="dxa"/>
            <w:vMerge w:val="continue"/>
            <w:vAlign w:val="center"/>
          </w:tcPr>
          <w:p>
            <w:pPr>
              <w:spacing w:line="240" w:lineRule="auto"/>
              <w:ind w:firstLine="0" w:firstLineChars="0"/>
              <w:jc w:val="center"/>
              <w:rPr>
                <w:sz w:val="21"/>
                <w:szCs w:val="21"/>
                <w:highlight w:val="none"/>
              </w:rPr>
            </w:pPr>
          </w:p>
        </w:tc>
        <w:tc>
          <w:tcPr>
            <w:tcW w:w="1035" w:type="dxa"/>
            <w:vAlign w:val="center"/>
          </w:tcPr>
          <w:p>
            <w:pPr>
              <w:spacing w:line="240" w:lineRule="auto"/>
              <w:ind w:firstLine="0" w:firstLineChars="0"/>
              <w:jc w:val="center"/>
              <w:rPr>
                <w:sz w:val="21"/>
                <w:szCs w:val="21"/>
                <w:highlight w:val="none"/>
              </w:rPr>
            </w:pPr>
            <w:r>
              <w:rPr>
                <w:sz w:val="21"/>
                <w:szCs w:val="21"/>
                <w:highlight w:val="none"/>
              </w:rPr>
              <w:t>监测值</w:t>
            </w:r>
          </w:p>
        </w:tc>
        <w:tc>
          <w:tcPr>
            <w:tcW w:w="930" w:type="dxa"/>
            <w:vAlign w:val="center"/>
          </w:tcPr>
          <w:p>
            <w:pPr>
              <w:spacing w:line="240" w:lineRule="auto"/>
              <w:ind w:firstLine="0" w:firstLineChars="0"/>
              <w:jc w:val="center"/>
              <w:rPr>
                <w:sz w:val="21"/>
                <w:szCs w:val="21"/>
                <w:highlight w:val="none"/>
              </w:rPr>
            </w:pPr>
            <w:r>
              <w:rPr>
                <w:sz w:val="21"/>
                <w:szCs w:val="21"/>
                <w:highlight w:val="none"/>
              </w:rPr>
              <w:t>标准值</w:t>
            </w:r>
          </w:p>
        </w:tc>
        <w:tc>
          <w:tcPr>
            <w:tcW w:w="1108" w:type="dxa"/>
            <w:vAlign w:val="center"/>
          </w:tcPr>
          <w:p>
            <w:pPr>
              <w:spacing w:line="240" w:lineRule="auto"/>
              <w:ind w:firstLine="0" w:firstLineChars="0"/>
              <w:jc w:val="center"/>
              <w:rPr>
                <w:sz w:val="21"/>
                <w:szCs w:val="21"/>
                <w:highlight w:val="none"/>
              </w:rPr>
            </w:pPr>
            <w:r>
              <w:rPr>
                <w:sz w:val="21"/>
                <w:szCs w:val="21"/>
                <w:highlight w:val="none"/>
              </w:rPr>
              <w:t>评价结果</w:t>
            </w:r>
          </w:p>
        </w:tc>
        <w:tc>
          <w:tcPr>
            <w:tcW w:w="1202" w:type="dxa"/>
            <w:vAlign w:val="center"/>
          </w:tcPr>
          <w:p>
            <w:pPr>
              <w:spacing w:line="240" w:lineRule="auto"/>
              <w:ind w:firstLine="0" w:firstLineChars="0"/>
              <w:jc w:val="center"/>
              <w:rPr>
                <w:sz w:val="21"/>
                <w:szCs w:val="21"/>
                <w:highlight w:val="none"/>
              </w:rPr>
            </w:pPr>
            <w:r>
              <w:rPr>
                <w:sz w:val="21"/>
                <w:szCs w:val="21"/>
                <w:highlight w:val="none"/>
              </w:rPr>
              <w:t>监测值</w:t>
            </w:r>
          </w:p>
        </w:tc>
        <w:tc>
          <w:tcPr>
            <w:tcW w:w="1184" w:type="dxa"/>
            <w:vAlign w:val="center"/>
          </w:tcPr>
          <w:p>
            <w:pPr>
              <w:spacing w:line="240" w:lineRule="auto"/>
              <w:ind w:firstLine="0" w:firstLineChars="0"/>
              <w:jc w:val="center"/>
              <w:rPr>
                <w:sz w:val="21"/>
                <w:szCs w:val="21"/>
                <w:highlight w:val="none"/>
              </w:rPr>
            </w:pPr>
            <w:r>
              <w:rPr>
                <w:sz w:val="21"/>
                <w:szCs w:val="21"/>
                <w:highlight w:val="none"/>
              </w:rPr>
              <w:t>标准值</w:t>
            </w:r>
          </w:p>
        </w:tc>
        <w:tc>
          <w:tcPr>
            <w:tcW w:w="1362" w:type="dxa"/>
            <w:vAlign w:val="center"/>
          </w:tcPr>
          <w:p>
            <w:pPr>
              <w:spacing w:line="240" w:lineRule="auto"/>
              <w:ind w:firstLine="0" w:firstLineChars="0"/>
              <w:jc w:val="center"/>
              <w:rPr>
                <w:sz w:val="21"/>
                <w:szCs w:val="21"/>
                <w:highlight w:val="none"/>
              </w:rPr>
            </w:pPr>
            <w:r>
              <w:rPr>
                <w:sz w:val="21"/>
                <w:szCs w:val="21"/>
                <w:highlight w:val="none"/>
              </w:rPr>
              <w:t>评价结果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399" w:type="dxa"/>
            <w:vAlign w:val="center"/>
          </w:tcPr>
          <w:p>
            <w:pPr>
              <w:spacing w:line="240" w:lineRule="auto"/>
              <w:ind w:firstLine="0" w:firstLineChars="0"/>
              <w:jc w:val="center"/>
              <w:rPr>
                <w:sz w:val="21"/>
                <w:szCs w:val="21"/>
                <w:highlight w:val="none"/>
              </w:rPr>
            </w:pPr>
            <w:r>
              <w:rPr>
                <w:sz w:val="21"/>
                <w:szCs w:val="21"/>
                <w:highlight w:val="none"/>
              </w:rPr>
              <w:t>1#（东厂界）</w:t>
            </w:r>
          </w:p>
        </w:tc>
        <w:tc>
          <w:tcPr>
            <w:tcW w:w="1035" w:type="dxa"/>
            <w:vAlign w:val="center"/>
          </w:tcPr>
          <w:p>
            <w:pPr>
              <w:pStyle w:val="262"/>
              <w:jc w:val="center"/>
              <w:rPr>
                <w:rFonts w:ascii="Times New Roman" w:hAnsi="Times New Roman" w:cs="Times New Roman"/>
                <w:sz w:val="21"/>
                <w:szCs w:val="21"/>
                <w:highlight w:val="none"/>
              </w:rPr>
            </w:pPr>
            <w:r>
              <w:rPr>
                <w:rFonts w:hint="eastAsia" w:ascii="Times New Roman"/>
                <w:color w:val="auto"/>
                <w:sz w:val="21"/>
                <w:szCs w:val="21"/>
                <w:highlight w:val="none"/>
              </w:rPr>
              <w:t>56</w:t>
            </w:r>
          </w:p>
        </w:tc>
        <w:tc>
          <w:tcPr>
            <w:tcW w:w="930" w:type="dxa"/>
            <w:vAlign w:val="center"/>
          </w:tcPr>
          <w:p>
            <w:pPr>
              <w:spacing w:line="240" w:lineRule="auto"/>
              <w:ind w:firstLine="0" w:firstLineChars="0"/>
              <w:jc w:val="center"/>
              <w:rPr>
                <w:sz w:val="21"/>
                <w:szCs w:val="21"/>
                <w:highlight w:val="none"/>
              </w:rPr>
            </w:pPr>
            <w:r>
              <w:rPr>
                <w:sz w:val="21"/>
                <w:szCs w:val="21"/>
                <w:highlight w:val="none"/>
              </w:rPr>
              <w:t>60</w:t>
            </w:r>
          </w:p>
        </w:tc>
        <w:tc>
          <w:tcPr>
            <w:tcW w:w="1108" w:type="dxa"/>
            <w:vAlign w:val="center"/>
          </w:tcPr>
          <w:p>
            <w:pPr>
              <w:spacing w:line="240" w:lineRule="auto"/>
              <w:ind w:firstLine="0" w:firstLineChars="0"/>
              <w:jc w:val="center"/>
              <w:rPr>
                <w:sz w:val="21"/>
                <w:szCs w:val="21"/>
                <w:highlight w:val="none"/>
              </w:rPr>
            </w:pPr>
            <w:r>
              <w:rPr>
                <w:sz w:val="21"/>
                <w:szCs w:val="21"/>
                <w:highlight w:val="none"/>
              </w:rPr>
              <w:t>达标</w:t>
            </w:r>
          </w:p>
        </w:tc>
        <w:tc>
          <w:tcPr>
            <w:tcW w:w="1202" w:type="dxa"/>
            <w:vAlign w:val="center"/>
          </w:tcPr>
          <w:p>
            <w:pPr>
              <w:pStyle w:val="262"/>
              <w:jc w:val="center"/>
              <w:rPr>
                <w:rFonts w:ascii="Times New Roman" w:hAnsi="Times New Roman" w:cs="Times New Roman"/>
                <w:sz w:val="21"/>
                <w:szCs w:val="21"/>
                <w:highlight w:val="none"/>
              </w:rPr>
            </w:pPr>
            <w:r>
              <w:rPr>
                <w:rFonts w:hint="eastAsia" w:ascii="Times New Roman"/>
                <w:color w:val="auto"/>
                <w:sz w:val="21"/>
                <w:szCs w:val="21"/>
                <w:highlight w:val="none"/>
              </w:rPr>
              <w:t>47</w:t>
            </w:r>
          </w:p>
        </w:tc>
        <w:tc>
          <w:tcPr>
            <w:tcW w:w="1184" w:type="dxa"/>
            <w:vAlign w:val="center"/>
          </w:tcPr>
          <w:p>
            <w:pPr>
              <w:spacing w:line="240" w:lineRule="auto"/>
              <w:ind w:firstLine="0" w:firstLineChars="0"/>
              <w:jc w:val="center"/>
              <w:rPr>
                <w:sz w:val="21"/>
                <w:szCs w:val="21"/>
                <w:highlight w:val="none"/>
              </w:rPr>
            </w:pPr>
            <w:r>
              <w:rPr>
                <w:sz w:val="21"/>
                <w:szCs w:val="21"/>
                <w:highlight w:val="none"/>
              </w:rPr>
              <w:t>50</w:t>
            </w:r>
          </w:p>
        </w:tc>
        <w:tc>
          <w:tcPr>
            <w:tcW w:w="1362" w:type="dxa"/>
            <w:vAlign w:val="center"/>
          </w:tcPr>
          <w:p>
            <w:pPr>
              <w:spacing w:line="240" w:lineRule="auto"/>
              <w:ind w:firstLine="0" w:firstLineChars="0"/>
              <w:jc w:val="center"/>
              <w:rPr>
                <w:sz w:val="21"/>
                <w:szCs w:val="21"/>
                <w:highlight w:val="none"/>
              </w:rPr>
            </w:pPr>
            <w:r>
              <w:rPr>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399" w:type="dxa"/>
            <w:vAlign w:val="center"/>
          </w:tcPr>
          <w:p>
            <w:pPr>
              <w:spacing w:line="240" w:lineRule="auto"/>
              <w:ind w:firstLine="0" w:firstLineChars="0"/>
              <w:jc w:val="center"/>
              <w:rPr>
                <w:sz w:val="21"/>
                <w:szCs w:val="21"/>
                <w:highlight w:val="none"/>
              </w:rPr>
            </w:pPr>
            <w:r>
              <w:rPr>
                <w:sz w:val="21"/>
                <w:szCs w:val="21"/>
                <w:highlight w:val="none"/>
              </w:rPr>
              <w:t>2#（南厂界）</w:t>
            </w:r>
          </w:p>
        </w:tc>
        <w:tc>
          <w:tcPr>
            <w:tcW w:w="1035" w:type="dxa"/>
            <w:vAlign w:val="center"/>
          </w:tcPr>
          <w:p>
            <w:pPr>
              <w:pStyle w:val="262"/>
              <w:jc w:val="center"/>
              <w:rPr>
                <w:rFonts w:ascii="Times New Roman" w:hAnsi="Times New Roman" w:cs="Times New Roman"/>
                <w:sz w:val="21"/>
                <w:szCs w:val="21"/>
                <w:highlight w:val="none"/>
              </w:rPr>
            </w:pPr>
            <w:r>
              <w:rPr>
                <w:rFonts w:hint="eastAsia" w:ascii="Times New Roman"/>
                <w:color w:val="auto"/>
                <w:sz w:val="21"/>
                <w:szCs w:val="21"/>
                <w:highlight w:val="none"/>
              </w:rPr>
              <w:t>55</w:t>
            </w:r>
          </w:p>
        </w:tc>
        <w:tc>
          <w:tcPr>
            <w:tcW w:w="930" w:type="dxa"/>
            <w:vAlign w:val="center"/>
          </w:tcPr>
          <w:p>
            <w:pPr>
              <w:spacing w:line="240" w:lineRule="auto"/>
              <w:ind w:firstLine="0" w:firstLineChars="0"/>
              <w:jc w:val="center"/>
              <w:rPr>
                <w:sz w:val="21"/>
                <w:szCs w:val="21"/>
                <w:highlight w:val="none"/>
              </w:rPr>
            </w:pPr>
            <w:r>
              <w:rPr>
                <w:sz w:val="21"/>
                <w:szCs w:val="21"/>
                <w:highlight w:val="none"/>
              </w:rPr>
              <w:t>60</w:t>
            </w:r>
          </w:p>
        </w:tc>
        <w:tc>
          <w:tcPr>
            <w:tcW w:w="1108" w:type="dxa"/>
            <w:vAlign w:val="center"/>
          </w:tcPr>
          <w:p>
            <w:pPr>
              <w:spacing w:line="240" w:lineRule="auto"/>
              <w:ind w:firstLine="0" w:firstLineChars="0"/>
              <w:jc w:val="center"/>
              <w:rPr>
                <w:sz w:val="21"/>
                <w:szCs w:val="21"/>
                <w:highlight w:val="none"/>
              </w:rPr>
            </w:pPr>
            <w:r>
              <w:rPr>
                <w:sz w:val="21"/>
                <w:szCs w:val="21"/>
                <w:highlight w:val="none"/>
              </w:rPr>
              <w:t>达标</w:t>
            </w:r>
          </w:p>
        </w:tc>
        <w:tc>
          <w:tcPr>
            <w:tcW w:w="1202" w:type="dxa"/>
            <w:vAlign w:val="center"/>
          </w:tcPr>
          <w:p>
            <w:pPr>
              <w:pStyle w:val="262"/>
              <w:jc w:val="center"/>
              <w:rPr>
                <w:rFonts w:ascii="Times New Roman" w:hAnsi="Times New Roman" w:cs="Times New Roman"/>
                <w:sz w:val="21"/>
                <w:szCs w:val="21"/>
                <w:highlight w:val="none"/>
              </w:rPr>
            </w:pPr>
            <w:r>
              <w:rPr>
                <w:rFonts w:hint="eastAsia" w:ascii="Times New Roman"/>
                <w:color w:val="auto"/>
                <w:sz w:val="21"/>
                <w:szCs w:val="21"/>
                <w:highlight w:val="none"/>
              </w:rPr>
              <w:t>48</w:t>
            </w:r>
          </w:p>
        </w:tc>
        <w:tc>
          <w:tcPr>
            <w:tcW w:w="1184" w:type="dxa"/>
            <w:vAlign w:val="center"/>
          </w:tcPr>
          <w:p>
            <w:pPr>
              <w:spacing w:line="240" w:lineRule="auto"/>
              <w:ind w:firstLine="0" w:firstLineChars="0"/>
              <w:jc w:val="center"/>
              <w:rPr>
                <w:sz w:val="21"/>
                <w:szCs w:val="21"/>
                <w:highlight w:val="none"/>
              </w:rPr>
            </w:pPr>
            <w:r>
              <w:rPr>
                <w:sz w:val="21"/>
                <w:szCs w:val="21"/>
                <w:highlight w:val="none"/>
              </w:rPr>
              <w:t>50</w:t>
            </w:r>
          </w:p>
        </w:tc>
        <w:tc>
          <w:tcPr>
            <w:tcW w:w="1362" w:type="dxa"/>
            <w:vAlign w:val="center"/>
          </w:tcPr>
          <w:p>
            <w:pPr>
              <w:spacing w:line="240" w:lineRule="auto"/>
              <w:ind w:firstLine="0" w:firstLineChars="0"/>
              <w:jc w:val="center"/>
              <w:rPr>
                <w:sz w:val="21"/>
                <w:szCs w:val="21"/>
                <w:highlight w:val="none"/>
              </w:rPr>
            </w:pPr>
            <w:r>
              <w:rPr>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399" w:type="dxa"/>
            <w:vAlign w:val="center"/>
          </w:tcPr>
          <w:p>
            <w:pPr>
              <w:spacing w:line="240" w:lineRule="auto"/>
              <w:ind w:firstLine="0" w:firstLineChars="0"/>
              <w:jc w:val="center"/>
              <w:rPr>
                <w:sz w:val="21"/>
                <w:szCs w:val="21"/>
                <w:highlight w:val="none"/>
              </w:rPr>
            </w:pPr>
            <w:r>
              <w:rPr>
                <w:sz w:val="21"/>
                <w:szCs w:val="21"/>
                <w:highlight w:val="none"/>
              </w:rPr>
              <w:t>3#（西厂界）</w:t>
            </w:r>
          </w:p>
        </w:tc>
        <w:tc>
          <w:tcPr>
            <w:tcW w:w="1035" w:type="dxa"/>
            <w:vAlign w:val="center"/>
          </w:tcPr>
          <w:p>
            <w:pPr>
              <w:pStyle w:val="262"/>
              <w:jc w:val="center"/>
              <w:rPr>
                <w:rFonts w:ascii="Times New Roman" w:hAnsi="Times New Roman" w:cs="Times New Roman"/>
                <w:sz w:val="21"/>
                <w:szCs w:val="21"/>
                <w:highlight w:val="none"/>
              </w:rPr>
            </w:pPr>
            <w:r>
              <w:rPr>
                <w:rFonts w:hint="eastAsia" w:ascii="Times New Roman"/>
                <w:color w:val="auto"/>
                <w:sz w:val="21"/>
                <w:szCs w:val="21"/>
                <w:highlight w:val="none"/>
              </w:rPr>
              <w:t>57</w:t>
            </w:r>
          </w:p>
        </w:tc>
        <w:tc>
          <w:tcPr>
            <w:tcW w:w="930" w:type="dxa"/>
            <w:vAlign w:val="center"/>
          </w:tcPr>
          <w:p>
            <w:pPr>
              <w:spacing w:line="240" w:lineRule="auto"/>
              <w:ind w:firstLine="0" w:firstLineChars="0"/>
              <w:jc w:val="center"/>
              <w:rPr>
                <w:sz w:val="21"/>
                <w:szCs w:val="21"/>
                <w:highlight w:val="none"/>
              </w:rPr>
            </w:pPr>
            <w:r>
              <w:rPr>
                <w:sz w:val="21"/>
                <w:szCs w:val="21"/>
                <w:highlight w:val="none"/>
              </w:rPr>
              <w:t>60</w:t>
            </w:r>
          </w:p>
        </w:tc>
        <w:tc>
          <w:tcPr>
            <w:tcW w:w="1108" w:type="dxa"/>
            <w:vAlign w:val="center"/>
          </w:tcPr>
          <w:p>
            <w:pPr>
              <w:spacing w:line="240" w:lineRule="auto"/>
              <w:ind w:firstLine="0" w:firstLineChars="0"/>
              <w:jc w:val="center"/>
              <w:rPr>
                <w:sz w:val="21"/>
                <w:szCs w:val="21"/>
                <w:highlight w:val="none"/>
              </w:rPr>
            </w:pPr>
            <w:r>
              <w:rPr>
                <w:sz w:val="21"/>
                <w:szCs w:val="21"/>
                <w:highlight w:val="none"/>
              </w:rPr>
              <w:t>达标</w:t>
            </w:r>
          </w:p>
        </w:tc>
        <w:tc>
          <w:tcPr>
            <w:tcW w:w="1202" w:type="dxa"/>
            <w:vAlign w:val="center"/>
          </w:tcPr>
          <w:p>
            <w:pPr>
              <w:pStyle w:val="262"/>
              <w:jc w:val="center"/>
              <w:rPr>
                <w:rFonts w:ascii="Times New Roman" w:hAnsi="Times New Roman" w:cs="Times New Roman"/>
                <w:sz w:val="21"/>
                <w:szCs w:val="21"/>
                <w:highlight w:val="none"/>
              </w:rPr>
            </w:pPr>
            <w:r>
              <w:rPr>
                <w:rFonts w:hint="eastAsia" w:ascii="Times New Roman"/>
                <w:color w:val="auto"/>
                <w:sz w:val="21"/>
                <w:szCs w:val="21"/>
                <w:highlight w:val="none"/>
              </w:rPr>
              <w:t>47</w:t>
            </w:r>
          </w:p>
        </w:tc>
        <w:tc>
          <w:tcPr>
            <w:tcW w:w="1184" w:type="dxa"/>
            <w:vAlign w:val="center"/>
          </w:tcPr>
          <w:p>
            <w:pPr>
              <w:spacing w:line="240" w:lineRule="auto"/>
              <w:ind w:firstLine="0" w:firstLineChars="0"/>
              <w:jc w:val="center"/>
              <w:rPr>
                <w:sz w:val="21"/>
                <w:szCs w:val="21"/>
                <w:highlight w:val="none"/>
              </w:rPr>
            </w:pPr>
            <w:r>
              <w:rPr>
                <w:rFonts w:hint="eastAsia"/>
                <w:sz w:val="21"/>
                <w:szCs w:val="21"/>
                <w:highlight w:val="none"/>
              </w:rPr>
              <w:t>50</w:t>
            </w:r>
          </w:p>
        </w:tc>
        <w:tc>
          <w:tcPr>
            <w:tcW w:w="1362" w:type="dxa"/>
            <w:vAlign w:val="center"/>
          </w:tcPr>
          <w:p>
            <w:pPr>
              <w:spacing w:line="240" w:lineRule="auto"/>
              <w:ind w:firstLine="0" w:firstLineChars="0"/>
              <w:jc w:val="center"/>
              <w:rPr>
                <w:sz w:val="21"/>
                <w:szCs w:val="21"/>
                <w:highlight w:val="none"/>
              </w:rPr>
            </w:pPr>
            <w:r>
              <w:rPr>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Align w:val="center"/>
          </w:tcPr>
          <w:p>
            <w:pPr>
              <w:spacing w:line="240" w:lineRule="auto"/>
              <w:ind w:firstLine="0" w:firstLineChars="0"/>
              <w:jc w:val="center"/>
              <w:rPr>
                <w:sz w:val="21"/>
                <w:szCs w:val="21"/>
                <w:highlight w:val="none"/>
              </w:rPr>
            </w:pPr>
            <w:r>
              <w:rPr>
                <w:sz w:val="21"/>
                <w:szCs w:val="21"/>
                <w:highlight w:val="none"/>
              </w:rPr>
              <w:t>4#（北厂界）</w:t>
            </w:r>
          </w:p>
        </w:tc>
        <w:tc>
          <w:tcPr>
            <w:tcW w:w="1035" w:type="dxa"/>
            <w:vAlign w:val="center"/>
          </w:tcPr>
          <w:p>
            <w:pPr>
              <w:pStyle w:val="262"/>
              <w:jc w:val="center"/>
              <w:rPr>
                <w:rFonts w:ascii="Times New Roman" w:hAnsi="Times New Roman" w:cs="Times New Roman"/>
                <w:sz w:val="21"/>
                <w:szCs w:val="21"/>
                <w:highlight w:val="none"/>
              </w:rPr>
            </w:pPr>
            <w:r>
              <w:rPr>
                <w:rFonts w:hint="eastAsia" w:ascii="Times New Roman"/>
                <w:color w:val="auto"/>
                <w:sz w:val="21"/>
                <w:szCs w:val="21"/>
                <w:highlight w:val="none"/>
              </w:rPr>
              <w:t>58</w:t>
            </w:r>
          </w:p>
        </w:tc>
        <w:tc>
          <w:tcPr>
            <w:tcW w:w="930" w:type="dxa"/>
            <w:vAlign w:val="center"/>
          </w:tcPr>
          <w:p>
            <w:pPr>
              <w:spacing w:line="240" w:lineRule="auto"/>
              <w:ind w:firstLine="0" w:firstLineChars="0"/>
              <w:jc w:val="center"/>
              <w:rPr>
                <w:sz w:val="21"/>
                <w:szCs w:val="21"/>
                <w:highlight w:val="none"/>
              </w:rPr>
            </w:pPr>
            <w:r>
              <w:rPr>
                <w:sz w:val="21"/>
                <w:szCs w:val="21"/>
                <w:highlight w:val="none"/>
              </w:rPr>
              <w:t>60</w:t>
            </w:r>
          </w:p>
        </w:tc>
        <w:tc>
          <w:tcPr>
            <w:tcW w:w="1108" w:type="dxa"/>
            <w:vAlign w:val="center"/>
          </w:tcPr>
          <w:p>
            <w:pPr>
              <w:spacing w:line="240" w:lineRule="auto"/>
              <w:ind w:firstLine="0" w:firstLineChars="0"/>
              <w:jc w:val="center"/>
              <w:rPr>
                <w:sz w:val="21"/>
                <w:szCs w:val="21"/>
                <w:highlight w:val="none"/>
              </w:rPr>
            </w:pPr>
            <w:r>
              <w:rPr>
                <w:sz w:val="21"/>
                <w:szCs w:val="21"/>
                <w:highlight w:val="none"/>
              </w:rPr>
              <w:t>达标</w:t>
            </w:r>
          </w:p>
        </w:tc>
        <w:tc>
          <w:tcPr>
            <w:tcW w:w="1202" w:type="dxa"/>
            <w:vAlign w:val="center"/>
          </w:tcPr>
          <w:p>
            <w:pPr>
              <w:pStyle w:val="262"/>
              <w:jc w:val="center"/>
              <w:rPr>
                <w:rFonts w:ascii="Times New Roman" w:hAnsi="Times New Roman" w:cs="Times New Roman"/>
                <w:sz w:val="21"/>
                <w:szCs w:val="21"/>
                <w:highlight w:val="none"/>
              </w:rPr>
            </w:pPr>
            <w:r>
              <w:rPr>
                <w:rFonts w:hint="eastAsia" w:ascii="Times New Roman"/>
                <w:color w:val="auto"/>
                <w:sz w:val="21"/>
                <w:szCs w:val="21"/>
                <w:highlight w:val="none"/>
              </w:rPr>
              <w:t>49</w:t>
            </w:r>
          </w:p>
        </w:tc>
        <w:tc>
          <w:tcPr>
            <w:tcW w:w="1184" w:type="dxa"/>
            <w:vAlign w:val="center"/>
          </w:tcPr>
          <w:p>
            <w:pPr>
              <w:spacing w:line="240" w:lineRule="auto"/>
              <w:ind w:firstLine="0" w:firstLineChars="0"/>
              <w:jc w:val="center"/>
              <w:rPr>
                <w:sz w:val="21"/>
                <w:szCs w:val="21"/>
                <w:highlight w:val="none"/>
              </w:rPr>
            </w:pPr>
            <w:r>
              <w:rPr>
                <w:sz w:val="21"/>
                <w:szCs w:val="21"/>
                <w:highlight w:val="none"/>
              </w:rPr>
              <w:t>50</w:t>
            </w:r>
          </w:p>
        </w:tc>
        <w:tc>
          <w:tcPr>
            <w:tcW w:w="1362" w:type="dxa"/>
            <w:vAlign w:val="center"/>
          </w:tcPr>
          <w:p>
            <w:pPr>
              <w:spacing w:line="240" w:lineRule="auto"/>
              <w:ind w:firstLine="0" w:firstLineChars="0"/>
              <w:jc w:val="center"/>
              <w:rPr>
                <w:sz w:val="21"/>
                <w:szCs w:val="21"/>
                <w:highlight w:val="none"/>
              </w:rPr>
            </w:pPr>
            <w:r>
              <w:rPr>
                <w:sz w:val="21"/>
                <w:szCs w:val="21"/>
                <w:highlight w:val="none"/>
              </w:rPr>
              <w:t>达标</w:t>
            </w:r>
          </w:p>
        </w:tc>
      </w:tr>
    </w:tbl>
    <w:p>
      <w:pPr>
        <w:spacing w:line="480" w:lineRule="exact"/>
        <w:ind w:firstLine="480"/>
        <w:jc w:val="both"/>
        <w:rPr>
          <w:sz w:val="24"/>
          <w:szCs w:val="24"/>
          <w:highlight w:val="none"/>
        </w:rPr>
      </w:pPr>
      <w:r>
        <w:rPr>
          <w:sz w:val="24"/>
          <w:szCs w:val="24"/>
          <w:highlight w:val="none"/>
        </w:rPr>
        <w:t>由表4.3-12可知，本项目厂界昼、夜噪声监测值满足《声环境质量标准》(GB3096-2008)</w:t>
      </w:r>
      <w:r>
        <w:rPr>
          <w:rFonts w:hint="eastAsia"/>
          <w:sz w:val="24"/>
          <w:szCs w:val="24"/>
          <w:highlight w:val="none"/>
        </w:rPr>
        <w:t>2</w:t>
      </w:r>
      <w:r>
        <w:rPr>
          <w:sz w:val="24"/>
          <w:szCs w:val="24"/>
          <w:highlight w:val="none"/>
        </w:rPr>
        <w:t>类区标准限值要求。</w:t>
      </w:r>
    </w:p>
    <w:p>
      <w:pPr>
        <w:pStyle w:val="6"/>
        <w:numPr>
          <w:ilvl w:val="2"/>
          <w:numId w:val="1"/>
        </w:numPr>
        <w:rPr>
          <w:szCs w:val="28"/>
          <w:highlight w:val="none"/>
        </w:rPr>
      </w:pPr>
      <w:r>
        <w:rPr>
          <w:rFonts w:hint="eastAsia"/>
          <w:szCs w:val="28"/>
          <w:highlight w:val="none"/>
        </w:rPr>
        <w:t>土壤环境质量</w:t>
      </w:r>
    </w:p>
    <w:p>
      <w:pPr>
        <w:spacing w:line="480" w:lineRule="exact"/>
        <w:ind w:firstLine="480"/>
        <w:rPr>
          <w:sz w:val="24"/>
          <w:szCs w:val="24"/>
          <w:highlight w:val="none"/>
        </w:rPr>
      </w:pPr>
      <w:r>
        <w:rPr>
          <w:sz w:val="24"/>
          <w:szCs w:val="24"/>
          <w:highlight w:val="none"/>
        </w:rPr>
        <w:t>按照《环境影响评价技术导则 土壤环境（试行）》（HJ964-2018）规范要求，</w:t>
      </w:r>
      <w:r>
        <w:rPr>
          <w:rFonts w:hint="eastAsia"/>
          <w:sz w:val="24"/>
          <w:szCs w:val="24"/>
          <w:highlight w:val="none"/>
        </w:rPr>
        <w:t>委托监测单位</w:t>
      </w:r>
      <w:r>
        <w:rPr>
          <w:sz w:val="24"/>
          <w:szCs w:val="24"/>
          <w:highlight w:val="none"/>
        </w:rPr>
        <w:t>于20</w:t>
      </w:r>
      <w:r>
        <w:rPr>
          <w:rFonts w:hint="eastAsia"/>
          <w:sz w:val="24"/>
          <w:szCs w:val="24"/>
          <w:highlight w:val="none"/>
        </w:rPr>
        <w:t>23</w:t>
      </w:r>
      <w:r>
        <w:rPr>
          <w:sz w:val="24"/>
          <w:szCs w:val="24"/>
          <w:highlight w:val="none"/>
        </w:rPr>
        <w:t>年</w:t>
      </w:r>
      <w:r>
        <w:rPr>
          <w:rFonts w:hint="eastAsia"/>
          <w:sz w:val="24"/>
          <w:szCs w:val="24"/>
          <w:highlight w:val="none"/>
        </w:rPr>
        <w:t>04</w:t>
      </w:r>
      <w:r>
        <w:rPr>
          <w:sz w:val="24"/>
          <w:szCs w:val="24"/>
          <w:highlight w:val="none"/>
        </w:rPr>
        <w:t>月</w:t>
      </w:r>
      <w:r>
        <w:rPr>
          <w:rFonts w:hint="eastAsia"/>
          <w:sz w:val="24"/>
          <w:szCs w:val="24"/>
          <w:highlight w:val="none"/>
        </w:rPr>
        <w:t>29</w:t>
      </w:r>
      <w:r>
        <w:rPr>
          <w:sz w:val="24"/>
          <w:szCs w:val="24"/>
          <w:highlight w:val="none"/>
        </w:rPr>
        <w:t>日对本项目厂区土壤环境现状监测。在本厂</w:t>
      </w:r>
      <w:r>
        <w:rPr>
          <w:rFonts w:hint="eastAsia"/>
          <w:sz w:val="24"/>
          <w:szCs w:val="24"/>
          <w:highlight w:val="none"/>
        </w:rPr>
        <w:t>北侧</w:t>
      </w:r>
      <w:r>
        <w:rPr>
          <w:sz w:val="24"/>
          <w:szCs w:val="24"/>
          <w:highlight w:val="none"/>
        </w:rPr>
        <w:t>未受扰动区、</w:t>
      </w:r>
      <w:r>
        <w:rPr>
          <w:rFonts w:hint="eastAsia"/>
          <w:sz w:val="24"/>
          <w:szCs w:val="24"/>
          <w:highlight w:val="none"/>
        </w:rPr>
        <w:t>选矿车间南</w:t>
      </w:r>
      <w:r>
        <w:rPr>
          <w:sz w:val="24"/>
          <w:szCs w:val="24"/>
          <w:highlight w:val="none"/>
        </w:rPr>
        <w:t>侧、</w:t>
      </w:r>
      <w:r>
        <w:rPr>
          <w:rFonts w:hint="eastAsia"/>
          <w:sz w:val="24"/>
          <w:szCs w:val="24"/>
          <w:highlight w:val="none"/>
        </w:rPr>
        <w:t>浓密池南</w:t>
      </w:r>
      <w:r>
        <w:rPr>
          <w:sz w:val="24"/>
          <w:szCs w:val="24"/>
          <w:highlight w:val="none"/>
        </w:rPr>
        <w:t>侧共布设3个土壤表层监测点，表层监测点取样深度为0-0.2m。</w:t>
      </w:r>
    </w:p>
    <w:p>
      <w:pPr>
        <w:autoSpaceDE w:val="0"/>
        <w:autoSpaceDN w:val="0"/>
        <w:spacing w:line="480" w:lineRule="exact"/>
        <w:ind w:firstLine="480"/>
        <w:rPr>
          <w:sz w:val="24"/>
          <w:szCs w:val="24"/>
          <w:highlight w:val="none"/>
        </w:rPr>
      </w:pPr>
      <w:r>
        <w:rPr>
          <w:sz w:val="24"/>
          <w:szCs w:val="24"/>
          <w:highlight w:val="none"/>
        </w:rPr>
        <w:t>（1）监测因子</w:t>
      </w:r>
    </w:p>
    <w:p>
      <w:pPr>
        <w:spacing w:line="480" w:lineRule="exact"/>
        <w:ind w:firstLine="480"/>
        <w:jc w:val="both"/>
        <w:rPr>
          <w:sz w:val="24"/>
          <w:szCs w:val="24"/>
          <w:highlight w:val="none"/>
        </w:rPr>
      </w:pPr>
      <w:r>
        <w:rPr>
          <w:sz w:val="24"/>
          <w:szCs w:val="24"/>
          <w:highlight w:val="none"/>
        </w:rPr>
        <w:t>基本因子为《土壤环境质量建设用地土壤污染风险管控标准》（GB36600-2018）表1所列出的45项污染物。</w:t>
      </w:r>
    </w:p>
    <w:p>
      <w:pPr>
        <w:spacing w:line="480" w:lineRule="exact"/>
        <w:ind w:firstLine="480"/>
        <w:rPr>
          <w:sz w:val="24"/>
          <w:szCs w:val="24"/>
          <w:highlight w:val="none"/>
        </w:rPr>
      </w:pPr>
      <w:r>
        <w:rPr>
          <w:sz w:val="24"/>
          <w:szCs w:val="24"/>
          <w:highlight w:val="none"/>
        </w:rPr>
        <w:t xml:space="preserve">特征因子为pH、石油类、铁。 </w:t>
      </w:r>
    </w:p>
    <w:p>
      <w:pPr>
        <w:pStyle w:val="55"/>
        <w:spacing w:line="480" w:lineRule="exact"/>
        <w:ind w:left="0" w:leftChars="0" w:firstLine="480"/>
        <w:rPr>
          <w:sz w:val="24"/>
          <w:highlight w:val="none"/>
        </w:rPr>
      </w:pPr>
      <w:r>
        <w:rPr>
          <w:sz w:val="24"/>
          <w:highlight w:val="none"/>
        </w:rPr>
        <w:t>（2）监测点位</w:t>
      </w:r>
    </w:p>
    <w:p>
      <w:pPr>
        <w:pStyle w:val="55"/>
        <w:spacing w:line="480" w:lineRule="exact"/>
        <w:ind w:left="0" w:leftChars="0" w:firstLine="480"/>
        <w:rPr>
          <w:sz w:val="24"/>
          <w:highlight w:val="none"/>
        </w:rPr>
      </w:pPr>
      <w:r>
        <w:rPr>
          <w:sz w:val="24"/>
          <w:highlight w:val="none"/>
        </w:rPr>
        <w:t>共布设3个土壤表层监测点，表层监测点取样深度为0-0.2m。</w:t>
      </w:r>
    </w:p>
    <w:p>
      <w:pPr>
        <w:adjustRightInd w:val="0"/>
        <w:snapToGrid w:val="0"/>
        <w:spacing w:line="240" w:lineRule="auto"/>
        <w:ind w:firstLine="0" w:firstLineChars="0"/>
        <w:jc w:val="center"/>
        <w:textAlignment w:val="auto"/>
        <w:rPr>
          <w:rFonts w:eastAsia="黑体"/>
          <w:bCs/>
          <w:kern w:val="2"/>
          <w:sz w:val="21"/>
          <w:szCs w:val="22"/>
          <w:highlight w:val="none"/>
        </w:rPr>
      </w:pPr>
      <w:r>
        <w:rPr>
          <w:rFonts w:eastAsia="黑体"/>
          <w:bCs/>
          <w:kern w:val="2"/>
          <w:sz w:val="21"/>
          <w:szCs w:val="22"/>
          <w:highlight w:val="none"/>
        </w:rPr>
        <w:t>表4.3-</w:t>
      </w:r>
      <w:r>
        <w:rPr>
          <w:rFonts w:hint="eastAsia" w:eastAsia="黑体"/>
          <w:bCs/>
          <w:kern w:val="2"/>
          <w:sz w:val="21"/>
          <w:szCs w:val="22"/>
          <w:highlight w:val="none"/>
        </w:rPr>
        <w:t>7</w:t>
      </w:r>
      <w:r>
        <w:rPr>
          <w:rFonts w:eastAsia="黑体"/>
          <w:bCs/>
          <w:kern w:val="2"/>
          <w:sz w:val="21"/>
          <w:szCs w:val="22"/>
          <w:highlight w:val="none"/>
        </w:rPr>
        <w:t xml:space="preserve"> 土壤监测点布置</w:t>
      </w:r>
    </w:p>
    <w:tbl>
      <w:tblPr>
        <w:tblStyle w:val="56"/>
        <w:tblW w:w="0" w:type="auto"/>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90"/>
        <w:gridCol w:w="3673"/>
        <w:gridCol w:w="1656"/>
        <w:gridCol w:w="245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90" w:type="dxa"/>
            <w:vAlign w:val="center"/>
          </w:tcPr>
          <w:p>
            <w:pPr>
              <w:spacing w:line="240" w:lineRule="auto"/>
              <w:ind w:firstLine="0" w:firstLineChars="0"/>
              <w:jc w:val="center"/>
              <w:rPr>
                <w:sz w:val="21"/>
                <w:szCs w:val="21"/>
                <w:highlight w:val="none"/>
              </w:rPr>
            </w:pPr>
            <w:bookmarkStart w:id="306" w:name="_Toc8230"/>
            <w:r>
              <w:rPr>
                <w:sz w:val="21"/>
                <w:szCs w:val="21"/>
                <w:highlight w:val="none"/>
              </w:rPr>
              <w:t>序号</w:t>
            </w:r>
            <w:bookmarkEnd w:id="306"/>
          </w:p>
        </w:tc>
        <w:tc>
          <w:tcPr>
            <w:tcW w:w="3673" w:type="dxa"/>
            <w:vAlign w:val="center"/>
          </w:tcPr>
          <w:p>
            <w:pPr>
              <w:spacing w:line="240" w:lineRule="auto"/>
              <w:ind w:firstLine="0" w:firstLineChars="0"/>
              <w:jc w:val="center"/>
              <w:rPr>
                <w:sz w:val="21"/>
                <w:szCs w:val="21"/>
                <w:highlight w:val="none"/>
              </w:rPr>
            </w:pPr>
            <w:bookmarkStart w:id="307" w:name="_Toc8689"/>
            <w:r>
              <w:rPr>
                <w:sz w:val="21"/>
                <w:szCs w:val="21"/>
                <w:highlight w:val="none"/>
              </w:rPr>
              <w:t>点位</w:t>
            </w:r>
            <w:bookmarkEnd w:id="307"/>
          </w:p>
        </w:tc>
        <w:tc>
          <w:tcPr>
            <w:tcW w:w="1656" w:type="dxa"/>
            <w:vAlign w:val="center"/>
          </w:tcPr>
          <w:p>
            <w:pPr>
              <w:spacing w:line="240" w:lineRule="auto"/>
              <w:ind w:firstLine="0" w:firstLineChars="0"/>
              <w:jc w:val="center"/>
              <w:rPr>
                <w:sz w:val="21"/>
                <w:szCs w:val="21"/>
                <w:highlight w:val="none"/>
              </w:rPr>
            </w:pPr>
            <w:bookmarkStart w:id="308" w:name="_Toc733"/>
            <w:r>
              <w:rPr>
                <w:sz w:val="21"/>
                <w:szCs w:val="21"/>
                <w:highlight w:val="none"/>
              </w:rPr>
              <w:t>监测点类型</w:t>
            </w:r>
            <w:bookmarkEnd w:id="308"/>
          </w:p>
        </w:tc>
        <w:tc>
          <w:tcPr>
            <w:tcW w:w="2457" w:type="dxa"/>
            <w:vAlign w:val="center"/>
          </w:tcPr>
          <w:p>
            <w:pPr>
              <w:spacing w:line="240" w:lineRule="auto"/>
              <w:ind w:firstLine="0" w:firstLineChars="0"/>
              <w:jc w:val="center"/>
              <w:rPr>
                <w:sz w:val="21"/>
                <w:szCs w:val="21"/>
                <w:highlight w:val="none"/>
              </w:rPr>
            </w:pPr>
            <w:bookmarkStart w:id="309" w:name="_Toc5153"/>
            <w:r>
              <w:rPr>
                <w:sz w:val="21"/>
                <w:szCs w:val="21"/>
                <w:highlight w:val="none"/>
              </w:rPr>
              <w:t>监测因子</w:t>
            </w:r>
            <w:bookmarkEnd w:id="309"/>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0" w:type="dxa"/>
            <w:vAlign w:val="center"/>
          </w:tcPr>
          <w:p>
            <w:pPr>
              <w:spacing w:line="240" w:lineRule="auto"/>
              <w:ind w:firstLine="0" w:firstLineChars="0"/>
              <w:jc w:val="center"/>
              <w:rPr>
                <w:sz w:val="21"/>
                <w:szCs w:val="21"/>
                <w:highlight w:val="none"/>
              </w:rPr>
            </w:pPr>
            <w:bookmarkStart w:id="310" w:name="_Toc20331"/>
            <w:r>
              <w:rPr>
                <w:sz w:val="21"/>
                <w:szCs w:val="21"/>
                <w:highlight w:val="none"/>
              </w:rPr>
              <w:t>1#</w:t>
            </w:r>
            <w:bookmarkEnd w:id="310"/>
          </w:p>
        </w:tc>
        <w:tc>
          <w:tcPr>
            <w:tcW w:w="3673" w:type="dxa"/>
            <w:vAlign w:val="center"/>
          </w:tcPr>
          <w:p>
            <w:pPr>
              <w:spacing w:line="240" w:lineRule="auto"/>
              <w:ind w:firstLine="0" w:firstLineChars="0"/>
              <w:jc w:val="center"/>
              <w:rPr>
                <w:sz w:val="21"/>
                <w:szCs w:val="21"/>
                <w:highlight w:val="none"/>
              </w:rPr>
            </w:pPr>
            <w:r>
              <w:rPr>
                <w:rFonts w:hint="eastAsia"/>
                <w:sz w:val="21"/>
                <w:szCs w:val="21"/>
                <w:highlight w:val="none"/>
              </w:rPr>
              <w:t>厂区北侧未受扰动区</w:t>
            </w:r>
          </w:p>
        </w:tc>
        <w:tc>
          <w:tcPr>
            <w:tcW w:w="1656" w:type="dxa"/>
            <w:vAlign w:val="center"/>
          </w:tcPr>
          <w:p>
            <w:pPr>
              <w:spacing w:line="240" w:lineRule="auto"/>
              <w:ind w:firstLine="0" w:firstLineChars="0"/>
              <w:jc w:val="center"/>
              <w:rPr>
                <w:sz w:val="21"/>
                <w:szCs w:val="21"/>
                <w:highlight w:val="none"/>
              </w:rPr>
            </w:pPr>
            <w:bookmarkStart w:id="311" w:name="_Toc479"/>
            <w:r>
              <w:rPr>
                <w:sz w:val="21"/>
                <w:szCs w:val="21"/>
                <w:highlight w:val="none"/>
              </w:rPr>
              <w:t>表层样</w:t>
            </w:r>
            <w:bookmarkEnd w:id="311"/>
          </w:p>
        </w:tc>
        <w:tc>
          <w:tcPr>
            <w:tcW w:w="2457" w:type="dxa"/>
            <w:vAlign w:val="center"/>
          </w:tcPr>
          <w:p>
            <w:pPr>
              <w:spacing w:line="240" w:lineRule="auto"/>
              <w:ind w:firstLine="0" w:firstLineChars="0"/>
              <w:jc w:val="center"/>
              <w:rPr>
                <w:sz w:val="21"/>
                <w:szCs w:val="21"/>
                <w:highlight w:val="none"/>
              </w:rPr>
            </w:pPr>
            <w:bookmarkStart w:id="312" w:name="_Toc1818"/>
            <w:r>
              <w:rPr>
                <w:sz w:val="21"/>
                <w:szCs w:val="21"/>
                <w:highlight w:val="none"/>
              </w:rPr>
              <w:t>基本因子+特征因子</w:t>
            </w:r>
            <w:bookmarkEnd w:id="312"/>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0" w:type="dxa"/>
            <w:vAlign w:val="center"/>
          </w:tcPr>
          <w:p>
            <w:pPr>
              <w:spacing w:line="240" w:lineRule="auto"/>
              <w:ind w:firstLine="0" w:firstLineChars="0"/>
              <w:jc w:val="center"/>
              <w:rPr>
                <w:sz w:val="21"/>
                <w:szCs w:val="21"/>
                <w:highlight w:val="none"/>
              </w:rPr>
            </w:pPr>
            <w:bookmarkStart w:id="313" w:name="_Toc17858"/>
            <w:r>
              <w:rPr>
                <w:sz w:val="21"/>
                <w:szCs w:val="21"/>
                <w:highlight w:val="none"/>
              </w:rPr>
              <w:t>2#</w:t>
            </w:r>
            <w:bookmarkEnd w:id="313"/>
          </w:p>
        </w:tc>
        <w:tc>
          <w:tcPr>
            <w:tcW w:w="3673" w:type="dxa"/>
            <w:vAlign w:val="center"/>
          </w:tcPr>
          <w:p>
            <w:pPr>
              <w:spacing w:line="240" w:lineRule="auto"/>
              <w:ind w:firstLine="0" w:firstLineChars="0"/>
              <w:jc w:val="center"/>
              <w:rPr>
                <w:sz w:val="21"/>
                <w:szCs w:val="21"/>
                <w:highlight w:val="none"/>
              </w:rPr>
            </w:pPr>
            <w:r>
              <w:rPr>
                <w:rFonts w:hint="eastAsia"/>
                <w:sz w:val="21"/>
                <w:szCs w:val="21"/>
                <w:highlight w:val="none"/>
              </w:rPr>
              <w:t>选矿车间南侧</w:t>
            </w:r>
          </w:p>
        </w:tc>
        <w:tc>
          <w:tcPr>
            <w:tcW w:w="1656" w:type="dxa"/>
            <w:vAlign w:val="center"/>
          </w:tcPr>
          <w:p>
            <w:pPr>
              <w:spacing w:line="240" w:lineRule="auto"/>
              <w:ind w:firstLine="0" w:firstLineChars="0"/>
              <w:jc w:val="center"/>
              <w:rPr>
                <w:sz w:val="21"/>
                <w:szCs w:val="21"/>
                <w:highlight w:val="none"/>
              </w:rPr>
            </w:pPr>
            <w:bookmarkStart w:id="314" w:name="_Toc2419"/>
            <w:r>
              <w:rPr>
                <w:sz w:val="21"/>
                <w:szCs w:val="21"/>
                <w:highlight w:val="none"/>
              </w:rPr>
              <w:t>表层样</w:t>
            </w:r>
            <w:bookmarkEnd w:id="314"/>
          </w:p>
        </w:tc>
        <w:tc>
          <w:tcPr>
            <w:tcW w:w="2457" w:type="dxa"/>
            <w:vAlign w:val="center"/>
          </w:tcPr>
          <w:p>
            <w:pPr>
              <w:spacing w:line="240" w:lineRule="auto"/>
              <w:ind w:firstLine="0" w:firstLineChars="0"/>
              <w:jc w:val="center"/>
              <w:rPr>
                <w:sz w:val="21"/>
                <w:szCs w:val="21"/>
                <w:highlight w:val="none"/>
              </w:rPr>
            </w:pPr>
            <w:bookmarkStart w:id="315" w:name="_Toc12543"/>
            <w:r>
              <w:rPr>
                <w:sz w:val="21"/>
                <w:szCs w:val="21"/>
                <w:highlight w:val="none"/>
              </w:rPr>
              <w:t>基本因子+特征因子</w:t>
            </w:r>
            <w:bookmarkEnd w:id="315"/>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90" w:type="dxa"/>
            <w:vAlign w:val="center"/>
          </w:tcPr>
          <w:p>
            <w:pPr>
              <w:spacing w:line="240" w:lineRule="auto"/>
              <w:ind w:firstLine="0" w:firstLineChars="0"/>
              <w:jc w:val="center"/>
              <w:rPr>
                <w:sz w:val="21"/>
                <w:szCs w:val="21"/>
                <w:highlight w:val="none"/>
              </w:rPr>
            </w:pPr>
            <w:bookmarkStart w:id="316" w:name="_Toc26995"/>
            <w:r>
              <w:rPr>
                <w:sz w:val="21"/>
                <w:szCs w:val="21"/>
                <w:highlight w:val="none"/>
              </w:rPr>
              <w:t>3#</w:t>
            </w:r>
            <w:bookmarkEnd w:id="316"/>
          </w:p>
        </w:tc>
        <w:tc>
          <w:tcPr>
            <w:tcW w:w="3673" w:type="dxa"/>
            <w:vAlign w:val="center"/>
          </w:tcPr>
          <w:p>
            <w:pPr>
              <w:spacing w:line="240" w:lineRule="auto"/>
              <w:ind w:firstLine="0" w:firstLineChars="0"/>
              <w:jc w:val="center"/>
              <w:rPr>
                <w:sz w:val="21"/>
                <w:szCs w:val="21"/>
                <w:highlight w:val="none"/>
              </w:rPr>
            </w:pPr>
            <w:r>
              <w:rPr>
                <w:rFonts w:hint="eastAsia"/>
                <w:sz w:val="21"/>
                <w:szCs w:val="21"/>
                <w:highlight w:val="none"/>
              </w:rPr>
              <w:t>浓密池南侧</w:t>
            </w:r>
          </w:p>
        </w:tc>
        <w:tc>
          <w:tcPr>
            <w:tcW w:w="1656" w:type="dxa"/>
            <w:vAlign w:val="center"/>
          </w:tcPr>
          <w:p>
            <w:pPr>
              <w:spacing w:line="240" w:lineRule="auto"/>
              <w:ind w:firstLine="0" w:firstLineChars="0"/>
              <w:jc w:val="center"/>
              <w:rPr>
                <w:sz w:val="21"/>
                <w:szCs w:val="21"/>
                <w:highlight w:val="none"/>
              </w:rPr>
            </w:pPr>
            <w:bookmarkStart w:id="317" w:name="_Toc6964"/>
            <w:r>
              <w:rPr>
                <w:sz w:val="21"/>
                <w:szCs w:val="21"/>
                <w:highlight w:val="none"/>
              </w:rPr>
              <w:t>表层样</w:t>
            </w:r>
            <w:bookmarkEnd w:id="317"/>
          </w:p>
        </w:tc>
        <w:tc>
          <w:tcPr>
            <w:tcW w:w="2457" w:type="dxa"/>
            <w:vAlign w:val="center"/>
          </w:tcPr>
          <w:p>
            <w:pPr>
              <w:spacing w:line="240" w:lineRule="auto"/>
              <w:ind w:firstLine="0" w:firstLineChars="0"/>
              <w:jc w:val="center"/>
              <w:rPr>
                <w:sz w:val="21"/>
                <w:szCs w:val="21"/>
                <w:highlight w:val="none"/>
              </w:rPr>
            </w:pPr>
            <w:bookmarkStart w:id="318" w:name="_Toc3916"/>
            <w:r>
              <w:rPr>
                <w:sz w:val="21"/>
                <w:szCs w:val="21"/>
                <w:highlight w:val="none"/>
              </w:rPr>
              <w:t>基本因子+特征因子</w:t>
            </w:r>
            <w:bookmarkEnd w:id="318"/>
          </w:p>
        </w:tc>
      </w:tr>
    </w:tbl>
    <w:p>
      <w:pPr>
        <w:pStyle w:val="55"/>
        <w:spacing w:line="480" w:lineRule="exact"/>
        <w:ind w:left="0" w:leftChars="0" w:firstLine="480"/>
        <w:rPr>
          <w:sz w:val="24"/>
          <w:highlight w:val="none"/>
        </w:rPr>
      </w:pPr>
      <w:r>
        <w:rPr>
          <w:sz w:val="24"/>
          <w:highlight w:val="none"/>
        </w:rPr>
        <w:t>（3）监测时间及频次</w:t>
      </w:r>
    </w:p>
    <w:p>
      <w:pPr>
        <w:adjustRightInd w:val="0"/>
        <w:snapToGrid w:val="0"/>
        <w:spacing w:line="480" w:lineRule="exact"/>
        <w:ind w:firstLine="480"/>
        <w:rPr>
          <w:sz w:val="24"/>
          <w:szCs w:val="24"/>
          <w:highlight w:val="none"/>
        </w:rPr>
      </w:pPr>
      <w:r>
        <w:rPr>
          <w:sz w:val="24"/>
          <w:szCs w:val="24"/>
          <w:highlight w:val="none"/>
          <w:lang w:bidi="ar"/>
        </w:rPr>
        <w:t>202</w:t>
      </w:r>
      <w:r>
        <w:rPr>
          <w:rFonts w:hint="eastAsia"/>
          <w:sz w:val="24"/>
          <w:szCs w:val="24"/>
          <w:highlight w:val="none"/>
          <w:lang w:bidi="ar"/>
        </w:rPr>
        <w:t>3</w:t>
      </w:r>
      <w:r>
        <w:rPr>
          <w:sz w:val="24"/>
          <w:szCs w:val="24"/>
          <w:highlight w:val="none"/>
          <w:lang w:bidi="ar"/>
        </w:rPr>
        <w:t>年</w:t>
      </w:r>
      <w:r>
        <w:rPr>
          <w:rFonts w:hint="eastAsia"/>
          <w:sz w:val="24"/>
          <w:szCs w:val="24"/>
          <w:highlight w:val="none"/>
          <w:lang w:bidi="ar"/>
        </w:rPr>
        <w:t>4</w:t>
      </w:r>
      <w:r>
        <w:rPr>
          <w:sz w:val="24"/>
          <w:szCs w:val="24"/>
          <w:highlight w:val="none"/>
          <w:lang w:bidi="ar"/>
        </w:rPr>
        <w:t>月</w:t>
      </w:r>
      <w:r>
        <w:rPr>
          <w:rFonts w:hint="eastAsia"/>
          <w:sz w:val="24"/>
          <w:szCs w:val="24"/>
          <w:highlight w:val="none"/>
          <w:lang w:bidi="ar"/>
        </w:rPr>
        <w:t>29</w:t>
      </w:r>
      <w:r>
        <w:rPr>
          <w:sz w:val="24"/>
          <w:szCs w:val="24"/>
          <w:highlight w:val="none"/>
          <w:lang w:bidi="ar"/>
        </w:rPr>
        <w:t>日采样，每个点位采样监测一次。</w:t>
      </w:r>
    </w:p>
    <w:p>
      <w:pPr>
        <w:numPr>
          <w:ilvl w:val="0"/>
          <w:numId w:val="6"/>
        </w:numPr>
        <w:spacing w:line="480" w:lineRule="exact"/>
        <w:ind w:firstLine="480"/>
        <w:rPr>
          <w:sz w:val="24"/>
          <w:szCs w:val="24"/>
          <w:highlight w:val="none"/>
        </w:rPr>
      </w:pPr>
      <w:r>
        <w:rPr>
          <w:sz w:val="24"/>
          <w:szCs w:val="24"/>
          <w:highlight w:val="none"/>
        </w:rPr>
        <w:t>采样及分析方法</w:t>
      </w:r>
    </w:p>
    <w:p>
      <w:pPr>
        <w:spacing w:line="480" w:lineRule="exact"/>
        <w:ind w:firstLine="480"/>
        <w:rPr>
          <w:sz w:val="24"/>
          <w:szCs w:val="24"/>
          <w:highlight w:val="none"/>
        </w:rPr>
      </w:pPr>
      <w:r>
        <w:rPr>
          <w:sz w:val="24"/>
          <w:szCs w:val="24"/>
          <w:highlight w:val="none"/>
        </w:rPr>
        <w:t>表层样监测点及土壤剖面的土壤监测取样方法一般参照HJ/T166 执行。</w:t>
      </w:r>
    </w:p>
    <w:p>
      <w:pPr>
        <w:pStyle w:val="55"/>
        <w:numPr>
          <w:ilvl w:val="0"/>
          <w:numId w:val="6"/>
        </w:numPr>
        <w:spacing w:line="480" w:lineRule="exact"/>
        <w:ind w:left="0" w:leftChars="0" w:firstLine="480"/>
        <w:rPr>
          <w:sz w:val="24"/>
          <w:highlight w:val="none"/>
        </w:rPr>
      </w:pPr>
      <w:r>
        <w:rPr>
          <w:sz w:val="24"/>
          <w:highlight w:val="none"/>
        </w:rPr>
        <w:t>土壤环境质量评价</w:t>
      </w:r>
    </w:p>
    <w:p>
      <w:pPr>
        <w:pStyle w:val="55"/>
        <w:spacing w:line="480" w:lineRule="exact"/>
        <w:ind w:left="560" w:firstLine="0" w:firstLineChars="0"/>
        <w:rPr>
          <w:sz w:val="24"/>
          <w:highlight w:val="none"/>
        </w:rPr>
      </w:pPr>
      <w:r>
        <w:rPr>
          <w:sz w:val="24"/>
          <w:highlight w:val="none"/>
        </w:rPr>
        <w:t>评价方法：采用单因子标准指导法</w:t>
      </w:r>
    </w:p>
    <w:p>
      <w:pPr>
        <w:pStyle w:val="55"/>
        <w:spacing w:line="480" w:lineRule="exact"/>
        <w:ind w:left="560" w:firstLine="1200" w:firstLineChars="500"/>
        <w:rPr>
          <w:sz w:val="24"/>
          <w:highlight w:val="none"/>
          <w:vertAlign w:val="subscript"/>
        </w:rPr>
      </w:pPr>
      <w:r>
        <w:rPr>
          <w:sz w:val="24"/>
          <w:highlight w:val="none"/>
        </w:rPr>
        <w:t>P</w:t>
      </w:r>
      <w:r>
        <w:rPr>
          <w:sz w:val="24"/>
          <w:highlight w:val="none"/>
          <w:vertAlign w:val="subscript"/>
        </w:rPr>
        <w:t>i</w:t>
      </w:r>
      <w:r>
        <w:rPr>
          <w:sz w:val="24"/>
          <w:highlight w:val="none"/>
        </w:rPr>
        <w:t>=C</w:t>
      </w:r>
      <w:r>
        <w:rPr>
          <w:sz w:val="24"/>
          <w:highlight w:val="none"/>
          <w:vertAlign w:val="subscript"/>
        </w:rPr>
        <w:t>i</w:t>
      </w:r>
      <w:r>
        <w:rPr>
          <w:sz w:val="24"/>
          <w:highlight w:val="none"/>
        </w:rPr>
        <w:t>/C</w:t>
      </w:r>
      <w:r>
        <w:rPr>
          <w:sz w:val="24"/>
          <w:highlight w:val="none"/>
          <w:vertAlign w:val="subscript"/>
        </w:rPr>
        <w:t>oi</w:t>
      </w:r>
    </w:p>
    <w:p>
      <w:pPr>
        <w:pStyle w:val="55"/>
        <w:spacing w:line="480" w:lineRule="exact"/>
        <w:ind w:left="0" w:leftChars="0" w:firstLine="0" w:firstLineChars="0"/>
        <w:rPr>
          <w:sz w:val="24"/>
          <w:highlight w:val="none"/>
        </w:rPr>
      </w:pPr>
      <w:r>
        <w:rPr>
          <w:sz w:val="24"/>
          <w:highlight w:val="none"/>
        </w:rPr>
        <w:t>式中：P</w:t>
      </w:r>
      <w:r>
        <w:rPr>
          <w:sz w:val="24"/>
          <w:highlight w:val="none"/>
          <w:vertAlign w:val="subscript"/>
        </w:rPr>
        <w:t>i</w:t>
      </w:r>
      <w:r>
        <w:rPr>
          <w:sz w:val="24"/>
          <w:highlight w:val="none"/>
        </w:rPr>
        <w:t>－i污染物标准指数；</w:t>
      </w:r>
    </w:p>
    <w:p>
      <w:pPr>
        <w:pStyle w:val="55"/>
        <w:spacing w:line="480" w:lineRule="exact"/>
        <w:ind w:left="0" w:leftChars="0" w:firstLine="720" w:firstLineChars="300"/>
        <w:rPr>
          <w:sz w:val="24"/>
          <w:highlight w:val="none"/>
        </w:rPr>
      </w:pPr>
      <w:r>
        <w:rPr>
          <w:sz w:val="24"/>
          <w:highlight w:val="none"/>
        </w:rPr>
        <w:t>C</w:t>
      </w:r>
      <w:r>
        <w:rPr>
          <w:sz w:val="24"/>
          <w:highlight w:val="none"/>
          <w:vertAlign w:val="subscript"/>
        </w:rPr>
        <w:t>i</w:t>
      </w:r>
      <w:r>
        <w:rPr>
          <w:sz w:val="24"/>
          <w:highlight w:val="none"/>
        </w:rPr>
        <w:t>－i污染物现状监测浓度，mg/L；</w:t>
      </w:r>
    </w:p>
    <w:p>
      <w:pPr>
        <w:pStyle w:val="55"/>
        <w:spacing w:line="480" w:lineRule="exact"/>
        <w:ind w:left="0" w:leftChars="0" w:firstLine="720" w:firstLineChars="300"/>
        <w:rPr>
          <w:sz w:val="24"/>
          <w:highlight w:val="none"/>
        </w:rPr>
      </w:pPr>
      <w:r>
        <w:rPr>
          <w:sz w:val="24"/>
          <w:highlight w:val="none"/>
        </w:rPr>
        <w:t>C</w:t>
      </w:r>
      <w:r>
        <w:rPr>
          <w:sz w:val="24"/>
          <w:highlight w:val="none"/>
          <w:vertAlign w:val="subscript"/>
        </w:rPr>
        <w:t>oi</w:t>
      </w:r>
      <w:r>
        <w:rPr>
          <w:sz w:val="24"/>
          <w:highlight w:val="none"/>
        </w:rPr>
        <w:t>－i污染物评价标准，mg/L。</w:t>
      </w:r>
    </w:p>
    <w:p>
      <w:pPr>
        <w:pStyle w:val="55"/>
        <w:numPr>
          <w:ilvl w:val="0"/>
          <w:numId w:val="6"/>
        </w:numPr>
        <w:spacing w:line="480" w:lineRule="exact"/>
        <w:ind w:left="0" w:leftChars="0" w:firstLine="480"/>
        <w:rPr>
          <w:sz w:val="24"/>
          <w:highlight w:val="none"/>
        </w:rPr>
      </w:pPr>
      <w:r>
        <w:rPr>
          <w:sz w:val="24"/>
          <w:highlight w:val="none"/>
        </w:rPr>
        <w:t>评价标准</w:t>
      </w:r>
    </w:p>
    <w:p>
      <w:pPr>
        <w:pStyle w:val="55"/>
        <w:spacing w:line="480" w:lineRule="exact"/>
        <w:ind w:left="0" w:leftChars="0" w:firstLine="480"/>
        <w:rPr>
          <w:sz w:val="24"/>
          <w:highlight w:val="none"/>
        </w:rPr>
      </w:pPr>
      <w:r>
        <w:rPr>
          <w:sz w:val="24"/>
          <w:highlight w:val="none"/>
        </w:rPr>
        <w:t>建设用地执行《土壤环境质量 建设用地土壤污染风险管控标准》（GB36600-2018）表二第二类用地筛选值。</w:t>
      </w:r>
    </w:p>
    <w:p>
      <w:pPr>
        <w:pStyle w:val="55"/>
        <w:numPr>
          <w:ilvl w:val="0"/>
          <w:numId w:val="6"/>
        </w:numPr>
        <w:spacing w:line="480" w:lineRule="exact"/>
        <w:ind w:left="0" w:leftChars="0" w:firstLine="480"/>
        <w:rPr>
          <w:sz w:val="24"/>
          <w:highlight w:val="none"/>
        </w:rPr>
      </w:pPr>
      <w:r>
        <w:rPr>
          <w:sz w:val="24"/>
          <w:highlight w:val="none"/>
        </w:rPr>
        <w:t>监测与评价结果</w:t>
      </w:r>
    </w:p>
    <w:p>
      <w:pPr>
        <w:pStyle w:val="55"/>
        <w:spacing w:line="480" w:lineRule="exact"/>
        <w:ind w:left="0" w:leftChars="0" w:firstLine="480"/>
        <w:rPr>
          <w:sz w:val="24"/>
          <w:highlight w:val="none"/>
        </w:rPr>
      </w:pPr>
      <w:r>
        <w:rPr>
          <w:sz w:val="24"/>
          <w:highlight w:val="none"/>
        </w:rPr>
        <w:t>根据评价方法及评价标准，对现状结果进行评价，并对评价结果进行分析。监测及评价结果见表4.3-</w:t>
      </w:r>
      <w:r>
        <w:rPr>
          <w:rFonts w:hint="eastAsia"/>
          <w:sz w:val="24"/>
          <w:highlight w:val="none"/>
        </w:rPr>
        <w:t>8</w:t>
      </w:r>
    </w:p>
    <w:p>
      <w:pPr>
        <w:adjustRightInd w:val="0"/>
        <w:snapToGrid w:val="0"/>
        <w:spacing w:line="240" w:lineRule="auto"/>
        <w:ind w:firstLine="0" w:firstLineChars="0"/>
        <w:jc w:val="center"/>
        <w:textAlignment w:val="auto"/>
        <w:rPr>
          <w:rFonts w:eastAsia="黑体"/>
          <w:bCs/>
          <w:kern w:val="2"/>
          <w:sz w:val="21"/>
          <w:szCs w:val="22"/>
          <w:highlight w:val="none"/>
        </w:rPr>
      </w:pPr>
      <w:r>
        <w:rPr>
          <w:rFonts w:eastAsia="黑体"/>
          <w:bCs/>
          <w:kern w:val="2"/>
          <w:sz w:val="21"/>
          <w:szCs w:val="22"/>
          <w:highlight w:val="none"/>
        </w:rPr>
        <w:t>表4.3-</w:t>
      </w:r>
      <w:r>
        <w:rPr>
          <w:rFonts w:hint="eastAsia" w:eastAsia="黑体"/>
          <w:bCs/>
          <w:kern w:val="2"/>
          <w:sz w:val="21"/>
          <w:szCs w:val="22"/>
          <w:highlight w:val="none"/>
        </w:rPr>
        <w:t>8</w:t>
      </w:r>
      <w:r>
        <w:rPr>
          <w:rFonts w:eastAsia="黑体"/>
          <w:bCs/>
          <w:kern w:val="2"/>
          <w:sz w:val="21"/>
          <w:szCs w:val="22"/>
          <w:highlight w:val="none"/>
        </w:rPr>
        <w:t xml:space="preserve"> 土壤质量现状监测及评价结果一览表   单位：mg/kg</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282"/>
        <w:gridCol w:w="830"/>
        <w:gridCol w:w="1356"/>
        <w:gridCol w:w="1470"/>
        <w:gridCol w:w="1471"/>
        <w:gridCol w:w="878"/>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Merge w:val="restart"/>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序号</w:t>
            </w:r>
          </w:p>
        </w:tc>
        <w:tc>
          <w:tcPr>
            <w:tcW w:w="1282" w:type="dxa"/>
            <w:vMerge w:val="restart"/>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污染物</w:t>
            </w:r>
          </w:p>
        </w:tc>
        <w:tc>
          <w:tcPr>
            <w:tcW w:w="830" w:type="dxa"/>
            <w:vMerge w:val="restart"/>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报告限</w:t>
            </w:r>
          </w:p>
        </w:tc>
        <w:tc>
          <w:tcPr>
            <w:tcW w:w="4297" w:type="dxa"/>
            <w:gridSpan w:val="3"/>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监测点位</w:t>
            </w:r>
          </w:p>
        </w:tc>
        <w:tc>
          <w:tcPr>
            <w:tcW w:w="878" w:type="dxa"/>
            <w:vMerge w:val="restart"/>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标准值</w:t>
            </w:r>
          </w:p>
        </w:tc>
        <w:tc>
          <w:tcPr>
            <w:tcW w:w="658" w:type="dxa"/>
            <w:vMerge w:val="restart"/>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Merge w:val="continue"/>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p>
        </w:tc>
        <w:tc>
          <w:tcPr>
            <w:tcW w:w="1282" w:type="dxa"/>
            <w:vMerge w:val="continue"/>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p>
        </w:tc>
        <w:tc>
          <w:tcPr>
            <w:tcW w:w="830" w:type="dxa"/>
            <w:vMerge w:val="continue"/>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厂区北侧</w:t>
            </w:r>
            <w:r>
              <w:rPr>
                <w:sz w:val="21"/>
                <w:szCs w:val="21"/>
                <w:highlight w:val="none"/>
              </w:rPr>
              <w:t>未受扰动区（0～0.2m）</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球磨车间南</w:t>
            </w:r>
            <w:r>
              <w:rPr>
                <w:sz w:val="21"/>
                <w:szCs w:val="21"/>
                <w:highlight w:val="none"/>
              </w:rPr>
              <w:t>侧（0～0.2m）</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浓密池南</w:t>
            </w:r>
            <w:r>
              <w:rPr>
                <w:sz w:val="21"/>
                <w:szCs w:val="21"/>
                <w:highlight w:val="none"/>
              </w:rPr>
              <w:t>侧（0～0.2m）</w:t>
            </w:r>
          </w:p>
        </w:tc>
        <w:tc>
          <w:tcPr>
            <w:tcW w:w="878" w:type="dxa"/>
            <w:vMerge w:val="continue"/>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p>
        </w:tc>
        <w:tc>
          <w:tcPr>
            <w:tcW w:w="658" w:type="dxa"/>
            <w:vMerge w:val="continue"/>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9" w:type="dxa"/>
            <w:gridSpan w:val="8"/>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重金属  单位mg/kg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11.2</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14.2</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10.9</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60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镉</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0.69</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0.62</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1.35</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65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铬（六价）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0.5</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5.7</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铜</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36</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37</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88</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18000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铅</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37</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39</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35</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800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6</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汞</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0.002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0.029</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0.033</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0.028</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38</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7</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镍</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52</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47</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48</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900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8</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铁</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0.079</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5.01</w:t>
            </w:r>
            <w:r>
              <w:rPr>
                <w:sz w:val="21"/>
                <w:szCs w:val="21"/>
                <w:highlight w:val="none"/>
              </w:rPr>
              <w:t>×</w:t>
            </w:r>
            <w:r>
              <w:rPr>
                <w:rFonts w:hint="eastAsia"/>
                <w:sz w:val="21"/>
                <w:szCs w:val="21"/>
                <w:highlight w:val="none"/>
              </w:rPr>
              <w:t>10</w:t>
            </w:r>
            <w:r>
              <w:rPr>
                <w:rFonts w:hint="eastAsia"/>
                <w:sz w:val="21"/>
                <w:szCs w:val="21"/>
                <w:highlight w:val="none"/>
                <w:vertAlign w:val="superscript"/>
              </w:rPr>
              <w:t>4</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5.12</w:t>
            </w:r>
            <w:r>
              <w:rPr>
                <w:sz w:val="21"/>
                <w:szCs w:val="21"/>
                <w:highlight w:val="none"/>
              </w:rPr>
              <w:t>×</w:t>
            </w:r>
            <w:r>
              <w:rPr>
                <w:rFonts w:hint="eastAsia"/>
                <w:sz w:val="21"/>
                <w:szCs w:val="21"/>
                <w:highlight w:val="none"/>
              </w:rPr>
              <w:t>10</w:t>
            </w:r>
            <w:r>
              <w:rPr>
                <w:rFonts w:hint="eastAsia"/>
                <w:sz w:val="21"/>
                <w:szCs w:val="21"/>
                <w:highlight w:val="none"/>
                <w:vertAlign w:val="superscript"/>
              </w:rPr>
              <w:t>4</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7.17</w:t>
            </w:r>
            <w:r>
              <w:rPr>
                <w:sz w:val="21"/>
                <w:szCs w:val="21"/>
                <w:highlight w:val="none"/>
              </w:rPr>
              <w:t>×</w:t>
            </w:r>
            <w:r>
              <w:rPr>
                <w:rFonts w:hint="eastAsia"/>
                <w:sz w:val="21"/>
                <w:szCs w:val="21"/>
                <w:highlight w:val="none"/>
              </w:rPr>
              <w:t>10</w:t>
            </w:r>
            <w:r>
              <w:rPr>
                <w:rFonts w:hint="eastAsia"/>
                <w:sz w:val="21"/>
                <w:szCs w:val="21"/>
                <w:highlight w:val="none"/>
                <w:vertAlign w:val="superscript"/>
              </w:rPr>
              <w:t>4</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9" w:type="dxa"/>
            <w:gridSpan w:val="8"/>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挥发性有机物  标准值单位mg/kg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9</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四氯化碳</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1.3</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2.8</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10</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氯仿</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0.9</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氯甲烷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37</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1,1-二氯乙烷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9</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13</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1,2-二氯乙烷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1.3</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14</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1,1-二氯乙烯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66</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顺-1,2-二氯乙烯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1.3</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596</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16</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反-1,2-二氯乙烯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1.4</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54</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17</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二氯甲烷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616</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18</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1,2-二氯丙烷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19</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1,1,1,2-四氯乙烷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20</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1,1,2,2-四氯乙烷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6.8</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21</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四氯乙烯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1.4</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53</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22</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1,1,1-三氯乙烷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1.3</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840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23</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1,1,2-三氯乙烷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2.8</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24</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三氯乙烯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2.8</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25</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1,2,3-三氯丙烷</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26</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氯乙烯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0.43</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27</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1.9</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28</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氯苯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270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29</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1,2-二氯苯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560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30</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1,4-二氯苯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31</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乙苯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28</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32</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苯乙烯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1290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33</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甲苯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1.3</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1200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34</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间二甲苯+对二甲苯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570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邻二甲苯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640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9" w:type="dxa"/>
            <w:gridSpan w:val="8"/>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半挥发性有机物  单位mg/kg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35</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硝基苯</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0.09</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76</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36</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苯胺</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260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37</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2-氯酚</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0.06</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2256</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38</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苯并[a]蒽</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39</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苯并[a]芘</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40</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苯并[b]荧蒽</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41</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苯并[k]荧蒽</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151</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42</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䓛</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1293</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43</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二苯并[a,h]蒽</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44</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茚并[1,2,3-cd]芘</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0.1</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15</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45</w:t>
            </w:r>
          </w:p>
        </w:tc>
        <w:tc>
          <w:tcPr>
            <w:tcW w:w="1282"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萘</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0.09</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ND</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70</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9" w:type="dxa"/>
            <w:gridSpan w:val="8"/>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特征因子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46</w:t>
            </w:r>
          </w:p>
        </w:tc>
        <w:tc>
          <w:tcPr>
            <w:tcW w:w="1282" w:type="dxa"/>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石油烃C10-C40</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6</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12</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18</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15</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4500</w:t>
            </w:r>
          </w:p>
        </w:tc>
        <w:tc>
          <w:tcPr>
            <w:tcW w:w="658" w:type="dxa"/>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47</w:t>
            </w:r>
          </w:p>
        </w:tc>
        <w:tc>
          <w:tcPr>
            <w:tcW w:w="1282" w:type="dxa"/>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pH（无量纲）</w:t>
            </w:r>
          </w:p>
        </w:tc>
        <w:tc>
          <w:tcPr>
            <w:tcW w:w="83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w:t>
            </w:r>
          </w:p>
        </w:tc>
        <w:tc>
          <w:tcPr>
            <w:tcW w:w="1356"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8.18</w:t>
            </w:r>
          </w:p>
        </w:tc>
        <w:tc>
          <w:tcPr>
            <w:tcW w:w="1470"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8.44</w:t>
            </w:r>
          </w:p>
        </w:tc>
        <w:tc>
          <w:tcPr>
            <w:tcW w:w="1471"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rFonts w:hint="eastAsia"/>
                <w:sz w:val="21"/>
                <w:szCs w:val="21"/>
                <w:highlight w:val="none"/>
              </w:rPr>
              <w:t>8.15</w:t>
            </w:r>
          </w:p>
        </w:tc>
        <w:tc>
          <w:tcPr>
            <w:tcW w:w="87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w:t>
            </w:r>
          </w:p>
        </w:tc>
        <w:tc>
          <w:tcPr>
            <w:tcW w:w="658" w:type="dxa"/>
            <w:vAlign w:val="center"/>
          </w:tcPr>
          <w:p>
            <w:pPr>
              <w:tabs>
                <w:tab w:val="center" w:pos="4153"/>
                <w:tab w:val="right" w:pos="8306"/>
              </w:tabs>
              <w:autoSpaceDE w:val="0"/>
              <w:autoSpaceDN w:val="0"/>
              <w:adjustRightInd w:val="0"/>
              <w:snapToGrid w:val="0"/>
              <w:spacing w:line="240" w:lineRule="auto"/>
              <w:ind w:firstLine="0" w:firstLineChars="0"/>
              <w:jc w:val="center"/>
              <w:rPr>
                <w:sz w:val="21"/>
                <w:szCs w:val="21"/>
                <w:highlight w:val="none"/>
              </w:rPr>
            </w:pPr>
            <w:r>
              <w:rPr>
                <w:sz w:val="21"/>
                <w:szCs w:val="21"/>
                <w:highlight w:val="none"/>
              </w:rPr>
              <w:t>-</w:t>
            </w:r>
          </w:p>
        </w:tc>
      </w:tr>
    </w:tbl>
    <w:p>
      <w:pPr>
        <w:pStyle w:val="2"/>
        <w:ind w:firstLine="560"/>
        <w:rPr>
          <w:highlight w:val="none"/>
        </w:rPr>
      </w:pPr>
    </w:p>
    <w:p>
      <w:pPr>
        <w:ind w:firstLine="480"/>
        <w:rPr>
          <w:kern w:val="2"/>
          <w:sz w:val="24"/>
          <w:szCs w:val="24"/>
          <w:highlight w:val="none"/>
        </w:rPr>
      </w:pPr>
      <w:r>
        <w:rPr>
          <w:kern w:val="2"/>
          <w:sz w:val="24"/>
          <w:szCs w:val="24"/>
          <w:highlight w:val="none"/>
        </w:rPr>
        <w:t>根据上表分析可知，项目厂区监测点位土壤各监测因子监测浓度均满足《土壤环境质量建设用地土壤污染风险管控标准（试行）》（GB36600-2018）中第二类用地筛选值限值要求。</w:t>
      </w:r>
    </w:p>
    <w:p>
      <w:pPr>
        <w:pStyle w:val="6"/>
        <w:numPr>
          <w:ilvl w:val="2"/>
          <w:numId w:val="1"/>
        </w:numPr>
        <w:rPr>
          <w:szCs w:val="28"/>
          <w:highlight w:val="none"/>
        </w:rPr>
      </w:pPr>
      <w:r>
        <w:rPr>
          <w:rFonts w:hint="eastAsia"/>
          <w:szCs w:val="28"/>
          <w:highlight w:val="none"/>
        </w:rPr>
        <w:t>包气带环境质量</w:t>
      </w:r>
    </w:p>
    <w:p>
      <w:pPr>
        <w:ind w:firstLine="480"/>
        <w:rPr>
          <w:kern w:val="2"/>
          <w:sz w:val="24"/>
          <w:szCs w:val="24"/>
          <w:highlight w:val="none"/>
        </w:rPr>
      </w:pPr>
      <w:r>
        <w:rPr>
          <w:rFonts w:hint="eastAsia"/>
          <w:kern w:val="2"/>
          <w:sz w:val="24"/>
          <w:szCs w:val="24"/>
          <w:highlight w:val="none"/>
        </w:rPr>
        <w:t>监测单位</w:t>
      </w:r>
      <w:r>
        <w:rPr>
          <w:kern w:val="2"/>
          <w:sz w:val="24"/>
          <w:szCs w:val="24"/>
          <w:highlight w:val="none"/>
        </w:rPr>
        <w:t>于</w:t>
      </w:r>
      <w:r>
        <w:rPr>
          <w:rFonts w:hint="eastAsia"/>
          <w:kern w:val="2"/>
          <w:sz w:val="24"/>
          <w:szCs w:val="24"/>
          <w:highlight w:val="none"/>
        </w:rPr>
        <w:t>2023</w:t>
      </w:r>
      <w:r>
        <w:rPr>
          <w:kern w:val="2"/>
          <w:sz w:val="24"/>
          <w:szCs w:val="24"/>
          <w:highlight w:val="none"/>
        </w:rPr>
        <w:t>年</w:t>
      </w:r>
      <w:r>
        <w:rPr>
          <w:rFonts w:hint="eastAsia"/>
          <w:kern w:val="2"/>
          <w:sz w:val="24"/>
          <w:szCs w:val="24"/>
          <w:highlight w:val="none"/>
        </w:rPr>
        <w:t>4</w:t>
      </w:r>
      <w:r>
        <w:rPr>
          <w:kern w:val="2"/>
          <w:sz w:val="24"/>
          <w:szCs w:val="24"/>
          <w:highlight w:val="none"/>
        </w:rPr>
        <w:t>月</w:t>
      </w:r>
      <w:r>
        <w:rPr>
          <w:rFonts w:hint="eastAsia"/>
          <w:kern w:val="2"/>
          <w:sz w:val="24"/>
          <w:szCs w:val="24"/>
          <w:highlight w:val="none"/>
        </w:rPr>
        <w:t>26</w:t>
      </w:r>
      <w:r>
        <w:rPr>
          <w:kern w:val="2"/>
          <w:sz w:val="24"/>
          <w:szCs w:val="24"/>
          <w:highlight w:val="none"/>
        </w:rPr>
        <w:t>日对本项目所在区域包气带进行了现状监测。</w:t>
      </w:r>
    </w:p>
    <w:p>
      <w:pPr>
        <w:ind w:firstLine="480"/>
        <w:rPr>
          <w:kern w:val="2"/>
          <w:sz w:val="24"/>
          <w:szCs w:val="24"/>
          <w:highlight w:val="none"/>
        </w:rPr>
      </w:pPr>
      <w:r>
        <w:rPr>
          <w:rFonts w:hint="eastAsia"/>
          <w:kern w:val="2"/>
          <w:sz w:val="24"/>
          <w:szCs w:val="24"/>
          <w:highlight w:val="none"/>
        </w:rPr>
        <w:t>（1）</w:t>
      </w:r>
      <w:r>
        <w:rPr>
          <w:kern w:val="2"/>
          <w:sz w:val="24"/>
          <w:szCs w:val="24"/>
          <w:highlight w:val="none"/>
        </w:rPr>
        <w:t>监测点位</w:t>
      </w:r>
    </w:p>
    <w:p>
      <w:pPr>
        <w:ind w:firstLine="480"/>
        <w:rPr>
          <w:kern w:val="2"/>
          <w:sz w:val="24"/>
          <w:szCs w:val="24"/>
          <w:highlight w:val="none"/>
        </w:rPr>
      </w:pPr>
      <w:r>
        <w:rPr>
          <w:kern w:val="2"/>
          <w:sz w:val="24"/>
          <w:szCs w:val="24"/>
          <w:highlight w:val="none"/>
        </w:rPr>
        <w:t>根据项目特点，本次包气带监测共布置了</w:t>
      </w:r>
      <w:r>
        <w:rPr>
          <w:rFonts w:hint="eastAsia"/>
          <w:kern w:val="2"/>
          <w:sz w:val="24"/>
          <w:szCs w:val="24"/>
          <w:highlight w:val="none"/>
        </w:rPr>
        <w:t>4</w:t>
      </w:r>
      <w:r>
        <w:rPr>
          <w:kern w:val="2"/>
          <w:sz w:val="24"/>
          <w:szCs w:val="24"/>
          <w:highlight w:val="none"/>
        </w:rPr>
        <w:t>个监测点，</w:t>
      </w:r>
      <w:r>
        <w:rPr>
          <w:rFonts w:hint="eastAsia"/>
          <w:kern w:val="2"/>
          <w:sz w:val="24"/>
          <w:szCs w:val="24"/>
          <w:highlight w:val="none"/>
        </w:rPr>
        <w:t>在</w:t>
      </w:r>
      <w:r>
        <w:rPr>
          <w:kern w:val="2"/>
          <w:sz w:val="24"/>
          <w:szCs w:val="24"/>
          <w:highlight w:val="none"/>
        </w:rPr>
        <w:t>厂区</w:t>
      </w:r>
      <w:r>
        <w:rPr>
          <w:rFonts w:hint="eastAsia"/>
          <w:kern w:val="2"/>
          <w:sz w:val="24"/>
          <w:szCs w:val="24"/>
          <w:highlight w:val="none"/>
        </w:rPr>
        <w:t>北侧边界</w:t>
      </w:r>
      <w:r>
        <w:rPr>
          <w:kern w:val="2"/>
          <w:sz w:val="24"/>
          <w:szCs w:val="24"/>
          <w:highlight w:val="none"/>
        </w:rPr>
        <w:t>以外采集1个背景对照样</w:t>
      </w:r>
      <w:r>
        <w:rPr>
          <w:rFonts w:hint="eastAsia"/>
          <w:kern w:val="2"/>
          <w:sz w:val="24"/>
          <w:szCs w:val="24"/>
          <w:highlight w:val="none"/>
        </w:rPr>
        <w:t>，其余3个</w:t>
      </w:r>
      <w:r>
        <w:rPr>
          <w:kern w:val="2"/>
          <w:sz w:val="24"/>
          <w:szCs w:val="24"/>
          <w:highlight w:val="none"/>
        </w:rPr>
        <w:t>取样点位于</w:t>
      </w:r>
      <w:r>
        <w:rPr>
          <w:rFonts w:hint="eastAsia"/>
          <w:kern w:val="2"/>
          <w:sz w:val="24"/>
          <w:szCs w:val="24"/>
          <w:highlight w:val="none"/>
        </w:rPr>
        <w:t>破碎车间</w:t>
      </w:r>
      <w:r>
        <w:rPr>
          <w:kern w:val="2"/>
          <w:sz w:val="24"/>
          <w:szCs w:val="24"/>
          <w:highlight w:val="none"/>
        </w:rPr>
        <w:t>、</w:t>
      </w:r>
      <w:r>
        <w:rPr>
          <w:rFonts w:hint="eastAsia"/>
          <w:kern w:val="2"/>
          <w:sz w:val="24"/>
          <w:szCs w:val="24"/>
          <w:highlight w:val="none"/>
        </w:rPr>
        <w:t>选矿车间</w:t>
      </w:r>
      <w:r>
        <w:rPr>
          <w:kern w:val="2"/>
          <w:sz w:val="24"/>
          <w:szCs w:val="24"/>
          <w:highlight w:val="none"/>
        </w:rPr>
        <w:t>附近。</w:t>
      </w:r>
    </w:p>
    <w:p>
      <w:pPr>
        <w:ind w:firstLine="480"/>
        <w:rPr>
          <w:kern w:val="2"/>
          <w:sz w:val="24"/>
          <w:szCs w:val="24"/>
          <w:highlight w:val="none"/>
        </w:rPr>
      </w:pPr>
      <w:r>
        <w:rPr>
          <w:rFonts w:hint="eastAsia"/>
          <w:kern w:val="2"/>
          <w:sz w:val="24"/>
          <w:szCs w:val="24"/>
          <w:highlight w:val="none"/>
        </w:rPr>
        <w:t>（2）</w:t>
      </w:r>
      <w:r>
        <w:rPr>
          <w:kern w:val="2"/>
          <w:sz w:val="24"/>
          <w:szCs w:val="24"/>
          <w:highlight w:val="none"/>
        </w:rPr>
        <w:t>监测时间和频次</w:t>
      </w:r>
    </w:p>
    <w:p>
      <w:pPr>
        <w:ind w:firstLine="480"/>
        <w:rPr>
          <w:kern w:val="2"/>
          <w:sz w:val="24"/>
          <w:szCs w:val="24"/>
          <w:highlight w:val="none"/>
        </w:rPr>
      </w:pPr>
      <w:r>
        <w:rPr>
          <w:kern w:val="2"/>
          <w:sz w:val="24"/>
          <w:szCs w:val="24"/>
          <w:highlight w:val="none"/>
        </w:rPr>
        <w:t>采样监测一次</w:t>
      </w:r>
      <w:r>
        <w:rPr>
          <w:rFonts w:hint="eastAsia"/>
          <w:kern w:val="2"/>
          <w:sz w:val="24"/>
          <w:szCs w:val="24"/>
          <w:highlight w:val="none"/>
        </w:rPr>
        <w:t>，</w:t>
      </w:r>
      <w:r>
        <w:rPr>
          <w:kern w:val="2"/>
          <w:sz w:val="24"/>
          <w:szCs w:val="24"/>
          <w:highlight w:val="none"/>
        </w:rPr>
        <w:t>采样深度20cm 、</w:t>
      </w:r>
      <w:r>
        <w:rPr>
          <w:rFonts w:hint="eastAsia"/>
          <w:kern w:val="2"/>
          <w:sz w:val="24"/>
          <w:szCs w:val="24"/>
          <w:highlight w:val="none"/>
        </w:rPr>
        <w:t>8</w:t>
      </w:r>
      <w:r>
        <w:rPr>
          <w:kern w:val="2"/>
          <w:sz w:val="24"/>
          <w:szCs w:val="24"/>
          <w:highlight w:val="none"/>
        </w:rPr>
        <w:t>0cm 各取 1 个样品。</w:t>
      </w:r>
    </w:p>
    <w:p>
      <w:pPr>
        <w:ind w:firstLine="480"/>
        <w:rPr>
          <w:kern w:val="2"/>
          <w:sz w:val="24"/>
          <w:szCs w:val="24"/>
          <w:highlight w:val="none"/>
        </w:rPr>
      </w:pPr>
      <w:r>
        <w:rPr>
          <w:rFonts w:hint="eastAsia"/>
          <w:kern w:val="2"/>
          <w:sz w:val="24"/>
          <w:szCs w:val="24"/>
          <w:highlight w:val="none"/>
        </w:rPr>
        <w:t>（3）</w:t>
      </w:r>
      <w:r>
        <w:rPr>
          <w:kern w:val="2"/>
          <w:sz w:val="24"/>
          <w:szCs w:val="24"/>
          <w:highlight w:val="none"/>
        </w:rPr>
        <w:t>包气带监测项目</w:t>
      </w:r>
    </w:p>
    <w:p>
      <w:pPr>
        <w:ind w:firstLine="480"/>
        <w:rPr>
          <w:kern w:val="2"/>
          <w:sz w:val="24"/>
          <w:szCs w:val="24"/>
          <w:highlight w:val="none"/>
        </w:rPr>
      </w:pPr>
      <w:r>
        <w:rPr>
          <w:rFonts w:hint="eastAsia"/>
          <w:kern w:val="2"/>
          <w:sz w:val="24"/>
          <w:szCs w:val="24"/>
          <w:highlight w:val="none"/>
        </w:rPr>
        <w:t>石油类。</w:t>
      </w:r>
    </w:p>
    <w:p>
      <w:pPr>
        <w:ind w:firstLine="480"/>
        <w:rPr>
          <w:kern w:val="2"/>
          <w:sz w:val="24"/>
          <w:szCs w:val="24"/>
          <w:highlight w:val="none"/>
        </w:rPr>
      </w:pPr>
      <w:r>
        <w:rPr>
          <w:rFonts w:hint="eastAsia"/>
          <w:kern w:val="2"/>
          <w:sz w:val="24"/>
          <w:szCs w:val="24"/>
          <w:highlight w:val="none"/>
        </w:rPr>
        <w:t>（4）</w:t>
      </w:r>
      <w:r>
        <w:rPr>
          <w:kern w:val="2"/>
          <w:sz w:val="24"/>
          <w:szCs w:val="24"/>
          <w:highlight w:val="none"/>
        </w:rPr>
        <w:t>浸溶液分析</w:t>
      </w:r>
    </w:p>
    <w:p>
      <w:pPr>
        <w:ind w:firstLine="480"/>
        <w:rPr>
          <w:kern w:val="2"/>
          <w:sz w:val="24"/>
          <w:szCs w:val="24"/>
          <w:highlight w:val="none"/>
        </w:rPr>
      </w:pPr>
      <w:r>
        <w:rPr>
          <w:kern w:val="2"/>
          <w:sz w:val="24"/>
          <w:szCs w:val="24"/>
          <w:highlight w:val="none"/>
        </w:rPr>
        <w:t>对取样的土壤进行浸溶实验，样品参照《固体废物浸出毒性浸出方法-水平震荡法》(GB557-2010) 浸溶处理。</w:t>
      </w:r>
    </w:p>
    <w:p>
      <w:pPr>
        <w:ind w:firstLine="480"/>
        <w:rPr>
          <w:kern w:val="2"/>
          <w:sz w:val="24"/>
          <w:szCs w:val="24"/>
          <w:highlight w:val="none"/>
        </w:rPr>
      </w:pPr>
      <w:r>
        <w:rPr>
          <w:rFonts w:hint="eastAsia"/>
          <w:kern w:val="2"/>
          <w:sz w:val="24"/>
          <w:szCs w:val="24"/>
          <w:highlight w:val="none"/>
        </w:rPr>
        <w:t>（5）</w:t>
      </w:r>
      <w:r>
        <w:rPr>
          <w:kern w:val="2"/>
          <w:sz w:val="24"/>
          <w:szCs w:val="24"/>
          <w:highlight w:val="none"/>
        </w:rPr>
        <w:t>监测与评价结果</w:t>
      </w:r>
    </w:p>
    <w:p>
      <w:pPr>
        <w:ind w:firstLine="480"/>
        <w:rPr>
          <w:kern w:val="2"/>
          <w:sz w:val="24"/>
          <w:szCs w:val="24"/>
          <w:highlight w:val="none"/>
        </w:rPr>
      </w:pPr>
      <w:r>
        <w:rPr>
          <w:rFonts w:hint="eastAsia"/>
          <w:kern w:val="2"/>
          <w:sz w:val="24"/>
          <w:szCs w:val="24"/>
          <w:highlight w:val="none"/>
        </w:rPr>
        <w:t>包气带浸出液石油类均未检出，包气带未受项目污染</w:t>
      </w:r>
      <w:r>
        <w:rPr>
          <w:kern w:val="2"/>
          <w:sz w:val="24"/>
          <w:szCs w:val="24"/>
          <w:highlight w:val="none"/>
        </w:rPr>
        <w:t>，对人体健康的风险可以忽略。</w:t>
      </w:r>
    </w:p>
    <w:p>
      <w:pPr>
        <w:adjustRightInd w:val="0"/>
        <w:snapToGrid w:val="0"/>
        <w:spacing w:before="120" w:beforeLines="50"/>
        <w:ind w:firstLine="0" w:firstLineChars="0"/>
        <w:jc w:val="both"/>
        <w:textAlignment w:val="auto"/>
        <w:rPr>
          <w:highlight w:val="none"/>
        </w:rPr>
        <w:sectPr>
          <w:footerReference r:id="rId21" w:type="default"/>
          <w:pgSz w:w="11905" w:h="16838"/>
          <w:pgMar w:top="1440" w:right="1803" w:bottom="1134" w:left="1803" w:header="850" w:footer="992" w:gutter="0"/>
          <w:cols w:space="0" w:num="1"/>
          <w:docGrid w:linePitch="312" w:charSpace="0"/>
        </w:sectPr>
      </w:pPr>
    </w:p>
    <w:p>
      <w:pPr>
        <w:pStyle w:val="4"/>
        <w:numPr>
          <w:ilvl w:val="0"/>
          <w:numId w:val="1"/>
        </w:numPr>
        <w:rPr>
          <w:rFonts w:ascii="Times New Roman"/>
          <w:sz w:val="36"/>
          <w:highlight w:val="none"/>
        </w:rPr>
      </w:pPr>
      <w:bookmarkStart w:id="319" w:name="_Toc375206181"/>
      <w:bookmarkStart w:id="320" w:name="_Toc25944"/>
      <w:bookmarkStart w:id="321" w:name="_Toc521591789"/>
      <w:bookmarkStart w:id="322" w:name="_Toc524285108"/>
      <w:bookmarkStart w:id="323" w:name="_Toc12145"/>
      <w:bookmarkStart w:id="324" w:name="_Toc19670"/>
      <w:bookmarkStart w:id="325" w:name="_Toc503218113"/>
      <w:bookmarkStart w:id="326" w:name="_Toc499651414"/>
      <w:bookmarkStart w:id="327" w:name="_Toc13145"/>
      <w:r>
        <w:rPr>
          <w:rFonts w:ascii="Times New Roman"/>
          <w:sz w:val="36"/>
          <w:highlight w:val="none"/>
        </w:rPr>
        <w:t>环境影响预测与</w:t>
      </w:r>
      <w:bookmarkEnd w:id="319"/>
      <w:r>
        <w:rPr>
          <w:rFonts w:ascii="Times New Roman"/>
          <w:sz w:val="36"/>
          <w:highlight w:val="none"/>
        </w:rPr>
        <w:t>评价</w:t>
      </w:r>
      <w:bookmarkEnd w:id="320"/>
      <w:bookmarkEnd w:id="321"/>
      <w:bookmarkEnd w:id="322"/>
      <w:bookmarkEnd w:id="323"/>
      <w:bookmarkEnd w:id="324"/>
      <w:bookmarkEnd w:id="325"/>
      <w:bookmarkEnd w:id="326"/>
      <w:bookmarkEnd w:id="327"/>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328" w:name="_Toc23811"/>
      <w:bookmarkStart w:id="329" w:name="_Toc24899"/>
      <w:bookmarkStart w:id="330" w:name="_Toc15393"/>
      <w:bookmarkStart w:id="331" w:name="_Toc524285109"/>
      <w:bookmarkStart w:id="332" w:name="_Toc521591790"/>
      <w:bookmarkStart w:id="333" w:name="_Toc375206182"/>
      <w:bookmarkStart w:id="334" w:name="_Toc499651415"/>
      <w:bookmarkStart w:id="335" w:name="_Toc8328"/>
      <w:bookmarkStart w:id="336" w:name="_Toc503218114"/>
      <w:r>
        <w:rPr>
          <w:rFonts w:ascii="Times New Roman" w:hAnsi="Times New Roman" w:eastAsia="宋体"/>
          <w:bCs w:val="0"/>
          <w:snapToGrid w:val="0"/>
          <w:kern w:val="0"/>
          <w:sz w:val="28"/>
          <w:szCs w:val="28"/>
          <w:highlight w:val="none"/>
        </w:rPr>
        <w:t>施工期环境影响分析</w:t>
      </w:r>
      <w:bookmarkEnd w:id="328"/>
      <w:bookmarkEnd w:id="329"/>
      <w:bookmarkEnd w:id="330"/>
      <w:bookmarkEnd w:id="331"/>
      <w:bookmarkEnd w:id="332"/>
      <w:bookmarkEnd w:id="333"/>
      <w:bookmarkEnd w:id="334"/>
      <w:bookmarkEnd w:id="335"/>
      <w:bookmarkEnd w:id="336"/>
    </w:p>
    <w:p>
      <w:pPr>
        <w:autoSpaceDE w:val="0"/>
        <w:autoSpaceDN w:val="0"/>
        <w:ind w:firstLine="480"/>
        <w:jc w:val="both"/>
        <w:textAlignment w:val="auto"/>
        <w:rPr>
          <w:bCs/>
          <w:sz w:val="24"/>
          <w:highlight w:val="none"/>
        </w:rPr>
      </w:pPr>
      <w:r>
        <w:rPr>
          <w:rFonts w:hint="eastAsia"/>
          <w:sz w:val="24"/>
          <w:szCs w:val="24"/>
          <w:highlight w:val="none"/>
        </w:rPr>
        <w:t>本项目利用现有厂房进行建设，施工内容主要为设备安装施工，施工期间对环境的影响主要是施工噪声影响，施工期短暂，随着施工期结束施工期影响消除，影响较小。</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337" w:name="_Toc24062"/>
      <w:bookmarkStart w:id="338" w:name="_Toc303632174"/>
      <w:bookmarkStart w:id="339" w:name="_Toc524285110"/>
      <w:bookmarkStart w:id="340" w:name="_Toc22888"/>
      <w:bookmarkStart w:id="341" w:name="_Toc8380"/>
      <w:bookmarkStart w:id="342" w:name="_Toc27022"/>
      <w:bookmarkStart w:id="343" w:name="_Toc521591796"/>
      <w:bookmarkStart w:id="344" w:name="_Toc499651416"/>
      <w:bookmarkStart w:id="345" w:name="_Toc503218115"/>
      <w:r>
        <w:rPr>
          <w:rFonts w:ascii="Times New Roman" w:hAnsi="Times New Roman" w:eastAsia="宋体"/>
          <w:bCs w:val="0"/>
          <w:snapToGrid w:val="0"/>
          <w:kern w:val="0"/>
          <w:sz w:val="28"/>
          <w:szCs w:val="28"/>
          <w:highlight w:val="none"/>
        </w:rPr>
        <w:t>营运期环境影响预测与评价</w:t>
      </w:r>
      <w:bookmarkEnd w:id="337"/>
      <w:bookmarkEnd w:id="338"/>
      <w:bookmarkEnd w:id="339"/>
      <w:bookmarkEnd w:id="340"/>
      <w:bookmarkEnd w:id="341"/>
      <w:bookmarkEnd w:id="342"/>
      <w:bookmarkEnd w:id="343"/>
      <w:bookmarkEnd w:id="344"/>
      <w:bookmarkEnd w:id="345"/>
    </w:p>
    <w:p>
      <w:pPr>
        <w:pStyle w:val="6"/>
        <w:numPr>
          <w:ilvl w:val="2"/>
          <w:numId w:val="1"/>
        </w:numPr>
        <w:rPr>
          <w:szCs w:val="28"/>
          <w:highlight w:val="none"/>
        </w:rPr>
      </w:pPr>
      <w:bookmarkStart w:id="346" w:name="_Toc26071"/>
      <w:bookmarkStart w:id="347" w:name="_Toc521591797"/>
      <w:r>
        <w:rPr>
          <w:szCs w:val="28"/>
          <w:highlight w:val="none"/>
        </w:rPr>
        <w:t>大气环境影响预测与评价</w:t>
      </w:r>
      <w:bookmarkEnd w:id="346"/>
      <w:bookmarkEnd w:id="347"/>
    </w:p>
    <w:p>
      <w:pPr>
        <w:pStyle w:val="3"/>
        <w:numPr>
          <w:ilvl w:val="3"/>
          <w:numId w:val="1"/>
        </w:numPr>
        <w:ind w:left="709" w:hanging="709"/>
        <w:rPr>
          <w:rFonts w:eastAsia="宋体"/>
          <w:b/>
          <w:highlight w:val="none"/>
        </w:rPr>
      </w:pPr>
      <w:bookmarkStart w:id="348" w:name="_Hlk18932981"/>
      <w:r>
        <w:rPr>
          <w:rFonts w:eastAsia="宋体"/>
          <w:b/>
          <w:highlight w:val="none"/>
        </w:rPr>
        <w:t>污染物排放量核算</w:t>
      </w:r>
    </w:p>
    <w:p>
      <w:pPr>
        <w:ind w:firstLine="480"/>
        <w:rPr>
          <w:rFonts w:eastAsia="黑体"/>
          <w:kern w:val="2"/>
          <w:sz w:val="21"/>
          <w:szCs w:val="21"/>
          <w:highlight w:val="none"/>
        </w:rPr>
      </w:pPr>
      <w:r>
        <w:rPr>
          <w:sz w:val="24"/>
          <w:szCs w:val="24"/>
          <w:highlight w:val="none"/>
        </w:rPr>
        <w:t>根据《环境影响评价技术导则大气环境》（HJ2.2-2018）中8.1.2的规定，二级评价项目不进行进一步预测与评价，只对污染物排放量进行核算。本项目污染物有组织排放量核算见表5.2-1，无组织排放量核算见表5.2-2，大气污染物年排放量核算见表5.2-3，非正常排放量核算见表5.2-4。</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表5.2-1    大气污染物有组织排放量核算表</w:t>
      </w:r>
    </w:p>
    <w:tbl>
      <w:tblPr>
        <w:tblStyle w:val="5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285"/>
        <w:gridCol w:w="1285"/>
        <w:gridCol w:w="1779"/>
        <w:gridCol w:w="1658"/>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696" w:type="dxa"/>
            <w:vAlign w:val="center"/>
          </w:tcPr>
          <w:p>
            <w:pPr>
              <w:tabs>
                <w:tab w:val="left" w:pos="0"/>
              </w:tabs>
              <w:spacing w:line="240" w:lineRule="auto"/>
              <w:ind w:firstLine="0" w:firstLineChars="0"/>
              <w:jc w:val="center"/>
              <w:rPr>
                <w:sz w:val="21"/>
                <w:szCs w:val="21"/>
                <w:highlight w:val="none"/>
              </w:rPr>
            </w:pPr>
            <w:r>
              <w:rPr>
                <w:sz w:val="21"/>
                <w:szCs w:val="21"/>
                <w:highlight w:val="none"/>
              </w:rPr>
              <w:t>序号</w:t>
            </w:r>
          </w:p>
        </w:tc>
        <w:tc>
          <w:tcPr>
            <w:tcW w:w="1285" w:type="dxa"/>
            <w:vAlign w:val="center"/>
          </w:tcPr>
          <w:p>
            <w:pPr>
              <w:tabs>
                <w:tab w:val="left" w:pos="0"/>
              </w:tabs>
              <w:spacing w:line="240" w:lineRule="auto"/>
              <w:ind w:firstLine="0" w:firstLineChars="0"/>
              <w:jc w:val="center"/>
              <w:rPr>
                <w:sz w:val="21"/>
                <w:szCs w:val="21"/>
                <w:highlight w:val="none"/>
              </w:rPr>
            </w:pPr>
            <w:r>
              <w:rPr>
                <w:sz w:val="21"/>
                <w:szCs w:val="21"/>
                <w:highlight w:val="none"/>
              </w:rPr>
              <w:t>排放口</w:t>
            </w:r>
          </w:p>
          <w:p>
            <w:pPr>
              <w:tabs>
                <w:tab w:val="left" w:pos="0"/>
              </w:tabs>
              <w:spacing w:line="240" w:lineRule="auto"/>
              <w:ind w:firstLine="0" w:firstLineChars="0"/>
              <w:jc w:val="center"/>
              <w:rPr>
                <w:sz w:val="21"/>
                <w:szCs w:val="21"/>
                <w:highlight w:val="none"/>
              </w:rPr>
            </w:pPr>
            <w:r>
              <w:rPr>
                <w:sz w:val="21"/>
                <w:szCs w:val="21"/>
                <w:highlight w:val="none"/>
              </w:rPr>
              <w:t>编号</w:t>
            </w:r>
          </w:p>
        </w:tc>
        <w:tc>
          <w:tcPr>
            <w:tcW w:w="1285" w:type="dxa"/>
            <w:vAlign w:val="center"/>
          </w:tcPr>
          <w:p>
            <w:pPr>
              <w:tabs>
                <w:tab w:val="left" w:pos="-105"/>
              </w:tabs>
              <w:spacing w:line="240" w:lineRule="auto"/>
              <w:ind w:firstLine="0" w:firstLineChars="0"/>
              <w:jc w:val="center"/>
              <w:rPr>
                <w:sz w:val="21"/>
                <w:szCs w:val="21"/>
                <w:highlight w:val="none"/>
              </w:rPr>
            </w:pPr>
            <w:r>
              <w:rPr>
                <w:sz w:val="21"/>
                <w:szCs w:val="21"/>
                <w:highlight w:val="none"/>
              </w:rPr>
              <w:t>污染物</w:t>
            </w:r>
          </w:p>
        </w:tc>
        <w:tc>
          <w:tcPr>
            <w:tcW w:w="1779" w:type="dxa"/>
            <w:vAlign w:val="center"/>
          </w:tcPr>
          <w:p>
            <w:pPr>
              <w:tabs>
                <w:tab w:val="left" w:pos="0"/>
              </w:tabs>
              <w:spacing w:line="240" w:lineRule="auto"/>
              <w:ind w:firstLine="0" w:firstLineChars="0"/>
              <w:jc w:val="center"/>
              <w:rPr>
                <w:sz w:val="21"/>
                <w:szCs w:val="21"/>
                <w:highlight w:val="none"/>
              </w:rPr>
            </w:pPr>
            <w:r>
              <w:rPr>
                <w:sz w:val="21"/>
                <w:szCs w:val="21"/>
                <w:highlight w:val="none"/>
              </w:rPr>
              <w:t>核算排放浓度（</w:t>
            </w:r>
            <w:r>
              <w:rPr>
                <w:kern w:val="2"/>
                <w:sz w:val="21"/>
                <w:szCs w:val="21"/>
                <w:highlight w:val="none"/>
              </w:rPr>
              <w:t>mg/m</w:t>
            </w:r>
            <w:r>
              <w:rPr>
                <w:kern w:val="2"/>
                <w:sz w:val="21"/>
                <w:szCs w:val="21"/>
                <w:highlight w:val="none"/>
                <w:vertAlign w:val="superscript"/>
              </w:rPr>
              <w:t>3</w:t>
            </w:r>
            <w:r>
              <w:rPr>
                <w:sz w:val="21"/>
                <w:szCs w:val="21"/>
                <w:highlight w:val="none"/>
              </w:rPr>
              <w:t>）</w:t>
            </w:r>
          </w:p>
        </w:tc>
        <w:tc>
          <w:tcPr>
            <w:tcW w:w="1658" w:type="dxa"/>
            <w:vAlign w:val="center"/>
          </w:tcPr>
          <w:p>
            <w:pPr>
              <w:tabs>
                <w:tab w:val="left" w:pos="0"/>
              </w:tabs>
              <w:spacing w:line="240" w:lineRule="auto"/>
              <w:ind w:firstLine="0" w:firstLineChars="0"/>
              <w:jc w:val="center"/>
              <w:rPr>
                <w:bCs/>
                <w:sz w:val="21"/>
                <w:szCs w:val="21"/>
                <w:highlight w:val="none"/>
              </w:rPr>
            </w:pPr>
            <w:r>
              <w:rPr>
                <w:bCs/>
                <w:sz w:val="21"/>
                <w:szCs w:val="21"/>
                <w:highlight w:val="none"/>
              </w:rPr>
              <w:t>核算排放速率</w:t>
            </w:r>
          </w:p>
          <w:p>
            <w:pPr>
              <w:tabs>
                <w:tab w:val="left" w:pos="0"/>
              </w:tabs>
              <w:spacing w:line="240" w:lineRule="auto"/>
              <w:ind w:firstLine="0" w:firstLineChars="0"/>
              <w:jc w:val="center"/>
              <w:rPr>
                <w:bCs/>
                <w:sz w:val="21"/>
                <w:szCs w:val="21"/>
                <w:highlight w:val="none"/>
              </w:rPr>
            </w:pPr>
            <w:r>
              <w:rPr>
                <w:bCs/>
                <w:sz w:val="21"/>
                <w:szCs w:val="21"/>
                <w:highlight w:val="none"/>
              </w:rPr>
              <w:t>（kg/h）</w:t>
            </w:r>
          </w:p>
        </w:tc>
        <w:tc>
          <w:tcPr>
            <w:tcW w:w="1819" w:type="dxa"/>
            <w:vAlign w:val="center"/>
          </w:tcPr>
          <w:p>
            <w:pPr>
              <w:tabs>
                <w:tab w:val="left" w:pos="0"/>
              </w:tabs>
              <w:spacing w:line="240" w:lineRule="auto"/>
              <w:ind w:firstLine="0" w:firstLineChars="0"/>
              <w:jc w:val="center"/>
              <w:rPr>
                <w:sz w:val="21"/>
                <w:szCs w:val="21"/>
                <w:highlight w:val="none"/>
              </w:rPr>
            </w:pPr>
            <w:r>
              <w:rPr>
                <w:sz w:val="21"/>
                <w:szCs w:val="21"/>
                <w:highlight w:val="none"/>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22" w:type="dxa"/>
            <w:gridSpan w:val="6"/>
            <w:vAlign w:val="center"/>
          </w:tcPr>
          <w:p>
            <w:pPr>
              <w:tabs>
                <w:tab w:val="left" w:pos="0"/>
              </w:tabs>
              <w:spacing w:line="240" w:lineRule="auto"/>
              <w:ind w:firstLine="0" w:firstLineChars="0"/>
              <w:jc w:val="center"/>
              <w:rPr>
                <w:sz w:val="21"/>
                <w:szCs w:val="21"/>
                <w:highlight w:val="none"/>
              </w:rPr>
            </w:pPr>
            <w:r>
              <w:rPr>
                <w:rFonts w:hint="eastAsia"/>
                <w:sz w:val="21"/>
                <w:szCs w:val="21"/>
                <w:highlight w:val="none"/>
              </w:rPr>
              <w:t>一般</w:t>
            </w:r>
            <w:r>
              <w:rPr>
                <w:sz w:val="21"/>
                <w:szCs w:val="21"/>
                <w:highlight w:val="none"/>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6" w:type="dxa"/>
            <w:vAlign w:val="center"/>
          </w:tcPr>
          <w:p>
            <w:pPr>
              <w:tabs>
                <w:tab w:val="left" w:pos="0"/>
              </w:tabs>
              <w:spacing w:line="240" w:lineRule="auto"/>
              <w:ind w:firstLine="0" w:firstLineChars="0"/>
              <w:jc w:val="center"/>
              <w:rPr>
                <w:sz w:val="21"/>
                <w:szCs w:val="21"/>
                <w:highlight w:val="none"/>
              </w:rPr>
            </w:pPr>
            <w:r>
              <w:rPr>
                <w:sz w:val="21"/>
                <w:szCs w:val="21"/>
                <w:highlight w:val="none"/>
              </w:rPr>
              <w:t>1</w:t>
            </w:r>
          </w:p>
        </w:tc>
        <w:tc>
          <w:tcPr>
            <w:tcW w:w="1285" w:type="dxa"/>
            <w:vAlign w:val="center"/>
          </w:tcPr>
          <w:p>
            <w:pPr>
              <w:tabs>
                <w:tab w:val="left" w:pos="0"/>
              </w:tabs>
              <w:spacing w:line="240" w:lineRule="auto"/>
              <w:ind w:firstLine="0" w:firstLineChars="0"/>
              <w:jc w:val="center"/>
              <w:rPr>
                <w:sz w:val="21"/>
                <w:szCs w:val="21"/>
                <w:highlight w:val="none"/>
              </w:rPr>
            </w:pPr>
            <w:r>
              <w:rPr>
                <w:sz w:val="21"/>
                <w:szCs w:val="21"/>
                <w:highlight w:val="none"/>
              </w:rPr>
              <w:t>G</w:t>
            </w:r>
            <w:r>
              <w:rPr>
                <w:rFonts w:hint="eastAsia"/>
                <w:sz w:val="21"/>
                <w:szCs w:val="21"/>
                <w:highlight w:val="none"/>
              </w:rPr>
              <w:t>1</w:t>
            </w:r>
          </w:p>
        </w:tc>
        <w:tc>
          <w:tcPr>
            <w:tcW w:w="1285" w:type="dxa"/>
            <w:vAlign w:val="center"/>
          </w:tcPr>
          <w:p>
            <w:pPr>
              <w:tabs>
                <w:tab w:val="left" w:pos="0"/>
              </w:tabs>
              <w:spacing w:line="240" w:lineRule="auto"/>
              <w:ind w:firstLine="0" w:firstLineChars="0"/>
              <w:jc w:val="center"/>
              <w:rPr>
                <w:sz w:val="21"/>
                <w:szCs w:val="21"/>
                <w:highlight w:val="none"/>
              </w:rPr>
            </w:pPr>
            <w:r>
              <w:rPr>
                <w:sz w:val="21"/>
                <w:szCs w:val="21"/>
                <w:highlight w:val="none"/>
              </w:rPr>
              <w:t>颗粒物</w:t>
            </w:r>
          </w:p>
        </w:tc>
        <w:tc>
          <w:tcPr>
            <w:tcW w:w="1779" w:type="dxa"/>
            <w:vAlign w:val="center"/>
          </w:tcPr>
          <w:p>
            <w:pPr>
              <w:tabs>
                <w:tab w:val="left" w:pos="0"/>
              </w:tabs>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2.66</w:t>
            </w:r>
          </w:p>
        </w:tc>
        <w:tc>
          <w:tcPr>
            <w:tcW w:w="1658" w:type="dxa"/>
            <w:vAlign w:val="center"/>
          </w:tcPr>
          <w:p>
            <w:pPr>
              <w:tabs>
                <w:tab w:val="left" w:pos="0"/>
              </w:tabs>
              <w:spacing w:line="240" w:lineRule="auto"/>
              <w:ind w:firstLine="0" w:firstLineChars="0"/>
              <w:jc w:val="center"/>
              <w:rPr>
                <w:highlight w:val="none"/>
              </w:rPr>
            </w:pPr>
            <w:r>
              <w:rPr>
                <w:rFonts w:hint="eastAsia"/>
                <w:sz w:val="21"/>
                <w:szCs w:val="21"/>
                <w:highlight w:val="none"/>
              </w:rPr>
              <w:t>0.17</w:t>
            </w:r>
          </w:p>
        </w:tc>
        <w:tc>
          <w:tcPr>
            <w:tcW w:w="1819" w:type="dxa"/>
            <w:vAlign w:val="center"/>
          </w:tcPr>
          <w:p>
            <w:pPr>
              <w:tabs>
                <w:tab w:val="left" w:pos="0"/>
              </w:tabs>
              <w:spacing w:line="240" w:lineRule="auto"/>
              <w:ind w:firstLine="0" w:firstLineChars="0"/>
              <w:jc w:val="center"/>
              <w:rPr>
                <w:sz w:val="21"/>
                <w:szCs w:val="21"/>
                <w:highlight w:val="none"/>
              </w:rPr>
            </w:pPr>
            <w:r>
              <w:rPr>
                <w:rFonts w:hint="eastAsia"/>
                <w:sz w:val="21"/>
                <w:szCs w:val="21"/>
                <w:highlight w:val="none"/>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gridSpan w:val="2"/>
            <w:vAlign w:val="center"/>
          </w:tcPr>
          <w:p>
            <w:pPr>
              <w:tabs>
                <w:tab w:val="left" w:pos="0"/>
              </w:tabs>
              <w:spacing w:line="240" w:lineRule="auto"/>
              <w:ind w:firstLine="0" w:firstLineChars="0"/>
              <w:jc w:val="center"/>
              <w:rPr>
                <w:sz w:val="21"/>
                <w:szCs w:val="21"/>
                <w:highlight w:val="none"/>
              </w:rPr>
            </w:pPr>
            <w:r>
              <w:rPr>
                <w:sz w:val="21"/>
                <w:szCs w:val="21"/>
                <w:highlight w:val="none"/>
              </w:rPr>
              <w:t>合计</w:t>
            </w:r>
          </w:p>
        </w:tc>
        <w:tc>
          <w:tcPr>
            <w:tcW w:w="4722" w:type="dxa"/>
            <w:gridSpan w:val="3"/>
            <w:vAlign w:val="center"/>
          </w:tcPr>
          <w:p>
            <w:pPr>
              <w:tabs>
                <w:tab w:val="left" w:pos="0"/>
              </w:tabs>
              <w:spacing w:line="240" w:lineRule="auto"/>
              <w:ind w:firstLine="210" w:firstLineChars="100"/>
              <w:jc w:val="center"/>
              <w:rPr>
                <w:bCs/>
                <w:sz w:val="21"/>
                <w:szCs w:val="21"/>
                <w:highlight w:val="none"/>
              </w:rPr>
            </w:pPr>
            <w:r>
              <w:rPr>
                <w:bCs/>
                <w:sz w:val="21"/>
                <w:szCs w:val="21"/>
                <w:highlight w:val="none"/>
              </w:rPr>
              <w:t>颗粒物</w:t>
            </w:r>
          </w:p>
        </w:tc>
        <w:tc>
          <w:tcPr>
            <w:tcW w:w="1819" w:type="dxa"/>
            <w:vAlign w:val="center"/>
          </w:tcPr>
          <w:p>
            <w:pPr>
              <w:tabs>
                <w:tab w:val="left" w:pos="0"/>
              </w:tabs>
              <w:spacing w:line="240" w:lineRule="auto"/>
              <w:ind w:firstLine="0" w:firstLineChars="0"/>
              <w:jc w:val="center"/>
              <w:rPr>
                <w:snapToGrid w:val="0"/>
                <w:sz w:val="21"/>
                <w:szCs w:val="21"/>
                <w:highlight w:val="none"/>
              </w:rPr>
            </w:pPr>
            <w:r>
              <w:rPr>
                <w:rFonts w:hint="eastAsia"/>
                <w:snapToGrid w:val="0"/>
                <w:sz w:val="21"/>
                <w:szCs w:val="21"/>
                <w:highlight w:val="none"/>
              </w:rPr>
              <w:t>0.77</w:t>
            </w:r>
          </w:p>
        </w:tc>
      </w:tr>
    </w:tbl>
    <w:p>
      <w:pPr>
        <w:spacing w:before="120" w:beforeLines="50"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表5.2-2    大气污染物无组织排放量核算表</w:t>
      </w:r>
    </w:p>
    <w:bookmarkEnd w:id="348"/>
    <w:tbl>
      <w:tblPr>
        <w:tblStyle w:val="56"/>
        <w:tblW w:w="8522"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21"/>
        <w:gridCol w:w="727"/>
        <w:gridCol w:w="1143"/>
        <w:gridCol w:w="968"/>
        <w:gridCol w:w="1262"/>
        <w:gridCol w:w="1525"/>
        <w:gridCol w:w="1615"/>
        <w:gridCol w:w="761"/>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521" w:type="dxa"/>
            <w:vMerge w:val="restart"/>
            <w:tcBorders>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序号</w:t>
            </w:r>
          </w:p>
        </w:tc>
        <w:tc>
          <w:tcPr>
            <w:tcW w:w="727" w:type="dxa"/>
            <w:vMerge w:val="restart"/>
            <w:tcBorders>
              <w:left w:val="single" w:color="auto" w:sz="8" w:space="0"/>
              <w:bottom w:val="single" w:color="auto" w:sz="8" w:space="0"/>
              <w:right w:val="single" w:color="auto" w:sz="8" w:space="0"/>
            </w:tcBorders>
            <w:vAlign w:val="center"/>
          </w:tcPr>
          <w:p>
            <w:pPr>
              <w:tabs>
                <w:tab w:val="left" w:pos="-105"/>
              </w:tabs>
              <w:snapToGrid w:val="0"/>
              <w:spacing w:line="240" w:lineRule="auto"/>
              <w:ind w:firstLine="0" w:firstLineChars="0"/>
              <w:jc w:val="center"/>
              <w:rPr>
                <w:sz w:val="21"/>
                <w:szCs w:val="21"/>
                <w:highlight w:val="none"/>
              </w:rPr>
            </w:pPr>
            <w:r>
              <w:rPr>
                <w:sz w:val="21"/>
                <w:szCs w:val="21"/>
                <w:highlight w:val="none"/>
              </w:rPr>
              <w:t>排放口编号</w:t>
            </w:r>
          </w:p>
        </w:tc>
        <w:tc>
          <w:tcPr>
            <w:tcW w:w="1143" w:type="dxa"/>
            <w:vMerge w:val="restart"/>
            <w:tcBorders>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产污</w:t>
            </w:r>
          </w:p>
          <w:p>
            <w:pPr>
              <w:tabs>
                <w:tab w:val="left" w:pos="0"/>
              </w:tabs>
              <w:snapToGrid w:val="0"/>
              <w:spacing w:line="240" w:lineRule="auto"/>
              <w:ind w:firstLine="0" w:firstLineChars="0"/>
              <w:jc w:val="center"/>
              <w:rPr>
                <w:sz w:val="21"/>
                <w:szCs w:val="21"/>
                <w:highlight w:val="none"/>
              </w:rPr>
            </w:pPr>
            <w:r>
              <w:rPr>
                <w:sz w:val="21"/>
                <w:szCs w:val="21"/>
                <w:highlight w:val="none"/>
              </w:rPr>
              <w:t>环节</w:t>
            </w:r>
          </w:p>
        </w:tc>
        <w:tc>
          <w:tcPr>
            <w:tcW w:w="968" w:type="dxa"/>
            <w:vMerge w:val="restart"/>
            <w:tcBorders>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bCs/>
                <w:sz w:val="21"/>
                <w:szCs w:val="21"/>
                <w:highlight w:val="none"/>
              </w:rPr>
            </w:pPr>
            <w:r>
              <w:rPr>
                <w:bCs/>
                <w:sz w:val="21"/>
                <w:szCs w:val="21"/>
                <w:highlight w:val="none"/>
              </w:rPr>
              <w:t>污染物</w:t>
            </w:r>
          </w:p>
        </w:tc>
        <w:tc>
          <w:tcPr>
            <w:tcW w:w="1262" w:type="dxa"/>
            <w:vMerge w:val="restart"/>
            <w:tcBorders>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主要污染防治措施</w:t>
            </w:r>
          </w:p>
        </w:tc>
        <w:tc>
          <w:tcPr>
            <w:tcW w:w="3140" w:type="dxa"/>
            <w:gridSpan w:val="2"/>
            <w:tcBorders>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污染物排放标准</w:t>
            </w:r>
          </w:p>
        </w:tc>
        <w:tc>
          <w:tcPr>
            <w:tcW w:w="761" w:type="dxa"/>
            <w:vMerge w:val="restart"/>
            <w:tcBorders>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年排放量/(t/a)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5" w:hRule="atLeast"/>
          <w:tblHeader/>
          <w:jc w:val="center"/>
        </w:trPr>
        <w:tc>
          <w:tcPr>
            <w:tcW w:w="521" w:type="dxa"/>
            <w:vMerge w:val="continue"/>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p>
        </w:tc>
        <w:tc>
          <w:tcPr>
            <w:tcW w:w="727" w:type="dxa"/>
            <w:vMerge w:val="continue"/>
            <w:tcBorders>
              <w:top w:val="single" w:color="auto" w:sz="8" w:space="0"/>
              <w:left w:val="single" w:color="auto" w:sz="8" w:space="0"/>
              <w:bottom w:val="single" w:color="auto" w:sz="8" w:space="0"/>
              <w:right w:val="single" w:color="auto" w:sz="8" w:space="0"/>
            </w:tcBorders>
            <w:vAlign w:val="center"/>
          </w:tcPr>
          <w:p>
            <w:pPr>
              <w:tabs>
                <w:tab w:val="left" w:pos="-105"/>
              </w:tabs>
              <w:snapToGrid w:val="0"/>
              <w:spacing w:line="240" w:lineRule="auto"/>
              <w:ind w:firstLine="0" w:firstLineChars="0"/>
              <w:jc w:val="center"/>
              <w:rPr>
                <w:sz w:val="21"/>
                <w:szCs w:val="21"/>
                <w:highlight w:val="none"/>
              </w:rPr>
            </w:pPr>
          </w:p>
        </w:tc>
        <w:tc>
          <w:tcPr>
            <w:tcW w:w="1143" w:type="dxa"/>
            <w:vMerge w:val="continue"/>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p>
        </w:tc>
        <w:tc>
          <w:tcPr>
            <w:tcW w:w="968" w:type="dxa"/>
            <w:vMerge w:val="continue"/>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bCs/>
                <w:sz w:val="21"/>
                <w:szCs w:val="21"/>
                <w:highlight w:val="none"/>
              </w:rPr>
            </w:pPr>
          </w:p>
        </w:tc>
        <w:tc>
          <w:tcPr>
            <w:tcW w:w="1262" w:type="dxa"/>
            <w:vMerge w:val="continue"/>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p>
        </w:tc>
        <w:tc>
          <w:tcPr>
            <w:tcW w:w="1525"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标准名称</w:t>
            </w:r>
          </w:p>
        </w:tc>
        <w:tc>
          <w:tcPr>
            <w:tcW w:w="1615"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浓度</w:t>
            </w:r>
            <w:r>
              <w:rPr>
                <w:rFonts w:hint="eastAsia"/>
                <w:sz w:val="21"/>
                <w:szCs w:val="21"/>
                <w:highlight w:val="none"/>
              </w:rPr>
              <w:t>限值</w:t>
            </w:r>
            <w:r>
              <w:rPr>
                <w:sz w:val="21"/>
                <w:szCs w:val="21"/>
                <w:highlight w:val="none"/>
              </w:rPr>
              <w:t>（</w:t>
            </w:r>
            <w:r>
              <w:rPr>
                <w:kern w:val="2"/>
                <w:sz w:val="21"/>
                <w:szCs w:val="21"/>
                <w:highlight w:val="none"/>
              </w:rPr>
              <w:t>mg/m</w:t>
            </w:r>
            <w:r>
              <w:rPr>
                <w:kern w:val="2"/>
                <w:sz w:val="21"/>
                <w:szCs w:val="21"/>
                <w:highlight w:val="none"/>
                <w:vertAlign w:val="superscript"/>
              </w:rPr>
              <w:t>3</w:t>
            </w:r>
            <w:r>
              <w:rPr>
                <w:sz w:val="21"/>
                <w:szCs w:val="21"/>
                <w:highlight w:val="none"/>
              </w:rPr>
              <w:t>）</w:t>
            </w:r>
          </w:p>
        </w:tc>
        <w:tc>
          <w:tcPr>
            <w:tcW w:w="761" w:type="dxa"/>
            <w:vMerge w:val="continue"/>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521"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1</w:t>
            </w:r>
          </w:p>
        </w:tc>
        <w:tc>
          <w:tcPr>
            <w:tcW w:w="727"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A1</w:t>
            </w:r>
          </w:p>
        </w:tc>
        <w:tc>
          <w:tcPr>
            <w:tcW w:w="1143"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破碎、</w:t>
            </w:r>
            <w:r>
              <w:rPr>
                <w:rFonts w:hint="eastAsia"/>
                <w:sz w:val="21"/>
                <w:szCs w:val="21"/>
                <w:highlight w:val="none"/>
              </w:rPr>
              <w:t>筛分</w:t>
            </w:r>
          </w:p>
        </w:tc>
        <w:tc>
          <w:tcPr>
            <w:tcW w:w="968"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bCs/>
                <w:sz w:val="21"/>
                <w:szCs w:val="21"/>
                <w:highlight w:val="none"/>
              </w:rPr>
            </w:pPr>
            <w:r>
              <w:rPr>
                <w:bCs/>
                <w:sz w:val="21"/>
                <w:szCs w:val="21"/>
                <w:highlight w:val="none"/>
              </w:rPr>
              <w:t>颗粒物</w:t>
            </w:r>
          </w:p>
        </w:tc>
        <w:tc>
          <w:tcPr>
            <w:tcW w:w="1262"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水喷淋</w:t>
            </w:r>
          </w:p>
        </w:tc>
        <w:tc>
          <w:tcPr>
            <w:tcW w:w="1525" w:type="dxa"/>
            <w:vMerge w:val="restart"/>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《铁矿采选工业污染物排放标准》（GB28661-2012）</w:t>
            </w:r>
          </w:p>
        </w:tc>
        <w:tc>
          <w:tcPr>
            <w:tcW w:w="1615" w:type="dxa"/>
            <w:vMerge w:val="restart"/>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1</w:t>
            </w:r>
            <w:r>
              <w:rPr>
                <w:rFonts w:hint="eastAsia"/>
                <w:sz w:val="21"/>
                <w:szCs w:val="21"/>
                <w:highlight w:val="none"/>
              </w:rPr>
              <w:t>.</w:t>
            </w:r>
            <w:r>
              <w:rPr>
                <w:sz w:val="21"/>
                <w:szCs w:val="21"/>
                <w:highlight w:val="none"/>
              </w:rPr>
              <w:t>0</w:t>
            </w:r>
          </w:p>
        </w:tc>
        <w:tc>
          <w:tcPr>
            <w:tcW w:w="761"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rFonts w:hint="eastAsia"/>
                <w:sz w:val="21"/>
                <w:szCs w:val="21"/>
                <w:highlight w:val="none"/>
              </w:rPr>
              <w:t>0.408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521"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rFonts w:hint="eastAsia"/>
                <w:sz w:val="21"/>
                <w:szCs w:val="21"/>
                <w:highlight w:val="none"/>
              </w:rPr>
              <w:t>2</w:t>
            </w:r>
          </w:p>
        </w:tc>
        <w:tc>
          <w:tcPr>
            <w:tcW w:w="727"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A</w:t>
            </w:r>
            <w:r>
              <w:rPr>
                <w:rFonts w:hint="eastAsia"/>
                <w:sz w:val="21"/>
                <w:szCs w:val="21"/>
                <w:highlight w:val="none"/>
              </w:rPr>
              <w:t>2</w:t>
            </w:r>
          </w:p>
        </w:tc>
        <w:tc>
          <w:tcPr>
            <w:tcW w:w="1143"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rFonts w:hint="eastAsia"/>
                <w:sz w:val="21"/>
                <w:szCs w:val="21"/>
                <w:highlight w:val="none"/>
              </w:rPr>
              <w:t>物料装卸</w:t>
            </w:r>
            <w:r>
              <w:rPr>
                <w:sz w:val="21"/>
                <w:szCs w:val="21"/>
                <w:highlight w:val="none"/>
              </w:rPr>
              <w:t>、堆存</w:t>
            </w:r>
          </w:p>
        </w:tc>
        <w:tc>
          <w:tcPr>
            <w:tcW w:w="968"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bCs/>
                <w:sz w:val="21"/>
                <w:szCs w:val="21"/>
                <w:highlight w:val="none"/>
              </w:rPr>
            </w:pPr>
            <w:r>
              <w:rPr>
                <w:bCs/>
                <w:sz w:val="21"/>
                <w:szCs w:val="21"/>
                <w:highlight w:val="none"/>
              </w:rPr>
              <w:t>颗粒物</w:t>
            </w:r>
          </w:p>
        </w:tc>
        <w:tc>
          <w:tcPr>
            <w:tcW w:w="1262"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封闭厂房、水喷淋</w:t>
            </w:r>
          </w:p>
        </w:tc>
        <w:tc>
          <w:tcPr>
            <w:tcW w:w="1525" w:type="dxa"/>
            <w:vMerge w:val="continue"/>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p>
        </w:tc>
        <w:tc>
          <w:tcPr>
            <w:tcW w:w="1615" w:type="dxa"/>
            <w:vMerge w:val="continue"/>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p>
        </w:tc>
        <w:tc>
          <w:tcPr>
            <w:tcW w:w="761" w:type="dxa"/>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rFonts w:hint="eastAsia"/>
                <w:sz w:val="21"/>
                <w:szCs w:val="21"/>
                <w:highlight w:val="none"/>
              </w:rPr>
              <w:t>0.27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522" w:type="dxa"/>
            <w:gridSpan w:val="8"/>
            <w:tcBorders>
              <w:top w:val="single" w:color="auto" w:sz="8" w:space="0"/>
              <w:left w:val="single" w:color="auto" w:sz="8" w:space="0"/>
              <w:bottom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无组织排放总计</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359" w:type="dxa"/>
            <w:gridSpan w:val="4"/>
            <w:tcBorders>
              <w:top w:val="single" w:color="auto" w:sz="8" w:space="0"/>
              <w:left w:val="single" w:color="auto" w:sz="8" w:space="0"/>
              <w:right w:val="single" w:color="auto" w:sz="8" w:space="0"/>
            </w:tcBorders>
            <w:vAlign w:val="center"/>
          </w:tcPr>
          <w:p>
            <w:pPr>
              <w:tabs>
                <w:tab w:val="left" w:pos="0"/>
              </w:tabs>
              <w:snapToGrid w:val="0"/>
              <w:spacing w:line="240" w:lineRule="auto"/>
              <w:ind w:firstLine="210" w:firstLineChars="100"/>
              <w:jc w:val="center"/>
              <w:rPr>
                <w:bCs/>
                <w:sz w:val="21"/>
                <w:szCs w:val="21"/>
                <w:highlight w:val="none"/>
              </w:rPr>
            </w:pPr>
            <w:r>
              <w:rPr>
                <w:bCs/>
                <w:sz w:val="21"/>
                <w:szCs w:val="21"/>
                <w:highlight w:val="none"/>
              </w:rPr>
              <w:t>无组织排放总计</w:t>
            </w:r>
          </w:p>
        </w:tc>
        <w:tc>
          <w:tcPr>
            <w:tcW w:w="1262" w:type="dxa"/>
            <w:tcBorders>
              <w:top w:val="single" w:color="auto" w:sz="8" w:space="0"/>
              <w:left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sz w:val="21"/>
                <w:szCs w:val="21"/>
                <w:highlight w:val="none"/>
              </w:rPr>
              <w:t>颗粒物</w:t>
            </w:r>
          </w:p>
        </w:tc>
        <w:tc>
          <w:tcPr>
            <w:tcW w:w="3901" w:type="dxa"/>
            <w:gridSpan w:val="3"/>
            <w:tcBorders>
              <w:top w:val="single" w:color="auto" w:sz="8" w:space="0"/>
              <w:left w:val="single" w:color="auto" w:sz="8" w:space="0"/>
              <w:right w:val="single" w:color="auto" w:sz="8" w:space="0"/>
            </w:tcBorders>
            <w:vAlign w:val="center"/>
          </w:tcPr>
          <w:p>
            <w:pPr>
              <w:tabs>
                <w:tab w:val="left" w:pos="0"/>
              </w:tabs>
              <w:snapToGrid w:val="0"/>
              <w:spacing w:line="240" w:lineRule="auto"/>
              <w:ind w:firstLine="0" w:firstLineChars="0"/>
              <w:jc w:val="center"/>
              <w:rPr>
                <w:sz w:val="21"/>
                <w:szCs w:val="21"/>
                <w:highlight w:val="none"/>
              </w:rPr>
            </w:pPr>
            <w:r>
              <w:rPr>
                <w:rFonts w:hint="eastAsia"/>
                <w:sz w:val="21"/>
                <w:szCs w:val="21"/>
                <w:highlight w:val="none"/>
              </w:rPr>
              <w:t>0.678</w:t>
            </w:r>
            <w:r>
              <w:rPr>
                <w:sz w:val="21"/>
                <w:szCs w:val="21"/>
                <w:highlight w:val="none"/>
              </w:rPr>
              <w:t>t/a</w:t>
            </w:r>
          </w:p>
        </w:tc>
      </w:tr>
    </w:tbl>
    <w:p>
      <w:pPr>
        <w:spacing w:before="120" w:beforeLines="50" w:line="240" w:lineRule="auto"/>
        <w:ind w:firstLine="0" w:firstLineChars="0"/>
        <w:jc w:val="center"/>
        <w:textAlignment w:val="auto"/>
        <w:rPr>
          <w:rFonts w:eastAsia="黑体"/>
          <w:kern w:val="2"/>
          <w:sz w:val="21"/>
          <w:szCs w:val="21"/>
          <w:highlight w:val="none"/>
        </w:rPr>
      </w:pPr>
    </w:p>
    <w:p>
      <w:pPr>
        <w:spacing w:before="120" w:beforeLines="50"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表5.2-3   大气污染物年排放量核算表</w:t>
      </w:r>
    </w:p>
    <w:tbl>
      <w:tblPr>
        <w:tblStyle w:val="5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2937"/>
        <w:gridCol w:w="3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2229" w:type="dxa"/>
            <w:vAlign w:val="center"/>
          </w:tcPr>
          <w:p>
            <w:pPr>
              <w:tabs>
                <w:tab w:val="left" w:pos="0"/>
              </w:tabs>
              <w:spacing w:line="240" w:lineRule="auto"/>
              <w:ind w:firstLine="0" w:firstLineChars="0"/>
              <w:jc w:val="center"/>
              <w:rPr>
                <w:sz w:val="21"/>
                <w:szCs w:val="21"/>
                <w:highlight w:val="none"/>
              </w:rPr>
            </w:pPr>
            <w:r>
              <w:rPr>
                <w:sz w:val="21"/>
                <w:szCs w:val="21"/>
                <w:highlight w:val="none"/>
              </w:rPr>
              <w:t>序号</w:t>
            </w:r>
          </w:p>
        </w:tc>
        <w:tc>
          <w:tcPr>
            <w:tcW w:w="2937" w:type="dxa"/>
            <w:vAlign w:val="center"/>
          </w:tcPr>
          <w:p>
            <w:pPr>
              <w:tabs>
                <w:tab w:val="left" w:pos="-105"/>
              </w:tabs>
              <w:spacing w:line="240" w:lineRule="auto"/>
              <w:ind w:firstLine="0" w:firstLineChars="0"/>
              <w:jc w:val="center"/>
              <w:rPr>
                <w:sz w:val="21"/>
                <w:szCs w:val="21"/>
                <w:highlight w:val="none"/>
              </w:rPr>
            </w:pPr>
            <w:r>
              <w:rPr>
                <w:sz w:val="21"/>
                <w:szCs w:val="21"/>
                <w:highlight w:val="none"/>
              </w:rPr>
              <w:t>污染物</w:t>
            </w:r>
          </w:p>
        </w:tc>
        <w:tc>
          <w:tcPr>
            <w:tcW w:w="3356" w:type="dxa"/>
            <w:vAlign w:val="center"/>
          </w:tcPr>
          <w:p>
            <w:pPr>
              <w:tabs>
                <w:tab w:val="left" w:pos="0"/>
              </w:tabs>
              <w:spacing w:line="240" w:lineRule="auto"/>
              <w:ind w:firstLine="0" w:firstLineChars="0"/>
              <w:jc w:val="center"/>
              <w:rPr>
                <w:sz w:val="21"/>
                <w:szCs w:val="21"/>
                <w:highlight w:val="none"/>
              </w:rPr>
            </w:pPr>
            <w:r>
              <w:rPr>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29" w:type="dxa"/>
            <w:vAlign w:val="center"/>
          </w:tcPr>
          <w:p>
            <w:pPr>
              <w:tabs>
                <w:tab w:val="left" w:pos="0"/>
              </w:tabs>
              <w:spacing w:line="240" w:lineRule="auto"/>
              <w:ind w:firstLine="0" w:firstLineChars="0"/>
              <w:jc w:val="center"/>
              <w:rPr>
                <w:sz w:val="21"/>
                <w:szCs w:val="21"/>
                <w:highlight w:val="none"/>
              </w:rPr>
            </w:pPr>
            <w:r>
              <w:rPr>
                <w:sz w:val="21"/>
                <w:szCs w:val="21"/>
                <w:highlight w:val="none"/>
              </w:rPr>
              <w:t>1</w:t>
            </w:r>
          </w:p>
        </w:tc>
        <w:tc>
          <w:tcPr>
            <w:tcW w:w="2937" w:type="dxa"/>
            <w:vAlign w:val="center"/>
          </w:tcPr>
          <w:p>
            <w:pPr>
              <w:tabs>
                <w:tab w:val="left" w:pos="0"/>
              </w:tabs>
              <w:spacing w:line="240" w:lineRule="auto"/>
              <w:ind w:firstLine="0" w:firstLineChars="0"/>
              <w:jc w:val="center"/>
              <w:rPr>
                <w:sz w:val="21"/>
                <w:szCs w:val="21"/>
                <w:highlight w:val="none"/>
              </w:rPr>
            </w:pPr>
            <w:r>
              <w:rPr>
                <w:sz w:val="21"/>
                <w:szCs w:val="21"/>
                <w:highlight w:val="none"/>
              </w:rPr>
              <w:t>颗粒物</w:t>
            </w:r>
          </w:p>
        </w:tc>
        <w:tc>
          <w:tcPr>
            <w:tcW w:w="3356" w:type="dxa"/>
            <w:vAlign w:val="center"/>
          </w:tcPr>
          <w:p>
            <w:pPr>
              <w:tabs>
                <w:tab w:val="left" w:pos="0"/>
              </w:tabs>
              <w:spacing w:line="240" w:lineRule="auto"/>
              <w:ind w:firstLine="0" w:firstLineChars="0"/>
              <w:jc w:val="center"/>
              <w:rPr>
                <w:sz w:val="21"/>
                <w:szCs w:val="21"/>
                <w:highlight w:val="none"/>
              </w:rPr>
            </w:pPr>
            <w:r>
              <w:rPr>
                <w:rFonts w:hint="eastAsia"/>
                <w:sz w:val="21"/>
                <w:szCs w:val="21"/>
                <w:highlight w:val="none"/>
              </w:rPr>
              <w:t>1.448</w:t>
            </w:r>
          </w:p>
        </w:tc>
      </w:tr>
    </w:tbl>
    <w:p>
      <w:pPr>
        <w:spacing w:before="120" w:beforeLines="50"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表5.2-4    污染源非正常排放量核算表</w:t>
      </w:r>
    </w:p>
    <w:tbl>
      <w:tblPr>
        <w:tblStyle w:val="56"/>
        <w:tblW w:w="8236"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60"/>
        <w:gridCol w:w="869"/>
        <w:gridCol w:w="871"/>
        <w:gridCol w:w="567"/>
        <w:gridCol w:w="1134"/>
        <w:gridCol w:w="992"/>
        <w:gridCol w:w="709"/>
        <w:gridCol w:w="567"/>
        <w:gridCol w:w="1867"/>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36" w:hRule="atLeast"/>
          <w:tblHeader/>
          <w:jc w:val="center"/>
        </w:trPr>
        <w:tc>
          <w:tcPr>
            <w:tcW w:w="660"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序号</w:t>
            </w:r>
          </w:p>
        </w:tc>
        <w:tc>
          <w:tcPr>
            <w:tcW w:w="869" w:type="dxa"/>
            <w:tcBorders>
              <w:left w:val="single" w:color="auto" w:sz="8" w:space="0"/>
              <w:right w:val="single" w:color="auto" w:sz="8" w:space="0"/>
            </w:tcBorders>
            <w:tcMar>
              <w:left w:w="0" w:type="dxa"/>
              <w:right w:w="0" w:type="dxa"/>
            </w:tcMar>
            <w:vAlign w:val="center"/>
          </w:tcPr>
          <w:p>
            <w:pPr>
              <w:tabs>
                <w:tab w:val="left" w:pos="-105"/>
              </w:tabs>
              <w:spacing w:line="240" w:lineRule="auto"/>
              <w:ind w:firstLine="0" w:firstLineChars="0"/>
              <w:jc w:val="center"/>
              <w:rPr>
                <w:sz w:val="21"/>
                <w:szCs w:val="21"/>
                <w:highlight w:val="none"/>
              </w:rPr>
            </w:pPr>
            <w:r>
              <w:rPr>
                <w:sz w:val="21"/>
                <w:szCs w:val="21"/>
                <w:highlight w:val="none"/>
              </w:rPr>
              <w:t>污染源</w:t>
            </w:r>
          </w:p>
        </w:tc>
        <w:tc>
          <w:tcPr>
            <w:tcW w:w="871"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非正常排放原因</w:t>
            </w:r>
          </w:p>
        </w:tc>
        <w:tc>
          <w:tcPr>
            <w:tcW w:w="567"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bCs/>
                <w:sz w:val="21"/>
                <w:szCs w:val="21"/>
                <w:highlight w:val="none"/>
              </w:rPr>
            </w:pPr>
            <w:r>
              <w:rPr>
                <w:bCs/>
                <w:sz w:val="21"/>
                <w:szCs w:val="21"/>
                <w:highlight w:val="none"/>
              </w:rPr>
              <w:t>污染物</w:t>
            </w:r>
          </w:p>
        </w:tc>
        <w:tc>
          <w:tcPr>
            <w:tcW w:w="1134"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非正常排放浓度</w:t>
            </w:r>
          </w:p>
          <w:p>
            <w:pPr>
              <w:tabs>
                <w:tab w:val="left" w:pos="0"/>
              </w:tabs>
              <w:spacing w:line="240" w:lineRule="auto"/>
              <w:ind w:firstLine="0" w:firstLineChars="0"/>
              <w:jc w:val="center"/>
              <w:rPr>
                <w:sz w:val="21"/>
                <w:szCs w:val="21"/>
                <w:highlight w:val="none"/>
              </w:rPr>
            </w:pPr>
            <w:r>
              <w:rPr>
                <w:sz w:val="21"/>
                <w:szCs w:val="21"/>
                <w:highlight w:val="none"/>
              </w:rPr>
              <w:t>（</w:t>
            </w:r>
            <w:r>
              <w:rPr>
                <w:kern w:val="2"/>
                <w:sz w:val="21"/>
                <w:szCs w:val="21"/>
                <w:highlight w:val="none"/>
              </w:rPr>
              <w:t>mg/m</w:t>
            </w:r>
            <w:r>
              <w:rPr>
                <w:kern w:val="2"/>
                <w:sz w:val="21"/>
                <w:szCs w:val="21"/>
                <w:highlight w:val="none"/>
                <w:vertAlign w:val="superscript"/>
              </w:rPr>
              <w:t>3</w:t>
            </w:r>
            <w:r>
              <w:rPr>
                <w:sz w:val="21"/>
                <w:szCs w:val="21"/>
                <w:highlight w:val="none"/>
              </w:rPr>
              <w:t>）</w:t>
            </w:r>
          </w:p>
        </w:tc>
        <w:tc>
          <w:tcPr>
            <w:tcW w:w="992"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非正常排放速率/(kg/h)</w:t>
            </w:r>
          </w:p>
        </w:tc>
        <w:tc>
          <w:tcPr>
            <w:tcW w:w="709"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单次持续时间/h</w:t>
            </w:r>
          </w:p>
        </w:tc>
        <w:tc>
          <w:tcPr>
            <w:tcW w:w="567" w:type="dxa"/>
            <w:tcBorders>
              <w:left w:val="single" w:color="auto" w:sz="8" w:space="0"/>
              <w:right w:val="single" w:color="auto" w:sz="4"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发生频次/次</w:t>
            </w:r>
          </w:p>
        </w:tc>
        <w:tc>
          <w:tcPr>
            <w:tcW w:w="1867" w:type="dxa"/>
            <w:tcBorders>
              <w:left w:val="single" w:color="auto" w:sz="4"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应对措施</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60"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1</w:t>
            </w:r>
          </w:p>
        </w:tc>
        <w:tc>
          <w:tcPr>
            <w:tcW w:w="869"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破碎车间排气筒</w:t>
            </w:r>
          </w:p>
        </w:tc>
        <w:tc>
          <w:tcPr>
            <w:tcW w:w="871"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除尘设施故障</w:t>
            </w:r>
          </w:p>
        </w:tc>
        <w:tc>
          <w:tcPr>
            <w:tcW w:w="567"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bCs/>
                <w:sz w:val="21"/>
                <w:szCs w:val="21"/>
                <w:highlight w:val="none"/>
              </w:rPr>
            </w:pPr>
            <w:r>
              <w:rPr>
                <w:bCs/>
                <w:sz w:val="21"/>
                <w:szCs w:val="21"/>
                <w:highlight w:val="none"/>
              </w:rPr>
              <w:t>颗粒物</w:t>
            </w:r>
          </w:p>
        </w:tc>
        <w:tc>
          <w:tcPr>
            <w:tcW w:w="1134"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rFonts w:hint="eastAsia"/>
                <w:sz w:val="21"/>
                <w:szCs w:val="21"/>
                <w:highlight w:val="none"/>
              </w:rPr>
              <w:t>2662</w:t>
            </w:r>
          </w:p>
        </w:tc>
        <w:tc>
          <w:tcPr>
            <w:tcW w:w="992"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rFonts w:hint="eastAsia"/>
                <w:sz w:val="21"/>
                <w:szCs w:val="21"/>
                <w:highlight w:val="none"/>
              </w:rPr>
              <w:t>178.12</w:t>
            </w:r>
          </w:p>
        </w:tc>
        <w:tc>
          <w:tcPr>
            <w:tcW w:w="709" w:type="dxa"/>
            <w:tcBorders>
              <w:left w:val="single" w:color="auto" w:sz="8"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rFonts w:hint="eastAsia"/>
                <w:sz w:val="21"/>
                <w:szCs w:val="21"/>
                <w:highlight w:val="none"/>
              </w:rPr>
              <w:t>1</w:t>
            </w:r>
          </w:p>
        </w:tc>
        <w:tc>
          <w:tcPr>
            <w:tcW w:w="567" w:type="dxa"/>
            <w:tcBorders>
              <w:left w:val="single" w:color="auto" w:sz="8" w:space="0"/>
              <w:right w:val="single" w:color="auto" w:sz="4"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rFonts w:hint="eastAsia"/>
                <w:sz w:val="21"/>
                <w:szCs w:val="21"/>
                <w:highlight w:val="none"/>
              </w:rPr>
              <w:t>1</w:t>
            </w:r>
          </w:p>
        </w:tc>
        <w:tc>
          <w:tcPr>
            <w:tcW w:w="1867" w:type="dxa"/>
            <w:tcBorders>
              <w:left w:val="single" w:color="auto" w:sz="4" w:space="0"/>
              <w:right w:val="single" w:color="auto" w:sz="8" w:space="0"/>
            </w:tcBorders>
            <w:tcMar>
              <w:left w:w="0" w:type="dxa"/>
              <w:right w:w="0" w:type="dxa"/>
            </w:tcMar>
            <w:vAlign w:val="center"/>
          </w:tcPr>
          <w:p>
            <w:pPr>
              <w:tabs>
                <w:tab w:val="left" w:pos="0"/>
              </w:tabs>
              <w:spacing w:line="240" w:lineRule="auto"/>
              <w:ind w:firstLine="0" w:firstLineChars="0"/>
              <w:jc w:val="center"/>
              <w:rPr>
                <w:sz w:val="21"/>
                <w:szCs w:val="21"/>
                <w:highlight w:val="none"/>
              </w:rPr>
            </w:pPr>
            <w:r>
              <w:rPr>
                <w:sz w:val="21"/>
                <w:szCs w:val="21"/>
                <w:highlight w:val="none"/>
              </w:rPr>
              <w:t>采用双路供电，并加强日常对除尘器设备及布袋的维护，加强日常检查和管理，及时发现设备故障等事故排放情况</w:t>
            </w:r>
          </w:p>
        </w:tc>
      </w:tr>
    </w:tbl>
    <w:p>
      <w:pPr>
        <w:pStyle w:val="3"/>
        <w:numPr>
          <w:ilvl w:val="3"/>
          <w:numId w:val="1"/>
        </w:numPr>
        <w:spacing w:after="120" w:afterLines="50"/>
        <w:ind w:left="709" w:hanging="709"/>
        <w:rPr>
          <w:rFonts w:eastAsia="宋体"/>
          <w:b/>
          <w:highlight w:val="none"/>
        </w:rPr>
      </w:pPr>
      <w:bookmarkStart w:id="349" w:name="_Toc438589238"/>
      <w:r>
        <w:rPr>
          <w:rFonts w:eastAsia="宋体"/>
          <w:b/>
          <w:highlight w:val="none"/>
        </w:rPr>
        <w:t>估算模式参数</w:t>
      </w:r>
    </w:p>
    <w:p>
      <w:pPr>
        <w:pStyle w:val="104"/>
        <w:spacing w:line="360" w:lineRule="auto"/>
        <w:rPr>
          <w:sz w:val="24"/>
          <w:szCs w:val="24"/>
          <w:highlight w:val="none"/>
        </w:rPr>
      </w:pPr>
      <w:r>
        <w:rPr>
          <w:sz w:val="24"/>
          <w:szCs w:val="24"/>
          <w:highlight w:val="none"/>
        </w:rPr>
        <w:t>按估算模式进行预测，主要相关参数见</w:t>
      </w:r>
      <w:r>
        <w:rPr>
          <w:rFonts w:hint="eastAsia"/>
          <w:sz w:val="24"/>
          <w:szCs w:val="24"/>
          <w:highlight w:val="none"/>
        </w:rPr>
        <w:t>表5</w:t>
      </w:r>
      <w:r>
        <w:rPr>
          <w:sz w:val="24"/>
          <w:szCs w:val="24"/>
          <w:highlight w:val="none"/>
        </w:rPr>
        <w:t>.2-5。</w:t>
      </w:r>
    </w:p>
    <w:p>
      <w:pPr>
        <w:pStyle w:val="104"/>
        <w:spacing w:line="360" w:lineRule="auto"/>
        <w:jc w:val="center"/>
        <w:rPr>
          <w:rFonts w:eastAsia="黑体"/>
          <w:sz w:val="21"/>
          <w:szCs w:val="21"/>
          <w:highlight w:val="none"/>
        </w:rPr>
      </w:pPr>
      <w:r>
        <w:rPr>
          <w:rFonts w:eastAsia="黑体"/>
          <w:sz w:val="21"/>
          <w:szCs w:val="21"/>
          <w:highlight w:val="none"/>
        </w:rPr>
        <w:t>表5.2-5    大气估算模式的相关参数表</w:t>
      </w:r>
    </w:p>
    <w:tbl>
      <w:tblPr>
        <w:tblStyle w:val="56"/>
        <w:tblW w:w="8249" w:type="dxa"/>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2282"/>
        <w:gridCol w:w="3053"/>
        <w:gridCol w:w="291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335" w:type="dxa"/>
            <w:gridSpan w:val="2"/>
            <w:vAlign w:val="center"/>
          </w:tcPr>
          <w:p>
            <w:pPr>
              <w:pStyle w:val="417"/>
              <w:spacing w:line="240" w:lineRule="auto"/>
              <w:rPr>
                <w:highlight w:val="none"/>
              </w:rPr>
            </w:pPr>
            <w:r>
              <w:rPr>
                <w:highlight w:val="none"/>
              </w:rPr>
              <w:t>参数</w:t>
            </w:r>
          </w:p>
        </w:tc>
        <w:tc>
          <w:tcPr>
            <w:tcW w:w="2914" w:type="dxa"/>
            <w:vAlign w:val="center"/>
          </w:tcPr>
          <w:p>
            <w:pPr>
              <w:pStyle w:val="417"/>
              <w:spacing w:line="240" w:lineRule="auto"/>
              <w:rPr>
                <w:highlight w:val="none"/>
              </w:rPr>
            </w:pPr>
            <w:r>
              <w:rPr>
                <w:highlight w:val="none"/>
              </w:rPr>
              <w:t>取值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2282" w:type="dxa"/>
            <w:vMerge w:val="restart"/>
            <w:vAlign w:val="center"/>
          </w:tcPr>
          <w:p>
            <w:pPr>
              <w:pStyle w:val="417"/>
              <w:spacing w:line="240" w:lineRule="auto"/>
              <w:rPr>
                <w:highlight w:val="none"/>
              </w:rPr>
            </w:pPr>
            <w:r>
              <w:rPr>
                <w:highlight w:val="none"/>
              </w:rPr>
              <w:t>城市/农村选项</w:t>
            </w:r>
          </w:p>
        </w:tc>
        <w:tc>
          <w:tcPr>
            <w:tcW w:w="3053" w:type="dxa"/>
            <w:vAlign w:val="center"/>
          </w:tcPr>
          <w:p>
            <w:pPr>
              <w:pStyle w:val="417"/>
              <w:spacing w:line="240" w:lineRule="auto"/>
              <w:rPr>
                <w:highlight w:val="none"/>
              </w:rPr>
            </w:pPr>
            <w:r>
              <w:rPr>
                <w:highlight w:val="none"/>
              </w:rPr>
              <w:t>城市/农村</w:t>
            </w:r>
          </w:p>
        </w:tc>
        <w:tc>
          <w:tcPr>
            <w:tcW w:w="2914" w:type="dxa"/>
            <w:vAlign w:val="center"/>
          </w:tcPr>
          <w:p>
            <w:pPr>
              <w:pStyle w:val="417"/>
              <w:spacing w:line="240" w:lineRule="auto"/>
              <w:rPr>
                <w:highlight w:val="none"/>
              </w:rPr>
            </w:pPr>
            <w:r>
              <w:rPr>
                <w:highlight w:val="none"/>
              </w:rPr>
              <w:t>农村</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2282" w:type="dxa"/>
            <w:vMerge w:val="continue"/>
            <w:vAlign w:val="center"/>
          </w:tcPr>
          <w:p>
            <w:pPr>
              <w:pStyle w:val="417"/>
              <w:spacing w:line="240" w:lineRule="auto"/>
              <w:rPr>
                <w:highlight w:val="none"/>
              </w:rPr>
            </w:pPr>
          </w:p>
        </w:tc>
        <w:tc>
          <w:tcPr>
            <w:tcW w:w="3053" w:type="dxa"/>
            <w:vAlign w:val="center"/>
          </w:tcPr>
          <w:p>
            <w:pPr>
              <w:pStyle w:val="417"/>
              <w:spacing w:line="240" w:lineRule="auto"/>
              <w:rPr>
                <w:highlight w:val="none"/>
              </w:rPr>
            </w:pPr>
            <w:r>
              <w:rPr>
                <w:highlight w:val="none"/>
              </w:rPr>
              <w:t>人口数（城市选项时）</w:t>
            </w:r>
          </w:p>
        </w:tc>
        <w:tc>
          <w:tcPr>
            <w:tcW w:w="2914" w:type="dxa"/>
            <w:vAlign w:val="center"/>
          </w:tcPr>
          <w:p>
            <w:pPr>
              <w:pStyle w:val="417"/>
              <w:spacing w:line="240" w:lineRule="auto"/>
              <w:rPr>
                <w:highlight w:val="none"/>
              </w:rPr>
            </w:pPr>
            <w:r>
              <w:rPr>
                <w:highlight w:val="none"/>
              </w:rPr>
              <w:t>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335" w:type="dxa"/>
            <w:gridSpan w:val="2"/>
            <w:vAlign w:val="center"/>
          </w:tcPr>
          <w:p>
            <w:pPr>
              <w:pStyle w:val="417"/>
              <w:spacing w:line="240" w:lineRule="auto"/>
              <w:rPr>
                <w:highlight w:val="none"/>
              </w:rPr>
            </w:pPr>
            <w:r>
              <w:rPr>
                <w:highlight w:val="none"/>
              </w:rPr>
              <w:t>最高环境温度/℃</w:t>
            </w:r>
          </w:p>
        </w:tc>
        <w:tc>
          <w:tcPr>
            <w:tcW w:w="2914" w:type="dxa"/>
            <w:vAlign w:val="center"/>
          </w:tcPr>
          <w:p>
            <w:pPr>
              <w:pStyle w:val="417"/>
              <w:spacing w:line="240" w:lineRule="auto"/>
              <w:rPr>
                <w:highlight w:val="none"/>
              </w:rPr>
            </w:pPr>
            <w:r>
              <w:rPr>
                <w:highlight w:val="none"/>
              </w:rPr>
              <w:t>40.5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335" w:type="dxa"/>
            <w:gridSpan w:val="2"/>
            <w:vAlign w:val="center"/>
          </w:tcPr>
          <w:p>
            <w:pPr>
              <w:pStyle w:val="417"/>
              <w:spacing w:line="240" w:lineRule="auto"/>
              <w:rPr>
                <w:highlight w:val="none"/>
              </w:rPr>
            </w:pPr>
            <w:r>
              <w:rPr>
                <w:highlight w:val="none"/>
              </w:rPr>
              <w:t>最低环境温度/℃</w:t>
            </w:r>
          </w:p>
        </w:tc>
        <w:tc>
          <w:tcPr>
            <w:tcW w:w="2914" w:type="dxa"/>
            <w:vAlign w:val="center"/>
          </w:tcPr>
          <w:p>
            <w:pPr>
              <w:pStyle w:val="417"/>
              <w:spacing w:line="240" w:lineRule="auto"/>
              <w:rPr>
                <w:highlight w:val="none"/>
              </w:rPr>
            </w:pPr>
            <w:r>
              <w:rPr>
                <w:highlight w:val="none"/>
              </w:rPr>
              <w:t>-25.7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335" w:type="dxa"/>
            <w:gridSpan w:val="2"/>
            <w:vAlign w:val="center"/>
          </w:tcPr>
          <w:p>
            <w:pPr>
              <w:pStyle w:val="417"/>
              <w:spacing w:line="240" w:lineRule="auto"/>
              <w:rPr>
                <w:highlight w:val="none"/>
              </w:rPr>
            </w:pPr>
            <w:r>
              <w:rPr>
                <w:highlight w:val="none"/>
              </w:rPr>
              <w:t>土地利用类型</w:t>
            </w:r>
          </w:p>
        </w:tc>
        <w:tc>
          <w:tcPr>
            <w:tcW w:w="2914" w:type="dxa"/>
            <w:vAlign w:val="center"/>
          </w:tcPr>
          <w:p>
            <w:pPr>
              <w:pStyle w:val="417"/>
              <w:spacing w:line="240" w:lineRule="auto"/>
              <w:rPr>
                <w:highlight w:val="none"/>
              </w:rPr>
            </w:pPr>
            <w:r>
              <w:rPr>
                <w:highlight w:val="none"/>
              </w:rPr>
              <w:t>耕地</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5335" w:type="dxa"/>
            <w:gridSpan w:val="2"/>
            <w:vAlign w:val="center"/>
          </w:tcPr>
          <w:p>
            <w:pPr>
              <w:pStyle w:val="417"/>
              <w:spacing w:line="240" w:lineRule="auto"/>
              <w:rPr>
                <w:highlight w:val="none"/>
              </w:rPr>
            </w:pPr>
            <w:r>
              <w:rPr>
                <w:highlight w:val="none"/>
              </w:rPr>
              <w:t>区域湿度条件</w:t>
            </w:r>
          </w:p>
        </w:tc>
        <w:tc>
          <w:tcPr>
            <w:tcW w:w="2914" w:type="dxa"/>
            <w:vAlign w:val="center"/>
          </w:tcPr>
          <w:p>
            <w:pPr>
              <w:pStyle w:val="417"/>
              <w:spacing w:line="240" w:lineRule="auto"/>
              <w:rPr>
                <w:highlight w:val="none"/>
              </w:rPr>
            </w:pPr>
            <w:r>
              <w:rPr>
                <w:highlight w:val="none"/>
              </w:rPr>
              <w:t>中等湿度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2282" w:type="dxa"/>
            <w:vMerge w:val="restart"/>
            <w:vAlign w:val="center"/>
          </w:tcPr>
          <w:p>
            <w:pPr>
              <w:pStyle w:val="417"/>
              <w:spacing w:line="240" w:lineRule="auto"/>
              <w:rPr>
                <w:highlight w:val="none"/>
              </w:rPr>
            </w:pPr>
            <w:r>
              <w:rPr>
                <w:highlight w:val="none"/>
              </w:rPr>
              <w:t>是否考虑地形</w:t>
            </w:r>
          </w:p>
        </w:tc>
        <w:tc>
          <w:tcPr>
            <w:tcW w:w="3053" w:type="dxa"/>
            <w:vAlign w:val="center"/>
          </w:tcPr>
          <w:p>
            <w:pPr>
              <w:pStyle w:val="417"/>
              <w:spacing w:line="240" w:lineRule="auto"/>
              <w:rPr>
                <w:highlight w:val="none"/>
              </w:rPr>
            </w:pPr>
            <w:r>
              <w:rPr>
                <w:highlight w:val="none"/>
              </w:rPr>
              <w:t>考虑地形</w:t>
            </w:r>
          </w:p>
        </w:tc>
        <w:tc>
          <w:tcPr>
            <w:tcW w:w="2914" w:type="dxa"/>
            <w:vAlign w:val="center"/>
          </w:tcPr>
          <w:p>
            <w:pPr>
              <w:pStyle w:val="417"/>
              <w:spacing w:line="240" w:lineRule="auto"/>
              <w:rPr>
                <w:highlight w:val="none"/>
              </w:rPr>
            </w:pPr>
            <w:r>
              <w:rPr>
                <w:highlight w:val="none"/>
              </w:rPr>
              <w:t>是</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2282" w:type="dxa"/>
            <w:vMerge w:val="continue"/>
            <w:vAlign w:val="center"/>
          </w:tcPr>
          <w:p>
            <w:pPr>
              <w:pStyle w:val="417"/>
              <w:spacing w:line="240" w:lineRule="auto"/>
              <w:rPr>
                <w:highlight w:val="none"/>
              </w:rPr>
            </w:pPr>
          </w:p>
        </w:tc>
        <w:tc>
          <w:tcPr>
            <w:tcW w:w="3053" w:type="dxa"/>
            <w:vAlign w:val="center"/>
          </w:tcPr>
          <w:p>
            <w:pPr>
              <w:pStyle w:val="417"/>
              <w:spacing w:line="240" w:lineRule="auto"/>
              <w:rPr>
                <w:highlight w:val="none"/>
              </w:rPr>
            </w:pPr>
            <w:r>
              <w:rPr>
                <w:highlight w:val="none"/>
              </w:rPr>
              <w:t>地形数据分辨率/m</w:t>
            </w:r>
          </w:p>
        </w:tc>
        <w:tc>
          <w:tcPr>
            <w:tcW w:w="2914" w:type="dxa"/>
            <w:vAlign w:val="center"/>
          </w:tcPr>
          <w:p>
            <w:pPr>
              <w:pStyle w:val="417"/>
              <w:spacing w:line="240" w:lineRule="auto"/>
              <w:rPr>
                <w:highlight w:val="none"/>
              </w:rPr>
            </w:pPr>
            <w:r>
              <w:rPr>
                <w:highlight w:val="none"/>
              </w:rPr>
              <w:t>90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2282" w:type="dxa"/>
            <w:vMerge w:val="restart"/>
            <w:vAlign w:val="center"/>
          </w:tcPr>
          <w:p>
            <w:pPr>
              <w:pStyle w:val="417"/>
              <w:spacing w:line="240" w:lineRule="auto"/>
              <w:rPr>
                <w:highlight w:val="none"/>
              </w:rPr>
            </w:pPr>
            <w:r>
              <w:rPr>
                <w:highlight w:val="none"/>
              </w:rPr>
              <w:t>是否考虑岸线熏烟</w:t>
            </w:r>
          </w:p>
        </w:tc>
        <w:tc>
          <w:tcPr>
            <w:tcW w:w="3053" w:type="dxa"/>
            <w:vAlign w:val="center"/>
          </w:tcPr>
          <w:p>
            <w:pPr>
              <w:pStyle w:val="417"/>
              <w:spacing w:line="240" w:lineRule="auto"/>
              <w:rPr>
                <w:highlight w:val="none"/>
              </w:rPr>
            </w:pPr>
            <w:r>
              <w:rPr>
                <w:highlight w:val="none"/>
              </w:rPr>
              <w:t>考虑岸线熏烟</w:t>
            </w:r>
          </w:p>
        </w:tc>
        <w:tc>
          <w:tcPr>
            <w:tcW w:w="2914" w:type="dxa"/>
            <w:vAlign w:val="center"/>
          </w:tcPr>
          <w:p>
            <w:pPr>
              <w:pStyle w:val="417"/>
              <w:spacing w:line="240" w:lineRule="auto"/>
              <w:rPr>
                <w:highlight w:val="none"/>
              </w:rPr>
            </w:pPr>
            <w:r>
              <w:rPr>
                <w:highlight w:val="none"/>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2282" w:type="dxa"/>
            <w:vMerge w:val="continue"/>
            <w:vAlign w:val="center"/>
          </w:tcPr>
          <w:p>
            <w:pPr>
              <w:pStyle w:val="417"/>
              <w:spacing w:line="240" w:lineRule="auto"/>
              <w:rPr>
                <w:highlight w:val="none"/>
              </w:rPr>
            </w:pPr>
          </w:p>
        </w:tc>
        <w:tc>
          <w:tcPr>
            <w:tcW w:w="3053" w:type="dxa"/>
            <w:vAlign w:val="center"/>
          </w:tcPr>
          <w:p>
            <w:pPr>
              <w:pStyle w:val="417"/>
              <w:spacing w:line="240" w:lineRule="auto"/>
              <w:rPr>
                <w:highlight w:val="none"/>
              </w:rPr>
            </w:pPr>
            <w:r>
              <w:rPr>
                <w:highlight w:val="none"/>
              </w:rPr>
              <w:t>岸线距离/km</w:t>
            </w:r>
          </w:p>
        </w:tc>
        <w:tc>
          <w:tcPr>
            <w:tcW w:w="2914" w:type="dxa"/>
            <w:vAlign w:val="center"/>
          </w:tcPr>
          <w:p>
            <w:pPr>
              <w:pStyle w:val="417"/>
              <w:spacing w:line="240" w:lineRule="auto"/>
              <w:rPr>
                <w:highlight w:val="none"/>
              </w:rPr>
            </w:pPr>
            <w:r>
              <w:rPr>
                <w:highlight w:val="none"/>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2282" w:type="dxa"/>
            <w:vMerge w:val="continue"/>
            <w:vAlign w:val="center"/>
          </w:tcPr>
          <w:p>
            <w:pPr>
              <w:pStyle w:val="417"/>
              <w:spacing w:line="240" w:lineRule="auto"/>
              <w:rPr>
                <w:highlight w:val="none"/>
              </w:rPr>
            </w:pPr>
          </w:p>
        </w:tc>
        <w:tc>
          <w:tcPr>
            <w:tcW w:w="3053" w:type="dxa"/>
            <w:vAlign w:val="center"/>
          </w:tcPr>
          <w:p>
            <w:pPr>
              <w:pStyle w:val="417"/>
              <w:spacing w:line="240" w:lineRule="auto"/>
              <w:rPr>
                <w:highlight w:val="none"/>
              </w:rPr>
            </w:pPr>
            <w:r>
              <w:rPr>
                <w:highlight w:val="none"/>
              </w:rPr>
              <w:t>岸线方向/°</w:t>
            </w:r>
          </w:p>
        </w:tc>
        <w:tc>
          <w:tcPr>
            <w:tcW w:w="2914" w:type="dxa"/>
            <w:vAlign w:val="center"/>
          </w:tcPr>
          <w:p>
            <w:pPr>
              <w:pStyle w:val="417"/>
              <w:spacing w:line="240" w:lineRule="auto"/>
              <w:rPr>
                <w:highlight w:val="none"/>
              </w:rPr>
            </w:pPr>
            <w:r>
              <w:rPr>
                <w:highlight w:val="none"/>
              </w:rPr>
              <w:t>---</w:t>
            </w:r>
          </w:p>
        </w:tc>
      </w:tr>
    </w:tbl>
    <w:p>
      <w:pPr>
        <w:pStyle w:val="3"/>
        <w:numPr>
          <w:ilvl w:val="3"/>
          <w:numId w:val="1"/>
        </w:numPr>
        <w:spacing w:before="120" w:beforeLines="50" w:line="460" w:lineRule="exact"/>
        <w:ind w:left="0" w:firstLine="0"/>
        <w:rPr>
          <w:rFonts w:eastAsia="宋体"/>
          <w:b/>
          <w:highlight w:val="none"/>
        </w:rPr>
      </w:pPr>
      <w:r>
        <w:rPr>
          <w:rFonts w:hint="eastAsia" w:eastAsia="宋体"/>
          <w:b/>
          <w:highlight w:val="none"/>
        </w:rPr>
        <w:t>估算模式计算</w:t>
      </w:r>
    </w:p>
    <w:p>
      <w:pPr>
        <w:pStyle w:val="2"/>
        <w:spacing w:line="460" w:lineRule="exact"/>
        <w:ind w:firstLine="480"/>
        <w:rPr>
          <w:sz w:val="24"/>
          <w:szCs w:val="24"/>
          <w:highlight w:val="none"/>
        </w:rPr>
      </w:pPr>
      <w:r>
        <w:rPr>
          <w:sz w:val="24"/>
          <w:szCs w:val="24"/>
          <w:highlight w:val="none"/>
        </w:rPr>
        <w:t>按照《环境影响评价技术导则—大气环境》（HJ2.2-2018）中要求，对于二级评价项目可只调查分析项目污染源。本项目</w:t>
      </w:r>
      <w:r>
        <w:rPr>
          <w:rFonts w:hint="eastAsia"/>
          <w:sz w:val="24"/>
          <w:szCs w:val="24"/>
          <w:highlight w:val="none"/>
        </w:rPr>
        <w:t>实施后</w:t>
      </w:r>
      <w:r>
        <w:rPr>
          <w:sz w:val="24"/>
          <w:szCs w:val="24"/>
          <w:highlight w:val="none"/>
        </w:rPr>
        <w:t>铁矿石处理量</w:t>
      </w:r>
      <w:r>
        <w:rPr>
          <w:rFonts w:hint="eastAsia"/>
          <w:sz w:val="24"/>
          <w:szCs w:val="24"/>
          <w:highlight w:val="none"/>
        </w:rPr>
        <w:t>60</w:t>
      </w:r>
      <w:r>
        <w:rPr>
          <w:sz w:val="24"/>
          <w:szCs w:val="24"/>
          <w:highlight w:val="none"/>
        </w:rPr>
        <w:t>万t/a，年工作时间为</w:t>
      </w:r>
      <w:r>
        <w:rPr>
          <w:rFonts w:hint="eastAsia"/>
          <w:sz w:val="24"/>
          <w:szCs w:val="24"/>
          <w:highlight w:val="none"/>
        </w:rPr>
        <w:t>4480</w:t>
      </w:r>
      <w:r>
        <w:rPr>
          <w:sz w:val="24"/>
          <w:szCs w:val="24"/>
          <w:highlight w:val="none"/>
        </w:rPr>
        <w:t>h，大气污染物主要来自矿石破碎过程中产生的颗粒物，属于点源污染源，经离线清灰脉冲布袋除尘器处理后，经18m排气筒排放，除尘器风量</w:t>
      </w:r>
      <w:r>
        <w:rPr>
          <w:rFonts w:hint="eastAsia"/>
          <w:sz w:val="24"/>
          <w:szCs w:val="24"/>
          <w:highlight w:val="none"/>
        </w:rPr>
        <w:t>65</w:t>
      </w:r>
      <w:r>
        <w:rPr>
          <w:sz w:val="24"/>
          <w:szCs w:val="24"/>
          <w:highlight w:val="none"/>
        </w:rPr>
        <w:t>000m</w:t>
      </w:r>
      <w:r>
        <w:rPr>
          <w:sz w:val="24"/>
          <w:szCs w:val="24"/>
          <w:highlight w:val="none"/>
          <w:vertAlign w:val="superscript"/>
        </w:rPr>
        <w:t>3</w:t>
      </w:r>
      <w:r>
        <w:rPr>
          <w:sz w:val="24"/>
          <w:szCs w:val="24"/>
          <w:highlight w:val="none"/>
        </w:rPr>
        <w:t>/h。</w:t>
      </w:r>
    </w:p>
    <w:p>
      <w:pPr>
        <w:pStyle w:val="269"/>
        <w:spacing w:line="460" w:lineRule="exact"/>
        <w:ind w:firstLine="456" w:firstLineChars="200"/>
        <w:rPr>
          <w:rFonts w:ascii="Times New Roman" w:eastAsia="宋体"/>
          <w:snapToGrid w:val="0"/>
          <w:kern w:val="18"/>
          <w:sz w:val="24"/>
          <w:szCs w:val="24"/>
          <w:highlight w:val="none"/>
        </w:rPr>
      </w:pPr>
      <w:r>
        <w:rPr>
          <w:rFonts w:ascii="Times New Roman" w:eastAsia="宋体"/>
          <w:sz w:val="24"/>
          <w:szCs w:val="24"/>
          <w:highlight w:val="none"/>
        </w:rPr>
        <w:t>本项目无组织排放颗粒物主要为物料在装卸、储存、转运过程均在封闭车间内进行，且配套设置喷雾抑尘装置，以上过程产生的颗粒物以无组织形式排放。选择正常排放的主要污染物及排放参数，采用AERSCREEN估算模式计算各污染物的最大影响程度和最远影响范围，然后按评价工作分级判据进行分级，详见“2.4.1.1大气环境影响评价等级”小节</w:t>
      </w:r>
      <w:r>
        <w:rPr>
          <w:rFonts w:ascii="Times New Roman" w:eastAsia="宋体"/>
          <w:snapToGrid w:val="0"/>
          <w:kern w:val="18"/>
          <w:sz w:val="24"/>
          <w:szCs w:val="24"/>
          <w:highlight w:val="none"/>
        </w:rPr>
        <w:t>，计算污染物的最大地面浓度以及占标率Pi，计算结果见表5.2-</w:t>
      </w:r>
      <w:r>
        <w:rPr>
          <w:rFonts w:hint="eastAsia" w:ascii="Times New Roman" w:eastAsia="宋体"/>
          <w:snapToGrid w:val="0"/>
          <w:kern w:val="18"/>
          <w:sz w:val="24"/>
          <w:szCs w:val="24"/>
          <w:highlight w:val="none"/>
        </w:rPr>
        <w:t>6</w:t>
      </w:r>
      <w:r>
        <w:rPr>
          <w:rFonts w:ascii="Times New Roman" w:eastAsia="宋体"/>
          <w:snapToGrid w:val="0"/>
          <w:kern w:val="18"/>
          <w:sz w:val="24"/>
          <w:szCs w:val="24"/>
          <w:highlight w:val="none"/>
        </w:rPr>
        <w:t>。</w:t>
      </w:r>
    </w:p>
    <w:bookmarkEnd w:id="349"/>
    <w:p>
      <w:pPr>
        <w:widowControl/>
        <w:ind w:firstLine="679" w:firstLineChars="283"/>
        <w:textAlignment w:val="auto"/>
        <w:rPr>
          <w:kern w:val="2"/>
          <w:sz w:val="24"/>
          <w:szCs w:val="24"/>
          <w:highlight w:val="none"/>
        </w:rPr>
      </w:pPr>
      <w:r>
        <w:rPr>
          <w:kern w:val="2"/>
          <w:sz w:val="24"/>
          <w:szCs w:val="24"/>
          <w:highlight w:val="none"/>
        </w:rPr>
        <w:t>本项目废气排放预测结果详见表5.2-</w:t>
      </w:r>
      <w:r>
        <w:rPr>
          <w:rFonts w:hint="eastAsia"/>
          <w:kern w:val="2"/>
          <w:sz w:val="24"/>
          <w:szCs w:val="24"/>
          <w:highlight w:val="none"/>
        </w:rPr>
        <w:t>6</w:t>
      </w:r>
      <w:r>
        <w:rPr>
          <w:kern w:val="2"/>
          <w:sz w:val="24"/>
          <w:szCs w:val="24"/>
          <w:highlight w:val="none"/>
        </w:rPr>
        <w:t>。</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表5.2-</w:t>
      </w:r>
      <w:r>
        <w:rPr>
          <w:rFonts w:hint="eastAsia" w:eastAsia="黑体"/>
          <w:kern w:val="2"/>
          <w:sz w:val="21"/>
          <w:szCs w:val="21"/>
          <w:highlight w:val="none"/>
        </w:rPr>
        <w:t>6</w:t>
      </w:r>
      <w:r>
        <w:rPr>
          <w:rFonts w:eastAsia="黑体"/>
          <w:kern w:val="2"/>
          <w:sz w:val="21"/>
          <w:szCs w:val="21"/>
          <w:highlight w:val="none"/>
        </w:rPr>
        <w:t xml:space="preserve">   排放预测结果</w:t>
      </w:r>
    </w:p>
    <w:tbl>
      <w:tblPr>
        <w:tblStyle w:val="56"/>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848"/>
        <w:gridCol w:w="1243"/>
        <w:gridCol w:w="1514"/>
        <w:gridCol w:w="1611"/>
        <w:gridCol w:w="1197"/>
        <w:gridCol w:w="109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1848"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污染源名称</w:t>
            </w:r>
          </w:p>
        </w:tc>
        <w:tc>
          <w:tcPr>
            <w:tcW w:w="1243"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评价因子</w:t>
            </w:r>
          </w:p>
        </w:tc>
        <w:tc>
          <w:tcPr>
            <w:tcW w:w="1514"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评价标准(μg/m³)</w:t>
            </w:r>
          </w:p>
        </w:tc>
        <w:tc>
          <w:tcPr>
            <w:tcW w:w="161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Cmax(μg/m³)</w:t>
            </w:r>
          </w:p>
        </w:tc>
        <w:tc>
          <w:tcPr>
            <w:tcW w:w="1197"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Pmax(%)</w:t>
            </w:r>
          </w:p>
        </w:tc>
        <w:tc>
          <w:tcPr>
            <w:tcW w:w="109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D10%(m)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7" w:hRule="atLeast"/>
        </w:trPr>
        <w:tc>
          <w:tcPr>
            <w:tcW w:w="1848" w:type="dxa"/>
            <w:vMerge w:val="restart"/>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破碎</w:t>
            </w:r>
            <w:r>
              <w:rPr>
                <w:sz w:val="21"/>
                <w:szCs w:val="21"/>
                <w:highlight w:val="none"/>
              </w:rPr>
              <w:t>生产线</w:t>
            </w:r>
          </w:p>
        </w:tc>
        <w:tc>
          <w:tcPr>
            <w:tcW w:w="1243"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PM</w:t>
            </w:r>
            <w:r>
              <w:rPr>
                <w:sz w:val="21"/>
                <w:szCs w:val="21"/>
                <w:highlight w:val="none"/>
                <w:vertAlign w:val="subscript"/>
              </w:rPr>
              <w:t>10</w:t>
            </w:r>
          </w:p>
        </w:tc>
        <w:tc>
          <w:tcPr>
            <w:tcW w:w="1514"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450.0</w:t>
            </w:r>
          </w:p>
        </w:tc>
        <w:tc>
          <w:tcPr>
            <w:tcW w:w="1611"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7.25</w:t>
            </w:r>
          </w:p>
        </w:tc>
        <w:tc>
          <w:tcPr>
            <w:tcW w:w="1197"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1.61</w:t>
            </w:r>
          </w:p>
        </w:tc>
        <w:tc>
          <w:tcPr>
            <w:tcW w:w="109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7" w:hRule="atLeast"/>
        </w:trPr>
        <w:tc>
          <w:tcPr>
            <w:tcW w:w="1848" w:type="dxa"/>
            <w:vMerge w:val="continue"/>
            <w:vAlign w:val="center"/>
          </w:tcPr>
          <w:p>
            <w:pPr>
              <w:widowControl/>
              <w:spacing w:line="240" w:lineRule="auto"/>
              <w:ind w:firstLine="0" w:firstLineChars="0"/>
              <w:jc w:val="center"/>
              <w:textAlignment w:val="auto"/>
              <w:rPr>
                <w:sz w:val="21"/>
                <w:szCs w:val="21"/>
                <w:highlight w:val="none"/>
              </w:rPr>
            </w:pPr>
          </w:p>
        </w:tc>
        <w:tc>
          <w:tcPr>
            <w:tcW w:w="1243"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PM</w:t>
            </w:r>
            <w:r>
              <w:rPr>
                <w:rFonts w:hint="eastAsia"/>
                <w:sz w:val="21"/>
                <w:szCs w:val="21"/>
                <w:highlight w:val="none"/>
                <w:vertAlign w:val="subscript"/>
              </w:rPr>
              <w:t>2.5</w:t>
            </w:r>
          </w:p>
        </w:tc>
        <w:tc>
          <w:tcPr>
            <w:tcW w:w="1514"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225</w:t>
            </w:r>
            <w:r>
              <w:rPr>
                <w:sz w:val="21"/>
                <w:szCs w:val="21"/>
                <w:highlight w:val="none"/>
              </w:rPr>
              <w:t>.0</w:t>
            </w:r>
          </w:p>
        </w:tc>
        <w:tc>
          <w:tcPr>
            <w:tcW w:w="1611"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3.62</w:t>
            </w:r>
          </w:p>
        </w:tc>
        <w:tc>
          <w:tcPr>
            <w:tcW w:w="1197"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1.61</w:t>
            </w:r>
          </w:p>
        </w:tc>
        <w:tc>
          <w:tcPr>
            <w:tcW w:w="109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95" w:hRule="atLeast"/>
        </w:trPr>
        <w:tc>
          <w:tcPr>
            <w:tcW w:w="1848"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破碎车间</w:t>
            </w:r>
          </w:p>
        </w:tc>
        <w:tc>
          <w:tcPr>
            <w:tcW w:w="1243"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TSP</w:t>
            </w:r>
          </w:p>
        </w:tc>
        <w:tc>
          <w:tcPr>
            <w:tcW w:w="1514"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900.0</w:t>
            </w:r>
          </w:p>
        </w:tc>
        <w:tc>
          <w:tcPr>
            <w:tcW w:w="1611"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45.26</w:t>
            </w:r>
          </w:p>
        </w:tc>
        <w:tc>
          <w:tcPr>
            <w:tcW w:w="1197"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5.03</w:t>
            </w:r>
          </w:p>
        </w:tc>
        <w:tc>
          <w:tcPr>
            <w:tcW w:w="1091" w:type="dxa"/>
            <w:vAlign w:val="center"/>
          </w:tcPr>
          <w:p>
            <w:pPr>
              <w:widowControl/>
              <w:spacing w:line="240" w:lineRule="auto"/>
              <w:ind w:firstLine="0" w:firstLineChars="0"/>
              <w:jc w:val="center"/>
              <w:textAlignment w:val="auto"/>
              <w:rPr>
                <w:sz w:val="21"/>
                <w:szCs w:val="21"/>
                <w:highlight w:val="none"/>
              </w:rPr>
            </w:pPr>
            <w:r>
              <w:rPr>
                <w:sz w:val="21"/>
                <w:szCs w:val="21"/>
                <w:highlight w:val="none"/>
              </w:rPr>
              <w:t>/</w:t>
            </w:r>
          </w:p>
        </w:tc>
      </w:tr>
    </w:tbl>
    <w:p>
      <w:pPr>
        <w:widowControl/>
        <w:ind w:firstLine="480"/>
        <w:jc w:val="both"/>
        <w:textAlignment w:val="auto"/>
        <w:rPr>
          <w:kern w:val="2"/>
          <w:sz w:val="24"/>
          <w:szCs w:val="24"/>
          <w:highlight w:val="none"/>
        </w:rPr>
      </w:pPr>
      <w:r>
        <w:rPr>
          <w:kern w:val="2"/>
          <w:sz w:val="24"/>
          <w:szCs w:val="24"/>
          <w:highlight w:val="none"/>
        </w:rPr>
        <w:t>由预测结果可知，破碎车间有组织排放的PM</w:t>
      </w:r>
      <w:r>
        <w:rPr>
          <w:kern w:val="2"/>
          <w:sz w:val="24"/>
          <w:szCs w:val="24"/>
          <w:highlight w:val="none"/>
          <w:vertAlign w:val="subscript"/>
        </w:rPr>
        <w:t>10</w:t>
      </w:r>
      <w:r>
        <w:rPr>
          <w:kern w:val="2"/>
          <w:sz w:val="24"/>
          <w:szCs w:val="24"/>
          <w:highlight w:val="none"/>
        </w:rPr>
        <w:t>最大浓度为0.0</w:t>
      </w:r>
      <w:r>
        <w:rPr>
          <w:rFonts w:hint="eastAsia"/>
          <w:kern w:val="2"/>
          <w:sz w:val="24"/>
          <w:szCs w:val="24"/>
          <w:highlight w:val="none"/>
        </w:rPr>
        <w:t>0725m</w:t>
      </w:r>
      <w:r>
        <w:rPr>
          <w:kern w:val="2"/>
          <w:sz w:val="24"/>
          <w:szCs w:val="24"/>
          <w:highlight w:val="none"/>
        </w:rPr>
        <w:t>g/m</w:t>
      </w:r>
      <w:r>
        <w:rPr>
          <w:kern w:val="2"/>
          <w:sz w:val="24"/>
          <w:szCs w:val="24"/>
          <w:highlight w:val="none"/>
          <w:vertAlign w:val="superscript"/>
        </w:rPr>
        <w:t>3</w:t>
      </w:r>
      <w:r>
        <w:rPr>
          <w:kern w:val="2"/>
          <w:sz w:val="24"/>
          <w:szCs w:val="24"/>
          <w:highlight w:val="none"/>
        </w:rPr>
        <w:t>，最大浓度占标率为</w:t>
      </w:r>
      <w:r>
        <w:rPr>
          <w:rFonts w:hint="eastAsia"/>
          <w:kern w:val="2"/>
          <w:sz w:val="24"/>
          <w:szCs w:val="24"/>
          <w:highlight w:val="none"/>
        </w:rPr>
        <w:t>1.61</w:t>
      </w:r>
      <w:r>
        <w:rPr>
          <w:kern w:val="2"/>
          <w:sz w:val="24"/>
          <w:szCs w:val="24"/>
          <w:highlight w:val="none"/>
        </w:rPr>
        <w:t>%，有组织排放的PM</w:t>
      </w:r>
      <w:r>
        <w:rPr>
          <w:rFonts w:hint="eastAsia"/>
          <w:kern w:val="2"/>
          <w:sz w:val="24"/>
          <w:szCs w:val="24"/>
          <w:highlight w:val="none"/>
          <w:vertAlign w:val="subscript"/>
        </w:rPr>
        <w:t>2.5</w:t>
      </w:r>
      <w:r>
        <w:rPr>
          <w:kern w:val="2"/>
          <w:sz w:val="24"/>
          <w:szCs w:val="24"/>
          <w:highlight w:val="none"/>
        </w:rPr>
        <w:t>最大浓度为0.0</w:t>
      </w:r>
      <w:r>
        <w:rPr>
          <w:rFonts w:hint="eastAsia"/>
          <w:kern w:val="2"/>
          <w:sz w:val="24"/>
          <w:szCs w:val="24"/>
          <w:highlight w:val="none"/>
        </w:rPr>
        <w:t>0362m</w:t>
      </w:r>
      <w:r>
        <w:rPr>
          <w:kern w:val="2"/>
          <w:sz w:val="24"/>
          <w:szCs w:val="24"/>
          <w:highlight w:val="none"/>
        </w:rPr>
        <w:t>g/m</w:t>
      </w:r>
      <w:r>
        <w:rPr>
          <w:kern w:val="2"/>
          <w:sz w:val="24"/>
          <w:szCs w:val="24"/>
          <w:highlight w:val="none"/>
          <w:vertAlign w:val="superscript"/>
        </w:rPr>
        <w:t>3</w:t>
      </w:r>
      <w:r>
        <w:rPr>
          <w:kern w:val="2"/>
          <w:sz w:val="24"/>
          <w:szCs w:val="24"/>
          <w:highlight w:val="none"/>
        </w:rPr>
        <w:t>，最大浓度占标率为</w:t>
      </w:r>
      <w:r>
        <w:rPr>
          <w:rFonts w:hint="eastAsia"/>
          <w:kern w:val="2"/>
          <w:sz w:val="24"/>
          <w:szCs w:val="24"/>
          <w:highlight w:val="none"/>
        </w:rPr>
        <w:t>1.61</w:t>
      </w:r>
      <w:r>
        <w:rPr>
          <w:kern w:val="2"/>
          <w:sz w:val="24"/>
          <w:szCs w:val="24"/>
          <w:highlight w:val="none"/>
        </w:rPr>
        <w:t>%，无组织排放的TSP最大浓度为0.0</w:t>
      </w:r>
      <w:r>
        <w:rPr>
          <w:rFonts w:hint="eastAsia"/>
          <w:kern w:val="2"/>
          <w:sz w:val="24"/>
          <w:szCs w:val="24"/>
          <w:highlight w:val="none"/>
        </w:rPr>
        <w:t>4526m</w:t>
      </w:r>
      <w:r>
        <w:rPr>
          <w:kern w:val="2"/>
          <w:sz w:val="21"/>
          <w:szCs w:val="21"/>
          <w:highlight w:val="none"/>
        </w:rPr>
        <w:t>g/m</w:t>
      </w:r>
      <w:r>
        <w:rPr>
          <w:kern w:val="2"/>
          <w:sz w:val="21"/>
          <w:szCs w:val="21"/>
          <w:highlight w:val="none"/>
          <w:vertAlign w:val="superscript"/>
        </w:rPr>
        <w:t>3</w:t>
      </w:r>
      <w:r>
        <w:rPr>
          <w:kern w:val="2"/>
          <w:sz w:val="24"/>
          <w:szCs w:val="24"/>
          <w:highlight w:val="none"/>
        </w:rPr>
        <w:t>，最大浓度占标率为</w:t>
      </w:r>
      <w:r>
        <w:rPr>
          <w:rFonts w:hint="eastAsia"/>
          <w:kern w:val="2"/>
          <w:sz w:val="24"/>
          <w:szCs w:val="24"/>
          <w:highlight w:val="none"/>
        </w:rPr>
        <w:t>5.03</w:t>
      </w:r>
      <w:r>
        <w:rPr>
          <w:kern w:val="2"/>
          <w:sz w:val="24"/>
          <w:szCs w:val="24"/>
          <w:highlight w:val="none"/>
        </w:rPr>
        <w:t>%。</w:t>
      </w:r>
    </w:p>
    <w:p>
      <w:pPr>
        <w:ind w:firstLine="480"/>
        <w:textAlignment w:val="auto"/>
        <w:rPr>
          <w:kern w:val="2"/>
          <w:sz w:val="24"/>
          <w:szCs w:val="24"/>
          <w:highlight w:val="none"/>
        </w:rPr>
      </w:pPr>
      <w:r>
        <w:rPr>
          <w:kern w:val="2"/>
          <w:sz w:val="24"/>
          <w:szCs w:val="24"/>
          <w:highlight w:val="none"/>
        </w:rPr>
        <w:t>根据无组织废气厂界预测结果，各厂界的预测浓度最大值均小于《铁矿采选工业污染物排放标准》（GB28661-2012）表7中无组织排放浓度限值（1.0mg/m</w:t>
      </w:r>
      <w:r>
        <w:rPr>
          <w:kern w:val="2"/>
          <w:sz w:val="24"/>
          <w:szCs w:val="24"/>
          <w:highlight w:val="none"/>
          <w:vertAlign w:val="superscript"/>
        </w:rPr>
        <w:t>3</w:t>
      </w:r>
      <w:r>
        <w:rPr>
          <w:kern w:val="2"/>
          <w:sz w:val="24"/>
          <w:szCs w:val="24"/>
          <w:highlight w:val="none"/>
        </w:rPr>
        <w:t>）。</w:t>
      </w:r>
    </w:p>
    <w:p>
      <w:pPr>
        <w:widowControl/>
        <w:wordWrap w:val="0"/>
        <w:ind w:firstLine="480"/>
        <w:textAlignment w:val="auto"/>
        <w:rPr>
          <w:kern w:val="2"/>
          <w:sz w:val="24"/>
          <w:szCs w:val="24"/>
          <w:highlight w:val="none"/>
        </w:rPr>
      </w:pPr>
      <w:r>
        <w:rPr>
          <w:kern w:val="2"/>
          <w:sz w:val="24"/>
          <w:szCs w:val="24"/>
          <w:highlight w:val="none"/>
        </w:rPr>
        <w:t>综上，项目排放的颗粒物对环境质量的贡献值较小，对周边环境空气质量影响较小。</w:t>
      </w:r>
    </w:p>
    <w:p>
      <w:pPr>
        <w:pStyle w:val="3"/>
        <w:numPr>
          <w:ilvl w:val="3"/>
          <w:numId w:val="1"/>
        </w:numPr>
        <w:ind w:left="709" w:hanging="709"/>
        <w:rPr>
          <w:rFonts w:eastAsia="宋体"/>
          <w:b/>
          <w:highlight w:val="none"/>
        </w:rPr>
      </w:pPr>
      <w:r>
        <w:rPr>
          <w:rFonts w:eastAsia="宋体"/>
          <w:b/>
          <w:highlight w:val="none"/>
        </w:rPr>
        <w:t>大气环境影响评价小结</w:t>
      </w:r>
    </w:p>
    <w:p>
      <w:pPr>
        <w:ind w:firstLine="480"/>
        <w:textAlignment w:val="auto"/>
        <w:rPr>
          <w:kern w:val="2"/>
          <w:sz w:val="24"/>
          <w:szCs w:val="24"/>
          <w:highlight w:val="none"/>
        </w:rPr>
      </w:pPr>
      <w:r>
        <w:rPr>
          <w:kern w:val="2"/>
          <w:sz w:val="24"/>
          <w:szCs w:val="24"/>
          <w:highlight w:val="none"/>
        </w:rPr>
        <w:t>本项目所在区域处于不达标区，本项目为二级评价，按估算模式进行计算，颗粒物有组织排放浓度最大占标率小于10%；颗粒物无组织排放浓度最大占标率小于10%。分析预测结果表明，项目实施后，不会对周围环境空气质量产生明显污染影响。</w:t>
      </w:r>
    </w:p>
    <w:p>
      <w:pPr>
        <w:ind w:firstLine="480"/>
        <w:textAlignment w:val="auto"/>
        <w:rPr>
          <w:kern w:val="2"/>
          <w:sz w:val="24"/>
          <w:szCs w:val="24"/>
          <w:highlight w:val="none"/>
        </w:rPr>
      </w:pPr>
      <w:r>
        <w:rPr>
          <w:kern w:val="2"/>
          <w:sz w:val="24"/>
          <w:szCs w:val="24"/>
          <w:highlight w:val="none"/>
        </w:rPr>
        <w:t>因此，本项目运行后对周围大气环境影响较小，环境影响可以接受。</w:t>
      </w:r>
    </w:p>
    <w:p>
      <w:pPr>
        <w:widowControl/>
        <w:ind w:firstLine="480"/>
        <w:textAlignment w:val="auto"/>
        <w:rPr>
          <w:kern w:val="2"/>
          <w:sz w:val="24"/>
          <w:szCs w:val="24"/>
          <w:highlight w:val="none"/>
        </w:rPr>
      </w:pPr>
      <w:r>
        <w:rPr>
          <w:rFonts w:hint="eastAsia"/>
          <w:kern w:val="2"/>
          <w:sz w:val="24"/>
          <w:szCs w:val="24"/>
          <w:highlight w:val="none"/>
        </w:rPr>
        <w:t>建设项目大气环境影响评价自查表见表5.2-7。</w:t>
      </w:r>
    </w:p>
    <w:p>
      <w:pPr>
        <w:spacing w:line="240" w:lineRule="auto"/>
        <w:ind w:firstLine="0" w:firstLineChars="0"/>
        <w:jc w:val="center"/>
        <w:textAlignment w:val="auto"/>
        <w:rPr>
          <w:rFonts w:eastAsia="黑体"/>
          <w:kern w:val="2"/>
          <w:sz w:val="21"/>
          <w:szCs w:val="21"/>
          <w:highlight w:val="none"/>
        </w:rPr>
      </w:pPr>
      <w:bookmarkStart w:id="350" w:name="_Ref9218042"/>
      <w:r>
        <w:rPr>
          <w:rFonts w:hint="eastAsia" w:eastAsia="黑体"/>
          <w:kern w:val="2"/>
          <w:sz w:val="21"/>
          <w:szCs w:val="21"/>
          <w:highlight w:val="none"/>
        </w:rPr>
        <w:t>表5.2-7</w:t>
      </w:r>
      <w:bookmarkEnd w:id="350"/>
      <w:r>
        <w:rPr>
          <w:rFonts w:eastAsia="黑体"/>
          <w:kern w:val="2"/>
          <w:sz w:val="21"/>
          <w:szCs w:val="21"/>
          <w:highlight w:val="none"/>
        </w:rPr>
        <w:t xml:space="preserve">    </w:t>
      </w:r>
      <w:r>
        <w:rPr>
          <w:rFonts w:hint="eastAsia" w:eastAsia="黑体"/>
          <w:kern w:val="2"/>
          <w:sz w:val="21"/>
          <w:szCs w:val="21"/>
          <w:highlight w:val="none"/>
        </w:rPr>
        <w:t>建设项目大气环境影响评价自查表</w:t>
      </w:r>
    </w:p>
    <w:tbl>
      <w:tblPr>
        <w:tblStyle w:val="56"/>
        <w:tblW w:w="8521"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93"/>
        <w:gridCol w:w="1560"/>
        <w:gridCol w:w="841"/>
        <w:gridCol w:w="143"/>
        <w:gridCol w:w="284"/>
        <w:gridCol w:w="148"/>
        <w:gridCol w:w="136"/>
        <w:gridCol w:w="14"/>
        <w:gridCol w:w="127"/>
        <w:gridCol w:w="141"/>
        <w:gridCol w:w="283"/>
        <w:gridCol w:w="433"/>
        <w:gridCol w:w="142"/>
        <w:gridCol w:w="144"/>
        <w:gridCol w:w="134"/>
        <w:gridCol w:w="140"/>
        <w:gridCol w:w="141"/>
        <w:gridCol w:w="16"/>
        <w:gridCol w:w="421"/>
        <w:gridCol w:w="164"/>
        <w:gridCol w:w="108"/>
        <w:gridCol w:w="210"/>
        <w:gridCol w:w="301"/>
        <w:gridCol w:w="72"/>
        <w:gridCol w:w="134"/>
        <w:gridCol w:w="307"/>
        <w:gridCol w:w="395"/>
        <w:gridCol w:w="48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653" w:type="dxa"/>
            <w:gridSpan w:val="2"/>
            <w:shd w:val="clear" w:color="auto" w:fill="auto"/>
            <w:vAlign w:val="center"/>
          </w:tcPr>
          <w:p>
            <w:pPr>
              <w:pStyle w:val="417"/>
              <w:spacing w:line="240" w:lineRule="auto"/>
              <w:rPr>
                <w:highlight w:val="none"/>
              </w:rPr>
            </w:pPr>
            <w:r>
              <w:rPr>
                <w:highlight w:val="none"/>
              </w:rPr>
              <w:t>工作内容</w:t>
            </w:r>
          </w:p>
        </w:tc>
        <w:tc>
          <w:tcPr>
            <w:tcW w:w="5868" w:type="dxa"/>
            <w:gridSpan w:val="26"/>
            <w:shd w:val="clear" w:color="auto" w:fill="auto"/>
            <w:vAlign w:val="center"/>
          </w:tcPr>
          <w:p>
            <w:pPr>
              <w:pStyle w:val="417"/>
              <w:spacing w:line="240" w:lineRule="auto"/>
              <w:rPr>
                <w:highlight w:val="none"/>
              </w:rPr>
            </w:pPr>
            <w:r>
              <w:rPr>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restart"/>
            <w:shd w:val="clear" w:color="auto" w:fill="auto"/>
            <w:vAlign w:val="center"/>
          </w:tcPr>
          <w:p>
            <w:pPr>
              <w:pStyle w:val="417"/>
              <w:spacing w:line="240" w:lineRule="auto"/>
              <w:rPr>
                <w:highlight w:val="none"/>
              </w:rPr>
            </w:pPr>
            <w:r>
              <w:rPr>
                <w:highlight w:val="none"/>
              </w:rPr>
              <w:t>评价等级与范围</w:t>
            </w:r>
          </w:p>
        </w:tc>
        <w:tc>
          <w:tcPr>
            <w:tcW w:w="1560" w:type="dxa"/>
            <w:shd w:val="clear" w:color="auto" w:fill="auto"/>
            <w:vAlign w:val="center"/>
          </w:tcPr>
          <w:p>
            <w:pPr>
              <w:pStyle w:val="417"/>
              <w:spacing w:line="240" w:lineRule="auto"/>
              <w:rPr>
                <w:highlight w:val="none"/>
              </w:rPr>
            </w:pPr>
            <w:r>
              <w:rPr>
                <w:highlight w:val="none"/>
              </w:rPr>
              <w:t>评价等级</w:t>
            </w:r>
          </w:p>
        </w:tc>
        <w:tc>
          <w:tcPr>
            <w:tcW w:w="1834" w:type="dxa"/>
            <w:gridSpan w:val="8"/>
            <w:shd w:val="clear" w:color="auto" w:fill="auto"/>
            <w:vAlign w:val="center"/>
          </w:tcPr>
          <w:p>
            <w:pPr>
              <w:pStyle w:val="417"/>
              <w:spacing w:line="240" w:lineRule="auto"/>
              <w:rPr>
                <w:highlight w:val="none"/>
              </w:rPr>
            </w:pPr>
            <w:r>
              <w:rPr>
                <w:highlight w:val="none"/>
              </w:rPr>
              <w:t>一级</w:t>
            </w:r>
            <w:r>
              <w:rPr>
                <w:rFonts w:hint="eastAsia" w:ascii="宋体" w:hAnsi="宋体"/>
                <w:highlight w:val="none"/>
              </w:rPr>
              <w:t>□</w:t>
            </w:r>
          </w:p>
        </w:tc>
        <w:tc>
          <w:tcPr>
            <w:tcW w:w="2126" w:type="dxa"/>
            <w:gridSpan w:val="11"/>
            <w:shd w:val="clear" w:color="auto" w:fill="auto"/>
            <w:vAlign w:val="center"/>
          </w:tcPr>
          <w:p>
            <w:pPr>
              <w:pStyle w:val="417"/>
              <w:spacing w:line="240" w:lineRule="auto"/>
              <w:rPr>
                <w:highlight w:val="none"/>
              </w:rPr>
            </w:pPr>
            <w:r>
              <w:rPr>
                <w:highlight w:val="none"/>
              </w:rPr>
              <w:t>二级√</w:t>
            </w:r>
          </w:p>
        </w:tc>
        <w:tc>
          <w:tcPr>
            <w:tcW w:w="1908" w:type="dxa"/>
            <w:gridSpan w:val="7"/>
            <w:shd w:val="clear" w:color="auto" w:fill="auto"/>
            <w:vAlign w:val="center"/>
          </w:tcPr>
          <w:p>
            <w:pPr>
              <w:pStyle w:val="417"/>
              <w:spacing w:line="240" w:lineRule="auto"/>
              <w:rPr>
                <w:highlight w:val="none"/>
              </w:rPr>
            </w:pPr>
            <w:r>
              <w:rPr>
                <w:highlight w:val="none"/>
              </w:rPr>
              <w:t>三级</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评价范围</w:t>
            </w:r>
          </w:p>
        </w:tc>
        <w:tc>
          <w:tcPr>
            <w:tcW w:w="1834" w:type="dxa"/>
            <w:gridSpan w:val="8"/>
            <w:shd w:val="clear" w:color="auto" w:fill="auto"/>
            <w:vAlign w:val="center"/>
          </w:tcPr>
          <w:p>
            <w:pPr>
              <w:pStyle w:val="417"/>
              <w:spacing w:line="240" w:lineRule="auto"/>
              <w:rPr>
                <w:highlight w:val="none"/>
              </w:rPr>
            </w:pPr>
            <w:r>
              <w:rPr>
                <w:highlight w:val="none"/>
              </w:rPr>
              <w:t>边长＝50km</w:t>
            </w:r>
            <w:r>
              <w:rPr>
                <w:rFonts w:hint="eastAsia" w:ascii="宋体" w:hAnsi="宋体"/>
                <w:highlight w:val="none"/>
              </w:rPr>
              <w:t>□</w:t>
            </w:r>
          </w:p>
        </w:tc>
        <w:tc>
          <w:tcPr>
            <w:tcW w:w="2126" w:type="dxa"/>
            <w:gridSpan w:val="11"/>
            <w:shd w:val="clear" w:color="auto" w:fill="auto"/>
            <w:vAlign w:val="center"/>
          </w:tcPr>
          <w:p>
            <w:pPr>
              <w:pStyle w:val="417"/>
              <w:spacing w:line="240" w:lineRule="auto"/>
              <w:rPr>
                <w:highlight w:val="none"/>
              </w:rPr>
            </w:pPr>
            <w:r>
              <w:rPr>
                <w:highlight w:val="none"/>
              </w:rPr>
              <w:t>边长5-50km</w:t>
            </w:r>
            <w:r>
              <w:rPr>
                <w:rFonts w:hint="eastAsia" w:ascii="宋体" w:hAnsi="宋体"/>
                <w:highlight w:val="none"/>
              </w:rPr>
              <w:t>□</w:t>
            </w:r>
          </w:p>
        </w:tc>
        <w:tc>
          <w:tcPr>
            <w:tcW w:w="1908" w:type="dxa"/>
            <w:gridSpan w:val="7"/>
            <w:shd w:val="clear" w:color="auto" w:fill="auto"/>
            <w:vAlign w:val="center"/>
          </w:tcPr>
          <w:p>
            <w:pPr>
              <w:pStyle w:val="417"/>
              <w:spacing w:line="240" w:lineRule="auto"/>
              <w:rPr>
                <w:highlight w:val="none"/>
              </w:rPr>
            </w:pPr>
            <w:r>
              <w:rPr>
                <w:highlight w:val="none"/>
              </w:rPr>
              <w:t>边长＝5km√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restart"/>
            <w:shd w:val="clear" w:color="auto" w:fill="auto"/>
            <w:vAlign w:val="center"/>
          </w:tcPr>
          <w:p>
            <w:pPr>
              <w:pStyle w:val="417"/>
              <w:spacing w:line="240" w:lineRule="auto"/>
              <w:rPr>
                <w:highlight w:val="none"/>
              </w:rPr>
            </w:pPr>
            <w:r>
              <w:rPr>
                <w:highlight w:val="none"/>
              </w:rPr>
              <w:t>评价因子</w:t>
            </w:r>
          </w:p>
        </w:tc>
        <w:tc>
          <w:tcPr>
            <w:tcW w:w="1560" w:type="dxa"/>
            <w:shd w:val="clear" w:color="auto" w:fill="auto"/>
            <w:vAlign w:val="center"/>
          </w:tcPr>
          <w:p>
            <w:pPr>
              <w:pStyle w:val="417"/>
              <w:spacing w:line="240" w:lineRule="auto"/>
              <w:rPr>
                <w:highlight w:val="none"/>
              </w:rPr>
            </w:pPr>
            <w:r>
              <w:rPr>
                <w:highlight w:val="none"/>
              </w:rPr>
              <w:t>SO</w:t>
            </w:r>
            <w:r>
              <w:rPr>
                <w:highlight w:val="none"/>
                <w:vertAlign w:val="subscript"/>
              </w:rPr>
              <w:t>2</w:t>
            </w:r>
            <w:r>
              <w:rPr>
                <w:highlight w:val="none"/>
              </w:rPr>
              <w:t>+NO</w:t>
            </w:r>
            <w:r>
              <w:rPr>
                <w:highlight w:val="none"/>
                <w:vertAlign w:val="subscript"/>
              </w:rPr>
              <w:t>X</w:t>
            </w:r>
            <w:r>
              <w:rPr>
                <w:highlight w:val="none"/>
              </w:rPr>
              <w:t>排放量</w:t>
            </w:r>
          </w:p>
        </w:tc>
        <w:tc>
          <w:tcPr>
            <w:tcW w:w="1834" w:type="dxa"/>
            <w:gridSpan w:val="8"/>
            <w:shd w:val="clear" w:color="auto" w:fill="auto"/>
            <w:vAlign w:val="center"/>
          </w:tcPr>
          <w:p>
            <w:pPr>
              <w:pStyle w:val="417"/>
              <w:spacing w:line="240" w:lineRule="auto"/>
              <w:rPr>
                <w:highlight w:val="none"/>
              </w:rPr>
            </w:pPr>
            <w:r>
              <w:rPr>
                <w:highlight w:val="none"/>
              </w:rPr>
              <w:t>≥2000t/a</w:t>
            </w:r>
            <w:r>
              <w:rPr>
                <w:rFonts w:hint="eastAsia" w:ascii="宋体" w:hAnsi="宋体"/>
                <w:highlight w:val="none"/>
              </w:rPr>
              <w:t>□</w:t>
            </w:r>
          </w:p>
        </w:tc>
        <w:tc>
          <w:tcPr>
            <w:tcW w:w="2126" w:type="dxa"/>
            <w:gridSpan w:val="11"/>
            <w:shd w:val="clear" w:color="auto" w:fill="auto"/>
            <w:vAlign w:val="center"/>
          </w:tcPr>
          <w:p>
            <w:pPr>
              <w:pStyle w:val="417"/>
              <w:spacing w:line="240" w:lineRule="auto"/>
              <w:rPr>
                <w:highlight w:val="none"/>
              </w:rPr>
            </w:pPr>
            <w:r>
              <w:rPr>
                <w:highlight w:val="none"/>
              </w:rPr>
              <w:t>500-2000t/a</w:t>
            </w:r>
            <w:r>
              <w:rPr>
                <w:rFonts w:hint="eastAsia" w:ascii="宋体" w:hAnsi="宋体"/>
                <w:highlight w:val="none"/>
              </w:rPr>
              <w:t>□</w:t>
            </w:r>
          </w:p>
        </w:tc>
        <w:tc>
          <w:tcPr>
            <w:tcW w:w="1908" w:type="dxa"/>
            <w:gridSpan w:val="7"/>
            <w:shd w:val="clear" w:color="auto" w:fill="auto"/>
            <w:vAlign w:val="center"/>
          </w:tcPr>
          <w:p>
            <w:pPr>
              <w:pStyle w:val="417"/>
              <w:spacing w:line="240" w:lineRule="auto"/>
              <w:rPr>
                <w:highlight w:val="none"/>
              </w:rPr>
            </w:pPr>
            <w:r>
              <w:rPr>
                <w:highlight w:val="none"/>
              </w:rPr>
              <w:t>&lt;500t/a√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评价因子</w:t>
            </w:r>
          </w:p>
        </w:tc>
        <w:tc>
          <w:tcPr>
            <w:tcW w:w="2970" w:type="dxa"/>
            <w:gridSpan w:val="13"/>
            <w:shd w:val="clear" w:color="auto" w:fill="auto"/>
            <w:vAlign w:val="center"/>
          </w:tcPr>
          <w:p>
            <w:pPr>
              <w:pStyle w:val="417"/>
              <w:spacing w:line="240" w:lineRule="auto"/>
              <w:rPr>
                <w:highlight w:val="none"/>
              </w:rPr>
            </w:pPr>
            <w:r>
              <w:rPr>
                <w:highlight w:val="none"/>
              </w:rPr>
              <w:t>基本污染物（</w:t>
            </w:r>
            <w:r>
              <w:rPr>
                <w:rFonts w:hint="eastAsia"/>
                <w:highlight w:val="none"/>
              </w:rPr>
              <w:t>颗粒物</w:t>
            </w:r>
            <w:r>
              <w:rPr>
                <w:highlight w:val="none"/>
              </w:rPr>
              <w:t>）</w:t>
            </w:r>
          </w:p>
          <w:p>
            <w:pPr>
              <w:pStyle w:val="417"/>
              <w:spacing w:line="240" w:lineRule="auto"/>
              <w:rPr>
                <w:highlight w:val="none"/>
              </w:rPr>
            </w:pPr>
            <w:r>
              <w:rPr>
                <w:highlight w:val="none"/>
              </w:rPr>
              <w:t>其他污染物（</w:t>
            </w:r>
            <w:r>
              <w:rPr>
                <w:rFonts w:hint="eastAsia"/>
                <w:highlight w:val="none"/>
              </w:rPr>
              <w:t xml:space="preserve">      </w:t>
            </w:r>
            <w:r>
              <w:rPr>
                <w:highlight w:val="none"/>
              </w:rPr>
              <w:t>）</w:t>
            </w:r>
          </w:p>
        </w:tc>
        <w:tc>
          <w:tcPr>
            <w:tcW w:w="2898" w:type="dxa"/>
            <w:gridSpan w:val="13"/>
            <w:shd w:val="clear" w:color="auto" w:fill="auto"/>
            <w:vAlign w:val="center"/>
          </w:tcPr>
          <w:p>
            <w:pPr>
              <w:pStyle w:val="417"/>
              <w:spacing w:line="240" w:lineRule="auto"/>
              <w:rPr>
                <w:highlight w:val="none"/>
              </w:rPr>
            </w:pPr>
            <w:r>
              <w:rPr>
                <w:highlight w:val="none"/>
              </w:rPr>
              <w:t>包括二次PM</w:t>
            </w:r>
            <w:r>
              <w:rPr>
                <w:highlight w:val="none"/>
                <w:vertAlign w:val="subscript"/>
              </w:rPr>
              <w:t>2.5</w:t>
            </w:r>
            <w:r>
              <w:rPr>
                <w:rFonts w:hint="eastAsia" w:ascii="宋体" w:hAnsi="宋体"/>
                <w:highlight w:val="none"/>
              </w:rPr>
              <w:t>□</w:t>
            </w:r>
          </w:p>
          <w:p>
            <w:pPr>
              <w:pStyle w:val="417"/>
              <w:spacing w:line="240" w:lineRule="auto"/>
              <w:rPr>
                <w:highlight w:val="none"/>
              </w:rPr>
            </w:pPr>
            <w:r>
              <w:rPr>
                <w:highlight w:val="none"/>
              </w:rPr>
              <w:t>不包括二次PM</w:t>
            </w:r>
            <w:r>
              <w:rPr>
                <w:highlight w:val="none"/>
                <w:vertAlign w:val="subscript"/>
              </w:rPr>
              <w:t>2.5</w:t>
            </w:r>
            <w:r>
              <w:rPr>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shd w:val="clear" w:color="auto" w:fill="auto"/>
            <w:vAlign w:val="center"/>
          </w:tcPr>
          <w:p>
            <w:pPr>
              <w:pStyle w:val="417"/>
              <w:spacing w:line="240" w:lineRule="auto"/>
              <w:rPr>
                <w:highlight w:val="none"/>
              </w:rPr>
            </w:pPr>
            <w:r>
              <w:rPr>
                <w:highlight w:val="none"/>
              </w:rPr>
              <w:t>评价标准</w:t>
            </w:r>
          </w:p>
        </w:tc>
        <w:tc>
          <w:tcPr>
            <w:tcW w:w="1560" w:type="dxa"/>
            <w:shd w:val="clear" w:color="auto" w:fill="auto"/>
            <w:vAlign w:val="center"/>
          </w:tcPr>
          <w:p>
            <w:pPr>
              <w:pStyle w:val="417"/>
              <w:spacing w:line="240" w:lineRule="auto"/>
              <w:rPr>
                <w:highlight w:val="none"/>
              </w:rPr>
            </w:pPr>
            <w:r>
              <w:rPr>
                <w:highlight w:val="none"/>
              </w:rPr>
              <w:t>评价标准</w:t>
            </w:r>
          </w:p>
        </w:tc>
        <w:tc>
          <w:tcPr>
            <w:tcW w:w="1552" w:type="dxa"/>
            <w:gridSpan w:val="5"/>
            <w:shd w:val="clear" w:color="auto" w:fill="auto"/>
            <w:vAlign w:val="center"/>
          </w:tcPr>
          <w:p>
            <w:pPr>
              <w:pStyle w:val="417"/>
              <w:spacing w:line="240" w:lineRule="auto"/>
              <w:rPr>
                <w:highlight w:val="none"/>
              </w:rPr>
            </w:pPr>
            <w:r>
              <w:rPr>
                <w:highlight w:val="none"/>
              </w:rPr>
              <w:t>国家标准√</w:t>
            </w:r>
          </w:p>
        </w:tc>
        <w:tc>
          <w:tcPr>
            <w:tcW w:w="1418" w:type="dxa"/>
            <w:gridSpan w:val="8"/>
            <w:shd w:val="clear" w:color="auto" w:fill="auto"/>
            <w:vAlign w:val="center"/>
          </w:tcPr>
          <w:p>
            <w:pPr>
              <w:pStyle w:val="417"/>
              <w:spacing w:line="240" w:lineRule="auto"/>
              <w:rPr>
                <w:highlight w:val="none"/>
              </w:rPr>
            </w:pPr>
            <w:r>
              <w:rPr>
                <w:highlight w:val="none"/>
              </w:rPr>
              <w:t>地方标准</w:t>
            </w:r>
            <w:r>
              <w:rPr>
                <w:rFonts w:hint="eastAsia" w:ascii="宋体" w:hAnsi="宋体"/>
                <w:highlight w:val="none"/>
              </w:rPr>
              <w:t>□</w:t>
            </w:r>
          </w:p>
        </w:tc>
        <w:tc>
          <w:tcPr>
            <w:tcW w:w="1501" w:type="dxa"/>
            <w:gridSpan w:val="8"/>
            <w:shd w:val="clear" w:color="auto" w:fill="auto"/>
            <w:vAlign w:val="center"/>
          </w:tcPr>
          <w:p>
            <w:pPr>
              <w:pStyle w:val="417"/>
              <w:spacing w:line="240" w:lineRule="auto"/>
              <w:rPr>
                <w:highlight w:val="none"/>
              </w:rPr>
            </w:pPr>
            <w:r>
              <w:rPr>
                <w:highlight w:val="none"/>
              </w:rPr>
              <w:t>附录D</w:t>
            </w:r>
            <w:r>
              <w:rPr>
                <w:rFonts w:hint="eastAsia"/>
                <w:highlight w:val="none"/>
              </w:rPr>
              <w:t xml:space="preserve"> </w:t>
            </w:r>
            <w:r>
              <w:rPr>
                <w:rFonts w:hint="eastAsia" w:ascii="宋体" w:hAnsi="宋体"/>
                <w:highlight w:val="none"/>
              </w:rPr>
              <w:t>□</w:t>
            </w:r>
          </w:p>
        </w:tc>
        <w:tc>
          <w:tcPr>
            <w:tcW w:w="1397" w:type="dxa"/>
            <w:gridSpan w:val="5"/>
            <w:shd w:val="clear" w:color="auto" w:fill="auto"/>
            <w:vAlign w:val="center"/>
          </w:tcPr>
          <w:p>
            <w:pPr>
              <w:pStyle w:val="417"/>
              <w:spacing w:line="240" w:lineRule="auto"/>
              <w:rPr>
                <w:highlight w:val="none"/>
              </w:rPr>
            </w:pPr>
            <w:r>
              <w:rPr>
                <w:highlight w:val="none"/>
              </w:rPr>
              <w:t>其他标准</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restart"/>
            <w:shd w:val="clear" w:color="auto" w:fill="auto"/>
            <w:vAlign w:val="center"/>
          </w:tcPr>
          <w:p>
            <w:pPr>
              <w:pStyle w:val="417"/>
              <w:spacing w:line="240" w:lineRule="auto"/>
              <w:rPr>
                <w:highlight w:val="none"/>
              </w:rPr>
            </w:pPr>
            <w:r>
              <w:rPr>
                <w:highlight w:val="none"/>
              </w:rPr>
              <w:t>现状评价</w:t>
            </w:r>
          </w:p>
        </w:tc>
        <w:tc>
          <w:tcPr>
            <w:tcW w:w="1560" w:type="dxa"/>
            <w:shd w:val="clear" w:color="auto" w:fill="auto"/>
            <w:vAlign w:val="center"/>
          </w:tcPr>
          <w:p>
            <w:pPr>
              <w:pStyle w:val="417"/>
              <w:spacing w:line="240" w:lineRule="auto"/>
              <w:rPr>
                <w:highlight w:val="none"/>
              </w:rPr>
            </w:pPr>
            <w:r>
              <w:rPr>
                <w:highlight w:val="none"/>
              </w:rPr>
              <w:t>环境功能区</w:t>
            </w:r>
          </w:p>
        </w:tc>
        <w:tc>
          <w:tcPr>
            <w:tcW w:w="1268" w:type="dxa"/>
            <w:gridSpan w:val="3"/>
            <w:shd w:val="clear" w:color="auto" w:fill="auto"/>
            <w:vAlign w:val="center"/>
          </w:tcPr>
          <w:p>
            <w:pPr>
              <w:pStyle w:val="417"/>
              <w:spacing w:line="240" w:lineRule="auto"/>
              <w:rPr>
                <w:highlight w:val="none"/>
              </w:rPr>
            </w:pPr>
            <w:r>
              <w:rPr>
                <w:highlight w:val="none"/>
              </w:rPr>
              <w:t>一类区</w:t>
            </w:r>
            <w:r>
              <w:rPr>
                <w:rFonts w:hint="eastAsia" w:ascii="宋体" w:hAnsi="宋体"/>
                <w:highlight w:val="none"/>
              </w:rPr>
              <w:t>□</w:t>
            </w:r>
          </w:p>
        </w:tc>
        <w:tc>
          <w:tcPr>
            <w:tcW w:w="1568" w:type="dxa"/>
            <w:gridSpan w:val="9"/>
            <w:shd w:val="clear" w:color="auto" w:fill="auto"/>
            <w:vAlign w:val="center"/>
          </w:tcPr>
          <w:p>
            <w:pPr>
              <w:pStyle w:val="417"/>
              <w:spacing w:line="240" w:lineRule="auto"/>
              <w:rPr>
                <w:highlight w:val="none"/>
              </w:rPr>
            </w:pPr>
            <w:r>
              <w:rPr>
                <w:highlight w:val="none"/>
              </w:rPr>
              <w:t>二类区√</w:t>
            </w:r>
          </w:p>
        </w:tc>
        <w:tc>
          <w:tcPr>
            <w:tcW w:w="3032" w:type="dxa"/>
            <w:gridSpan w:val="14"/>
            <w:shd w:val="clear" w:color="auto" w:fill="auto"/>
            <w:vAlign w:val="center"/>
          </w:tcPr>
          <w:p>
            <w:pPr>
              <w:pStyle w:val="417"/>
              <w:spacing w:line="240" w:lineRule="auto"/>
              <w:rPr>
                <w:highlight w:val="none"/>
              </w:rPr>
            </w:pPr>
            <w:r>
              <w:rPr>
                <w:highlight w:val="none"/>
              </w:rPr>
              <w:t>一类区和二类区</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评价基准年</w:t>
            </w:r>
          </w:p>
        </w:tc>
        <w:tc>
          <w:tcPr>
            <w:tcW w:w="5868" w:type="dxa"/>
            <w:gridSpan w:val="26"/>
            <w:shd w:val="clear" w:color="auto" w:fill="auto"/>
            <w:vAlign w:val="center"/>
          </w:tcPr>
          <w:p>
            <w:pPr>
              <w:pStyle w:val="417"/>
              <w:spacing w:line="240" w:lineRule="auto"/>
              <w:rPr>
                <w:highlight w:val="none"/>
              </w:rPr>
            </w:pPr>
            <w:r>
              <w:rPr>
                <w:highlight w:val="none"/>
              </w:rPr>
              <w:t>（</w:t>
            </w:r>
            <w:r>
              <w:rPr>
                <w:rFonts w:hint="eastAsia"/>
                <w:highlight w:val="none"/>
              </w:rPr>
              <w:t>2022</w:t>
            </w:r>
            <w:r>
              <w:rPr>
                <w:highlight w:val="none"/>
              </w:rPr>
              <w:t>）年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环境空气质量现状调查数据来源</w:t>
            </w:r>
          </w:p>
        </w:tc>
        <w:tc>
          <w:tcPr>
            <w:tcW w:w="2117" w:type="dxa"/>
            <w:gridSpan w:val="9"/>
            <w:shd w:val="clear" w:color="auto" w:fill="auto"/>
            <w:vAlign w:val="center"/>
          </w:tcPr>
          <w:p>
            <w:pPr>
              <w:pStyle w:val="417"/>
              <w:spacing w:line="240" w:lineRule="auto"/>
              <w:rPr>
                <w:highlight w:val="none"/>
              </w:rPr>
            </w:pPr>
            <w:r>
              <w:rPr>
                <w:highlight w:val="none"/>
              </w:rPr>
              <w:t>长期例行监测数据</w:t>
            </w:r>
            <w:r>
              <w:rPr>
                <w:rFonts w:hint="eastAsia" w:ascii="宋体" w:hAnsi="宋体"/>
                <w:highlight w:val="none"/>
              </w:rPr>
              <w:t>□</w:t>
            </w:r>
          </w:p>
        </w:tc>
        <w:tc>
          <w:tcPr>
            <w:tcW w:w="2053" w:type="dxa"/>
            <w:gridSpan w:val="11"/>
            <w:shd w:val="clear" w:color="auto" w:fill="auto"/>
            <w:vAlign w:val="center"/>
          </w:tcPr>
          <w:p>
            <w:pPr>
              <w:pStyle w:val="417"/>
              <w:spacing w:line="240" w:lineRule="auto"/>
              <w:rPr>
                <w:highlight w:val="none"/>
              </w:rPr>
            </w:pPr>
            <w:r>
              <w:rPr>
                <w:highlight w:val="none"/>
              </w:rPr>
              <w:t>主管部门发布的数据√</w:t>
            </w:r>
          </w:p>
        </w:tc>
        <w:tc>
          <w:tcPr>
            <w:tcW w:w="1698" w:type="dxa"/>
            <w:gridSpan w:val="6"/>
            <w:shd w:val="clear" w:color="auto" w:fill="auto"/>
            <w:vAlign w:val="center"/>
          </w:tcPr>
          <w:p>
            <w:pPr>
              <w:pStyle w:val="417"/>
              <w:spacing w:line="240" w:lineRule="auto"/>
              <w:rPr>
                <w:highlight w:val="none"/>
              </w:rPr>
            </w:pPr>
            <w:r>
              <w:rPr>
                <w:highlight w:val="none"/>
              </w:rPr>
              <w:t>现状补充监测</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现状评价</w:t>
            </w:r>
          </w:p>
        </w:tc>
        <w:tc>
          <w:tcPr>
            <w:tcW w:w="3251" w:type="dxa"/>
            <w:gridSpan w:val="15"/>
            <w:shd w:val="clear" w:color="auto" w:fill="auto"/>
            <w:vAlign w:val="center"/>
          </w:tcPr>
          <w:p>
            <w:pPr>
              <w:pStyle w:val="417"/>
              <w:spacing w:line="240" w:lineRule="auto"/>
              <w:rPr>
                <w:highlight w:val="none"/>
              </w:rPr>
            </w:pPr>
            <w:r>
              <w:rPr>
                <w:highlight w:val="none"/>
              </w:rPr>
              <w:t>达标区</w:t>
            </w:r>
            <w:r>
              <w:rPr>
                <w:rFonts w:hint="eastAsia" w:ascii="宋体" w:hAnsi="宋体"/>
                <w:highlight w:val="none"/>
              </w:rPr>
              <w:t>□</w:t>
            </w:r>
          </w:p>
        </w:tc>
        <w:tc>
          <w:tcPr>
            <w:tcW w:w="2617" w:type="dxa"/>
            <w:gridSpan w:val="11"/>
            <w:shd w:val="clear" w:color="auto" w:fill="auto"/>
            <w:vAlign w:val="center"/>
          </w:tcPr>
          <w:p>
            <w:pPr>
              <w:pStyle w:val="417"/>
              <w:spacing w:line="240" w:lineRule="auto"/>
              <w:rPr>
                <w:highlight w:val="none"/>
              </w:rPr>
            </w:pPr>
            <w:r>
              <w:rPr>
                <w:highlight w:val="none"/>
              </w:rPr>
              <w:t>不达标区√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shd w:val="clear" w:color="auto" w:fill="auto"/>
            <w:vAlign w:val="center"/>
          </w:tcPr>
          <w:p>
            <w:pPr>
              <w:pStyle w:val="417"/>
              <w:spacing w:line="240" w:lineRule="auto"/>
              <w:rPr>
                <w:highlight w:val="none"/>
              </w:rPr>
            </w:pPr>
            <w:r>
              <w:rPr>
                <w:highlight w:val="none"/>
              </w:rPr>
              <w:t>污染源调查</w:t>
            </w:r>
          </w:p>
        </w:tc>
        <w:tc>
          <w:tcPr>
            <w:tcW w:w="1560" w:type="dxa"/>
            <w:shd w:val="clear" w:color="auto" w:fill="auto"/>
            <w:vAlign w:val="center"/>
          </w:tcPr>
          <w:p>
            <w:pPr>
              <w:pStyle w:val="417"/>
              <w:spacing w:line="240" w:lineRule="auto"/>
              <w:rPr>
                <w:highlight w:val="none"/>
              </w:rPr>
            </w:pPr>
            <w:r>
              <w:rPr>
                <w:highlight w:val="none"/>
              </w:rPr>
              <w:t>调查内容</w:t>
            </w:r>
          </w:p>
        </w:tc>
        <w:tc>
          <w:tcPr>
            <w:tcW w:w="2117" w:type="dxa"/>
            <w:gridSpan w:val="9"/>
            <w:shd w:val="clear" w:color="auto" w:fill="auto"/>
            <w:vAlign w:val="center"/>
          </w:tcPr>
          <w:p>
            <w:pPr>
              <w:pStyle w:val="417"/>
              <w:spacing w:line="240" w:lineRule="auto"/>
              <w:rPr>
                <w:highlight w:val="none"/>
              </w:rPr>
            </w:pPr>
            <w:r>
              <w:rPr>
                <w:highlight w:val="none"/>
              </w:rPr>
              <w:t>本项目正常排放源√</w:t>
            </w:r>
          </w:p>
          <w:p>
            <w:pPr>
              <w:pStyle w:val="417"/>
              <w:spacing w:line="240" w:lineRule="auto"/>
              <w:rPr>
                <w:highlight w:val="none"/>
              </w:rPr>
            </w:pPr>
            <w:r>
              <w:rPr>
                <w:highlight w:val="none"/>
              </w:rPr>
              <w:t>本项目非正常排放源√</w:t>
            </w:r>
          </w:p>
          <w:p>
            <w:pPr>
              <w:pStyle w:val="417"/>
              <w:spacing w:line="240" w:lineRule="auto"/>
              <w:rPr>
                <w:highlight w:val="none"/>
              </w:rPr>
            </w:pPr>
            <w:r>
              <w:rPr>
                <w:highlight w:val="none"/>
              </w:rPr>
              <w:t>现有污染源</w:t>
            </w:r>
            <w:r>
              <w:rPr>
                <w:rFonts w:hint="eastAsia" w:ascii="宋体" w:hAnsi="宋体"/>
                <w:highlight w:val="none"/>
              </w:rPr>
              <w:t>□</w:t>
            </w:r>
          </w:p>
        </w:tc>
        <w:tc>
          <w:tcPr>
            <w:tcW w:w="1571" w:type="dxa"/>
            <w:gridSpan w:val="8"/>
            <w:shd w:val="clear" w:color="auto" w:fill="auto"/>
            <w:vAlign w:val="center"/>
          </w:tcPr>
          <w:p>
            <w:pPr>
              <w:pStyle w:val="417"/>
              <w:spacing w:line="240" w:lineRule="auto"/>
              <w:rPr>
                <w:highlight w:val="none"/>
              </w:rPr>
            </w:pPr>
            <w:r>
              <w:rPr>
                <w:highlight w:val="none"/>
              </w:rPr>
              <w:t>拟替代的污染源</w:t>
            </w:r>
            <w:r>
              <w:rPr>
                <w:rFonts w:hint="eastAsia" w:ascii="宋体" w:hAnsi="宋体"/>
                <w:highlight w:val="none"/>
              </w:rPr>
              <w:t>□</w:t>
            </w:r>
          </w:p>
        </w:tc>
        <w:tc>
          <w:tcPr>
            <w:tcW w:w="1296" w:type="dxa"/>
            <w:gridSpan w:val="7"/>
            <w:shd w:val="clear" w:color="auto" w:fill="auto"/>
            <w:vAlign w:val="center"/>
          </w:tcPr>
          <w:p>
            <w:pPr>
              <w:pStyle w:val="417"/>
              <w:spacing w:line="240" w:lineRule="auto"/>
              <w:rPr>
                <w:highlight w:val="none"/>
              </w:rPr>
            </w:pPr>
            <w:r>
              <w:rPr>
                <w:highlight w:val="none"/>
              </w:rPr>
              <w:t>其他在建、拟建项目污染源</w:t>
            </w:r>
            <w:r>
              <w:rPr>
                <w:rFonts w:hint="eastAsia" w:ascii="宋体" w:hAnsi="宋体"/>
                <w:highlight w:val="none"/>
              </w:rPr>
              <w:t>□</w:t>
            </w:r>
          </w:p>
        </w:tc>
        <w:tc>
          <w:tcPr>
            <w:tcW w:w="884" w:type="dxa"/>
            <w:gridSpan w:val="2"/>
            <w:shd w:val="clear" w:color="auto" w:fill="auto"/>
            <w:vAlign w:val="center"/>
          </w:tcPr>
          <w:p>
            <w:pPr>
              <w:pStyle w:val="417"/>
              <w:spacing w:line="240" w:lineRule="auto"/>
              <w:rPr>
                <w:highlight w:val="none"/>
              </w:rPr>
            </w:pPr>
            <w:r>
              <w:rPr>
                <w:highlight w:val="none"/>
              </w:rPr>
              <w:t>区域污染源</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restart"/>
            <w:shd w:val="clear" w:color="auto" w:fill="auto"/>
            <w:vAlign w:val="center"/>
          </w:tcPr>
          <w:p>
            <w:pPr>
              <w:pStyle w:val="417"/>
              <w:spacing w:line="240" w:lineRule="auto"/>
              <w:rPr>
                <w:highlight w:val="none"/>
              </w:rPr>
            </w:pPr>
            <w:r>
              <w:rPr>
                <w:highlight w:val="none"/>
              </w:rPr>
              <w:t>大气环境影响预测与评价</w:t>
            </w:r>
          </w:p>
        </w:tc>
        <w:tc>
          <w:tcPr>
            <w:tcW w:w="1560" w:type="dxa"/>
            <w:shd w:val="clear" w:color="auto" w:fill="auto"/>
            <w:vAlign w:val="center"/>
          </w:tcPr>
          <w:p>
            <w:pPr>
              <w:pStyle w:val="417"/>
              <w:spacing w:line="240" w:lineRule="auto"/>
              <w:rPr>
                <w:highlight w:val="none"/>
              </w:rPr>
            </w:pPr>
            <w:r>
              <w:rPr>
                <w:highlight w:val="none"/>
              </w:rPr>
              <w:t>预测模型</w:t>
            </w:r>
          </w:p>
        </w:tc>
        <w:tc>
          <w:tcPr>
            <w:tcW w:w="841" w:type="dxa"/>
            <w:shd w:val="clear" w:color="auto" w:fill="auto"/>
            <w:tcMar>
              <w:left w:w="0" w:type="dxa"/>
              <w:right w:w="0" w:type="dxa"/>
            </w:tcMar>
            <w:vAlign w:val="center"/>
          </w:tcPr>
          <w:p>
            <w:pPr>
              <w:pStyle w:val="417"/>
              <w:spacing w:line="240" w:lineRule="auto"/>
              <w:rPr>
                <w:highlight w:val="none"/>
              </w:rPr>
            </w:pPr>
            <w:r>
              <w:rPr>
                <w:highlight w:val="none"/>
              </w:rPr>
              <w:t>AERMOD</w:t>
            </w:r>
            <w:r>
              <w:rPr>
                <w:rFonts w:hint="eastAsia" w:ascii="宋体" w:hAnsi="宋体"/>
                <w:highlight w:val="none"/>
              </w:rPr>
              <w:t>□</w:t>
            </w:r>
          </w:p>
        </w:tc>
        <w:tc>
          <w:tcPr>
            <w:tcW w:w="575" w:type="dxa"/>
            <w:gridSpan w:val="3"/>
            <w:shd w:val="clear" w:color="auto" w:fill="auto"/>
            <w:tcMar>
              <w:left w:w="0" w:type="dxa"/>
              <w:right w:w="0" w:type="dxa"/>
            </w:tcMar>
            <w:vAlign w:val="center"/>
          </w:tcPr>
          <w:p>
            <w:pPr>
              <w:pStyle w:val="417"/>
              <w:spacing w:line="240" w:lineRule="auto"/>
              <w:rPr>
                <w:highlight w:val="none"/>
              </w:rPr>
            </w:pPr>
            <w:r>
              <w:rPr>
                <w:highlight w:val="none"/>
              </w:rPr>
              <w:t>ADMS</w:t>
            </w:r>
            <w:r>
              <w:rPr>
                <w:rFonts w:hint="eastAsia" w:ascii="宋体" w:hAnsi="宋体"/>
                <w:highlight w:val="none"/>
              </w:rPr>
              <w:t>□</w:t>
            </w:r>
          </w:p>
        </w:tc>
        <w:tc>
          <w:tcPr>
            <w:tcW w:w="1134" w:type="dxa"/>
            <w:gridSpan w:val="6"/>
            <w:shd w:val="clear" w:color="auto" w:fill="auto"/>
            <w:tcMar>
              <w:left w:w="0" w:type="dxa"/>
              <w:right w:w="0" w:type="dxa"/>
            </w:tcMar>
            <w:vAlign w:val="center"/>
          </w:tcPr>
          <w:p>
            <w:pPr>
              <w:pStyle w:val="417"/>
              <w:spacing w:line="240" w:lineRule="auto"/>
              <w:rPr>
                <w:highlight w:val="none"/>
              </w:rPr>
            </w:pPr>
            <w:r>
              <w:rPr>
                <w:highlight w:val="none"/>
              </w:rPr>
              <w:t>AUSTAL2000</w:t>
            </w:r>
            <w:r>
              <w:rPr>
                <w:rFonts w:hint="eastAsia" w:ascii="宋体" w:hAnsi="宋体"/>
                <w:highlight w:val="none"/>
              </w:rPr>
              <w:t>□</w:t>
            </w:r>
          </w:p>
        </w:tc>
        <w:tc>
          <w:tcPr>
            <w:tcW w:w="1138" w:type="dxa"/>
            <w:gridSpan w:val="7"/>
            <w:shd w:val="clear" w:color="auto" w:fill="auto"/>
            <w:tcMar>
              <w:left w:w="0" w:type="dxa"/>
              <w:right w:w="0" w:type="dxa"/>
            </w:tcMar>
            <w:vAlign w:val="center"/>
          </w:tcPr>
          <w:p>
            <w:pPr>
              <w:pStyle w:val="417"/>
              <w:spacing w:line="240" w:lineRule="auto"/>
              <w:rPr>
                <w:highlight w:val="none"/>
              </w:rPr>
            </w:pPr>
            <w:r>
              <w:rPr>
                <w:highlight w:val="none"/>
              </w:rPr>
              <w:t>EDMS/AEDT</w:t>
            </w:r>
            <w:r>
              <w:rPr>
                <w:rFonts w:hint="eastAsia" w:ascii="宋体" w:hAnsi="宋体"/>
                <w:highlight w:val="none"/>
              </w:rPr>
              <w:t>□</w:t>
            </w:r>
          </w:p>
        </w:tc>
        <w:tc>
          <w:tcPr>
            <w:tcW w:w="855" w:type="dxa"/>
            <w:gridSpan w:val="5"/>
            <w:shd w:val="clear" w:color="auto" w:fill="auto"/>
            <w:tcMar>
              <w:left w:w="0" w:type="dxa"/>
              <w:right w:w="0" w:type="dxa"/>
            </w:tcMar>
            <w:vAlign w:val="center"/>
          </w:tcPr>
          <w:p>
            <w:pPr>
              <w:pStyle w:val="417"/>
              <w:spacing w:line="240" w:lineRule="auto"/>
              <w:rPr>
                <w:highlight w:val="none"/>
              </w:rPr>
            </w:pPr>
            <w:r>
              <w:rPr>
                <w:highlight w:val="none"/>
              </w:rPr>
              <w:t>CALPUFF</w:t>
            </w:r>
            <w:r>
              <w:rPr>
                <w:rFonts w:hint="eastAsia" w:ascii="宋体" w:hAnsi="宋体"/>
                <w:highlight w:val="none"/>
              </w:rPr>
              <w:t>□</w:t>
            </w:r>
          </w:p>
        </w:tc>
        <w:tc>
          <w:tcPr>
            <w:tcW w:w="836" w:type="dxa"/>
            <w:gridSpan w:val="3"/>
            <w:shd w:val="clear" w:color="auto" w:fill="auto"/>
            <w:tcMar>
              <w:left w:w="0" w:type="dxa"/>
              <w:right w:w="0" w:type="dxa"/>
            </w:tcMar>
            <w:vAlign w:val="center"/>
          </w:tcPr>
          <w:p>
            <w:pPr>
              <w:pStyle w:val="417"/>
              <w:spacing w:line="240" w:lineRule="auto"/>
              <w:rPr>
                <w:highlight w:val="none"/>
              </w:rPr>
            </w:pPr>
            <w:r>
              <w:rPr>
                <w:highlight w:val="none"/>
              </w:rPr>
              <w:t>网格模型</w:t>
            </w:r>
            <w:r>
              <w:rPr>
                <w:rFonts w:hint="eastAsia" w:ascii="宋体" w:hAnsi="宋体"/>
                <w:highlight w:val="none"/>
              </w:rPr>
              <w:t>□</w:t>
            </w:r>
          </w:p>
        </w:tc>
        <w:tc>
          <w:tcPr>
            <w:tcW w:w="489" w:type="dxa"/>
            <w:shd w:val="clear" w:color="auto" w:fill="auto"/>
            <w:tcMar>
              <w:left w:w="0" w:type="dxa"/>
              <w:right w:w="0" w:type="dxa"/>
            </w:tcMar>
            <w:vAlign w:val="center"/>
          </w:tcPr>
          <w:p>
            <w:pPr>
              <w:pStyle w:val="417"/>
              <w:spacing w:line="240" w:lineRule="auto"/>
              <w:rPr>
                <w:highlight w:val="none"/>
              </w:rPr>
            </w:pPr>
            <w:r>
              <w:rPr>
                <w:highlight w:val="none"/>
              </w:rPr>
              <w:t>其他</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预测范围</w:t>
            </w:r>
          </w:p>
        </w:tc>
        <w:tc>
          <w:tcPr>
            <w:tcW w:w="1693" w:type="dxa"/>
            <w:gridSpan w:val="7"/>
            <w:shd w:val="clear" w:color="auto" w:fill="auto"/>
            <w:vAlign w:val="center"/>
          </w:tcPr>
          <w:p>
            <w:pPr>
              <w:pStyle w:val="417"/>
              <w:spacing w:line="240" w:lineRule="auto"/>
              <w:rPr>
                <w:highlight w:val="none"/>
              </w:rPr>
            </w:pPr>
            <w:r>
              <w:rPr>
                <w:highlight w:val="none"/>
              </w:rPr>
              <w:t>边长≥50km</w:t>
            </w:r>
            <w:r>
              <w:rPr>
                <w:rFonts w:hint="eastAsia" w:ascii="宋体" w:hAnsi="宋体"/>
                <w:highlight w:val="none"/>
              </w:rPr>
              <w:t>□</w:t>
            </w:r>
          </w:p>
        </w:tc>
        <w:tc>
          <w:tcPr>
            <w:tcW w:w="2159" w:type="dxa"/>
            <w:gridSpan w:val="11"/>
            <w:shd w:val="clear" w:color="auto" w:fill="auto"/>
            <w:vAlign w:val="center"/>
          </w:tcPr>
          <w:p>
            <w:pPr>
              <w:pStyle w:val="417"/>
              <w:spacing w:line="240" w:lineRule="auto"/>
              <w:rPr>
                <w:highlight w:val="none"/>
              </w:rPr>
            </w:pPr>
            <w:r>
              <w:rPr>
                <w:highlight w:val="none"/>
              </w:rPr>
              <w:t>边长5-50km</w:t>
            </w:r>
            <w:r>
              <w:rPr>
                <w:rFonts w:hint="eastAsia" w:ascii="宋体" w:hAnsi="宋体"/>
                <w:highlight w:val="none"/>
              </w:rPr>
              <w:t>□</w:t>
            </w:r>
          </w:p>
        </w:tc>
        <w:tc>
          <w:tcPr>
            <w:tcW w:w="2016" w:type="dxa"/>
            <w:gridSpan w:val="8"/>
            <w:shd w:val="clear" w:color="auto" w:fill="auto"/>
            <w:vAlign w:val="center"/>
          </w:tcPr>
          <w:p>
            <w:pPr>
              <w:pStyle w:val="417"/>
              <w:spacing w:line="240" w:lineRule="auto"/>
              <w:rPr>
                <w:highlight w:val="none"/>
              </w:rPr>
            </w:pPr>
            <w:r>
              <w:rPr>
                <w:highlight w:val="none"/>
              </w:rPr>
              <w:t>边长＝5km</w:t>
            </w:r>
            <w:r>
              <w:rPr>
                <w:rFonts w:hint="eastAsia"/>
                <w:highlight w:val="none"/>
              </w:rPr>
              <w:t xml:space="preserve"> </w:t>
            </w:r>
            <w:r>
              <w:rPr>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预测因子</w:t>
            </w:r>
          </w:p>
        </w:tc>
        <w:tc>
          <w:tcPr>
            <w:tcW w:w="3110" w:type="dxa"/>
            <w:gridSpan w:val="14"/>
            <w:shd w:val="clear" w:color="auto" w:fill="auto"/>
            <w:vAlign w:val="center"/>
          </w:tcPr>
          <w:p>
            <w:pPr>
              <w:pStyle w:val="417"/>
              <w:spacing w:line="240" w:lineRule="auto"/>
              <w:rPr>
                <w:highlight w:val="none"/>
              </w:rPr>
            </w:pPr>
            <w:r>
              <w:rPr>
                <w:highlight w:val="none"/>
              </w:rPr>
              <w:t>预测因子（</w:t>
            </w:r>
            <w:r>
              <w:rPr>
                <w:rFonts w:hint="eastAsia"/>
                <w:highlight w:val="none"/>
              </w:rPr>
              <w:t xml:space="preserve"> </w:t>
            </w:r>
            <w:r>
              <w:rPr>
                <w:sz w:val="18"/>
                <w:szCs w:val="18"/>
                <w:highlight w:val="none"/>
              </w:rPr>
              <w:t>TSP</w:t>
            </w:r>
            <w:r>
              <w:rPr>
                <w:rFonts w:hint="eastAsia"/>
                <w:sz w:val="18"/>
                <w:szCs w:val="18"/>
                <w:highlight w:val="none"/>
              </w:rPr>
              <w:t xml:space="preserve"> </w:t>
            </w:r>
            <w:r>
              <w:rPr>
                <w:highlight w:val="none"/>
              </w:rPr>
              <w:t>）</w:t>
            </w:r>
          </w:p>
        </w:tc>
        <w:tc>
          <w:tcPr>
            <w:tcW w:w="2758" w:type="dxa"/>
            <w:gridSpan w:val="12"/>
            <w:shd w:val="clear" w:color="auto" w:fill="auto"/>
            <w:vAlign w:val="center"/>
          </w:tcPr>
          <w:p>
            <w:pPr>
              <w:pStyle w:val="417"/>
              <w:spacing w:line="240" w:lineRule="auto"/>
              <w:rPr>
                <w:highlight w:val="none"/>
              </w:rPr>
            </w:pPr>
            <w:r>
              <w:rPr>
                <w:highlight w:val="none"/>
              </w:rPr>
              <w:t>包括二次PM</w:t>
            </w:r>
            <w:r>
              <w:rPr>
                <w:highlight w:val="none"/>
                <w:vertAlign w:val="subscript"/>
              </w:rPr>
              <w:t>2.5</w:t>
            </w:r>
            <w:r>
              <w:rPr>
                <w:rFonts w:hint="eastAsia" w:ascii="宋体" w:hAnsi="宋体"/>
                <w:highlight w:val="none"/>
              </w:rPr>
              <w:t>□</w:t>
            </w:r>
          </w:p>
          <w:p>
            <w:pPr>
              <w:pStyle w:val="417"/>
              <w:spacing w:line="240" w:lineRule="auto"/>
              <w:rPr>
                <w:highlight w:val="none"/>
                <w:vertAlign w:val="subscript"/>
              </w:rPr>
            </w:pPr>
            <w:r>
              <w:rPr>
                <w:highlight w:val="none"/>
              </w:rPr>
              <w:t>不包括二次PM</w:t>
            </w:r>
            <w:r>
              <w:rPr>
                <w:highlight w:val="none"/>
                <w:vertAlign w:val="subscript"/>
              </w:rPr>
              <w:t>2.5</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正常排放短期浓度贡献值</w:t>
            </w:r>
          </w:p>
        </w:tc>
        <w:tc>
          <w:tcPr>
            <w:tcW w:w="3110" w:type="dxa"/>
            <w:gridSpan w:val="14"/>
            <w:shd w:val="clear" w:color="auto" w:fill="auto"/>
            <w:vAlign w:val="center"/>
          </w:tcPr>
          <w:p>
            <w:pPr>
              <w:pStyle w:val="417"/>
              <w:spacing w:line="240" w:lineRule="auto"/>
              <w:rPr>
                <w:highlight w:val="none"/>
              </w:rPr>
            </w:pPr>
            <w:r>
              <w:rPr>
                <w:highlight w:val="none"/>
              </w:rPr>
              <w:t>C</w:t>
            </w:r>
            <w:r>
              <w:rPr>
                <w:highlight w:val="none"/>
                <w:vertAlign w:val="subscript"/>
              </w:rPr>
              <w:t>本项目</w:t>
            </w:r>
            <w:r>
              <w:rPr>
                <w:highlight w:val="none"/>
              </w:rPr>
              <w:t>最大占标率≤100%</w:t>
            </w:r>
            <w:r>
              <w:rPr>
                <w:rFonts w:hint="eastAsia" w:ascii="宋体" w:hAnsi="宋体"/>
                <w:highlight w:val="none"/>
              </w:rPr>
              <w:t>□</w:t>
            </w:r>
          </w:p>
        </w:tc>
        <w:tc>
          <w:tcPr>
            <w:tcW w:w="2758" w:type="dxa"/>
            <w:gridSpan w:val="12"/>
            <w:shd w:val="clear" w:color="auto" w:fill="auto"/>
            <w:vAlign w:val="center"/>
          </w:tcPr>
          <w:p>
            <w:pPr>
              <w:pStyle w:val="417"/>
              <w:spacing w:line="240" w:lineRule="auto"/>
              <w:rPr>
                <w:highlight w:val="none"/>
              </w:rPr>
            </w:pPr>
            <w:r>
              <w:rPr>
                <w:highlight w:val="none"/>
              </w:rPr>
              <w:t>C</w:t>
            </w:r>
            <w:r>
              <w:rPr>
                <w:highlight w:val="none"/>
                <w:vertAlign w:val="subscript"/>
              </w:rPr>
              <w:t>本项目</w:t>
            </w:r>
            <w:r>
              <w:rPr>
                <w:highlight w:val="none"/>
              </w:rPr>
              <w:t>最大占标率&gt;10%</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vMerge w:val="restart"/>
            <w:shd w:val="clear" w:color="auto" w:fill="auto"/>
            <w:vAlign w:val="center"/>
          </w:tcPr>
          <w:p>
            <w:pPr>
              <w:pStyle w:val="417"/>
              <w:spacing w:line="240" w:lineRule="auto"/>
              <w:rPr>
                <w:highlight w:val="none"/>
              </w:rPr>
            </w:pPr>
            <w:r>
              <w:rPr>
                <w:highlight w:val="none"/>
              </w:rPr>
              <w:t>正常排放年均浓度贡献值</w:t>
            </w:r>
          </w:p>
        </w:tc>
        <w:tc>
          <w:tcPr>
            <w:tcW w:w="984" w:type="dxa"/>
            <w:gridSpan w:val="2"/>
            <w:shd w:val="clear" w:color="auto" w:fill="auto"/>
            <w:vAlign w:val="center"/>
          </w:tcPr>
          <w:p>
            <w:pPr>
              <w:pStyle w:val="417"/>
              <w:spacing w:line="240" w:lineRule="auto"/>
              <w:rPr>
                <w:highlight w:val="none"/>
              </w:rPr>
            </w:pPr>
            <w:r>
              <w:rPr>
                <w:highlight w:val="none"/>
              </w:rPr>
              <w:t>一类区</w:t>
            </w:r>
          </w:p>
        </w:tc>
        <w:tc>
          <w:tcPr>
            <w:tcW w:w="2126" w:type="dxa"/>
            <w:gridSpan w:val="12"/>
            <w:shd w:val="clear" w:color="auto" w:fill="auto"/>
            <w:vAlign w:val="center"/>
          </w:tcPr>
          <w:p>
            <w:pPr>
              <w:pStyle w:val="417"/>
              <w:spacing w:line="240" w:lineRule="auto"/>
              <w:rPr>
                <w:highlight w:val="none"/>
              </w:rPr>
            </w:pPr>
            <w:r>
              <w:rPr>
                <w:highlight w:val="none"/>
              </w:rPr>
              <w:t>C</w:t>
            </w:r>
            <w:r>
              <w:rPr>
                <w:highlight w:val="none"/>
                <w:vertAlign w:val="subscript"/>
              </w:rPr>
              <w:t>本项目</w:t>
            </w:r>
            <w:r>
              <w:rPr>
                <w:highlight w:val="none"/>
              </w:rPr>
              <w:t>最大占标率≤10%</w:t>
            </w:r>
            <w:r>
              <w:rPr>
                <w:rFonts w:hint="eastAsia" w:ascii="宋体" w:hAnsi="宋体"/>
                <w:highlight w:val="none"/>
              </w:rPr>
              <w:t>□</w:t>
            </w:r>
          </w:p>
        </w:tc>
        <w:tc>
          <w:tcPr>
            <w:tcW w:w="2758" w:type="dxa"/>
            <w:gridSpan w:val="12"/>
            <w:shd w:val="clear" w:color="auto" w:fill="auto"/>
            <w:vAlign w:val="center"/>
          </w:tcPr>
          <w:p>
            <w:pPr>
              <w:pStyle w:val="417"/>
              <w:spacing w:line="240" w:lineRule="auto"/>
              <w:rPr>
                <w:highlight w:val="none"/>
              </w:rPr>
            </w:pPr>
            <w:r>
              <w:rPr>
                <w:highlight w:val="none"/>
              </w:rPr>
              <w:t>C</w:t>
            </w:r>
            <w:r>
              <w:rPr>
                <w:highlight w:val="none"/>
                <w:vertAlign w:val="subscript"/>
              </w:rPr>
              <w:t>本项目</w:t>
            </w:r>
            <w:r>
              <w:rPr>
                <w:highlight w:val="none"/>
              </w:rPr>
              <w:t>最大占标率&gt;10%</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vMerge w:val="continue"/>
            <w:shd w:val="clear" w:color="auto" w:fill="auto"/>
            <w:vAlign w:val="center"/>
          </w:tcPr>
          <w:p>
            <w:pPr>
              <w:pStyle w:val="417"/>
              <w:spacing w:line="240" w:lineRule="auto"/>
              <w:rPr>
                <w:highlight w:val="none"/>
              </w:rPr>
            </w:pPr>
          </w:p>
        </w:tc>
        <w:tc>
          <w:tcPr>
            <w:tcW w:w="984" w:type="dxa"/>
            <w:gridSpan w:val="2"/>
            <w:shd w:val="clear" w:color="auto" w:fill="auto"/>
            <w:vAlign w:val="center"/>
          </w:tcPr>
          <w:p>
            <w:pPr>
              <w:pStyle w:val="417"/>
              <w:spacing w:line="240" w:lineRule="auto"/>
              <w:rPr>
                <w:highlight w:val="none"/>
              </w:rPr>
            </w:pPr>
            <w:r>
              <w:rPr>
                <w:highlight w:val="none"/>
              </w:rPr>
              <w:t>二类区</w:t>
            </w:r>
          </w:p>
        </w:tc>
        <w:tc>
          <w:tcPr>
            <w:tcW w:w="2126" w:type="dxa"/>
            <w:gridSpan w:val="12"/>
            <w:shd w:val="clear" w:color="auto" w:fill="auto"/>
            <w:vAlign w:val="center"/>
          </w:tcPr>
          <w:p>
            <w:pPr>
              <w:pStyle w:val="417"/>
              <w:spacing w:line="240" w:lineRule="auto"/>
              <w:rPr>
                <w:highlight w:val="none"/>
              </w:rPr>
            </w:pPr>
            <w:r>
              <w:rPr>
                <w:highlight w:val="none"/>
              </w:rPr>
              <w:t>C</w:t>
            </w:r>
            <w:r>
              <w:rPr>
                <w:highlight w:val="none"/>
                <w:vertAlign w:val="subscript"/>
              </w:rPr>
              <w:t>本项目</w:t>
            </w:r>
            <w:r>
              <w:rPr>
                <w:highlight w:val="none"/>
              </w:rPr>
              <w:t>最大占标率≤30%</w:t>
            </w:r>
            <w:r>
              <w:rPr>
                <w:rFonts w:hint="eastAsia" w:ascii="宋体" w:hAnsi="宋体"/>
                <w:highlight w:val="none"/>
              </w:rPr>
              <w:t>□</w:t>
            </w:r>
          </w:p>
        </w:tc>
        <w:tc>
          <w:tcPr>
            <w:tcW w:w="2758" w:type="dxa"/>
            <w:gridSpan w:val="12"/>
            <w:shd w:val="clear" w:color="auto" w:fill="auto"/>
            <w:vAlign w:val="center"/>
          </w:tcPr>
          <w:p>
            <w:pPr>
              <w:pStyle w:val="417"/>
              <w:spacing w:line="240" w:lineRule="auto"/>
              <w:rPr>
                <w:highlight w:val="none"/>
              </w:rPr>
            </w:pPr>
            <w:r>
              <w:rPr>
                <w:highlight w:val="none"/>
              </w:rPr>
              <w:t>C</w:t>
            </w:r>
            <w:r>
              <w:rPr>
                <w:highlight w:val="none"/>
                <w:vertAlign w:val="subscript"/>
              </w:rPr>
              <w:t>本项目</w:t>
            </w:r>
            <w:r>
              <w:rPr>
                <w:highlight w:val="none"/>
              </w:rPr>
              <w:t>最大占标率&gt;30%</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非正常排放1h浓度贡献值</w:t>
            </w:r>
          </w:p>
        </w:tc>
        <w:tc>
          <w:tcPr>
            <w:tcW w:w="1416" w:type="dxa"/>
            <w:gridSpan w:val="4"/>
            <w:shd w:val="clear" w:color="auto" w:fill="auto"/>
            <w:vAlign w:val="center"/>
          </w:tcPr>
          <w:p>
            <w:pPr>
              <w:pStyle w:val="417"/>
              <w:spacing w:line="240" w:lineRule="auto"/>
              <w:rPr>
                <w:highlight w:val="none"/>
              </w:rPr>
            </w:pPr>
            <w:r>
              <w:rPr>
                <w:highlight w:val="none"/>
              </w:rPr>
              <w:t>非正常持续时长（</w:t>
            </w:r>
            <w:r>
              <w:rPr>
                <w:rFonts w:hint="eastAsia"/>
                <w:highlight w:val="none"/>
              </w:rPr>
              <w:t>2</w:t>
            </w:r>
            <w:r>
              <w:rPr>
                <w:highlight w:val="none"/>
              </w:rPr>
              <w:t>）h</w:t>
            </w:r>
          </w:p>
        </w:tc>
        <w:tc>
          <w:tcPr>
            <w:tcW w:w="2272" w:type="dxa"/>
            <w:gridSpan w:val="13"/>
            <w:shd w:val="clear" w:color="auto" w:fill="auto"/>
            <w:vAlign w:val="center"/>
          </w:tcPr>
          <w:p>
            <w:pPr>
              <w:pStyle w:val="417"/>
              <w:spacing w:line="240" w:lineRule="auto"/>
              <w:rPr>
                <w:highlight w:val="none"/>
              </w:rPr>
            </w:pPr>
            <w:r>
              <w:rPr>
                <w:highlight w:val="none"/>
              </w:rPr>
              <w:t>C</w:t>
            </w:r>
            <w:r>
              <w:rPr>
                <w:highlight w:val="none"/>
                <w:vertAlign w:val="subscript"/>
              </w:rPr>
              <w:t>非正常</w:t>
            </w:r>
            <w:r>
              <w:rPr>
                <w:highlight w:val="none"/>
              </w:rPr>
              <w:t>占标率≤100%</w:t>
            </w:r>
            <w:r>
              <w:rPr>
                <w:rFonts w:hint="eastAsia" w:ascii="宋体" w:hAnsi="宋体"/>
                <w:highlight w:val="none"/>
              </w:rPr>
              <w:t>□</w:t>
            </w:r>
          </w:p>
        </w:tc>
        <w:tc>
          <w:tcPr>
            <w:tcW w:w="2180" w:type="dxa"/>
            <w:gridSpan w:val="9"/>
            <w:shd w:val="clear" w:color="auto" w:fill="auto"/>
            <w:vAlign w:val="center"/>
          </w:tcPr>
          <w:p>
            <w:pPr>
              <w:pStyle w:val="417"/>
              <w:spacing w:line="240" w:lineRule="auto"/>
              <w:rPr>
                <w:highlight w:val="none"/>
              </w:rPr>
            </w:pPr>
            <w:r>
              <w:rPr>
                <w:highlight w:val="none"/>
              </w:rPr>
              <w:t>C</w:t>
            </w:r>
            <w:r>
              <w:rPr>
                <w:highlight w:val="none"/>
                <w:vertAlign w:val="subscript"/>
              </w:rPr>
              <w:t>非正常</w:t>
            </w:r>
            <w:r>
              <w:rPr>
                <w:highlight w:val="none"/>
              </w:rPr>
              <w:t>占标率&gt;100%</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保证率日平均浓度和年平均浓度叠加值</w:t>
            </w:r>
          </w:p>
        </w:tc>
        <w:tc>
          <w:tcPr>
            <w:tcW w:w="2692" w:type="dxa"/>
            <w:gridSpan w:val="11"/>
            <w:shd w:val="clear" w:color="auto" w:fill="auto"/>
            <w:vAlign w:val="center"/>
          </w:tcPr>
          <w:p>
            <w:pPr>
              <w:pStyle w:val="417"/>
              <w:spacing w:line="240" w:lineRule="auto"/>
              <w:rPr>
                <w:highlight w:val="none"/>
              </w:rPr>
            </w:pPr>
            <w:r>
              <w:rPr>
                <w:highlight w:val="none"/>
              </w:rPr>
              <w:t>C</w:t>
            </w:r>
            <w:r>
              <w:rPr>
                <w:highlight w:val="none"/>
                <w:vertAlign w:val="subscript"/>
              </w:rPr>
              <w:t>叠加</w:t>
            </w:r>
            <w:r>
              <w:rPr>
                <w:highlight w:val="none"/>
              </w:rPr>
              <w:t>达标</w:t>
            </w:r>
            <w:r>
              <w:rPr>
                <w:rFonts w:hint="eastAsia" w:ascii="宋体" w:hAnsi="宋体"/>
                <w:highlight w:val="none"/>
              </w:rPr>
              <w:t>□</w:t>
            </w:r>
          </w:p>
        </w:tc>
        <w:tc>
          <w:tcPr>
            <w:tcW w:w="3176" w:type="dxa"/>
            <w:gridSpan w:val="15"/>
            <w:shd w:val="clear" w:color="auto" w:fill="auto"/>
            <w:vAlign w:val="center"/>
          </w:tcPr>
          <w:p>
            <w:pPr>
              <w:pStyle w:val="417"/>
              <w:spacing w:line="240" w:lineRule="auto"/>
              <w:rPr>
                <w:highlight w:val="none"/>
              </w:rPr>
            </w:pPr>
            <w:r>
              <w:rPr>
                <w:highlight w:val="none"/>
              </w:rPr>
              <w:t>C</w:t>
            </w:r>
            <w:r>
              <w:rPr>
                <w:highlight w:val="none"/>
                <w:vertAlign w:val="subscript"/>
              </w:rPr>
              <w:t>叠加</w:t>
            </w:r>
            <w:r>
              <w:rPr>
                <w:highlight w:val="none"/>
              </w:rPr>
              <w:t>不达标</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区域环境质量的整体变化情况</w:t>
            </w:r>
          </w:p>
        </w:tc>
        <w:tc>
          <w:tcPr>
            <w:tcW w:w="2692" w:type="dxa"/>
            <w:gridSpan w:val="11"/>
            <w:shd w:val="clear" w:color="auto" w:fill="auto"/>
            <w:vAlign w:val="center"/>
          </w:tcPr>
          <w:p>
            <w:pPr>
              <w:pStyle w:val="417"/>
              <w:spacing w:line="240" w:lineRule="auto"/>
              <w:rPr>
                <w:highlight w:val="none"/>
              </w:rPr>
            </w:pPr>
            <w:r>
              <w:rPr>
                <w:highlight w:val="none"/>
              </w:rPr>
              <w:t>k≤-20%</w:t>
            </w:r>
            <w:r>
              <w:rPr>
                <w:rFonts w:hint="eastAsia" w:ascii="宋体" w:hAnsi="宋体"/>
                <w:highlight w:val="none"/>
              </w:rPr>
              <w:t>□</w:t>
            </w:r>
          </w:p>
        </w:tc>
        <w:tc>
          <w:tcPr>
            <w:tcW w:w="3176" w:type="dxa"/>
            <w:gridSpan w:val="15"/>
            <w:shd w:val="clear" w:color="auto" w:fill="auto"/>
            <w:vAlign w:val="center"/>
          </w:tcPr>
          <w:p>
            <w:pPr>
              <w:pStyle w:val="417"/>
              <w:spacing w:line="240" w:lineRule="auto"/>
              <w:rPr>
                <w:highlight w:val="none"/>
              </w:rPr>
            </w:pPr>
            <w:r>
              <w:rPr>
                <w:highlight w:val="none"/>
              </w:rPr>
              <w:t>k&gt;-20%</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restart"/>
            <w:shd w:val="clear" w:color="auto" w:fill="auto"/>
            <w:vAlign w:val="center"/>
          </w:tcPr>
          <w:p>
            <w:pPr>
              <w:pStyle w:val="417"/>
              <w:spacing w:line="240" w:lineRule="auto"/>
              <w:rPr>
                <w:highlight w:val="none"/>
              </w:rPr>
            </w:pPr>
            <w:r>
              <w:rPr>
                <w:highlight w:val="none"/>
              </w:rPr>
              <w:t>环境监测计划</w:t>
            </w:r>
          </w:p>
        </w:tc>
        <w:tc>
          <w:tcPr>
            <w:tcW w:w="1560" w:type="dxa"/>
            <w:shd w:val="clear" w:color="auto" w:fill="auto"/>
            <w:vAlign w:val="center"/>
          </w:tcPr>
          <w:p>
            <w:pPr>
              <w:pStyle w:val="417"/>
              <w:spacing w:line="240" w:lineRule="auto"/>
              <w:rPr>
                <w:highlight w:val="none"/>
              </w:rPr>
            </w:pPr>
            <w:r>
              <w:rPr>
                <w:highlight w:val="none"/>
              </w:rPr>
              <w:t>污染源监测</w:t>
            </w:r>
          </w:p>
        </w:tc>
        <w:tc>
          <w:tcPr>
            <w:tcW w:w="2692" w:type="dxa"/>
            <w:gridSpan w:val="11"/>
            <w:shd w:val="clear" w:color="auto" w:fill="auto"/>
            <w:vAlign w:val="center"/>
          </w:tcPr>
          <w:p>
            <w:pPr>
              <w:pStyle w:val="417"/>
              <w:spacing w:line="240" w:lineRule="auto"/>
              <w:rPr>
                <w:highlight w:val="none"/>
              </w:rPr>
            </w:pPr>
            <w:r>
              <w:rPr>
                <w:highlight w:val="none"/>
              </w:rPr>
              <w:t>监测因子：（</w:t>
            </w:r>
            <w:r>
              <w:rPr>
                <w:rFonts w:hint="eastAsia"/>
                <w:highlight w:val="none"/>
              </w:rPr>
              <w:t>颗粒物</w:t>
            </w:r>
            <w:r>
              <w:rPr>
                <w:highlight w:val="none"/>
              </w:rPr>
              <w:t>）</w:t>
            </w:r>
          </w:p>
        </w:tc>
        <w:tc>
          <w:tcPr>
            <w:tcW w:w="1985" w:type="dxa"/>
            <w:gridSpan w:val="12"/>
            <w:shd w:val="clear" w:color="auto" w:fill="auto"/>
            <w:vAlign w:val="center"/>
          </w:tcPr>
          <w:p>
            <w:pPr>
              <w:pStyle w:val="417"/>
              <w:spacing w:line="240" w:lineRule="auto"/>
              <w:rPr>
                <w:highlight w:val="none"/>
              </w:rPr>
            </w:pPr>
            <w:r>
              <w:rPr>
                <w:highlight w:val="none"/>
              </w:rPr>
              <w:t>有组织废气监测√</w:t>
            </w:r>
          </w:p>
          <w:p>
            <w:pPr>
              <w:pStyle w:val="417"/>
              <w:spacing w:line="240" w:lineRule="auto"/>
              <w:rPr>
                <w:highlight w:val="none"/>
              </w:rPr>
            </w:pPr>
            <w:r>
              <w:rPr>
                <w:highlight w:val="none"/>
              </w:rPr>
              <w:t>无组织废气监测√</w:t>
            </w:r>
          </w:p>
        </w:tc>
        <w:tc>
          <w:tcPr>
            <w:tcW w:w="1191" w:type="dxa"/>
            <w:gridSpan w:val="3"/>
            <w:shd w:val="clear" w:color="auto" w:fill="auto"/>
            <w:vAlign w:val="center"/>
          </w:tcPr>
          <w:p>
            <w:pPr>
              <w:pStyle w:val="417"/>
              <w:spacing w:line="240" w:lineRule="auto"/>
              <w:rPr>
                <w:highlight w:val="none"/>
              </w:rPr>
            </w:pPr>
            <w:r>
              <w:rPr>
                <w:highlight w:val="none"/>
              </w:rPr>
              <w:t>无监测</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环境质量监测</w:t>
            </w:r>
          </w:p>
        </w:tc>
        <w:tc>
          <w:tcPr>
            <w:tcW w:w="2692" w:type="dxa"/>
            <w:gridSpan w:val="11"/>
            <w:shd w:val="clear" w:color="auto" w:fill="auto"/>
            <w:vAlign w:val="center"/>
          </w:tcPr>
          <w:p>
            <w:pPr>
              <w:pStyle w:val="417"/>
              <w:spacing w:line="240" w:lineRule="auto"/>
              <w:rPr>
                <w:highlight w:val="none"/>
              </w:rPr>
            </w:pPr>
            <w:r>
              <w:rPr>
                <w:highlight w:val="none"/>
              </w:rPr>
              <w:t>监测因子：（</w:t>
            </w:r>
            <w:r>
              <w:rPr>
                <w:rFonts w:hint="eastAsia"/>
                <w:highlight w:val="none"/>
              </w:rPr>
              <w:t xml:space="preserve">         </w:t>
            </w:r>
            <w:r>
              <w:rPr>
                <w:highlight w:val="none"/>
              </w:rPr>
              <w:t>）</w:t>
            </w:r>
          </w:p>
        </w:tc>
        <w:tc>
          <w:tcPr>
            <w:tcW w:w="1985" w:type="dxa"/>
            <w:gridSpan w:val="12"/>
            <w:shd w:val="clear" w:color="auto" w:fill="auto"/>
            <w:vAlign w:val="center"/>
          </w:tcPr>
          <w:p>
            <w:pPr>
              <w:pStyle w:val="417"/>
              <w:spacing w:line="240" w:lineRule="auto"/>
              <w:rPr>
                <w:highlight w:val="none"/>
              </w:rPr>
            </w:pPr>
            <w:r>
              <w:rPr>
                <w:highlight w:val="none"/>
              </w:rPr>
              <w:t>监测点位数（</w:t>
            </w:r>
            <w:r>
              <w:rPr>
                <w:rFonts w:hint="eastAsia"/>
                <w:highlight w:val="none"/>
              </w:rPr>
              <w:t xml:space="preserve">  </w:t>
            </w:r>
            <w:r>
              <w:rPr>
                <w:highlight w:val="none"/>
              </w:rPr>
              <w:t>）</w:t>
            </w:r>
          </w:p>
        </w:tc>
        <w:tc>
          <w:tcPr>
            <w:tcW w:w="1191" w:type="dxa"/>
            <w:gridSpan w:val="3"/>
            <w:shd w:val="clear" w:color="auto" w:fill="auto"/>
            <w:vAlign w:val="center"/>
          </w:tcPr>
          <w:p>
            <w:pPr>
              <w:pStyle w:val="417"/>
              <w:spacing w:line="240" w:lineRule="auto"/>
              <w:rPr>
                <w:highlight w:val="none"/>
              </w:rPr>
            </w:pPr>
            <w:r>
              <w:rPr>
                <w:highlight w:val="none"/>
              </w:rPr>
              <w:t>无监测√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restart"/>
            <w:shd w:val="clear" w:color="auto" w:fill="auto"/>
            <w:vAlign w:val="center"/>
          </w:tcPr>
          <w:p>
            <w:pPr>
              <w:pStyle w:val="417"/>
              <w:spacing w:line="240" w:lineRule="auto"/>
              <w:rPr>
                <w:highlight w:val="none"/>
              </w:rPr>
            </w:pPr>
            <w:r>
              <w:rPr>
                <w:highlight w:val="none"/>
              </w:rPr>
              <w:t>评价结果</w:t>
            </w:r>
          </w:p>
        </w:tc>
        <w:tc>
          <w:tcPr>
            <w:tcW w:w="1560" w:type="dxa"/>
            <w:shd w:val="clear" w:color="auto" w:fill="auto"/>
            <w:vAlign w:val="center"/>
          </w:tcPr>
          <w:p>
            <w:pPr>
              <w:pStyle w:val="417"/>
              <w:spacing w:line="240" w:lineRule="auto"/>
              <w:rPr>
                <w:highlight w:val="none"/>
              </w:rPr>
            </w:pPr>
            <w:r>
              <w:rPr>
                <w:highlight w:val="none"/>
              </w:rPr>
              <w:t>环境影响</w:t>
            </w:r>
          </w:p>
        </w:tc>
        <w:tc>
          <w:tcPr>
            <w:tcW w:w="5868" w:type="dxa"/>
            <w:gridSpan w:val="26"/>
            <w:shd w:val="clear" w:color="auto" w:fill="auto"/>
            <w:vAlign w:val="center"/>
          </w:tcPr>
          <w:p>
            <w:pPr>
              <w:pStyle w:val="417"/>
              <w:spacing w:line="240" w:lineRule="auto"/>
              <w:rPr>
                <w:highlight w:val="none"/>
              </w:rPr>
            </w:pPr>
            <w:r>
              <w:rPr>
                <w:highlight w:val="none"/>
              </w:rPr>
              <w:t>可以接受√        不可以接受</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大气环境防护距离</w:t>
            </w:r>
          </w:p>
        </w:tc>
        <w:tc>
          <w:tcPr>
            <w:tcW w:w="5868" w:type="dxa"/>
            <w:gridSpan w:val="26"/>
            <w:shd w:val="clear" w:color="auto" w:fill="auto"/>
            <w:vAlign w:val="center"/>
          </w:tcPr>
          <w:p>
            <w:pPr>
              <w:pStyle w:val="417"/>
              <w:spacing w:line="240" w:lineRule="auto"/>
              <w:rPr>
                <w:highlight w:val="none"/>
              </w:rPr>
            </w:pPr>
            <w:r>
              <w:rPr>
                <w:rFonts w:hint="eastAsia"/>
                <w:highlight w:val="none"/>
              </w:rPr>
              <w:t>距（ ）厂界最远（）m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93" w:type="dxa"/>
            <w:vMerge w:val="continue"/>
            <w:shd w:val="clear" w:color="auto" w:fill="auto"/>
            <w:vAlign w:val="center"/>
          </w:tcPr>
          <w:p>
            <w:pPr>
              <w:pStyle w:val="417"/>
              <w:spacing w:line="240" w:lineRule="auto"/>
              <w:rPr>
                <w:highlight w:val="none"/>
              </w:rPr>
            </w:pPr>
          </w:p>
        </w:tc>
        <w:tc>
          <w:tcPr>
            <w:tcW w:w="1560" w:type="dxa"/>
            <w:shd w:val="clear" w:color="auto" w:fill="auto"/>
            <w:vAlign w:val="center"/>
          </w:tcPr>
          <w:p>
            <w:pPr>
              <w:pStyle w:val="417"/>
              <w:spacing w:line="240" w:lineRule="auto"/>
              <w:rPr>
                <w:highlight w:val="none"/>
              </w:rPr>
            </w:pPr>
            <w:r>
              <w:rPr>
                <w:highlight w:val="none"/>
              </w:rPr>
              <w:t>污染源年排放量</w:t>
            </w:r>
          </w:p>
        </w:tc>
        <w:tc>
          <w:tcPr>
            <w:tcW w:w="1566" w:type="dxa"/>
            <w:gridSpan w:val="6"/>
            <w:shd w:val="clear" w:color="auto" w:fill="auto"/>
            <w:tcMar>
              <w:left w:w="0" w:type="dxa"/>
              <w:right w:w="0" w:type="dxa"/>
            </w:tcMar>
            <w:vAlign w:val="center"/>
          </w:tcPr>
          <w:p>
            <w:pPr>
              <w:pStyle w:val="417"/>
              <w:spacing w:line="240" w:lineRule="auto"/>
              <w:rPr>
                <w:highlight w:val="none"/>
              </w:rPr>
            </w:pPr>
            <w:r>
              <w:rPr>
                <w:highlight w:val="none"/>
              </w:rPr>
              <w:t>SO</w:t>
            </w:r>
            <w:r>
              <w:rPr>
                <w:highlight w:val="none"/>
                <w:vertAlign w:val="subscript"/>
              </w:rPr>
              <w:t>2</w:t>
            </w:r>
            <w:r>
              <w:rPr>
                <w:highlight w:val="none"/>
              </w:rPr>
              <w:t>：（）t/a</w:t>
            </w:r>
          </w:p>
        </w:tc>
        <w:tc>
          <w:tcPr>
            <w:tcW w:w="1701" w:type="dxa"/>
            <w:gridSpan w:val="10"/>
            <w:shd w:val="clear" w:color="auto" w:fill="auto"/>
            <w:tcMar>
              <w:left w:w="0" w:type="dxa"/>
              <w:right w:w="0" w:type="dxa"/>
            </w:tcMar>
            <w:vAlign w:val="center"/>
          </w:tcPr>
          <w:p>
            <w:pPr>
              <w:pStyle w:val="417"/>
              <w:spacing w:line="240" w:lineRule="auto"/>
              <w:rPr>
                <w:highlight w:val="none"/>
              </w:rPr>
            </w:pPr>
            <w:r>
              <w:rPr>
                <w:highlight w:val="none"/>
              </w:rPr>
              <w:t>NO</w:t>
            </w:r>
            <w:r>
              <w:rPr>
                <w:highlight w:val="none"/>
                <w:vertAlign w:val="subscript"/>
              </w:rPr>
              <w:t>X</w:t>
            </w:r>
            <w:r>
              <w:rPr>
                <w:highlight w:val="none"/>
              </w:rPr>
              <w:t>：（）t/a</w:t>
            </w:r>
          </w:p>
        </w:tc>
        <w:tc>
          <w:tcPr>
            <w:tcW w:w="1276" w:type="dxa"/>
            <w:gridSpan w:val="6"/>
            <w:shd w:val="clear" w:color="auto" w:fill="auto"/>
            <w:tcMar>
              <w:left w:w="0" w:type="dxa"/>
              <w:right w:w="0" w:type="dxa"/>
            </w:tcMar>
            <w:vAlign w:val="center"/>
          </w:tcPr>
          <w:p>
            <w:pPr>
              <w:pStyle w:val="417"/>
              <w:spacing w:line="240" w:lineRule="auto"/>
              <w:rPr>
                <w:highlight w:val="none"/>
              </w:rPr>
            </w:pPr>
            <w:r>
              <w:rPr>
                <w:highlight w:val="none"/>
              </w:rPr>
              <w:t>颗粒物：</w:t>
            </w:r>
          </w:p>
          <w:p>
            <w:pPr>
              <w:pStyle w:val="417"/>
              <w:spacing w:line="240" w:lineRule="auto"/>
              <w:rPr>
                <w:highlight w:val="none"/>
              </w:rPr>
            </w:pPr>
            <w:r>
              <w:rPr>
                <w:highlight w:val="none"/>
              </w:rPr>
              <w:t>（</w:t>
            </w:r>
            <w:r>
              <w:rPr>
                <w:rFonts w:hint="eastAsia"/>
                <w:highlight w:val="none"/>
              </w:rPr>
              <w:t>1.448</w:t>
            </w:r>
            <w:r>
              <w:rPr>
                <w:highlight w:val="none"/>
              </w:rPr>
              <w:t>）t/a</w:t>
            </w:r>
          </w:p>
        </w:tc>
        <w:tc>
          <w:tcPr>
            <w:tcW w:w="1325" w:type="dxa"/>
            <w:gridSpan w:val="4"/>
            <w:shd w:val="clear" w:color="auto" w:fill="auto"/>
            <w:tcMar>
              <w:left w:w="0" w:type="dxa"/>
              <w:right w:w="0" w:type="dxa"/>
            </w:tcMar>
            <w:vAlign w:val="center"/>
          </w:tcPr>
          <w:p>
            <w:pPr>
              <w:pStyle w:val="417"/>
              <w:spacing w:line="240" w:lineRule="auto"/>
              <w:rPr>
                <w:highlight w:val="none"/>
              </w:rPr>
            </w:pPr>
            <w:r>
              <w:rPr>
                <w:highlight w:val="none"/>
              </w:rPr>
              <w:t>VOCs：（）t/a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521" w:type="dxa"/>
            <w:gridSpan w:val="28"/>
            <w:shd w:val="clear" w:color="auto" w:fill="auto"/>
            <w:vAlign w:val="center"/>
          </w:tcPr>
          <w:p>
            <w:pPr>
              <w:pStyle w:val="417"/>
              <w:spacing w:line="240" w:lineRule="auto"/>
              <w:rPr>
                <w:highlight w:val="none"/>
              </w:rPr>
            </w:pPr>
            <w:r>
              <w:rPr>
                <w:highlight w:val="none"/>
              </w:rPr>
              <w:t>注：“</w:t>
            </w:r>
            <w:r>
              <w:rPr>
                <w:rFonts w:hint="eastAsia" w:ascii="宋体" w:hAnsi="宋体"/>
                <w:highlight w:val="none"/>
              </w:rPr>
              <w:t>□</w:t>
            </w:r>
            <w:r>
              <w:rPr>
                <w:highlight w:val="none"/>
              </w:rPr>
              <w:t>”为勾选项，填“√”；“（）”为内容填写</w:t>
            </w:r>
            <w:r>
              <w:rPr>
                <w:rFonts w:hint="eastAsia"/>
                <w:highlight w:val="none"/>
              </w:rPr>
              <w:t>项</w:t>
            </w:r>
          </w:p>
        </w:tc>
      </w:tr>
    </w:tbl>
    <w:p>
      <w:pPr>
        <w:pStyle w:val="3"/>
        <w:numPr>
          <w:ilvl w:val="3"/>
          <w:numId w:val="1"/>
        </w:numPr>
        <w:ind w:left="709" w:hanging="709"/>
        <w:rPr>
          <w:rFonts w:eastAsia="宋体"/>
          <w:b/>
          <w:highlight w:val="none"/>
        </w:rPr>
      </w:pPr>
      <w:bookmarkStart w:id="351" w:name="_Toc12898"/>
      <w:bookmarkStart w:id="352" w:name="_Toc521591798"/>
      <w:r>
        <w:rPr>
          <w:rFonts w:eastAsia="宋体"/>
          <w:b/>
          <w:highlight w:val="none"/>
          <w:lang w:val="zh-CN"/>
        </w:rPr>
        <w:t>大气环境信息公开内容</w:t>
      </w:r>
    </w:p>
    <w:p>
      <w:pPr>
        <w:pStyle w:val="22"/>
        <w:spacing w:after="0"/>
        <w:ind w:firstLine="480"/>
        <w:jc w:val="both"/>
        <w:rPr>
          <w:bCs/>
          <w:sz w:val="24"/>
          <w:szCs w:val="24"/>
          <w:highlight w:val="none"/>
        </w:rPr>
      </w:pPr>
      <w:r>
        <w:rPr>
          <w:rFonts w:hint="eastAsia"/>
          <w:bCs/>
          <w:sz w:val="24"/>
          <w:szCs w:val="24"/>
          <w:highlight w:val="none"/>
        </w:rPr>
        <w:t>本项目自行监测信息公开内容及方式按照《企业事业单位环境信息公开办法》（环境保护令第</w:t>
      </w:r>
      <w:r>
        <w:rPr>
          <w:bCs/>
          <w:sz w:val="24"/>
          <w:szCs w:val="24"/>
          <w:highlight w:val="none"/>
        </w:rPr>
        <w:t>31号）及《国家重点监控企业自行监测及信息公开办法（试行）》（环发[2013]81号）执行。具体公开内容如表5.2-</w:t>
      </w:r>
      <w:r>
        <w:rPr>
          <w:rFonts w:hint="eastAsia"/>
          <w:bCs/>
          <w:sz w:val="24"/>
          <w:szCs w:val="24"/>
          <w:highlight w:val="none"/>
        </w:rPr>
        <w:t>8</w:t>
      </w:r>
      <w:r>
        <w:rPr>
          <w:bCs/>
          <w:sz w:val="24"/>
          <w:szCs w:val="24"/>
          <w:highlight w:val="none"/>
        </w:rPr>
        <w:t>：</w:t>
      </w:r>
    </w:p>
    <w:p>
      <w:pPr>
        <w:pStyle w:val="22"/>
        <w:spacing w:after="0"/>
        <w:ind w:firstLine="420"/>
        <w:jc w:val="center"/>
        <w:rPr>
          <w:rFonts w:eastAsia="黑体"/>
          <w:kern w:val="2"/>
          <w:sz w:val="21"/>
          <w:szCs w:val="21"/>
          <w:highlight w:val="none"/>
        </w:rPr>
      </w:pPr>
      <w:r>
        <w:rPr>
          <w:rFonts w:hint="eastAsia" w:eastAsia="黑体"/>
          <w:kern w:val="2"/>
          <w:sz w:val="21"/>
          <w:szCs w:val="21"/>
          <w:highlight w:val="none"/>
        </w:rPr>
        <w:t>表5.2-8    项目大气环境信息公开表</w:t>
      </w:r>
    </w:p>
    <w:tbl>
      <w:tblPr>
        <w:tblStyle w:val="56"/>
        <w:tblW w:w="8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701"/>
        <w:gridCol w:w="6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pPr>
              <w:snapToGrid w:val="0"/>
              <w:ind w:firstLine="0" w:firstLineChars="0"/>
              <w:jc w:val="center"/>
              <w:rPr>
                <w:kern w:val="2"/>
                <w:sz w:val="21"/>
                <w:szCs w:val="21"/>
                <w:highlight w:val="none"/>
              </w:rPr>
            </w:pPr>
            <w:r>
              <w:rPr>
                <w:rFonts w:hint="eastAsia"/>
                <w:bCs/>
                <w:sz w:val="21"/>
                <w:szCs w:val="21"/>
                <w:highlight w:val="none"/>
              </w:rPr>
              <w:t>序号</w:t>
            </w:r>
          </w:p>
        </w:tc>
        <w:tc>
          <w:tcPr>
            <w:tcW w:w="1701" w:type="dxa"/>
            <w:shd w:val="clear" w:color="auto" w:fill="auto"/>
            <w:vAlign w:val="center"/>
          </w:tcPr>
          <w:p>
            <w:pPr>
              <w:snapToGrid w:val="0"/>
              <w:ind w:firstLine="0" w:firstLineChars="0"/>
              <w:jc w:val="center"/>
              <w:rPr>
                <w:kern w:val="2"/>
                <w:sz w:val="21"/>
                <w:szCs w:val="21"/>
                <w:highlight w:val="none"/>
              </w:rPr>
            </w:pPr>
            <w:r>
              <w:rPr>
                <w:bCs/>
                <w:sz w:val="21"/>
                <w:szCs w:val="21"/>
                <w:highlight w:val="none"/>
              </w:rPr>
              <w:t>公开信息</w:t>
            </w:r>
          </w:p>
        </w:tc>
        <w:tc>
          <w:tcPr>
            <w:tcW w:w="6140" w:type="dxa"/>
            <w:shd w:val="clear" w:color="auto" w:fill="auto"/>
            <w:vAlign w:val="center"/>
          </w:tcPr>
          <w:p>
            <w:pPr>
              <w:snapToGrid w:val="0"/>
              <w:ind w:firstLine="0" w:firstLineChars="0"/>
              <w:jc w:val="center"/>
              <w:rPr>
                <w:kern w:val="2"/>
                <w:sz w:val="21"/>
                <w:szCs w:val="21"/>
                <w:highlight w:val="none"/>
              </w:rPr>
            </w:pPr>
            <w:r>
              <w:rPr>
                <w:bCs/>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pPr>
              <w:snapToGrid w:val="0"/>
              <w:ind w:firstLine="0" w:firstLineChars="0"/>
              <w:jc w:val="center"/>
              <w:rPr>
                <w:kern w:val="2"/>
                <w:sz w:val="21"/>
                <w:szCs w:val="21"/>
                <w:highlight w:val="none"/>
              </w:rPr>
            </w:pPr>
            <w:r>
              <w:rPr>
                <w:rFonts w:hint="eastAsia"/>
                <w:kern w:val="2"/>
                <w:sz w:val="21"/>
                <w:szCs w:val="21"/>
                <w:highlight w:val="none"/>
              </w:rPr>
              <w:t>1</w:t>
            </w:r>
          </w:p>
        </w:tc>
        <w:tc>
          <w:tcPr>
            <w:tcW w:w="1701" w:type="dxa"/>
            <w:shd w:val="clear" w:color="auto" w:fill="auto"/>
            <w:vAlign w:val="center"/>
          </w:tcPr>
          <w:p>
            <w:pPr>
              <w:snapToGrid w:val="0"/>
              <w:ind w:firstLine="0" w:firstLineChars="0"/>
              <w:jc w:val="center"/>
              <w:rPr>
                <w:kern w:val="2"/>
                <w:sz w:val="21"/>
                <w:szCs w:val="21"/>
                <w:highlight w:val="none"/>
              </w:rPr>
            </w:pPr>
            <w:r>
              <w:rPr>
                <w:bCs/>
                <w:sz w:val="21"/>
                <w:szCs w:val="21"/>
                <w:highlight w:val="none"/>
              </w:rPr>
              <w:t>基础信息</w:t>
            </w:r>
          </w:p>
        </w:tc>
        <w:tc>
          <w:tcPr>
            <w:tcW w:w="6140" w:type="dxa"/>
            <w:shd w:val="clear" w:color="auto" w:fill="auto"/>
            <w:vAlign w:val="center"/>
          </w:tcPr>
          <w:p>
            <w:pPr>
              <w:snapToGrid w:val="0"/>
              <w:ind w:firstLine="0" w:firstLineChars="0"/>
              <w:jc w:val="center"/>
              <w:rPr>
                <w:kern w:val="2"/>
                <w:sz w:val="21"/>
                <w:szCs w:val="21"/>
                <w:highlight w:val="none"/>
              </w:rPr>
            </w:pPr>
            <w:r>
              <w:rPr>
                <w:bCs/>
                <w:sz w:val="21"/>
                <w:szCs w:val="21"/>
                <w:highlight w:val="none"/>
              </w:rPr>
              <w:t>单位名称、组织机构代码、法定代表人、生产地址、联系方式，以及生产经营和管理服务的主要内容、产品及规模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pPr>
              <w:snapToGrid w:val="0"/>
              <w:ind w:firstLine="0" w:firstLineChars="0"/>
              <w:jc w:val="center"/>
              <w:rPr>
                <w:kern w:val="2"/>
                <w:sz w:val="21"/>
                <w:szCs w:val="21"/>
                <w:highlight w:val="none"/>
              </w:rPr>
            </w:pPr>
            <w:r>
              <w:rPr>
                <w:rFonts w:hint="eastAsia"/>
                <w:kern w:val="2"/>
                <w:sz w:val="21"/>
                <w:szCs w:val="21"/>
                <w:highlight w:val="none"/>
              </w:rPr>
              <w:t>2</w:t>
            </w:r>
          </w:p>
        </w:tc>
        <w:tc>
          <w:tcPr>
            <w:tcW w:w="1701" w:type="dxa"/>
            <w:shd w:val="clear" w:color="auto" w:fill="auto"/>
            <w:vAlign w:val="center"/>
          </w:tcPr>
          <w:p>
            <w:pPr>
              <w:snapToGrid w:val="0"/>
              <w:ind w:firstLine="0" w:firstLineChars="0"/>
              <w:jc w:val="center"/>
              <w:rPr>
                <w:kern w:val="2"/>
                <w:sz w:val="21"/>
                <w:szCs w:val="21"/>
                <w:highlight w:val="none"/>
              </w:rPr>
            </w:pPr>
            <w:r>
              <w:rPr>
                <w:bCs/>
                <w:sz w:val="21"/>
                <w:szCs w:val="21"/>
                <w:highlight w:val="none"/>
              </w:rPr>
              <w:t>排污信息</w:t>
            </w:r>
          </w:p>
        </w:tc>
        <w:tc>
          <w:tcPr>
            <w:tcW w:w="6140" w:type="dxa"/>
            <w:shd w:val="clear" w:color="auto" w:fill="auto"/>
            <w:vAlign w:val="center"/>
          </w:tcPr>
          <w:p>
            <w:pPr>
              <w:snapToGrid w:val="0"/>
              <w:ind w:firstLine="0" w:firstLineChars="0"/>
              <w:jc w:val="center"/>
              <w:rPr>
                <w:kern w:val="2"/>
                <w:sz w:val="21"/>
                <w:szCs w:val="21"/>
                <w:highlight w:val="none"/>
              </w:rPr>
            </w:pPr>
            <w:r>
              <w:rPr>
                <w:bCs/>
                <w:sz w:val="21"/>
                <w:szCs w:val="21"/>
                <w:highlight w:val="none"/>
              </w:rPr>
              <w:t>主要污染物及特征污染物的名称、排放方式、排放口数量和分布情况、排放浓度和总量、超标情况，以及执行的污染物排放标准、核定的排放总量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pPr>
              <w:snapToGrid w:val="0"/>
              <w:ind w:firstLine="0" w:firstLineChars="0"/>
              <w:jc w:val="center"/>
              <w:rPr>
                <w:kern w:val="2"/>
                <w:sz w:val="21"/>
                <w:szCs w:val="21"/>
                <w:highlight w:val="none"/>
              </w:rPr>
            </w:pPr>
            <w:r>
              <w:rPr>
                <w:rFonts w:hint="eastAsia"/>
                <w:kern w:val="2"/>
                <w:sz w:val="21"/>
                <w:szCs w:val="21"/>
                <w:highlight w:val="none"/>
              </w:rPr>
              <w:t>3</w:t>
            </w:r>
          </w:p>
        </w:tc>
        <w:tc>
          <w:tcPr>
            <w:tcW w:w="1701" w:type="dxa"/>
            <w:shd w:val="clear" w:color="auto" w:fill="auto"/>
            <w:vAlign w:val="center"/>
          </w:tcPr>
          <w:p>
            <w:pPr>
              <w:snapToGrid w:val="0"/>
              <w:ind w:firstLine="0" w:firstLineChars="0"/>
              <w:jc w:val="center"/>
              <w:rPr>
                <w:kern w:val="2"/>
                <w:sz w:val="21"/>
                <w:szCs w:val="21"/>
                <w:highlight w:val="none"/>
              </w:rPr>
            </w:pPr>
            <w:r>
              <w:rPr>
                <w:bCs/>
                <w:sz w:val="21"/>
                <w:szCs w:val="21"/>
                <w:highlight w:val="none"/>
              </w:rPr>
              <w:t>污染防治设施</w:t>
            </w:r>
          </w:p>
        </w:tc>
        <w:tc>
          <w:tcPr>
            <w:tcW w:w="6140" w:type="dxa"/>
            <w:shd w:val="clear" w:color="auto" w:fill="auto"/>
            <w:vAlign w:val="center"/>
          </w:tcPr>
          <w:p>
            <w:pPr>
              <w:snapToGrid w:val="0"/>
              <w:ind w:firstLine="0" w:firstLineChars="0"/>
              <w:jc w:val="center"/>
              <w:rPr>
                <w:kern w:val="2"/>
                <w:sz w:val="21"/>
                <w:szCs w:val="21"/>
                <w:highlight w:val="none"/>
              </w:rPr>
            </w:pPr>
            <w:r>
              <w:rPr>
                <w:rFonts w:hint="eastAsia"/>
                <w:bCs/>
                <w:sz w:val="21"/>
                <w:szCs w:val="21"/>
                <w:highlight w:val="none"/>
              </w:rPr>
              <w:t>污</w:t>
            </w:r>
            <w:r>
              <w:rPr>
                <w:bCs/>
                <w:sz w:val="21"/>
                <w:szCs w:val="21"/>
                <w:highlight w:val="none"/>
              </w:rPr>
              <w:t>染防治设施的建设和运行情况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pPr>
              <w:snapToGrid w:val="0"/>
              <w:ind w:firstLine="0" w:firstLineChars="0"/>
              <w:jc w:val="center"/>
              <w:rPr>
                <w:kern w:val="2"/>
                <w:sz w:val="21"/>
                <w:szCs w:val="21"/>
                <w:highlight w:val="none"/>
              </w:rPr>
            </w:pPr>
            <w:r>
              <w:rPr>
                <w:rFonts w:hint="eastAsia"/>
                <w:kern w:val="2"/>
                <w:sz w:val="21"/>
                <w:szCs w:val="21"/>
                <w:highlight w:val="none"/>
              </w:rPr>
              <w:t>4</w:t>
            </w:r>
          </w:p>
        </w:tc>
        <w:tc>
          <w:tcPr>
            <w:tcW w:w="1701" w:type="dxa"/>
            <w:shd w:val="clear" w:color="auto" w:fill="auto"/>
            <w:vAlign w:val="center"/>
          </w:tcPr>
          <w:p>
            <w:pPr>
              <w:snapToGrid w:val="0"/>
              <w:ind w:firstLine="0" w:firstLineChars="0"/>
              <w:jc w:val="center"/>
              <w:rPr>
                <w:bCs/>
                <w:sz w:val="21"/>
                <w:szCs w:val="21"/>
                <w:highlight w:val="none"/>
              </w:rPr>
            </w:pPr>
            <w:r>
              <w:rPr>
                <w:bCs/>
                <w:sz w:val="21"/>
                <w:szCs w:val="21"/>
                <w:highlight w:val="none"/>
              </w:rPr>
              <w:t>环保手续</w:t>
            </w:r>
          </w:p>
        </w:tc>
        <w:tc>
          <w:tcPr>
            <w:tcW w:w="6140" w:type="dxa"/>
            <w:shd w:val="clear" w:color="auto" w:fill="auto"/>
            <w:vAlign w:val="center"/>
          </w:tcPr>
          <w:p>
            <w:pPr>
              <w:snapToGrid w:val="0"/>
              <w:ind w:firstLine="0" w:firstLineChars="0"/>
              <w:jc w:val="center"/>
              <w:rPr>
                <w:bCs/>
                <w:sz w:val="21"/>
                <w:szCs w:val="21"/>
                <w:highlight w:val="none"/>
              </w:rPr>
            </w:pPr>
            <w:r>
              <w:rPr>
                <w:bCs/>
                <w:sz w:val="21"/>
                <w:szCs w:val="21"/>
                <w:highlight w:val="none"/>
              </w:rPr>
              <w:t>建设项目环境影响评价及其他环境保护行政许可情况</w:t>
            </w:r>
          </w:p>
        </w:tc>
      </w:tr>
    </w:tbl>
    <w:p>
      <w:pPr>
        <w:pStyle w:val="6"/>
        <w:numPr>
          <w:ilvl w:val="2"/>
          <w:numId w:val="1"/>
        </w:numPr>
        <w:spacing w:before="120" w:beforeLines="50"/>
        <w:rPr>
          <w:szCs w:val="28"/>
          <w:highlight w:val="none"/>
        </w:rPr>
      </w:pPr>
      <w:r>
        <w:rPr>
          <w:szCs w:val="28"/>
          <w:highlight w:val="none"/>
        </w:rPr>
        <w:t>地表水环境影响评价</w:t>
      </w:r>
      <w:bookmarkEnd w:id="351"/>
      <w:bookmarkEnd w:id="352"/>
    </w:p>
    <w:p>
      <w:pPr>
        <w:ind w:firstLine="480"/>
        <w:jc w:val="both"/>
        <w:rPr>
          <w:bCs/>
          <w:sz w:val="24"/>
          <w:szCs w:val="24"/>
          <w:highlight w:val="none"/>
        </w:rPr>
      </w:pPr>
      <w:r>
        <w:rPr>
          <w:bCs/>
          <w:sz w:val="24"/>
          <w:szCs w:val="24"/>
          <w:highlight w:val="none"/>
        </w:rPr>
        <w:t>（1）生活污水</w:t>
      </w:r>
    </w:p>
    <w:p>
      <w:pPr>
        <w:ind w:firstLine="480"/>
        <w:jc w:val="both"/>
        <w:rPr>
          <w:bCs/>
          <w:sz w:val="24"/>
          <w:szCs w:val="24"/>
          <w:highlight w:val="none"/>
        </w:rPr>
      </w:pPr>
      <w:r>
        <w:rPr>
          <w:bCs/>
          <w:sz w:val="24"/>
          <w:szCs w:val="24"/>
          <w:highlight w:val="none"/>
        </w:rPr>
        <w:t>本项目</w:t>
      </w:r>
      <w:r>
        <w:rPr>
          <w:rFonts w:hint="eastAsia"/>
          <w:bCs/>
          <w:sz w:val="24"/>
          <w:szCs w:val="24"/>
          <w:highlight w:val="none"/>
        </w:rPr>
        <w:t>不新增劳动定员，</w:t>
      </w:r>
      <w:r>
        <w:rPr>
          <w:bCs/>
          <w:sz w:val="24"/>
          <w:szCs w:val="24"/>
          <w:highlight w:val="none"/>
        </w:rPr>
        <w:t>生活污水产生量</w:t>
      </w:r>
      <w:r>
        <w:rPr>
          <w:rFonts w:hint="eastAsia"/>
          <w:bCs/>
          <w:sz w:val="24"/>
          <w:szCs w:val="24"/>
          <w:highlight w:val="none"/>
        </w:rPr>
        <w:t>不变</w:t>
      </w:r>
      <w:r>
        <w:rPr>
          <w:bCs/>
          <w:sz w:val="24"/>
          <w:szCs w:val="24"/>
          <w:highlight w:val="none"/>
        </w:rPr>
        <w:t>。生活污水中员工盥洗废水，经收集后，用于厂区道路洒水抑尘，不外排；</w:t>
      </w:r>
      <w:r>
        <w:rPr>
          <w:sz w:val="24"/>
          <w:szCs w:val="24"/>
          <w:highlight w:val="none"/>
        </w:rPr>
        <w:t>厂区设防渗旱厕，</w:t>
      </w:r>
      <w:bookmarkStart w:id="353" w:name="_Hlk522131646"/>
      <w:r>
        <w:rPr>
          <w:sz w:val="24"/>
          <w:szCs w:val="24"/>
          <w:highlight w:val="none"/>
        </w:rPr>
        <w:t>定期清掏用于肥田，不外排。</w:t>
      </w:r>
      <w:bookmarkEnd w:id="353"/>
    </w:p>
    <w:p>
      <w:pPr>
        <w:ind w:firstLine="480"/>
        <w:jc w:val="both"/>
        <w:rPr>
          <w:bCs/>
          <w:sz w:val="24"/>
          <w:szCs w:val="24"/>
          <w:highlight w:val="none"/>
        </w:rPr>
      </w:pPr>
      <w:r>
        <w:rPr>
          <w:bCs/>
          <w:sz w:val="24"/>
          <w:szCs w:val="24"/>
          <w:highlight w:val="none"/>
        </w:rPr>
        <w:t>（2）生产废水</w:t>
      </w:r>
    </w:p>
    <w:p>
      <w:pPr>
        <w:autoSpaceDE w:val="0"/>
        <w:autoSpaceDN w:val="0"/>
        <w:ind w:firstLine="480"/>
        <w:jc w:val="both"/>
        <w:textAlignment w:val="auto"/>
        <w:rPr>
          <w:bCs/>
          <w:sz w:val="24"/>
          <w:szCs w:val="24"/>
          <w:highlight w:val="none"/>
        </w:rPr>
      </w:pPr>
      <w:r>
        <w:rPr>
          <w:bCs/>
          <w:sz w:val="24"/>
          <w:szCs w:val="24"/>
          <w:highlight w:val="none"/>
        </w:rPr>
        <w:t>本项目磁选过程为湿式磁选，铁精粉过滤水和尾矿浆均通过管道排入旋流罐，旋流罐上清液再经浓密池处理、</w:t>
      </w:r>
      <w:r>
        <w:rPr>
          <w:rFonts w:hint="eastAsia"/>
          <w:bCs/>
          <w:sz w:val="24"/>
          <w:szCs w:val="24"/>
          <w:highlight w:val="none"/>
        </w:rPr>
        <w:t>旋流罐底流</w:t>
      </w:r>
      <w:r>
        <w:rPr>
          <w:bCs/>
          <w:sz w:val="24"/>
          <w:szCs w:val="24"/>
          <w:highlight w:val="none"/>
        </w:rPr>
        <w:t>经</w:t>
      </w:r>
      <w:r>
        <w:rPr>
          <w:rFonts w:hint="eastAsia"/>
          <w:bCs/>
          <w:sz w:val="24"/>
          <w:szCs w:val="24"/>
          <w:highlight w:val="none"/>
        </w:rPr>
        <w:t>脱水</w:t>
      </w:r>
      <w:r>
        <w:rPr>
          <w:bCs/>
          <w:sz w:val="24"/>
          <w:szCs w:val="24"/>
          <w:highlight w:val="none"/>
        </w:rPr>
        <w:t>筛处理</w:t>
      </w:r>
      <w:r>
        <w:rPr>
          <w:rFonts w:hint="eastAsia"/>
          <w:bCs/>
          <w:sz w:val="24"/>
          <w:szCs w:val="24"/>
          <w:highlight w:val="none"/>
        </w:rPr>
        <w:t>、浓密池底流经压滤机处理后</w:t>
      </w:r>
      <w:r>
        <w:rPr>
          <w:bCs/>
          <w:sz w:val="24"/>
          <w:szCs w:val="24"/>
          <w:highlight w:val="none"/>
        </w:rPr>
        <w:t>，实现尾矿浆中的水分与大颗粒尾矿砂分离。最终，浓密池的上清液、</w:t>
      </w:r>
      <w:r>
        <w:rPr>
          <w:rFonts w:hint="eastAsia"/>
          <w:bCs/>
          <w:sz w:val="24"/>
          <w:szCs w:val="24"/>
          <w:highlight w:val="none"/>
        </w:rPr>
        <w:t>压滤机</w:t>
      </w:r>
      <w:r>
        <w:rPr>
          <w:bCs/>
          <w:sz w:val="24"/>
          <w:szCs w:val="24"/>
          <w:highlight w:val="none"/>
        </w:rPr>
        <w:t>的滤液经管道汇集于清水池暂存，回用于生产，形成闭路循环，不外排，不会对周边地表水水环境造成污染影响。</w:t>
      </w:r>
    </w:p>
    <w:p>
      <w:pPr>
        <w:ind w:firstLine="480"/>
        <w:jc w:val="both"/>
        <w:rPr>
          <w:bCs/>
          <w:sz w:val="24"/>
          <w:szCs w:val="24"/>
          <w:highlight w:val="none"/>
        </w:rPr>
      </w:pPr>
      <w:bookmarkStart w:id="354" w:name="_Hlk535600595"/>
      <w:r>
        <w:rPr>
          <w:bCs/>
          <w:sz w:val="24"/>
          <w:szCs w:val="24"/>
          <w:highlight w:val="none"/>
        </w:rPr>
        <w:t>（3）车间地面清洗废水</w:t>
      </w:r>
    </w:p>
    <w:p>
      <w:pPr>
        <w:ind w:firstLine="480"/>
        <w:jc w:val="both"/>
        <w:rPr>
          <w:bCs/>
          <w:sz w:val="24"/>
          <w:szCs w:val="24"/>
          <w:highlight w:val="none"/>
        </w:rPr>
      </w:pPr>
      <w:r>
        <w:rPr>
          <w:bCs/>
          <w:sz w:val="24"/>
          <w:szCs w:val="24"/>
          <w:highlight w:val="none"/>
        </w:rPr>
        <w:t>车间地面清洗废水经管道排入浓密池，经沉淀处理后，上清液排入清水池，回用于生产工序，不外排。</w:t>
      </w:r>
    </w:p>
    <w:p>
      <w:pPr>
        <w:ind w:firstLine="480"/>
        <w:jc w:val="both"/>
        <w:rPr>
          <w:bCs/>
          <w:sz w:val="24"/>
          <w:szCs w:val="24"/>
          <w:highlight w:val="none"/>
        </w:rPr>
      </w:pPr>
      <w:r>
        <w:rPr>
          <w:bCs/>
          <w:sz w:val="24"/>
          <w:szCs w:val="24"/>
          <w:highlight w:val="none"/>
        </w:rPr>
        <w:t>（4）洗车废水</w:t>
      </w:r>
    </w:p>
    <w:bookmarkEnd w:id="354"/>
    <w:p>
      <w:pPr>
        <w:ind w:firstLine="480"/>
        <w:jc w:val="both"/>
        <w:rPr>
          <w:bCs/>
          <w:sz w:val="24"/>
          <w:szCs w:val="24"/>
          <w:highlight w:val="none"/>
        </w:rPr>
      </w:pPr>
      <w:r>
        <w:rPr>
          <w:bCs/>
          <w:sz w:val="24"/>
          <w:szCs w:val="24"/>
          <w:highlight w:val="none"/>
        </w:rPr>
        <w:t>本项目为了减少车辆运输产生的粉尘，</w:t>
      </w:r>
      <w:r>
        <w:rPr>
          <w:rFonts w:hint="eastAsia"/>
          <w:bCs/>
          <w:sz w:val="24"/>
          <w:szCs w:val="24"/>
          <w:highlight w:val="none"/>
        </w:rPr>
        <w:t>在厂区门口、成品库、砂石库、原料库</w:t>
      </w:r>
      <w:r>
        <w:rPr>
          <w:bCs/>
          <w:sz w:val="24"/>
          <w:szCs w:val="24"/>
          <w:highlight w:val="none"/>
        </w:rPr>
        <w:t>设置</w:t>
      </w:r>
      <w:r>
        <w:rPr>
          <w:rFonts w:hint="eastAsia"/>
          <w:bCs/>
          <w:sz w:val="24"/>
          <w:szCs w:val="24"/>
          <w:highlight w:val="none"/>
        </w:rPr>
        <w:t>清洗装置</w:t>
      </w:r>
      <w:r>
        <w:rPr>
          <w:bCs/>
          <w:sz w:val="24"/>
          <w:szCs w:val="24"/>
          <w:highlight w:val="none"/>
        </w:rPr>
        <w:t>，洗车废水经沉淀池沉淀后，回用于洗车，不外排。</w:t>
      </w:r>
    </w:p>
    <w:p>
      <w:pPr>
        <w:autoSpaceDE w:val="0"/>
        <w:autoSpaceDN w:val="0"/>
        <w:ind w:firstLine="480"/>
        <w:jc w:val="both"/>
        <w:textAlignment w:val="auto"/>
        <w:rPr>
          <w:bCs/>
          <w:sz w:val="24"/>
          <w:szCs w:val="24"/>
          <w:highlight w:val="none"/>
        </w:rPr>
      </w:pPr>
      <w:r>
        <w:rPr>
          <w:bCs/>
          <w:sz w:val="24"/>
          <w:szCs w:val="24"/>
          <w:highlight w:val="none"/>
        </w:rPr>
        <w:t>综上所述，本项目正常情况下生产废水及生活污水不外排，不会对周围地表水环境产生影响。</w:t>
      </w:r>
    </w:p>
    <w:p>
      <w:pPr>
        <w:pStyle w:val="6"/>
        <w:numPr>
          <w:ilvl w:val="2"/>
          <w:numId w:val="1"/>
        </w:numPr>
        <w:rPr>
          <w:szCs w:val="28"/>
          <w:highlight w:val="none"/>
        </w:rPr>
      </w:pPr>
      <w:bookmarkStart w:id="355" w:name="_Toc13613"/>
      <w:bookmarkStart w:id="356" w:name="_Toc521591799"/>
      <w:r>
        <w:rPr>
          <w:szCs w:val="28"/>
          <w:highlight w:val="none"/>
        </w:rPr>
        <w:t>地下水环境影响预测与评价</w:t>
      </w:r>
      <w:bookmarkEnd w:id="355"/>
      <w:bookmarkEnd w:id="356"/>
    </w:p>
    <w:p>
      <w:pPr>
        <w:ind w:firstLine="480"/>
        <w:rPr>
          <w:sz w:val="24"/>
          <w:highlight w:val="none"/>
        </w:rPr>
      </w:pPr>
      <w:r>
        <w:rPr>
          <w:sz w:val="24"/>
          <w:highlight w:val="none"/>
        </w:rPr>
        <w:t>根据建设项目自身性质及其对地下水环境影响的特点，为预测和评价项目建设对地下水环境可能造成的影响和危害，并针对这种影响和危害提出防治策略，从而达到预防与控制环境恶化、保护地下水资源的目的。本次工作将采用数值模拟法进行预测与评价。</w:t>
      </w:r>
    </w:p>
    <w:p>
      <w:pPr>
        <w:ind w:firstLine="480"/>
        <w:rPr>
          <w:sz w:val="24"/>
          <w:highlight w:val="none"/>
        </w:rPr>
      </w:pPr>
      <w:r>
        <w:rPr>
          <w:sz w:val="24"/>
          <w:highlight w:val="none"/>
        </w:rPr>
        <w:t>总体思路是：在对评价区水文地质条件综合分析的基础上确定模拟范围，通过边界条件、地下水流动特征及含水层系统结构的概化，建立评价区的水文地质概念模型，进一步采用有限差分原理进行空间离散、高程插值、非均质分区、边界条件设置等，从而构建评价区地下水渗流数值模型。利用已有的水位观测资料及区域地下水运动规律，完成模型的识别验证。最后按照根据项目的特点，设计了污染泄漏情景，在地下水渗流数值模型的基础上耦合污染物迁移方程，得到地下水溶质运移模型，利用此模型对污染情景进行预测评价。</w:t>
      </w:r>
    </w:p>
    <w:p>
      <w:pPr>
        <w:pStyle w:val="3"/>
        <w:numPr>
          <w:ilvl w:val="3"/>
          <w:numId w:val="1"/>
        </w:numPr>
        <w:ind w:left="709" w:hanging="709"/>
        <w:rPr>
          <w:rFonts w:eastAsia="宋体"/>
          <w:b/>
          <w:highlight w:val="none"/>
        </w:rPr>
      </w:pPr>
      <w:bookmarkStart w:id="357" w:name="_Toc468692994"/>
      <w:bookmarkStart w:id="358" w:name="_Toc31159"/>
      <w:bookmarkStart w:id="359" w:name="_Toc521591800"/>
      <w:r>
        <w:rPr>
          <w:rFonts w:hint="eastAsia" w:eastAsia="宋体"/>
          <w:b/>
          <w:highlight w:val="none"/>
        </w:rPr>
        <w:t>评价区水文地质特征</w:t>
      </w:r>
      <w:bookmarkEnd w:id="357"/>
    </w:p>
    <w:p>
      <w:pPr>
        <w:ind w:firstLine="480"/>
        <w:jc w:val="both"/>
        <w:rPr>
          <w:bCs/>
          <w:sz w:val="24"/>
          <w:szCs w:val="24"/>
          <w:highlight w:val="none"/>
        </w:rPr>
      </w:pPr>
      <w:bookmarkStart w:id="360" w:name="_Toc468692995"/>
      <w:r>
        <w:rPr>
          <w:bCs/>
          <w:sz w:val="24"/>
          <w:szCs w:val="24"/>
          <w:highlight w:val="none"/>
        </w:rPr>
        <w:t>（1） 含水层（组）特征</w:t>
      </w:r>
      <w:bookmarkEnd w:id="360"/>
    </w:p>
    <w:p>
      <w:pPr>
        <w:ind w:firstLine="480"/>
        <w:jc w:val="both"/>
        <w:rPr>
          <w:sz w:val="24"/>
          <w:szCs w:val="24"/>
          <w:highlight w:val="none"/>
        </w:rPr>
      </w:pPr>
      <w:r>
        <w:rPr>
          <w:rFonts w:hint="eastAsia"/>
          <w:sz w:val="24"/>
          <w:szCs w:val="24"/>
          <w:highlight w:val="none"/>
        </w:rPr>
        <w:t>1）</w:t>
      </w:r>
      <w:r>
        <w:rPr>
          <w:sz w:val="24"/>
          <w:szCs w:val="24"/>
          <w:highlight w:val="none"/>
        </w:rPr>
        <w:t>评价区地层</w:t>
      </w:r>
    </w:p>
    <w:p>
      <w:pPr>
        <w:ind w:firstLine="480"/>
        <w:jc w:val="both"/>
        <w:rPr>
          <w:rFonts w:hAnsi="宋体"/>
          <w:sz w:val="24"/>
          <w:szCs w:val="24"/>
          <w:highlight w:val="none"/>
        </w:rPr>
      </w:pPr>
      <w:r>
        <w:rPr>
          <w:rFonts w:hint="eastAsia" w:hAnsi="宋体"/>
          <w:sz w:val="24"/>
          <w:szCs w:val="24"/>
          <w:highlight w:val="none"/>
        </w:rPr>
        <w:t>评价区周边出露地层主要包括第四系全新统现代冲积地层（Q</w:t>
      </w:r>
      <w:r>
        <w:rPr>
          <w:rFonts w:hint="eastAsia" w:hAnsi="宋体"/>
          <w:sz w:val="24"/>
          <w:szCs w:val="24"/>
          <w:highlight w:val="none"/>
          <w:vertAlign w:val="subscript"/>
        </w:rPr>
        <w:t>4</w:t>
      </w:r>
      <w:r>
        <w:rPr>
          <w:rFonts w:hint="eastAsia" w:hAnsi="宋体"/>
          <w:sz w:val="24"/>
          <w:szCs w:val="24"/>
          <w:highlight w:val="none"/>
          <w:vertAlign w:val="superscript"/>
        </w:rPr>
        <w:t>al</w:t>
      </w:r>
      <w:r>
        <w:rPr>
          <w:rFonts w:hint="eastAsia" w:hAnsi="宋体"/>
          <w:sz w:val="24"/>
          <w:szCs w:val="24"/>
          <w:highlight w:val="none"/>
        </w:rPr>
        <w:t>），岩性主要为砂、砂砾、卵石，主要分布在评价区北部，沿黎河呈片状分布；第四系全新统（Q</w:t>
      </w:r>
      <w:r>
        <w:rPr>
          <w:rFonts w:hint="eastAsia" w:hAnsi="宋体"/>
          <w:sz w:val="24"/>
          <w:szCs w:val="24"/>
          <w:highlight w:val="none"/>
          <w:vertAlign w:val="subscript"/>
        </w:rPr>
        <w:t>4</w:t>
      </w:r>
      <w:r>
        <w:rPr>
          <w:rFonts w:hint="eastAsia" w:hAnsi="宋体"/>
          <w:sz w:val="24"/>
          <w:szCs w:val="24"/>
          <w:highlight w:val="none"/>
          <w:vertAlign w:val="superscript"/>
        </w:rPr>
        <w:t>pl+al</w:t>
      </w:r>
      <w:r>
        <w:rPr>
          <w:rFonts w:hint="eastAsia" w:hAnsi="宋体"/>
          <w:sz w:val="24"/>
          <w:szCs w:val="24"/>
          <w:highlight w:val="none"/>
        </w:rPr>
        <w:t>）冲积、洪积地层，岩性主要为黄土状亚砂土、亚粘土夹砾石透镜体，广泛分布于研究区的南部，上更新统洪坡积层（Q</w:t>
      </w:r>
      <w:r>
        <w:rPr>
          <w:rFonts w:hint="eastAsia" w:hAnsi="宋体"/>
          <w:sz w:val="24"/>
          <w:szCs w:val="24"/>
          <w:highlight w:val="none"/>
          <w:vertAlign w:val="subscript"/>
        </w:rPr>
        <w:t>3</w:t>
      </w:r>
      <w:r>
        <w:rPr>
          <w:rFonts w:hint="eastAsia" w:hAnsi="宋体"/>
          <w:sz w:val="24"/>
          <w:szCs w:val="24"/>
          <w:highlight w:val="none"/>
          <w:vertAlign w:val="superscript"/>
        </w:rPr>
        <w:t>pl+dl</w:t>
      </w:r>
      <w:r>
        <w:rPr>
          <w:rFonts w:hint="eastAsia" w:hAnsi="宋体"/>
          <w:sz w:val="24"/>
          <w:szCs w:val="24"/>
          <w:highlight w:val="none"/>
        </w:rPr>
        <w:t>）岩性主要为粉砂、粗砂和泥质砂粘土，广泛分布于研究区的中部（详见图5.2-6）。其中全新统冲积层及冲洪积层（Q</w:t>
      </w:r>
      <w:r>
        <w:rPr>
          <w:rFonts w:hint="eastAsia" w:hAnsi="宋体"/>
          <w:sz w:val="24"/>
          <w:szCs w:val="24"/>
          <w:highlight w:val="none"/>
          <w:vertAlign w:val="subscript"/>
        </w:rPr>
        <w:t>4</w:t>
      </w:r>
      <w:r>
        <w:rPr>
          <w:rFonts w:hint="eastAsia" w:hAnsi="宋体"/>
          <w:sz w:val="24"/>
          <w:szCs w:val="24"/>
          <w:highlight w:val="none"/>
          <w:vertAlign w:val="superscript"/>
        </w:rPr>
        <w:t>al</w:t>
      </w:r>
      <w:r>
        <w:rPr>
          <w:rFonts w:hint="eastAsia" w:hAnsi="宋体"/>
          <w:sz w:val="24"/>
          <w:szCs w:val="24"/>
          <w:highlight w:val="none"/>
        </w:rPr>
        <w:t>、Q</w:t>
      </w:r>
      <w:r>
        <w:rPr>
          <w:rFonts w:hint="eastAsia" w:hAnsi="宋体"/>
          <w:sz w:val="24"/>
          <w:szCs w:val="24"/>
          <w:highlight w:val="none"/>
          <w:vertAlign w:val="subscript"/>
        </w:rPr>
        <w:t>4</w:t>
      </w:r>
      <w:r>
        <w:rPr>
          <w:rFonts w:hint="eastAsia" w:hAnsi="宋体"/>
          <w:sz w:val="24"/>
          <w:szCs w:val="24"/>
          <w:highlight w:val="none"/>
          <w:vertAlign w:val="superscript"/>
        </w:rPr>
        <w:t>al+pl</w:t>
      </w:r>
      <w:r>
        <w:rPr>
          <w:rFonts w:hint="eastAsia" w:hAnsi="宋体"/>
          <w:sz w:val="24"/>
          <w:szCs w:val="24"/>
          <w:highlight w:val="none"/>
        </w:rPr>
        <w:t>）导水性和富水性较好，含水层厚度一般15</w:t>
      </w:r>
      <w:r>
        <w:rPr>
          <w:rFonts w:hint="eastAsia" w:ascii="宋体" w:hAnsi="宋体"/>
          <w:sz w:val="24"/>
          <w:szCs w:val="24"/>
          <w:highlight w:val="none"/>
        </w:rPr>
        <w:t>～</w:t>
      </w:r>
      <w:r>
        <w:rPr>
          <w:rFonts w:hint="eastAsia" w:hAnsi="宋体"/>
          <w:sz w:val="24"/>
          <w:szCs w:val="24"/>
          <w:highlight w:val="none"/>
        </w:rPr>
        <w:t>20m，</w:t>
      </w:r>
      <w:r>
        <w:rPr>
          <w:rFonts w:hint="eastAsia"/>
          <w:sz w:val="24"/>
          <w:szCs w:val="24"/>
          <w:highlight w:val="none"/>
        </w:rPr>
        <w:t>单井单位涌水量大于</w:t>
      </w:r>
      <w:r>
        <w:rPr>
          <w:sz w:val="24"/>
          <w:szCs w:val="24"/>
          <w:highlight w:val="none"/>
        </w:rPr>
        <w:t>100m</w:t>
      </w:r>
      <w:r>
        <w:rPr>
          <w:sz w:val="24"/>
          <w:szCs w:val="24"/>
          <w:highlight w:val="none"/>
          <w:vertAlign w:val="superscript"/>
        </w:rPr>
        <w:t>3</w:t>
      </w:r>
      <w:r>
        <w:rPr>
          <w:sz w:val="24"/>
          <w:szCs w:val="24"/>
          <w:highlight w:val="none"/>
        </w:rPr>
        <w:t>/h·m</w:t>
      </w:r>
      <w:r>
        <w:rPr>
          <w:rFonts w:hint="eastAsia"/>
          <w:sz w:val="24"/>
          <w:szCs w:val="24"/>
          <w:highlight w:val="none"/>
        </w:rPr>
        <w:t>。此外，由区域地质图可得出</w:t>
      </w:r>
      <w:r>
        <w:rPr>
          <w:rFonts w:hAnsi="宋体"/>
          <w:sz w:val="24"/>
          <w:szCs w:val="24"/>
          <w:highlight w:val="none"/>
        </w:rPr>
        <w:t>隐伏于第四系沉积物之下，为</w:t>
      </w:r>
      <w:r>
        <w:rPr>
          <w:rFonts w:hint="eastAsia" w:hAnsi="宋体"/>
          <w:sz w:val="24"/>
          <w:szCs w:val="24"/>
          <w:highlight w:val="none"/>
        </w:rPr>
        <w:t>震旦系</w:t>
      </w:r>
      <w:r>
        <w:rPr>
          <w:rFonts w:hint="eastAsia"/>
          <w:sz w:val="24"/>
          <w:szCs w:val="24"/>
          <w:highlight w:val="none"/>
        </w:rPr>
        <w:t>雾迷山组</w:t>
      </w:r>
      <w:r>
        <w:rPr>
          <w:rFonts w:hint="eastAsia" w:hAnsi="宋体"/>
          <w:sz w:val="24"/>
          <w:szCs w:val="24"/>
          <w:highlight w:val="none"/>
        </w:rPr>
        <w:t>（Z</w:t>
      </w:r>
      <w:r>
        <w:rPr>
          <w:rFonts w:hint="eastAsia" w:hAnsi="宋体"/>
          <w:sz w:val="24"/>
          <w:szCs w:val="24"/>
          <w:highlight w:val="none"/>
          <w:vertAlign w:val="subscript"/>
        </w:rPr>
        <w:t>2w</w:t>
      </w:r>
      <w:r>
        <w:rPr>
          <w:rFonts w:hint="eastAsia" w:hAnsi="宋体"/>
          <w:sz w:val="24"/>
          <w:szCs w:val="24"/>
          <w:highlight w:val="none"/>
        </w:rPr>
        <w:t>）和高于庄组（Z</w:t>
      </w:r>
      <w:r>
        <w:rPr>
          <w:rFonts w:hint="eastAsia" w:hAnsi="宋体"/>
          <w:sz w:val="24"/>
          <w:szCs w:val="24"/>
          <w:highlight w:val="none"/>
          <w:vertAlign w:val="subscript"/>
        </w:rPr>
        <w:t>2</w:t>
      </w:r>
      <w:r>
        <w:rPr>
          <w:rFonts w:hint="eastAsia" w:hAnsi="宋体"/>
          <w:sz w:val="24"/>
          <w:szCs w:val="24"/>
          <w:highlight w:val="none"/>
        </w:rPr>
        <w:t>g）地层</w:t>
      </w:r>
      <w:r>
        <w:rPr>
          <w:rFonts w:hAnsi="宋体"/>
          <w:sz w:val="24"/>
          <w:szCs w:val="24"/>
          <w:highlight w:val="none"/>
        </w:rPr>
        <w:t>，主要岩性为：</w:t>
      </w:r>
      <w:r>
        <w:rPr>
          <w:rFonts w:hint="eastAsia"/>
          <w:sz w:val="24"/>
          <w:szCs w:val="24"/>
          <w:highlight w:val="none"/>
        </w:rPr>
        <w:t>震旦系雾迷山组</w:t>
      </w:r>
      <w:r>
        <w:rPr>
          <w:rFonts w:hint="eastAsia" w:hAnsi="宋体"/>
          <w:sz w:val="24"/>
          <w:szCs w:val="24"/>
          <w:highlight w:val="none"/>
        </w:rPr>
        <w:t>（Z</w:t>
      </w:r>
      <w:r>
        <w:rPr>
          <w:rFonts w:hint="eastAsia" w:hAnsi="宋体"/>
          <w:sz w:val="24"/>
          <w:szCs w:val="24"/>
          <w:highlight w:val="none"/>
          <w:vertAlign w:val="subscript"/>
        </w:rPr>
        <w:t>2w</w:t>
      </w:r>
      <w:r>
        <w:rPr>
          <w:rFonts w:hint="eastAsia" w:hAnsi="宋体"/>
          <w:sz w:val="24"/>
          <w:szCs w:val="24"/>
          <w:highlight w:val="none"/>
        </w:rPr>
        <w:t>）</w:t>
      </w:r>
      <w:r>
        <w:rPr>
          <w:rFonts w:hint="eastAsia"/>
          <w:sz w:val="24"/>
          <w:szCs w:val="24"/>
          <w:highlight w:val="none"/>
        </w:rPr>
        <w:t>岩性为灰白色、灰黑色及灰色灰岩、白云岩构成；</w:t>
      </w:r>
      <w:r>
        <w:rPr>
          <w:rFonts w:hint="eastAsia" w:hAnsi="宋体"/>
          <w:sz w:val="24"/>
          <w:szCs w:val="24"/>
          <w:highlight w:val="none"/>
        </w:rPr>
        <w:t>高于庄组（Z</w:t>
      </w:r>
      <w:r>
        <w:rPr>
          <w:rFonts w:hint="eastAsia" w:hAnsi="宋体"/>
          <w:sz w:val="24"/>
          <w:szCs w:val="24"/>
          <w:highlight w:val="none"/>
          <w:vertAlign w:val="subscript"/>
        </w:rPr>
        <w:t>2</w:t>
      </w:r>
      <w:r>
        <w:rPr>
          <w:rFonts w:hint="eastAsia" w:hAnsi="宋体"/>
          <w:sz w:val="24"/>
          <w:szCs w:val="24"/>
          <w:highlight w:val="none"/>
        </w:rPr>
        <w:t>g）地层岩性为含泥钙质白云岩、含泥白云岩灰岩、含燧石条带白云岩。</w:t>
      </w:r>
      <w:r>
        <w:rPr>
          <w:rFonts w:hint="eastAsia"/>
          <w:sz w:val="24"/>
          <w:szCs w:val="24"/>
          <w:highlight w:val="none"/>
        </w:rPr>
        <w:t>由区域资料可知，</w:t>
      </w:r>
      <w:r>
        <w:rPr>
          <w:rFonts w:hint="eastAsia" w:hAnsi="宋体"/>
          <w:sz w:val="24"/>
          <w:szCs w:val="24"/>
          <w:highlight w:val="none"/>
        </w:rPr>
        <w:t>震旦系</w:t>
      </w:r>
      <w:r>
        <w:rPr>
          <w:rFonts w:hint="eastAsia"/>
          <w:sz w:val="24"/>
          <w:szCs w:val="24"/>
          <w:highlight w:val="none"/>
        </w:rPr>
        <w:t>雾迷山组</w:t>
      </w:r>
      <w:r>
        <w:rPr>
          <w:rFonts w:hint="eastAsia" w:hAnsi="宋体"/>
          <w:sz w:val="24"/>
          <w:szCs w:val="24"/>
          <w:highlight w:val="none"/>
        </w:rPr>
        <w:t>（Z</w:t>
      </w:r>
      <w:r>
        <w:rPr>
          <w:rFonts w:hint="eastAsia" w:hAnsi="宋体"/>
          <w:sz w:val="24"/>
          <w:szCs w:val="24"/>
          <w:highlight w:val="none"/>
          <w:vertAlign w:val="subscript"/>
        </w:rPr>
        <w:t>2w</w:t>
      </w:r>
      <w:r>
        <w:rPr>
          <w:rFonts w:hint="eastAsia" w:hAnsi="宋体"/>
          <w:sz w:val="24"/>
          <w:szCs w:val="24"/>
          <w:highlight w:val="none"/>
        </w:rPr>
        <w:t>）</w:t>
      </w:r>
      <w:r>
        <w:rPr>
          <w:rFonts w:hint="eastAsia"/>
          <w:sz w:val="24"/>
          <w:szCs w:val="24"/>
          <w:highlight w:val="none"/>
        </w:rPr>
        <w:t>最大厚度可达3400m，据该层水井抽水试验，单井涌水量Q约为5m</w:t>
      </w:r>
      <w:r>
        <w:rPr>
          <w:rFonts w:hint="eastAsia"/>
          <w:sz w:val="24"/>
          <w:szCs w:val="24"/>
          <w:highlight w:val="none"/>
          <w:vertAlign w:val="superscript"/>
        </w:rPr>
        <w:t>3</w:t>
      </w:r>
      <w:r>
        <w:rPr>
          <w:rFonts w:hint="eastAsia"/>
          <w:sz w:val="24"/>
          <w:szCs w:val="24"/>
          <w:highlight w:val="none"/>
        </w:rPr>
        <w:t>/d（降深S为9.5m），富水性弱，渗透系数K=0.01m/d（1.16×10</w:t>
      </w:r>
      <w:r>
        <w:rPr>
          <w:rFonts w:hint="eastAsia"/>
          <w:sz w:val="24"/>
          <w:szCs w:val="24"/>
          <w:highlight w:val="none"/>
          <w:vertAlign w:val="superscript"/>
        </w:rPr>
        <w:t>-5</w:t>
      </w:r>
      <w:r>
        <w:rPr>
          <w:rFonts w:hint="eastAsia"/>
          <w:sz w:val="24"/>
          <w:szCs w:val="24"/>
          <w:highlight w:val="none"/>
        </w:rPr>
        <w:t>cm/s），渗透性弱，本含水层富水性大小取决于层间裂隙发育程度，富水性不均。</w:t>
      </w:r>
    </w:p>
    <w:p>
      <w:pPr>
        <w:ind w:left="-280" w:leftChars="-100" w:firstLine="560"/>
        <w:jc w:val="center"/>
        <w:rPr>
          <w:rFonts w:hAnsi="宋体"/>
          <w:sz w:val="24"/>
          <w:szCs w:val="24"/>
          <w:highlight w:val="none"/>
        </w:rPr>
      </w:pPr>
      <w:r>
        <w:rPr>
          <w:rFonts w:hAnsi="宋体"/>
          <w:highlight w:val="none"/>
        </w:rPr>
        <w:drawing>
          <wp:inline distT="0" distB="0" distL="114300" distR="114300">
            <wp:extent cx="4877435" cy="3074035"/>
            <wp:effectExtent l="0" t="0" r="0" b="12065"/>
            <wp:docPr id="11" name="图片 19" descr="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地质图"/>
                    <pic:cNvPicPr>
                      <a:picLocks noChangeAspect="1"/>
                    </pic:cNvPicPr>
                  </pic:nvPicPr>
                  <pic:blipFill>
                    <a:blip r:embed="rId49"/>
                    <a:srcRect l="32008" t="6754" r="26534" b="24310"/>
                    <a:stretch>
                      <a:fillRect/>
                    </a:stretch>
                  </pic:blipFill>
                  <pic:spPr>
                    <a:xfrm>
                      <a:off x="0" y="0"/>
                      <a:ext cx="4877435" cy="3074035"/>
                    </a:xfrm>
                    <a:prstGeom prst="rect">
                      <a:avLst/>
                    </a:prstGeom>
                    <a:noFill/>
                    <a:ln>
                      <a:noFill/>
                    </a:ln>
                  </pic:spPr>
                </pic:pic>
              </a:graphicData>
            </a:graphic>
          </wp:inline>
        </w:drawing>
      </w:r>
    </w:p>
    <w:p>
      <w:pPr>
        <w:ind w:firstLine="420"/>
        <w:jc w:val="center"/>
        <w:rPr>
          <w:rFonts w:ascii="黑体" w:hAnsi="黑体" w:eastAsia="黑体"/>
          <w:sz w:val="21"/>
          <w:szCs w:val="24"/>
          <w:highlight w:val="none"/>
        </w:rPr>
      </w:pPr>
      <w:r>
        <w:rPr>
          <w:rFonts w:eastAsia="黑体"/>
          <w:sz w:val="21"/>
          <w:szCs w:val="24"/>
          <w:highlight w:val="none"/>
        </w:rPr>
        <w:t>图5.2-</w:t>
      </w:r>
      <w:r>
        <w:rPr>
          <w:rFonts w:hint="eastAsia" w:eastAsia="黑体"/>
          <w:sz w:val="21"/>
          <w:szCs w:val="24"/>
          <w:highlight w:val="none"/>
        </w:rPr>
        <w:t>1</w:t>
      </w:r>
      <w:r>
        <w:rPr>
          <w:rFonts w:eastAsia="黑体"/>
          <w:sz w:val="21"/>
          <w:szCs w:val="24"/>
          <w:highlight w:val="none"/>
        </w:rPr>
        <w:t xml:space="preserve">   评价区地</w:t>
      </w:r>
      <w:r>
        <w:rPr>
          <w:rFonts w:hint="eastAsia" w:ascii="黑体" w:hAnsi="黑体" w:eastAsia="黑体"/>
          <w:sz w:val="21"/>
          <w:szCs w:val="24"/>
          <w:highlight w:val="none"/>
        </w:rPr>
        <w:t>质图</w:t>
      </w:r>
    </w:p>
    <w:p>
      <w:pPr>
        <w:spacing w:line="440" w:lineRule="atLeast"/>
        <w:ind w:firstLine="480"/>
        <w:rPr>
          <w:sz w:val="24"/>
          <w:szCs w:val="24"/>
          <w:highlight w:val="none"/>
        </w:rPr>
      </w:pPr>
      <w:bookmarkStart w:id="361" w:name="_Toc468692996"/>
      <w:r>
        <w:rPr>
          <w:rFonts w:hint="eastAsia"/>
          <w:sz w:val="24"/>
          <w:szCs w:val="24"/>
          <w:highlight w:val="none"/>
        </w:rPr>
        <w:t>②</w:t>
      </w:r>
      <w:r>
        <w:rPr>
          <w:sz w:val="24"/>
          <w:szCs w:val="24"/>
          <w:highlight w:val="none"/>
        </w:rPr>
        <w:t>评价区</w:t>
      </w:r>
      <w:r>
        <w:rPr>
          <w:rFonts w:hint="eastAsia" w:hAnsi="宋体"/>
          <w:sz w:val="24"/>
          <w:szCs w:val="24"/>
          <w:highlight w:val="none"/>
        </w:rPr>
        <w:t>含水岩组</w:t>
      </w:r>
    </w:p>
    <w:p>
      <w:pPr>
        <w:adjustRightInd w:val="0"/>
        <w:snapToGrid w:val="0"/>
        <w:ind w:firstLine="480"/>
        <w:jc w:val="both"/>
        <w:rPr>
          <w:rFonts w:hAnsi="宋体"/>
          <w:sz w:val="24"/>
          <w:szCs w:val="24"/>
          <w:highlight w:val="none"/>
        </w:rPr>
      </w:pPr>
      <w:r>
        <w:rPr>
          <w:rFonts w:hint="eastAsia" w:hAnsi="宋体"/>
          <w:sz w:val="24"/>
          <w:szCs w:val="24"/>
          <w:highlight w:val="none"/>
        </w:rPr>
        <w:t>由评价区地层（图5.2-6）分析可知：第四系全新统现代冲积地层（Q</w:t>
      </w:r>
      <w:r>
        <w:rPr>
          <w:rFonts w:hint="eastAsia" w:hAnsi="宋体"/>
          <w:sz w:val="24"/>
          <w:szCs w:val="24"/>
          <w:highlight w:val="none"/>
          <w:vertAlign w:val="subscript"/>
        </w:rPr>
        <w:t>4</w:t>
      </w:r>
      <w:r>
        <w:rPr>
          <w:rFonts w:hint="eastAsia" w:hAnsi="宋体"/>
          <w:sz w:val="24"/>
          <w:szCs w:val="24"/>
          <w:highlight w:val="none"/>
          <w:vertAlign w:val="superscript"/>
        </w:rPr>
        <w:t>al</w:t>
      </w:r>
      <w:r>
        <w:rPr>
          <w:rFonts w:hint="eastAsia" w:hAnsi="宋体"/>
          <w:sz w:val="24"/>
          <w:szCs w:val="24"/>
          <w:highlight w:val="none"/>
        </w:rPr>
        <w:t>），沿黎河呈片状分布；第四系全新统（Q</w:t>
      </w:r>
      <w:r>
        <w:rPr>
          <w:rFonts w:hint="eastAsia" w:hAnsi="宋体"/>
          <w:sz w:val="24"/>
          <w:szCs w:val="24"/>
          <w:highlight w:val="none"/>
          <w:vertAlign w:val="subscript"/>
        </w:rPr>
        <w:t>4</w:t>
      </w:r>
      <w:r>
        <w:rPr>
          <w:rFonts w:hint="eastAsia" w:hAnsi="宋体"/>
          <w:sz w:val="24"/>
          <w:szCs w:val="24"/>
          <w:highlight w:val="none"/>
          <w:vertAlign w:val="superscript"/>
        </w:rPr>
        <w:t>pl+al</w:t>
      </w:r>
      <w:r>
        <w:rPr>
          <w:rFonts w:hint="eastAsia" w:hAnsi="宋体"/>
          <w:sz w:val="24"/>
          <w:szCs w:val="24"/>
          <w:highlight w:val="none"/>
        </w:rPr>
        <w:t>）冲积、洪积地层，岩广泛分布于研究区的南部，上更新统洪坡积层（Q</w:t>
      </w:r>
      <w:r>
        <w:rPr>
          <w:rFonts w:hint="eastAsia" w:hAnsi="宋体"/>
          <w:sz w:val="24"/>
          <w:szCs w:val="24"/>
          <w:highlight w:val="none"/>
          <w:vertAlign w:val="subscript"/>
        </w:rPr>
        <w:t>3</w:t>
      </w:r>
      <w:r>
        <w:rPr>
          <w:rFonts w:hint="eastAsia" w:hAnsi="宋体"/>
          <w:sz w:val="24"/>
          <w:szCs w:val="24"/>
          <w:highlight w:val="none"/>
          <w:vertAlign w:val="superscript"/>
        </w:rPr>
        <w:t>pl+dl</w:t>
      </w:r>
      <w:r>
        <w:rPr>
          <w:rFonts w:hint="eastAsia" w:hAnsi="宋体"/>
          <w:sz w:val="24"/>
          <w:szCs w:val="24"/>
          <w:highlight w:val="none"/>
        </w:rPr>
        <w:t>），广泛分布于研究区的中部；地下水类型可分为第四系松散岩类孔隙水。</w:t>
      </w:r>
    </w:p>
    <w:p>
      <w:pPr>
        <w:adjustRightInd w:val="0"/>
        <w:snapToGrid w:val="0"/>
        <w:ind w:firstLine="480"/>
        <w:jc w:val="both"/>
        <w:rPr>
          <w:rFonts w:hAnsi="宋体"/>
          <w:sz w:val="24"/>
          <w:szCs w:val="24"/>
          <w:highlight w:val="none"/>
        </w:rPr>
      </w:pPr>
      <w:r>
        <w:rPr>
          <w:rFonts w:hAnsi="宋体"/>
          <w:sz w:val="24"/>
          <w:szCs w:val="24"/>
          <w:highlight w:val="none"/>
        </w:rPr>
        <w:t>①富水亚区（</w:t>
      </w:r>
      <w:r>
        <w:rPr>
          <w:rFonts w:hint="eastAsia" w:hAnsi="宋体"/>
          <w:sz w:val="24"/>
          <w:szCs w:val="24"/>
          <w:highlight w:val="none"/>
        </w:rPr>
        <w:t>I</w:t>
      </w:r>
      <w:r>
        <w:rPr>
          <w:rFonts w:hint="eastAsia" w:hAnsi="宋体"/>
          <w:sz w:val="24"/>
          <w:szCs w:val="24"/>
          <w:highlight w:val="none"/>
          <w:vertAlign w:val="subscript"/>
        </w:rPr>
        <w:t>1-1</w:t>
      </w:r>
      <w:r>
        <w:rPr>
          <w:rFonts w:hAnsi="宋体"/>
          <w:sz w:val="24"/>
          <w:szCs w:val="24"/>
          <w:highlight w:val="none"/>
        </w:rPr>
        <w:t>）：为Q</w:t>
      </w:r>
      <w:r>
        <w:rPr>
          <w:rFonts w:hAnsi="宋体"/>
          <w:sz w:val="24"/>
          <w:szCs w:val="24"/>
          <w:highlight w:val="none"/>
          <w:vertAlign w:val="subscript"/>
        </w:rPr>
        <w:t>4</w:t>
      </w:r>
      <w:r>
        <w:rPr>
          <w:rFonts w:hAnsi="宋体"/>
          <w:sz w:val="24"/>
          <w:szCs w:val="24"/>
          <w:highlight w:val="none"/>
        </w:rPr>
        <w:t>冲</w:t>
      </w:r>
      <w:r>
        <w:rPr>
          <w:rFonts w:hint="eastAsia" w:hAnsi="宋体"/>
          <w:sz w:val="24"/>
          <w:szCs w:val="24"/>
          <w:highlight w:val="none"/>
        </w:rPr>
        <w:t>积和</w:t>
      </w:r>
      <w:r>
        <w:rPr>
          <w:rFonts w:hAnsi="宋体"/>
          <w:sz w:val="24"/>
          <w:szCs w:val="24"/>
          <w:highlight w:val="none"/>
        </w:rPr>
        <w:t>洪积卵砾石层。单井单位涌水量</w:t>
      </w:r>
      <w:r>
        <w:rPr>
          <w:rFonts w:hint="eastAsia" w:hAnsi="宋体"/>
          <w:sz w:val="24"/>
          <w:szCs w:val="24"/>
          <w:highlight w:val="none"/>
        </w:rPr>
        <w:t>20</w:t>
      </w:r>
      <w:r>
        <w:rPr>
          <w:rFonts w:hAnsi="宋体"/>
          <w:sz w:val="24"/>
          <w:szCs w:val="24"/>
          <w:highlight w:val="none"/>
        </w:rPr>
        <w:t>0～</w:t>
      </w:r>
      <w:r>
        <w:rPr>
          <w:rFonts w:hint="eastAsia" w:hAnsi="宋体"/>
          <w:sz w:val="24"/>
          <w:szCs w:val="24"/>
          <w:highlight w:val="none"/>
        </w:rPr>
        <w:t>5</w:t>
      </w:r>
      <w:r>
        <w:rPr>
          <w:rFonts w:hAnsi="宋体"/>
          <w:sz w:val="24"/>
          <w:szCs w:val="24"/>
          <w:highlight w:val="none"/>
        </w:rPr>
        <w:t>00m</w:t>
      </w:r>
      <w:r>
        <w:rPr>
          <w:rFonts w:hAnsi="宋体"/>
          <w:sz w:val="24"/>
          <w:szCs w:val="24"/>
          <w:highlight w:val="none"/>
          <w:vertAlign w:val="superscript"/>
        </w:rPr>
        <w:t>3</w:t>
      </w:r>
      <w:r>
        <w:rPr>
          <w:rFonts w:hAnsi="宋体"/>
          <w:sz w:val="24"/>
          <w:szCs w:val="24"/>
          <w:highlight w:val="none"/>
        </w:rPr>
        <w:t>/h·m。分布在</w:t>
      </w:r>
      <w:r>
        <w:rPr>
          <w:rFonts w:hint="eastAsia" w:hAnsi="宋体"/>
          <w:sz w:val="24"/>
          <w:szCs w:val="24"/>
          <w:highlight w:val="none"/>
        </w:rPr>
        <w:t>评价区北部的黎河河谷区和漫滩区</w:t>
      </w:r>
      <w:r>
        <w:rPr>
          <w:rFonts w:hAnsi="宋体"/>
          <w:sz w:val="24"/>
          <w:szCs w:val="24"/>
          <w:highlight w:val="none"/>
        </w:rPr>
        <w:t>。</w:t>
      </w:r>
    </w:p>
    <w:p>
      <w:pPr>
        <w:ind w:firstLine="480"/>
        <w:jc w:val="both"/>
        <w:rPr>
          <w:sz w:val="24"/>
          <w:szCs w:val="24"/>
          <w:highlight w:val="none"/>
        </w:rPr>
      </w:pPr>
      <w:r>
        <w:rPr>
          <w:rFonts w:hAnsi="宋体"/>
          <w:sz w:val="24"/>
          <w:szCs w:val="24"/>
          <w:highlight w:val="none"/>
        </w:rPr>
        <w:t>②中等富水亚区（</w:t>
      </w:r>
      <w:r>
        <w:rPr>
          <w:rFonts w:hint="eastAsia" w:hAnsi="宋体"/>
          <w:sz w:val="24"/>
          <w:szCs w:val="24"/>
          <w:highlight w:val="none"/>
        </w:rPr>
        <w:t>I</w:t>
      </w:r>
      <w:r>
        <w:rPr>
          <w:rFonts w:hint="eastAsia" w:hAnsi="宋体"/>
          <w:sz w:val="24"/>
          <w:szCs w:val="24"/>
          <w:highlight w:val="none"/>
          <w:vertAlign w:val="subscript"/>
        </w:rPr>
        <w:t>1-2</w:t>
      </w:r>
      <w:r>
        <w:rPr>
          <w:rFonts w:hAnsi="宋体"/>
          <w:sz w:val="24"/>
          <w:szCs w:val="24"/>
          <w:highlight w:val="none"/>
        </w:rPr>
        <w:t>）：为Q</w:t>
      </w:r>
      <w:r>
        <w:rPr>
          <w:rFonts w:hAnsi="宋体"/>
          <w:sz w:val="24"/>
          <w:szCs w:val="24"/>
          <w:highlight w:val="none"/>
          <w:vertAlign w:val="subscript"/>
        </w:rPr>
        <w:t>4</w:t>
      </w:r>
      <w:r>
        <w:rPr>
          <w:rFonts w:hAnsi="宋体"/>
          <w:sz w:val="24"/>
          <w:szCs w:val="24"/>
          <w:highlight w:val="none"/>
        </w:rPr>
        <w:t>冲洪积及洪积砂砾石和卵砾石层。砂砾石层</w:t>
      </w:r>
      <w:r>
        <w:rPr>
          <w:sz w:val="24"/>
          <w:szCs w:val="24"/>
          <w:highlight w:val="none"/>
        </w:rPr>
        <w:t>厚一般5～15m，单井单位涌水量</w:t>
      </w:r>
      <w:r>
        <w:rPr>
          <w:rFonts w:hint="eastAsia"/>
          <w:sz w:val="24"/>
          <w:szCs w:val="24"/>
          <w:highlight w:val="none"/>
        </w:rPr>
        <w:t>10</w:t>
      </w:r>
      <w:r>
        <w:rPr>
          <w:sz w:val="24"/>
          <w:szCs w:val="24"/>
          <w:highlight w:val="none"/>
        </w:rPr>
        <w:t>0～</w:t>
      </w:r>
      <w:r>
        <w:rPr>
          <w:rFonts w:hint="eastAsia"/>
          <w:sz w:val="24"/>
          <w:szCs w:val="24"/>
          <w:highlight w:val="none"/>
        </w:rPr>
        <w:t>2</w:t>
      </w:r>
      <w:r>
        <w:rPr>
          <w:sz w:val="24"/>
          <w:szCs w:val="24"/>
          <w:highlight w:val="none"/>
        </w:rPr>
        <w:t>00m3/h·m。分布于</w:t>
      </w:r>
      <w:r>
        <w:rPr>
          <w:rFonts w:hint="eastAsia"/>
          <w:sz w:val="24"/>
          <w:szCs w:val="24"/>
          <w:highlight w:val="none"/>
        </w:rPr>
        <w:t>评价区南部</w:t>
      </w:r>
      <w:r>
        <w:rPr>
          <w:sz w:val="24"/>
          <w:szCs w:val="24"/>
          <w:highlight w:val="none"/>
        </w:rPr>
        <w:t>冲洪积扇前缘及近洪积扇地带。</w:t>
      </w:r>
    </w:p>
    <w:p>
      <w:pPr>
        <w:spacing w:line="440" w:lineRule="atLeast"/>
        <w:ind w:firstLine="480"/>
        <w:rPr>
          <w:rFonts w:hAnsi="宋体"/>
          <w:sz w:val="24"/>
          <w:szCs w:val="24"/>
          <w:highlight w:val="none"/>
        </w:rPr>
      </w:pPr>
      <w:r>
        <w:rPr>
          <w:rFonts w:hint="eastAsia"/>
          <w:sz w:val="24"/>
          <w:szCs w:val="24"/>
          <w:highlight w:val="none"/>
        </w:rPr>
        <w:t>③一般</w:t>
      </w:r>
      <w:r>
        <w:rPr>
          <w:sz w:val="24"/>
          <w:szCs w:val="24"/>
          <w:highlight w:val="none"/>
        </w:rPr>
        <w:t>富水亚区（</w:t>
      </w:r>
      <w:r>
        <w:rPr>
          <w:rFonts w:hint="eastAsia"/>
          <w:sz w:val="24"/>
          <w:szCs w:val="24"/>
          <w:highlight w:val="none"/>
        </w:rPr>
        <w:t>II</w:t>
      </w:r>
      <w:r>
        <w:rPr>
          <w:sz w:val="24"/>
          <w:szCs w:val="24"/>
          <w:highlight w:val="none"/>
        </w:rPr>
        <w:t>）：为Q</w:t>
      </w:r>
      <w:r>
        <w:rPr>
          <w:rFonts w:hint="eastAsia"/>
          <w:sz w:val="24"/>
          <w:szCs w:val="24"/>
          <w:highlight w:val="none"/>
        </w:rPr>
        <w:t>3</w:t>
      </w:r>
      <w:r>
        <w:rPr>
          <w:sz w:val="24"/>
          <w:szCs w:val="24"/>
          <w:highlight w:val="none"/>
        </w:rPr>
        <w:t>洪</w:t>
      </w:r>
      <w:r>
        <w:rPr>
          <w:rFonts w:hint="eastAsia"/>
          <w:sz w:val="24"/>
          <w:szCs w:val="24"/>
          <w:highlight w:val="none"/>
        </w:rPr>
        <w:t>坡</w:t>
      </w:r>
      <w:r>
        <w:rPr>
          <w:sz w:val="24"/>
          <w:szCs w:val="24"/>
          <w:highlight w:val="none"/>
        </w:rPr>
        <w:t>积砂含砾石层。砂砾石层厚一般10m左右，该组下部个别地段夹有薄层淤泥质砂粘土。单井单位涌水量</w:t>
      </w:r>
      <w:r>
        <w:rPr>
          <w:rFonts w:hint="eastAsia"/>
          <w:sz w:val="24"/>
          <w:szCs w:val="24"/>
          <w:highlight w:val="none"/>
        </w:rPr>
        <w:t>50</w:t>
      </w:r>
      <w:r>
        <w:rPr>
          <w:sz w:val="24"/>
          <w:szCs w:val="24"/>
          <w:highlight w:val="none"/>
        </w:rPr>
        <w:t>～</w:t>
      </w:r>
      <w:r>
        <w:rPr>
          <w:rFonts w:hint="eastAsia"/>
          <w:sz w:val="24"/>
          <w:szCs w:val="24"/>
          <w:highlight w:val="none"/>
        </w:rPr>
        <w:t>10</w:t>
      </w:r>
      <w:r>
        <w:rPr>
          <w:sz w:val="24"/>
          <w:szCs w:val="24"/>
          <w:highlight w:val="none"/>
        </w:rPr>
        <w:t>0m</w:t>
      </w:r>
      <w:r>
        <w:rPr>
          <w:sz w:val="24"/>
          <w:szCs w:val="24"/>
          <w:highlight w:val="none"/>
          <w:vertAlign w:val="superscript"/>
        </w:rPr>
        <w:t>3</w:t>
      </w:r>
      <w:r>
        <w:rPr>
          <w:sz w:val="24"/>
          <w:szCs w:val="24"/>
          <w:highlight w:val="none"/>
        </w:rPr>
        <w:t>/h·m。分布于</w:t>
      </w:r>
      <w:r>
        <w:rPr>
          <w:rFonts w:hint="eastAsia"/>
          <w:sz w:val="24"/>
          <w:szCs w:val="24"/>
          <w:highlight w:val="none"/>
        </w:rPr>
        <w:t>评价区的西北部和东北部小面积区域</w:t>
      </w:r>
      <w:r>
        <w:rPr>
          <w:sz w:val="24"/>
          <w:szCs w:val="24"/>
          <w:highlight w:val="none"/>
        </w:rPr>
        <w:t>。</w:t>
      </w:r>
    </w:p>
    <w:p>
      <w:pPr>
        <w:spacing w:line="440" w:lineRule="atLeast"/>
        <w:ind w:firstLine="480"/>
        <w:rPr>
          <w:sz w:val="24"/>
          <w:szCs w:val="24"/>
          <w:highlight w:val="none"/>
        </w:rPr>
      </w:pPr>
      <w:r>
        <w:rPr>
          <w:rFonts w:hint="eastAsia"/>
          <w:sz w:val="24"/>
          <w:szCs w:val="24"/>
          <w:highlight w:val="none"/>
        </w:rPr>
        <w:t>评价区水文地质图详见图</w:t>
      </w:r>
      <w:r>
        <w:rPr>
          <w:sz w:val="24"/>
          <w:szCs w:val="24"/>
          <w:highlight w:val="none"/>
        </w:rPr>
        <w:t>5.2-</w:t>
      </w:r>
      <w:r>
        <w:rPr>
          <w:rFonts w:hint="eastAsia"/>
          <w:sz w:val="24"/>
          <w:szCs w:val="24"/>
          <w:highlight w:val="none"/>
        </w:rPr>
        <w:t>2。</w:t>
      </w:r>
    </w:p>
    <w:p>
      <w:pPr>
        <w:ind w:firstLine="0" w:firstLineChars="0"/>
        <w:jc w:val="both"/>
        <w:rPr>
          <w:highlight w:val="none"/>
        </w:rPr>
      </w:pPr>
      <w:r>
        <w:rPr>
          <w:highlight w:val="none"/>
        </w:rPr>
        <w:drawing>
          <wp:inline distT="0" distB="0" distL="114300" distR="114300">
            <wp:extent cx="5452745" cy="3600450"/>
            <wp:effectExtent l="0" t="0" r="0" b="0"/>
            <wp:docPr id="16" name="图片 21" descr="水文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水文地质图"/>
                    <pic:cNvPicPr>
                      <a:picLocks noChangeAspect="1"/>
                    </pic:cNvPicPr>
                  </pic:nvPicPr>
                  <pic:blipFill>
                    <a:blip r:embed="rId50"/>
                    <a:srcRect l="24786" t="6271" r="25029" b="6271"/>
                    <a:stretch>
                      <a:fillRect/>
                    </a:stretch>
                  </pic:blipFill>
                  <pic:spPr>
                    <a:xfrm>
                      <a:off x="0" y="0"/>
                      <a:ext cx="5452745" cy="3600450"/>
                    </a:xfrm>
                    <a:prstGeom prst="rect">
                      <a:avLst/>
                    </a:prstGeom>
                    <a:noFill/>
                    <a:ln>
                      <a:noFill/>
                    </a:ln>
                  </pic:spPr>
                </pic:pic>
              </a:graphicData>
            </a:graphic>
          </wp:inline>
        </w:drawing>
      </w:r>
    </w:p>
    <w:p>
      <w:pPr>
        <w:spacing w:line="360" w:lineRule="exact"/>
        <w:ind w:firstLine="420"/>
        <w:jc w:val="center"/>
        <w:rPr>
          <w:rFonts w:ascii="黑体" w:hAnsi="黑体" w:eastAsia="黑体"/>
          <w:sz w:val="21"/>
          <w:szCs w:val="21"/>
          <w:highlight w:val="none"/>
        </w:rPr>
      </w:pPr>
      <w:r>
        <w:rPr>
          <w:rFonts w:eastAsia="黑体"/>
          <w:sz w:val="21"/>
          <w:szCs w:val="24"/>
          <w:highlight w:val="none"/>
        </w:rPr>
        <w:t>图5.2-</w:t>
      </w:r>
      <w:r>
        <w:rPr>
          <w:rFonts w:hint="eastAsia" w:eastAsia="黑体"/>
          <w:sz w:val="21"/>
          <w:szCs w:val="24"/>
          <w:highlight w:val="none"/>
        </w:rPr>
        <w:t>2</w:t>
      </w:r>
      <w:r>
        <w:rPr>
          <w:rFonts w:eastAsia="黑体"/>
          <w:sz w:val="21"/>
          <w:szCs w:val="21"/>
          <w:highlight w:val="none"/>
        </w:rPr>
        <w:t xml:space="preserve"> 评价区</w:t>
      </w:r>
      <w:r>
        <w:rPr>
          <w:rFonts w:hint="eastAsia" w:ascii="黑体" w:hAnsi="黑体" w:eastAsia="黑体"/>
          <w:sz w:val="21"/>
          <w:szCs w:val="21"/>
          <w:highlight w:val="none"/>
        </w:rPr>
        <w:t>水文地质图</w:t>
      </w:r>
    </w:p>
    <w:bookmarkEnd w:id="361"/>
    <w:p>
      <w:pPr>
        <w:ind w:firstLine="480"/>
        <w:jc w:val="both"/>
        <w:rPr>
          <w:bCs/>
          <w:sz w:val="24"/>
          <w:szCs w:val="24"/>
          <w:highlight w:val="none"/>
        </w:rPr>
      </w:pPr>
      <w:bookmarkStart w:id="362" w:name="_Toc468692997"/>
      <w:r>
        <w:rPr>
          <w:bCs/>
          <w:sz w:val="24"/>
          <w:szCs w:val="24"/>
          <w:highlight w:val="none"/>
        </w:rPr>
        <w:t>（2）地下水补给、径流、排泄</w:t>
      </w:r>
    </w:p>
    <w:p>
      <w:pPr>
        <w:ind w:firstLine="480"/>
        <w:jc w:val="both"/>
        <w:rPr>
          <w:sz w:val="24"/>
          <w:szCs w:val="24"/>
          <w:highlight w:val="none"/>
        </w:rPr>
      </w:pPr>
      <w:r>
        <w:rPr>
          <w:sz w:val="24"/>
          <w:szCs w:val="24"/>
          <w:highlight w:val="none"/>
        </w:rPr>
        <w:t>1）</w:t>
      </w:r>
      <w:r>
        <w:rPr>
          <w:rFonts w:hAnsi="宋体"/>
          <w:sz w:val="24"/>
          <w:szCs w:val="24"/>
          <w:highlight w:val="none"/>
        </w:rPr>
        <w:t>评价区内地下水的主要补给来源有：大气降水入渗补给、侧向径流补给。降水入渗补给是本区地下水最主要的补给来源。降水入渗补给主要受降水量、降水特征、包气带岩性及厚度的影响。</w:t>
      </w:r>
    </w:p>
    <w:p>
      <w:pPr>
        <w:ind w:firstLine="480"/>
        <w:jc w:val="both"/>
        <w:rPr>
          <w:sz w:val="24"/>
          <w:szCs w:val="24"/>
          <w:highlight w:val="none"/>
        </w:rPr>
      </w:pPr>
      <w:r>
        <w:rPr>
          <w:sz w:val="24"/>
          <w:szCs w:val="24"/>
          <w:highlight w:val="none"/>
        </w:rPr>
        <w:t>2）地下水的径流特征</w:t>
      </w:r>
    </w:p>
    <w:p>
      <w:pPr>
        <w:ind w:firstLine="480"/>
        <w:jc w:val="both"/>
        <w:rPr>
          <w:sz w:val="24"/>
          <w:szCs w:val="24"/>
          <w:highlight w:val="none"/>
        </w:rPr>
      </w:pPr>
      <w:r>
        <w:rPr>
          <w:rFonts w:hint="eastAsia" w:hAnsi="宋体"/>
          <w:sz w:val="24"/>
          <w:szCs w:val="24"/>
          <w:highlight w:val="none"/>
        </w:rPr>
        <w:t>区域上</w:t>
      </w:r>
      <w:r>
        <w:rPr>
          <w:rFonts w:hAnsi="宋体"/>
          <w:sz w:val="24"/>
          <w:szCs w:val="24"/>
          <w:highlight w:val="none"/>
        </w:rPr>
        <w:t>地下水径流总体方向由</w:t>
      </w:r>
      <w:r>
        <w:rPr>
          <w:rFonts w:hint="eastAsia" w:hAnsi="宋体"/>
          <w:sz w:val="24"/>
          <w:szCs w:val="24"/>
          <w:highlight w:val="none"/>
        </w:rPr>
        <w:t>西北向东南流动，但由于评价区南部丘陵的阻隔，评价区处地下水整体流向受南部来水的冲击，地下水两个方向来水，汇流后整体由西北向东南偏东方向流动，</w:t>
      </w:r>
      <w:r>
        <w:rPr>
          <w:rFonts w:hAnsi="宋体"/>
          <w:sz w:val="24"/>
          <w:szCs w:val="24"/>
          <w:highlight w:val="none"/>
        </w:rPr>
        <w:t>水力坡度约为</w:t>
      </w:r>
      <w:r>
        <w:rPr>
          <w:sz w:val="24"/>
          <w:szCs w:val="24"/>
          <w:highlight w:val="none"/>
        </w:rPr>
        <w:t>1.1‰</w:t>
      </w:r>
      <w:r>
        <w:rPr>
          <w:rFonts w:hAnsi="宋体"/>
          <w:sz w:val="24"/>
          <w:szCs w:val="24"/>
          <w:highlight w:val="none"/>
        </w:rPr>
        <w:t>。</w:t>
      </w:r>
    </w:p>
    <w:p>
      <w:pPr>
        <w:ind w:firstLine="480"/>
        <w:jc w:val="both"/>
        <w:rPr>
          <w:sz w:val="24"/>
          <w:szCs w:val="24"/>
          <w:highlight w:val="none"/>
        </w:rPr>
      </w:pPr>
      <w:r>
        <w:rPr>
          <w:sz w:val="24"/>
          <w:szCs w:val="24"/>
          <w:highlight w:val="none"/>
        </w:rPr>
        <w:t>3）地下水的排泄特征</w:t>
      </w:r>
    </w:p>
    <w:p>
      <w:pPr>
        <w:ind w:firstLine="480"/>
        <w:jc w:val="both"/>
        <w:rPr>
          <w:sz w:val="24"/>
          <w:szCs w:val="24"/>
          <w:highlight w:val="none"/>
        </w:rPr>
      </w:pPr>
      <w:r>
        <w:rPr>
          <w:rFonts w:hAnsi="宋体"/>
          <w:sz w:val="24"/>
          <w:szCs w:val="24"/>
          <w:highlight w:val="none"/>
        </w:rPr>
        <w:t>该区内地下水的排泄方式主要是工农业用水开采。</w:t>
      </w:r>
    </w:p>
    <w:p>
      <w:pPr>
        <w:ind w:firstLine="480"/>
        <w:jc w:val="both"/>
        <w:rPr>
          <w:bCs/>
          <w:sz w:val="24"/>
          <w:szCs w:val="24"/>
          <w:highlight w:val="none"/>
        </w:rPr>
      </w:pPr>
      <w:r>
        <w:rPr>
          <w:bCs/>
          <w:sz w:val="24"/>
          <w:szCs w:val="24"/>
          <w:highlight w:val="none"/>
        </w:rPr>
        <w:t>（3）</w:t>
      </w:r>
      <w:r>
        <w:rPr>
          <w:rFonts w:hint="eastAsia"/>
          <w:bCs/>
          <w:sz w:val="24"/>
          <w:szCs w:val="24"/>
          <w:highlight w:val="none"/>
        </w:rPr>
        <w:t>评价区水化学特征</w:t>
      </w:r>
    </w:p>
    <w:p>
      <w:pPr>
        <w:spacing w:line="440" w:lineRule="atLeast"/>
        <w:ind w:firstLine="480"/>
        <w:rPr>
          <w:sz w:val="24"/>
          <w:szCs w:val="24"/>
          <w:highlight w:val="none"/>
        </w:rPr>
      </w:pPr>
      <w:r>
        <w:rPr>
          <w:rFonts w:hint="eastAsia"/>
          <w:sz w:val="24"/>
          <w:szCs w:val="24"/>
          <w:highlight w:val="none"/>
        </w:rPr>
        <w:t>评价区浅层地下水中Ca、Mg、Na和K的平均值分别为183.50mg/L、26.20mg/L、56.31mg/L和1.30mg/L；CO</w:t>
      </w:r>
      <w:r>
        <w:rPr>
          <w:rFonts w:hint="eastAsia"/>
          <w:sz w:val="24"/>
          <w:szCs w:val="24"/>
          <w:highlight w:val="none"/>
          <w:vertAlign w:val="subscript"/>
        </w:rPr>
        <w:t>3</w:t>
      </w:r>
      <w:r>
        <w:rPr>
          <w:rFonts w:hint="eastAsia"/>
          <w:sz w:val="24"/>
          <w:szCs w:val="24"/>
          <w:highlight w:val="none"/>
          <w:vertAlign w:val="superscript"/>
        </w:rPr>
        <w:t>2-</w:t>
      </w:r>
      <w:r>
        <w:rPr>
          <w:rFonts w:hint="eastAsia"/>
          <w:sz w:val="24"/>
          <w:szCs w:val="24"/>
          <w:highlight w:val="none"/>
        </w:rPr>
        <w:t>、HCO</w:t>
      </w:r>
      <w:r>
        <w:rPr>
          <w:rFonts w:hint="eastAsia"/>
          <w:sz w:val="24"/>
          <w:szCs w:val="24"/>
          <w:highlight w:val="none"/>
          <w:vertAlign w:val="subscript"/>
        </w:rPr>
        <w:t>3</w:t>
      </w:r>
      <w:r>
        <w:rPr>
          <w:rFonts w:hint="eastAsia"/>
          <w:sz w:val="24"/>
          <w:szCs w:val="24"/>
          <w:highlight w:val="none"/>
          <w:vertAlign w:val="superscript"/>
        </w:rPr>
        <w:t>-</w:t>
      </w:r>
      <w:r>
        <w:rPr>
          <w:rFonts w:hint="eastAsia"/>
          <w:sz w:val="24"/>
          <w:szCs w:val="24"/>
          <w:highlight w:val="none"/>
        </w:rPr>
        <w:t>、Cl</w:t>
      </w:r>
      <w:r>
        <w:rPr>
          <w:rFonts w:hint="eastAsia"/>
          <w:sz w:val="24"/>
          <w:szCs w:val="24"/>
          <w:highlight w:val="none"/>
          <w:vertAlign w:val="superscript"/>
        </w:rPr>
        <w:t>-</w:t>
      </w:r>
      <w:r>
        <w:rPr>
          <w:rFonts w:hint="eastAsia"/>
          <w:sz w:val="24"/>
          <w:szCs w:val="24"/>
          <w:highlight w:val="none"/>
        </w:rPr>
        <w:t>和SO</w:t>
      </w:r>
      <w:r>
        <w:rPr>
          <w:rFonts w:hint="eastAsia"/>
          <w:sz w:val="24"/>
          <w:szCs w:val="24"/>
          <w:highlight w:val="none"/>
          <w:vertAlign w:val="subscript"/>
        </w:rPr>
        <w:t>4</w:t>
      </w:r>
      <w:r>
        <w:rPr>
          <w:rFonts w:hint="eastAsia"/>
          <w:sz w:val="24"/>
          <w:szCs w:val="24"/>
          <w:highlight w:val="none"/>
          <w:vertAlign w:val="superscript"/>
        </w:rPr>
        <w:t>2-</w:t>
      </w:r>
      <w:r>
        <w:rPr>
          <w:rFonts w:hint="eastAsia"/>
          <w:sz w:val="24"/>
          <w:szCs w:val="24"/>
          <w:highlight w:val="none"/>
        </w:rPr>
        <w:t>的平均值分别为0mg/L、320.75mg/L、53.75mg/L和109.80mg/L；溶解性总固体含量平均值为905.13mg/L。</w:t>
      </w:r>
      <w:r>
        <w:rPr>
          <w:sz w:val="24"/>
          <w:szCs w:val="24"/>
          <w:highlight w:val="none"/>
        </w:rPr>
        <w:t>由</w:t>
      </w:r>
      <w:r>
        <w:rPr>
          <w:rFonts w:hint="eastAsia"/>
          <w:sz w:val="24"/>
          <w:szCs w:val="24"/>
          <w:highlight w:val="none"/>
        </w:rPr>
        <w:t>评价区浅层</w:t>
      </w:r>
      <w:r>
        <w:rPr>
          <w:sz w:val="24"/>
          <w:szCs w:val="24"/>
          <w:highlight w:val="none"/>
        </w:rPr>
        <w:t>地下水水质监测的毫克当量百分比可知，评价区区地下水类型潜水主要为HCO</w:t>
      </w:r>
      <w:r>
        <w:rPr>
          <w:sz w:val="24"/>
          <w:szCs w:val="24"/>
          <w:highlight w:val="none"/>
          <w:vertAlign w:val="subscript"/>
        </w:rPr>
        <w:t>3</w:t>
      </w:r>
      <w:r>
        <w:rPr>
          <w:sz w:val="24"/>
          <w:szCs w:val="24"/>
          <w:highlight w:val="none"/>
        </w:rPr>
        <w:t>-Ca型，有少量地下水类型为SO</w:t>
      </w:r>
      <w:r>
        <w:rPr>
          <w:sz w:val="24"/>
          <w:szCs w:val="24"/>
          <w:highlight w:val="none"/>
          <w:vertAlign w:val="subscript"/>
        </w:rPr>
        <w:t>4</w:t>
      </w:r>
      <w:r>
        <w:rPr>
          <w:sz w:val="24"/>
          <w:szCs w:val="24"/>
          <w:highlight w:val="none"/>
        </w:rPr>
        <w:t>·HCO</w:t>
      </w:r>
      <w:r>
        <w:rPr>
          <w:sz w:val="24"/>
          <w:szCs w:val="24"/>
          <w:highlight w:val="none"/>
          <w:vertAlign w:val="subscript"/>
        </w:rPr>
        <w:t>3</w:t>
      </w:r>
      <w:r>
        <w:rPr>
          <w:sz w:val="24"/>
          <w:szCs w:val="24"/>
          <w:highlight w:val="none"/>
        </w:rPr>
        <w:t>-Ca型</w:t>
      </w:r>
      <w:r>
        <w:rPr>
          <w:rFonts w:hint="eastAsia"/>
          <w:sz w:val="24"/>
          <w:szCs w:val="24"/>
          <w:highlight w:val="none"/>
        </w:rPr>
        <w:t>。</w:t>
      </w:r>
    </w:p>
    <w:p>
      <w:pPr>
        <w:spacing w:line="240" w:lineRule="auto"/>
        <w:ind w:firstLine="0" w:firstLineChars="0"/>
        <w:jc w:val="center"/>
        <w:textAlignment w:val="auto"/>
        <w:rPr>
          <w:rFonts w:eastAsia="黑体"/>
          <w:kern w:val="2"/>
          <w:sz w:val="21"/>
          <w:szCs w:val="21"/>
          <w:highlight w:val="none"/>
        </w:rPr>
      </w:pPr>
    </w:p>
    <w:p>
      <w:pPr>
        <w:spacing w:line="240" w:lineRule="auto"/>
        <w:ind w:firstLine="0" w:firstLineChars="0"/>
        <w:jc w:val="center"/>
        <w:textAlignment w:val="auto"/>
        <w:rPr>
          <w:rFonts w:eastAsia="黑体"/>
          <w:kern w:val="2"/>
          <w:sz w:val="21"/>
          <w:szCs w:val="21"/>
          <w:highlight w:val="none"/>
        </w:rPr>
      </w:pP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表5.2-</w:t>
      </w:r>
      <w:r>
        <w:rPr>
          <w:rFonts w:hint="eastAsia" w:eastAsia="黑体"/>
          <w:kern w:val="2"/>
          <w:sz w:val="21"/>
          <w:szCs w:val="21"/>
          <w:highlight w:val="none"/>
        </w:rPr>
        <w:t>9   评价区浅层</w:t>
      </w:r>
      <w:r>
        <w:rPr>
          <w:rFonts w:eastAsia="黑体"/>
          <w:kern w:val="2"/>
          <w:sz w:val="21"/>
          <w:szCs w:val="21"/>
          <w:highlight w:val="none"/>
        </w:rPr>
        <w:t>水质</w:t>
      </w:r>
      <w:r>
        <w:rPr>
          <w:rFonts w:hint="eastAsia" w:eastAsia="黑体"/>
          <w:kern w:val="2"/>
          <w:sz w:val="21"/>
          <w:szCs w:val="21"/>
          <w:highlight w:val="none"/>
        </w:rPr>
        <w:t>毫克当量百分比</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892"/>
        <w:gridCol w:w="955"/>
        <w:gridCol w:w="954"/>
        <w:gridCol w:w="954"/>
        <w:gridCol w:w="890"/>
        <w:gridCol w:w="954"/>
        <w:gridCol w:w="954"/>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rFonts w:hint="eastAsia"/>
                <w:sz w:val="21"/>
                <w:highlight w:val="none"/>
              </w:rPr>
              <w:t>监测项目</w:t>
            </w:r>
          </w:p>
        </w:tc>
        <w:tc>
          <w:tcPr>
            <w:tcW w:w="892" w:type="dxa"/>
            <w:vAlign w:val="center"/>
          </w:tcPr>
          <w:p>
            <w:pPr>
              <w:spacing w:line="240" w:lineRule="auto"/>
              <w:ind w:firstLine="0" w:firstLineChars="0"/>
              <w:jc w:val="center"/>
              <w:rPr>
                <w:sz w:val="21"/>
                <w:highlight w:val="none"/>
              </w:rPr>
            </w:pPr>
            <w:r>
              <w:rPr>
                <w:sz w:val="21"/>
                <w:highlight w:val="none"/>
              </w:rPr>
              <w:t>K</w:t>
            </w:r>
            <w:r>
              <w:rPr>
                <w:sz w:val="21"/>
                <w:highlight w:val="none"/>
                <w:vertAlign w:val="superscript"/>
              </w:rPr>
              <w:t>+</w:t>
            </w:r>
          </w:p>
        </w:tc>
        <w:tc>
          <w:tcPr>
            <w:tcW w:w="955" w:type="dxa"/>
            <w:vAlign w:val="center"/>
          </w:tcPr>
          <w:p>
            <w:pPr>
              <w:spacing w:line="240" w:lineRule="auto"/>
              <w:ind w:firstLine="0" w:firstLineChars="0"/>
              <w:jc w:val="center"/>
              <w:rPr>
                <w:sz w:val="21"/>
                <w:highlight w:val="none"/>
              </w:rPr>
            </w:pPr>
            <w:r>
              <w:rPr>
                <w:sz w:val="21"/>
                <w:highlight w:val="none"/>
              </w:rPr>
              <w:t>Na</w:t>
            </w:r>
            <w:r>
              <w:rPr>
                <w:sz w:val="21"/>
                <w:highlight w:val="none"/>
                <w:vertAlign w:val="superscript"/>
              </w:rPr>
              <w:t>+</w:t>
            </w:r>
          </w:p>
        </w:tc>
        <w:tc>
          <w:tcPr>
            <w:tcW w:w="954" w:type="dxa"/>
            <w:vAlign w:val="center"/>
          </w:tcPr>
          <w:p>
            <w:pPr>
              <w:spacing w:line="240" w:lineRule="auto"/>
              <w:ind w:firstLine="0" w:firstLineChars="0"/>
              <w:jc w:val="center"/>
              <w:rPr>
                <w:sz w:val="21"/>
                <w:highlight w:val="none"/>
              </w:rPr>
            </w:pPr>
            <w:r>
              <w:rPr>
                <w:sz w:val="21"/>
                <w:highlight w:val="none"/>
              </w:rPr>
              <w:t>Ca</w:t>
            </w:r>
            <w:r>
              <w:rPr>
                <w:sz w:val="21"/>
                <w:highlight w:val="none"/>
                <w:vertAlign w:val="superscript"/>
              </w:rPr>
              <w:t>2+</w:t>
            </w:r>
          </w:p>
        </w:tc>
        <w:tc>
          <w:tcPr>
            <w:tcW w:w="954" w:type="dxa"/>
            <w:vAlign w:val="center"/>
          </w:tcPr>
          <w:p>
            <w:pPr>
              <w:spacing w:line="240" w:lineRule="auto"/>
              <w:ind w:firstLine="0" w:firstLineChars="0"/>
              <w:jc w:val="center"/>
              <w:rPr>
                <w:sz w:val="21"/>
                <w:highlight w:val="none"/>
              </w:rPr>
            </w:pPr>
            <w:r>
              <w:rPr>
                <w:sz w:val="21"/>
                <w:highlight w:val="none"/>
              </w:rPr>
              <w:t>Mg</w:t>
            </w:r>
            <w:r>
              <w:rPr>
                <w:sz w:val="21"/>
                <w:highlight w:val="none"/>
                <w:vertAlign w:val="superscript"/>
              </w:rPr>
              <w:t>2+</w:t>
            </w:r>
          </w:p>
        </w:tc>
        <w:tc>
          <w:tcPr>
            <w:tcW w:w="890" w:type="dxa"/>
            <w:vAlign w:val="center"/>
          </w:tcPr>
          <w:p>
            <w:pPr>
              <w:spacing w:line="240" w:lineRule="auto"/>
              <w:ind w:firstLine="0" w:firstLineChars="0"/>
              <w:jc w:val="center"/>
              <w:rPr>
                <w:sz w:val="21"/>
                <w:highlight w:val="none"/>
              </w:rPr>
            </w:pPr>
            <w:r>
              <w:rPr>
                <w:sz w:val="21"/>
                <w:highlight w:val="none"/>
              </w:rPr>
              <w:t>CO</w:t>
            </w:r>
            <w:r>
              <w:rPr>
                <w:sz w:val="21"/>
                <w:highlight w:val="none"/>
                <w:vertAlign w:val="subscript"/>
              </w:rPr>
              <w:t>3</w:t>
            </w:r>
            <w:r>
              <w:rPr>
                <w:sz w:val="21"/>
                <w:highlight w:val="none"/>
                <w:vertAlign w:val="superscript"/>
              </w:rPr>
              <w:t>2-</w:t>
            </w:r>
          </w:p>
        </w:tc>
        <w:tc>
          <w:tcPr>
            <w:tcW w:w="954" w:type="dxa"/>
            <w:vAlign w:val="center"/>
          </w:tcPr>
          <w:p>
            <w:pPr>
              <w:spacing w:line="240" w:lineRule="auto"/>
              <w:ind w:firstLine="0" w:firstLineChars="0"/>
              <w:jc w:val="center"/>
              <w:rPr>
                <w:sz w:val="21"/>
                <w:highlight w:val="none"/>
              </w:rPr>
            </w:pPr>
            <w:r>
              <w:rPr>
                <w:sz w:val="21"/>
                <w:highlight w:val="none"/>
              </w:rPr>
              <w:t>HCO</w:t>
            </w:r>
            <w:r>
              <w:rPr>
                <w:sz w:val="21"/>
                <w:highlight w:val="none"/>
                <w:vertAlign w:val="subscript"/>
              </w:rPr>
              <w:t>3-</w:t>
            </w:r>
          </w:p>
        </w:tc>
        <w:tc>
          <w:tcPr>
            <w:tcW w:w="954" w:type="dxa"/>
            <w:vAlign w:val="center"/>
          </w:tcPr>
          <w:p>
            <w:pPr>
              <w:spacing w:line="240" w:lineRule="auto"/>
              <w:ind w:firstLine="0" w:firstLineChars="0"/>
              <w:jc w:val="center"/>
              <w:rPr>
                <w:sz w:val="21"/>
                <w:highlight w:val="none"/>
              </w:rPr>
            </w:pPr>
            <w:r>
              <w:rPr>
                <w:sz w:val="21"/>
                <w:highlight w:val="none"/>
              </w:rPr>
              <w:t>Cl-</w:t>
            </w:r>
          </w:p>
        </w:tc>
        <w:tc>
          <w:tcPr>
            <w:tcW w:w="949" w:type="dxa"/>
            <w:vAlign w:val="center"/>
          </w:tcPr>
          <w:p>
            <w:pPr>
              <w:spacing w:line="240" w:lineRule="auto"/>
              <w:ind w:firstLine="0" w:firstLineChars="0"/>
              <w:jc w:val="center"/>
              <w:rPr>
                <w:sz w:val="21"/>
                <w:highlight w:val="none"/>
              </w:rPr>
            </w:pPr>
            <w:r>
              <w:rPr>
                <w:sz w:val="21"/>
                <w:highlight w:val="none"/>
              </w:rPr>
              <w:t>SO</w:t>
            </w:r>
            <w:r>
              <w:rPr>
                <w:sz w:val="21"/>
                <w:highlight w:val="none"/>
                <w:vertAlign w:val="subscript"/>
              </w:rPr>
              <w:t>4</w:t>
            </w:r>
            <w:r>
              <w:rPr>
                <w:sz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rFonts w:hint="eastAsia"/>
                <w:sz w:val="21"/>
                <w:highlight w:val="none"/>
              </w:rPr>
              <w:t>单位</w:t>
            </w:r>
          </w:p>
        </w:tc>
        <w:tc>
          <w:tcPr>
            <w:tcW w:w="892" w:type="dxa"/>
            <w:vAlign w:val="center"/>
          </w:tcPr>
          <w:p>
            <w:pPr>
              <w:spacing w:line="240" w:lineRule="auto"/>
              <w:ind w:firstLine="0" w:firstLineChars="0"/>
              <w:jc w:val="center"/>
              <w:rPr>
                <w:sz w:val="21"/>
                <w:highlight w:val="none"/>
              </w:rPr>
            </w:pPr>
            <w:r>
              <w:rPr>
                <w:sz w:val="21"/>
                <w:highlight w:val="none"/>
              </w:rPr>
              <w:t>%</w:t>
            </w:r>
          </w:p>
        </w:tc>
        <w:tc>
          <w:tcPr>
            <w:tcW w:w="955" w:type="dxa"/>
            <w:vAlign w:val="center"/>
          </w:tcPr>
          <w:p>
            <w:pPr>
              <w:spacing w:line="240" w:lineRule="auto"/>
              <w:ind w:firstLine="0" w:firstLineChars="0"/>
              <w:jc w:val="center"/>
              <w:rPr>
                <w:sz w:val="21"/>
                <w:highlight w:val="none"/>
              </w:rPr>
            </w:pPr>
            <w:r>
              <w:rPr>
                <w:sz w:val="21"/>
                <w:highlight w:val="none"/>
              </w:rPr>
              <w:t>%</w:t>
            </w:r>
          </w:p>
        </w:tc>
        <w:tc>
          <w:tcPr>
            <w:tcW w:w="954" w:type="dxa"/>
            <w:vAlign w:val="center"/>
          </w:tcPr>
          <w:p>
            <w:pPr>
              <w:spacing w:line="240" w:lineRule="auto"/>
              <w:ind w:firstLine="0" w:firstLineChars="0"/>
              <w:jc w:val="center"/>
              <w:rPr>
                <w:sz w:val="21"/>
                <w:highlight w:val="none"/>
              </w:rPr>
            </w:pPr>
            <w:r>
              <w:rPr>
                <w:sz w:val="21"/>
                <w:highlight w:val="none"/>
              </w:rPr>
              <w:t>%</w:t>
            </w:r>
          </w:p>
        </w:tc>
        <w:tc>
          <w:tcPr>
            <w:tcW w:w="954" w:type="dxa"/>
            <w:vAlign w:val="center"/>
          </w:tcPr>
          <w:p>
            <w:pPr>
              <w:spacing w:line="240" w:lineRule="auto"/>
              <w:ind w:firstLine="0" w:firstLineChars="0"/>
              <w:jc w:val="center"/>
              <w:rPr>
                <w:sz w:val="21"/>
                <w:highlight w:val="none"/>
              </w:rPr>
            </w:pPr>
            <w:r>
              <w:rPr>
                <w:sz w:val="21"/>
                <w:highlight w:val="none"/>
              </w:rPr>
              <w:t>%</w:t>
            </w:r>
          </w:p>
        </w:tc>
        <w:tc>
          <w:tcPr>
            <w:tcW w:w="890" w:type="dxa"/>
            <w:vAlign w:val="center"/>
          </w:tcPr>
          <w:p>
            <w:pPr>
              <w:spacing w:line="240" w:lineRule="auto"/>
              <w:ind w:firstLine="0" w:firstLineChars="0"/>
              <w:jc w:val="center"/>
              <w:rPr>
                <w:sz w:val="21"/>
                <w:highlight w:val="none"/>
              </w:rPr>
            </w:pPr>
            <w:r>
              <w:rPr>
                <w:sz w:val="21"/>
                <w:highlight w:val="none"/>
              </w:rPr>
              <w:t>%</w:t>
            </w:r>
          </w:p>
        </w:tc>
        <w:tc>
          <w:tcPr>
            <w:tcW w:w="954" w:type="dxa"/>
            <w:vAlign w:val="center"/>
          </w:tcPr>
          <w:p>
            <w:pPr>
              <w:spacing w:line="240" w:lineRule="auto"/>
              <w:ind w:firstLine="0" w:firstLineChars="0"/>
              <w:jc w:val="center"/>
              <w:rPr>
                <w:sz w:val="21"/>
                <w:highlight w:val="none"/>
              </w:rPr>
            </w:pPr>
            <w:r>
              <w:rPr>
                <w:sz w:val="21"/>
                <w:highlight w:val="none"/>
              </w:rPr>
              <w:t>%</w:t>
            </w:r>
          </w:p>
        </w:tc>
        <w:tc>
          <w:tcPr>
            <w:tcW w:w="954" w:type="dxa"/>
            <w:vAlign w:val="center"/>
          </w:tcPr>
          <w:p>
            <w:pPr>
              <w:spacing w:line="240" w:lineRule="auto"/>
              <w:ind w:firstLine="0" w:firstLineChars="0"/>
              <w:jc w:val="center"/>
              <w:rPr>
                <w:sz w:val="21"/>
                <w:highlight w:val="none"/>
              </w:rPr>
            </w:pPr>
            <w:r>
              <w:rPr>
                <w:sz w:val="21"/>
                <w:highlight w:val="none"/>
              </w:rPr>
              <w:t>%</w:t>
            </w:r>
          </w:p>
        </w:tc>
        <w:tc>
          <w:tcPr>
            <w:tcW w:w="949" w:type="dxa"/>
            <w:vAlign w:val="center"/>
          </w:tcPr>
          <w:p>
            <w:pPr>
              <w:spacing w:line="240" w:lineRule="auto"/>
              <w:ind w:firstLine="0" w:firstLineChars="0"/>
              <w:jc w:val="center"/>
              <w:rPr>
                <w:sz w:val="21"/>
                <w:highlight w:val="none"/>
              </w:rPr>
            </w:pPr>
            <w:r>
              <w:rPr>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sz w:val="21"/>
                <w:highlight w:val="none"/>
              </w:rPr>
              <w:t>J1</w:t>
            </w:r>
          </w:p>
        </w:tc>
        <w:tc>
          <w:tcPr>
            <w:tcW w:w="892" w:type="dxa"/>
            <w:vAlign w:val="center"/>
          </w:tcPr>
          <w:p>
            <w:pPr>
              <w:spacing w:line="240" w:lineRule="auto"/>
              <w:ind w:firstLine="0" w:firstLineChars="0"/>
              <w:jc w:val="center"/>
              <w:rPr>
                <w:sz w:val="21"/>
                <w:highlight w:val="none"/>
              </w:rPr>
            </w:pPr>
            <w:r>
              <w:rPr>
                <w:rFonts w:hint="eastAsia"/>
                <w:sz w:val="21"/>
                <w:highlight w:val="none"/>
              </w:rPr>
              <w:t xml:space="preserve">0.070 </w:t>
            </w:r>
          </w:p>
        </w:tc>
        <w:tc>
          <w:tcPr>
            <w:tcW w:w="955" w:type="dxa"/>
            <w:vAlign w:val="center"/>
          </w:tcPr>
          <w:p>
            <w:pPr>
              <w:spacing w:line="240" w:lineRule="auto"/>
              <w:ind w:firstLine="0" w:firstLineChars="0"/>
              <w:jc w:val="center"/>
              <w:rPr>
                <w:sz w:val="21"/>
                <w:highlight w:val="none"/>
              </w:rPr>
            </w:pPr>
            <w:r>
              <w:rPr>
                <w:rFonts w:hint="eastAsia"/>
                <w:sz w:val="21"/>
                <w:highlight w:val="none"/>
              </w:rPr>
              <w:t xml:space="preserve">11.097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81.643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7.191 </w:t>
            </w:r>
          </w:p>
        </w:tc>
        <w:tc>
          <w:tcPr>
            <w:tcW w:w="890" w:type="dxa"/>
            <w:vAlign w:val="center"/>
          </w:tcPr>
          <w:p>
            <w:pPr>
              <w:spacing w:line="240" w:lineRule="auto"/>
              <w:ind w:firstLine="0" w:firstLineChars="0"/>
              <w:jc w:val="center"/>
              <w:rPr>
                <w:sz w:val="21"/>
                <w:highlight w:val="none"/>
              </w:rPr>
            </w:pPr>
            <w:r>
              <w:rPr>
                <w:rFonts w:hint="eastAsia"/>
                <w:sz w:val="21"/>
                <w:highlight w:val="none"/>
              </w:rPr>
              <w:t xml:space="preserve">0.000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62.553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13.599 </w:t>
            </w:r>
          </w:p>
        </w:tc>
        <w:tc>
          <w:tcPr>
            <w:tcW w:w="949" w:type="dxa"/>
            <w:vAlign w:val="center"/>
          </w:tcPr>
          <w:p>
            <w:pPr>
              <w:spacing w:line="240" w:lineRule="auto"/>
              <w:ind w:firstLine="0" w:firstLineChars="0"/>
              <w:jc w:val="center"/>
              <w:rPr>
                <w:sz w:val="21"/>
                <w:highlight w:val="none"/>
              </w:rPr>
            </w:pPr>
            <w:r>
              <w:rPr>
                <w:rFonts w:hint="eastAsia"/>
                <w:sz w:val="21"/>
                <w:highlight w:val="none"/>
              </w:rPr>
              <w:t xml:space="preserve">23.848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sz w:val="21"/>
                <w:highlight w:val="none"/>
              </w:rPr>
              <w:t>J2</w:t>
            </w:r>
          </w:p>
        </w:tc>
        <w:tc>
          <w:tcPr>
            <w:tcW w:w="892" w:type="dxa"/>
            <w:vAlign w:val="center"/>
          </w:tcPr>
          <w:p>
            <w:pPr>
              <w:spacing w:line="240" w:lineRule="auto"/>
              <w:ind w:firstLine="0" w:firstLineChars="0"/>
              <w:jc w:val="center"/>
              <w:rPr>
                <w:sz w:val="21"/>
                <w:highlight w:val="none"/>
              </w:rPr>
            </w:pPr>
            <w:r>
              <w:rPr>
                <w:rFonts w:hint="eastAsia"/>
                <w:sz w:val="21"/>
                <w:highlight w:val="none"/>
              </w:rPr>
              <w:t xml:space="preserve">0.095 </w:t>
            </w:r>
          </w:p>
        </w:tc>
        <w:tc>
          <w:tcPr>
            <w:tcW w:w="955" w:type="dxa"/>
            <w:vAlign w:val="center"/>
          </w:tcPr>
          <w:p>
            <w:pPr>
              <w:spacing w:line="240" w:lineRule="auto"/>
              <w:ind w:firstLine="0" w:firstLineChars="0"/>
              <w:jc w:val="center"/>
              <w:rPr>
                <w:sz w:val="21"/>
                <w:highlight w:val="none"/>
              </w:rPr>
            </w:pPr>
            <w:r>
              <w:rPr>
                <w:rFonts w:hint="eastAsia"/>
                <w:sz w:val="21"/>
                <w:highlight w:val="none"/>
              </w:rPr>
              <w:t xml:space="preserve">7.958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80.330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11.618 </w:t>
            </w:r>
          </w:p>
        </w:tc>
        <w:tc>
          <w:tcPr>
            <w:tcW w:w="890" w:type="dxa"/>
            <w:vAlign w:val="center"/>
          </w:tcPr>
          <w:p>
            <w:pPr>
              <w:spacing w:line="240" w:lineRule="auto"/>
              <w:ind w:firstLine="0" w:firstLineChars="0"/>
              <w:jc w:val="center"/>
              <w:rPr>
                <w:sz w:val="21"/>
                <w:highlight w:val="none"/>
              </w:rPr>
            </w:pPr>
            <w:r>
              <w:rPr>
                <w:rFonts w:hint="eastAsia"/>
                <w:sz w:val="21"/>
                <w:highlight w:val="none"/>
              </w:rPr>
              <w:t xml:space="preserve">0.000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53.879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26.476 </w:t>
            </w:r>
          </w:p>
        </w:tc>
        <w:tc>
          <w:tcPr>
            <w:tcW w:w="949" w:type="dxa"/>
            <w:vAlign w:val="center"/>
          </w:tcPr>
          <w:p>
            <w:pPr>
              <w:spacing w:line="240" w:lineRule="auto"/>
              <w:ind w:firstLine="0" w:firstLineChars="0"/>
              <w:jc w:val="center"/>
              <w:rPr>
                <w:sz w:val="21"/>
                <w:highlight w:val="none"/>
              </w:rPr>
            </w:pPr>
            <w:r>
              <w:rPr>
                <w:rFonts w:hint="eastAsia"/>
                <w:sz w:val="21"/>
                <w:highlight w:val="none"/>
              </w:rPr>
              <w:t xml:space="preserve">19.645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sz w:val="21"/>
                <w:highlight w:val="none"/>
              </w:rPr>
              <w:t>J3</w:t>
            </w:r>
          </w:p>
        </w:tc>
        <w:tc>
          <w:tcPr>
            <w:tcW w:w="892" w:type="dxa"/>
            <w:vAlign w:val="center"/>
          </w:tcPr>
          <w:p>
            <w:pPr>
              <w:spacing w:line="240" w:lineRule="auto"/>
              <w:ind w:firstLine="0" w:firstLineChars="0"/>
              <w:jc w:val="center"/>
              <w:rPr>
                <w:sz w:val="21"/>
                <w:highlight w:val="none"/>
              </w:rPr>
            </w:pPr>
            <w:r>
              <w:rPr>
                <w:rFonts w:hint="eastAsia"/>
                <w:sz w:val="21"/>
                <w:highlight w:val="none"/>
              </w:rPr>
              <w:t xml:space="preserve">0.089 </w:t>
            </w:r>
          </w:p>
        </w:tc>
        <w:tc>
          <w:tcPr>
            <w:tcW w:w="955" w:type="dxa"/>
            <w:vAlign w:val="center"/>
          </w:tcPr>
          <w:p>
            <w:pPr>
              <w:spacing w:line="240" w:lineRule="auto"/>
              <w:ind w:firstLine="0" w:firstLineChars="0"/>
              <w:jc w:val="center"/>
              <w:rPr>
                <w:sz w:val="21"/>
                <w:highlight w:val="none"/>
              </w:rPr>
            </w:pPr>
            <w:r>
              <w:rPr>
                <w:rFonts w:hint="eastAsia"/>
                <w:sz w:val="21"/>
                <w:highlight w:val="none"/>
              </w:rPr>
              <w:t xml:space="preserve">21.213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71.470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7.228 </w:t>
            </w:r>
          </w:p>
        </w:tc>
        <w:tc>
          <w:tcPr>
            <w:tcW w:w="890" w:type="dxa"/>
            <w:vAlign w:val="center"/>
          </w:tcPr>
          <w:p>
            <w:pPr>
              <w:spacing w:line="240" w:lineRule="auto"/>
              <w:ind w:firstLine="0" w:firstLineChars="0"/>
              <w:jc w:val="center"/>
              <w:rPr>
                <w:sz w:val="21"/>
                <w:highlight w:val="none"/>
              </w:rPr>
            </w:pPr>
            <w:r>
              <w:rPr>
                <w:rFonts w:hint="eastAsia"/>
                <w:sz w:val="21"/>
                <w:highlight w:val="none"/>
              </w:rPr>
              <w:t xml:space="preserve">0.000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64.647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13.411 </w:t>
            </w:r>
          </w:p>
        </w:tc>
        <w:tc>
          <w:tcPr>
            <w:tcW w:w="949" w:type="dxa"/>
            <w:vAlign w:val="center"/>
          </w:tcPr>
          <w:p>
            <w:pPr>
              <w:spacing w:line="240" w:lineRule="auto"/>
              <w:ind w:firstLine="0" w:firstLineChars="0"/>
              <w:jc w:val="center"/>
              <w:rPr>
                <w:sz w:val="21"/>
                <w:highlight w:val="none"/>
              </w:rPr>
            </w:pPr>
            <w:r>
              <w:rPr>
                <w:rFonts w:hint="eastAsia"/>
                <w:sz w:val="21"/>
                <w:highlight w:val="none"/>
              </w:rPr>
              <w:t xml:space="preserve">21.942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sz w:val="21"/>
                <w:highlight w:val="none"/>
              </w:rPr>
              <w:t>J4</w:t>
            </w:r>
          </w:p>
        </w:tc>
        <w:tc>
          <w:tcPr>
            <w:tcW w:w="892" w:type="dxa"/>
            <w:vAlign w:val="center"/>
          </w:tcPr>
          <w:p>
            <w:pPr>
              <w:spacing w:line="240" w:lineRule="auto"/>
              <w:ind w:firstLine="0" w:firstLineChars="0"/>
              <w:jc w:val="center"/>
              <w:rPr>
                <w:sz w:val="21"/>
                <w:highlight w:val="none"/>
              </w:rPr>
            </w:pPr>
            <w:r>
              <w:rPr>
                <w:rFonts w:hint="eastAsia"/>
                <w:sz w:val="21"/>
                <w:highlight w:val="none"/>
              </w:rPr>
              <w:t xml:space="preserve">0.353 </w:t>
            </w:r>
          </w:p>
        </w:tc>
        <w:tc>
          <w:tcPr>
            <w:tcW w:w="955" w:type="dxa"/>
            <w:vAlign w:val="center"/>
          </w:tcPr>
          <w:p>
            <w:pPr>
              <w:spacing w:line="240" w:lineRule="auto"/>
              <w:ind w:firstLine="0" w:firstLineChars="0"/>
              <w:jc w:val="center"/>
              <w:rPr>
                <w:sz w:val="21"/>
                <w:highlight w:val="none"/>
              </w:rPr>
            </w:pPr>
            <w:r>
              <w:rPr>
                <w:rFonts w:hint="eastAsia"/>
                <w:sz w:val="21"/>
                <w:highlight w:val="none"/>
              </w:rPr>
              <w:t xml:space="preserve">15.769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70.718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13.160 </w:t>
            </w:r>
          </w:p>
        </w:tc>
        <w:tc>
          <w:tcPr>
            <w:tcW w:w="890" w:type="dxa"/>
            <w:vAlign w:val="center"/>
          </w:tcPr>
          <w:p>
            <w:pPr>
              <w:spacing w:line="240" w:lineRule="auto"/>
              <w:ind w:firstLine="0" w:firstLineChars="0"/>
              <w:jc w:val="center"/>
              <w:rPr>
                <w:sz w:val="21"/>
                <w:highlight w:val="none"/>
              </w:rPr>
            </w:pPr>
            <w:r>
              <w:rPr>
                <w:rFonts w:hint="eastAsia"/>
                <w:sz w:val="21"/>
                <w:highlight w:val="none"/>
              </w:rPr>
              <w:t xml:space="preserve">0.000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57.518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16.389 </w:t>
            </w:r>
          </w:p>
        </w:tc>
        <w:tc>
          <w:tcPr>
            <w:tcW w:w="949" w:type="dxa"/>
            <w:vAlign w:val="center"/>
          </w:tcPr>
          <w:p>
            <w:pPr>
              <w:spacing w:line="240" w:lineRule="auto"/>
              <w:ind w:firstLine="0" w:firstLineChars="0"/>
              <w:jc w:val="center"/>
              <w:rPr>
                <w:sz w:val="21"/>
                <w:highlight w:val="none"/>
              </w:rPr>
            </w:pPr>
            <w:r>
              <w:rPr>
                <w:rFonts w:hint="eastAsia"/>
                <w:sz w:val="21"/>
                <w:highlight w:val="none"/>
              </w:rPr>
              <w:t xml:space="preserve">26.093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sz w:val="21"/>
                <w:highlight w:val="none"/>
              </w:rPr>
              <w:t>J5</w:t>
            </w:r>
          </w:p>
        </w:tc>
        <w:tc>
          <w:tcPr>
            <w:tcW w:w="892" w:type="dxa"/>
            <w:vAlign w:val="center"/>
          </w:tcPr>
          <w:p>
            <w:pPr>
              <w:spacing w:line="240" w:lineRule="auto"/>
              <w:ind w:firstLine="0" w:firstLineChars="0"/>
              <w:jc w:val="center"/>
              <w:rPr>
                <w:sz w:val="21"/>
                <w:highlight w:val="none"/>
              </w:rPr>
            </w:pPr>
            <w:r>
              <w:rPr>
                <w:rFonts w:hint="eastAsia"/>
                <w:sz w:val="21"/>
                <w:highlight w:val="none"/>
              </w:rPr>
              <w:t xml:space="preserve">1.365 </w:t>
            </w:r>
          </w:p>
        </w:tc>
        <w:tc>
          <w:tcPr>
            <w:tcW w:w="955" w:type="dxa"/>
            <w:vAlign w:val="center"/>
          </w:tcPr>
          <w:p>
            <w:pPr>
              <w:spacing w:line="240" w:lineRule="auto"/>
              <w:ind w:firstLine="0" w:firstLineChars="0"/>
              <w:jc w:val="center"/>
              <w:rPr>
                <w:sz w:val="21"/>
                <w:highlight w:val="none"/>
              </w:rPr>
            </w:pPr>
            <w:r>
              <w:rPr>
                <w:rFonts w:hint="eastAsia"/>
                <w:sz w:val="21"/>
                <w:highlight w:val="none"/>
              </w:rPr>
              <w:t xml:space="preserve">18.948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66.253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13.434 </w:t>
            </w:r>
          </w:p>
        </w:tc>
        <w:tc>
          <w:tcPr>
            <w:tcW w:w="890" w:type="dxa"/>
            <w:vAlign w:val="center"/>
          </w:tcPr>
          <w:p>
            <w:pPr>
              <w:spacing w:line="240" w:lineRule="auto"/>
              <w:ind w:firstLine="0" w:firstLineChars="0"/>
              <w:jc w:val="center"/>
              <w:rPr>
                <w:sz w:val="21"/>
                <w:highlight w:val="none"/>
              </w:rPr>
            </w:pPr>
            <w:r>
              <w:rPr>
                <w:rFonts w:hint="eastAsia"/>
                <w:sz w:val="21"/>
                <w:highlight w:val="none"/>
              </w:rPr>
              <w:t xml:space="preserve">0.000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43.483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5.454 </w:t>
            </w:r>
          </w:p>
        </w:tc>
        <w:tc>
          <w:tcPr>
            <w:tcW w:w="949" w:type="dxa"/>
            <w:vAlign w:val="center"/>
          </w:tcPr>
          <w:p>
            <w:pPr>
              <w:spacing w:line="240" w:lineRule="auto"/>
              <w:ind w:firstLine="0" w:firstLineChars="0"/>
              <w:jc w:val="center"/>
              <w:rPr>
                <w:sz w:val="21"/>
                <w:highlight w:val="none"/>
              </w:rPr>
            </w:pPr>
            <w:r>
              <w:rPr>
                <w:rFonts w:hint="eastAsia"/>
                <w:sz w:val="21"/>
                <w:highlight w:val="none"/>
              </w:rPr>
              <w:t xml:space="preserve">51.063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sz w:val="21"/>
                <w:highlight w:val="none"/>
              </w:rPr>
              <w:t>J6</w:t>
            </w:r>
          </w:p>
        </w:tc>
        <w:tc>
          <w:tcPr>
            <w:tcW w:w="892" w:type="dxa"/>
            <w:vAlign w:val="center"/>
          </w:tcPr>
          <w:p>
            <w:pPr>
              <w:spacing w:line="240" w:lineRule="auto"/>
              <w:ind w:firstLine="0" w:firstLineChars="0"/>
              <w:jc w:val="center"/>
              <w:rPr>
                <w:sz w:val="21"/>
                <w:highlight w:val="none"/>
              </w:rPr>
            </w:pPr>
            <w:r>
              <w:rPr>
                <w:rFonts w:hint="eastAsia"/>
                <w:sz w:val="21"/>
                <w:highlight w:val="none"/>
              </w:rPr>
              <w:t xml:space="preserve">0.053 </w:t>
            </w:r>
          </w:p>
        </w:tc>
        <w:tc>
          <w:tcPr>
            <w:tcW w:w="955" w:type="dxa"/>
            <w:vAlign w:val="center"/>
          </w:tcPr>
          <w:p>
            <w:pPr>
              <w:spacing w:line="240" w:lineRule="auto"/>
              <w:ind w:firstLine="0" w:firstLineChars="0"/>
              <w:jc w:val="center"/>
              <w:rPr>
                <w:sz w:val="21"/>
                <w:highlight w:val="none"/>
              </w:rPr>
            </w:pPr>
            <w:r>
              <w:rPr>
                <w:rFonts w:hint="eastAsia"/>
                <w:sz w:val="21"/>
                <w:highlight w:val="none"/>
              </w:rPr>
              <w:t xml:space="preserve">23.125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53.974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22.849 </w:t>
            </w:r>
          </w:p>
        </w:tc>
        <w:tc>
          <w:tcPr>
            <w:tcW w:w="890" w:type="dxa"/>
            <w:vAlign w:val="center"/>
          </w:tcPr>
          <w:p>
            <w:pPr>
              <w:spacing w:line="240" w:lineRule="auto"/>
              <w:ind w:firstLine="0" w:firstLineChars="0"/>
              <w:jc w:val="center"/>
              <w:rPr>
                <w:sz w:val="21"/>
                <w:highlight w:val="none"/>
              </w:rPr>
            </w:pPr>
            <w:r>
              <w:rPr>
                <w:rFonts w:hint="eastAsia"/>
                <w:sz w:val="21"/>
                <w:highlight w:val="none"/>
              </w:rPr>
              <w:t xml:space="preserve">0.000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61.747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17.829 </w:t>
            </w:r>
          </w:p>
        </w:tc>
        <w:tc>
          <w:tcPr>
            <w:tcW w:w="949" w:type="dxa"/>
            <w:vAlign w:val="center"/>
          </w:tcPr>
          <w:p>
            <w:pPr>
              <w:spacing w:line="240" w:lineRule="auto"/>
              <w:ind w:firstLine="0" w:firstLineChars="0"/>
              <w:jc w:val="center"/>
              <w:rPr>
                <w:sz w:val="21"/>
                <w:highlight w:val="none"/>
              </w:rPr>
            </w:pPr>
            <w:r>
              <w:rPr>
                <w:rFonts w:hint="eastAsia"/>
                <w:sz w:val="21"/>
                <w:highlight w:val="none"/>
              </w:rPr>
              <w:t xml:space="preserve">20.424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sz w:val="21"/>
                <w:highlight w:val="none"/>
              </w:rPr>
              <w:t>J7</w:t>
            </w:r>
          </w:p>
        </w:tc>
        <w:tc>
          <w:tcPr>
            <w:tcW w:w="892" w:type="dxa"/>
            <w:vAlign w:val="center"/>
          </w:tcPr>
          <w:p>
            <w:pPr>
              <w:spacing w:line="240" w:lineRule="auto"/>
              <w:ind w:firstLine="0" w:firstLineChars="0"/>
              <w:jc w:val="center"/>
              <w:rPr>
                <w:sz w:val="21"/>
                <w:highlight w:val="none"/>
              </w:rPr>
            </w:pPr>
            <w:r>
              <w:rPr>
                <w:rFonts w:hint="eastAsia"/>
                <w:sz w:val="21"/>
                <w:highlight w:val="none"/>
              </w:rPr>
              <w:t xml:space="preserve">0.046 </w:t>
            </w:r>
          </w:p>
        </w:tc>
        <w:tc>
          <w:tcPr>
            <w:tcW w:w="955" w:type="dxa"/>
            <w:vAlign w:val="center"/>
          </w:tcPr>
          <w:p>
            <w:pPr>
              <w:spacing w:line="240" w:lineRule="auto"/>
              <w:ind w:firstLine="0" w:firstLineChars="0"/>
              <w:jc w:val="center"/>
              <w:rPr>
                <w:sz w:val="21"/>
                <w:highlight w:val="none"/>
              </w:rPr>
            </w:pPr>
            <w:r>
              <w:rPr>
                <w:rFonts w:hint="eastAsia"/>
                <w:sz w:val="21"/>
                <w:highlight w:val="none"/>
              </w:rPr>
              <w:t xml:space="preserve">19.276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61.273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19.405 </w:t>
            </w:r>
          </w:p>
        </w:tc>
        <w:tc>
          <w:tcPr>
            <w:tcW w:w="890" w:type="dxa"/>
            <w:vAlign w:val="center"/>
          </w:tcPr>
          <w:p>
            <w:pPr>
              <w:spacing w:line="240" w:lineRule="auto"/>
              <w:ind w:firstLine="0" w:firstLineChars="0"/>
              <w:jc w:val="center"/>
              <w:rPr>
                <w:sz w:val="21"/>
                <w:highlight w:val="none"/>
              </w:rPr>
            </w:pPr>
            <w:r>
              <w:rPr>
                <w:rFonts w:hint="eastAsia"/>
                <w:sz w:val="21"/>
                <w:highlight w:val="none"/>
              </w:rPr>
              <w:t xml:space="preserve">0.000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60.829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18.104 </w:t>
            </w:r>
          </w:p>
        </w:tc>
        <w:tc>
          <w:tcPr>
            <w:tcW w:w="949" w:type="dxa"/>
            <w:vAlign w:val="center"/>
          </w:tcPr>
          <w:p>
            <w:pPr>
              <w:spacing w:line="240" w:lineRule="auto"/>
              <w:ind w:firstLine="0" w:firstLineChars="0"/>
              <w:jc w:val="center"/>
              <w:rPr>
                <w:sz w:val="21"/>
                <w:highlight w:val="none"/>
              </w:rPr>
            </w:pPr>
            <w:r>
              <w:rPr>
                <w:rFonts w:hint="eastAsia"/>
                <w:sz w:val="21"/>
                <w:highlight w:val="none"/>
              </w:rPr>
              <w:t xml:space="preserve">21.067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dxa"/>
            <w:vAlign w:val="center"/>
          </w:tcPr>
          <w:p>
            <w:pPr>
              <w:spacing w:line="240" w:lineRule="auto"/>
              <w:ind w:firstLine="0" w:firstLineChars="0"/>
              <w:jc w:val="center"/>
              <w:rPr>
                <w:sz w:val="21"/>
                <w:highlight w:val="none"/>
              </w:rPr>
            </w:pPr>
            <w:r>
              <w:rPr>
                <w:sz w:val="21"/>
                <w:highlight w:val="none"/>
              </w:rPr>
              <w:t>J</w:t>
            </w:r>
            <w:r>
              <w:rPr>
                <w:rFonts w:hint="eastAsia"/>
                <w:sz w:val="21"/>
                <w:highlight w:val="none"/>
              </w:rPr>
              <w:t>8</w:t>
            </w:r>
          </w:p>
        </w:tc>
        <w:tc>
          <w:tcPr>
            <w:tcW w:w="892" w:type="dxa"/>
            <w:vAlign w:val="center"/>
          </w:tcPr>
          <w:p>
            <w:pPr>
              <w:spacing w:line="240" w:lineRule="auto"/>
              <w:ind w:firstLine="0" w:firstLineChars="0"/>
              <w:jc w:val="center"/>
              <w:rPr>
                <w:sz w:val="21"/>
                <w:highlight w:val="none"/>
              </w:rPr>
            </w:pPr>
            <w:r>
              <w:rPr>
                <w:rFonts w:hint="eastAsia"/>
                <w:sz w:val="21"/>
                <w:highlight w:val="none"/>
              </w:rPr>
              <w:t xml:space="preserve">0.049 </w:t>
            </w:r>
          </w:p>
        </w:tc>
        <w:tc>
          <w:tcPr>
            <w:tcW w:w="955" w:type="dxa"/>
            <w:vAlign w:val="center"/>
          </w:tcPr>
          <w:p>
            <w:pPr>
              <w:spacing w:line="240" w:lineRule="auto"/>
              <w:ind w:firstLine="0" w:firstLineChars="0"/>
              <w:jc w:val="center"/>
              <w:rPr>
                <w:sz w:val="21"/>
                <w:highlight w:val="none"/>
              </w:rPr>
            </w:pPr>
            <w:r>
              <w:rPr>
                <w:rFonts w:hint="eastAsia"/>
                <w:sz w:val="21"/>
                <w:highlight w:val="none"/>
              </w:rPr>
              <w:t xml:space="preserve">20.840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57.797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21.313 </w:t>
            </w:r>
          </w:p>
        </w:tc>
        <w:tc>
          <w:tcPr>
            <w:tcW w:w="890" w:type="dxa"/>
            <w:vAlign w:val="center"/>
          </w:tcPr>
          <w:p>
            <w:pPr>
              <w:spacing w:line="240" w:lineRule="auto"/>
              <w:ind w:firstLine="0" w:firstLineChars="0"/>
              <w:jc w:val="center"/>
              <w:rPr>
                <w:sz w:val="21"/>
                <w:highlight w:val="none"/>
              </w:rPr>
            </w:pPr>
            <w:r>
              <w:rPr>
                <w:rFonts w:hint="eastAsia"/>
                <w:sz w:val="21"/>
                <w:highlight w:val="none"/>
              </w:rPr>
              <w:t xml:space="preserve">0.000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60.665 </w:t>
            </w:r>
          </w:p>
        </w:tc>
        <w:tc>
          <w:tcPr>
            <w:tcW w:w="954" w:type="dxa"/>
            <w:vAlign w:val="center"/>
          </w:tcPr>
          <w:p>
            <w:pPr>
              <w:spacing w:line="240" w:lineRule="auto"/>
              <w:ind w:firstLine="0" w:firstLineChars="0"/>
              <w:jc w:val="center"/>
              <w:rPr>
                <w:sz w:val="21"/>
                <w:highlight w:val="none"/>
              </w:rPr>
            </w:pPr>
            <w:r>
              <w:rPr>
                <w:rFonts w:hint="eastAsia"/>
                <w:sz w:val="21"/>
                <w:highlight w:val="none"/>
              </w:rPr>
              <w:t xml:space="preserve">18.242 </w:t>
            </w:r>
          </w:p>
        </w:tc>
        <w:tc>
          <w:tcPr>
            <w:tcW w:w="949" w:type="dxa"/>
            <w:vAlign w:val="center"/>
          </w:tcPr>
          <w:p>
            <w:pPr>
              <w:spacing w:line="240" w:lineRule="auto"/>
              <w:ind w:firstLine="0" w:firstLineChars="0"/>
              <w:jc w:val="center"/>
              <w:rPr>
                <w:sz w:val="21"/>
                <w:highlight w:val="none"/>
              </w:rPr>
            </w:pPr>
            <w:r>
              <w:rPr>
                <w:rFonts w:hint="eastAsia"/>
                <w:sz w:val="21"/>
                <w:highlight w:val="none"/>
              </w:rPr>
              <w:t xml:space="preserve">21.092 </w:t>
            </w:r>
          </w:p>
        </w:tc>
      </w:tr>
    </w:tbl>
    <w:p>
      <w:pPr>
        <w:ind w:firstLine="0" w:firstLineChars="0"/>
        <w:rPr>
          <w:sz w:val="21"/>
          <w:szCs w:val="21"/>
          <w:highlight w:val="none"/>
        </w:rPr>
      </w:pPr>
      <w:r>
        <w:rPr>
          <w:sz w:val="21"/>
          <w:szCs w:val="21"/>
          <w:highlight w:val="none"/>
        </w:rPr>
        <w:drawing>
          <wp:anchor distT="0" distB="0" distL="0" distR="0" simplePos="0" relativeHeight="251659264" behindDoc="0" locked="0" layoutInCell="1" allowOverlap="1">
            <wp:simplePos x="0" y="0"/>
            <wp:positionH relativeFrom="column">
              <wp:posOffset>1298575</wp:posOffset>
            </wp:positionH>
            <wp:positionV relativeFrom="paragraph">
              <wp:posOffset>144145</wp:posOffset>
            </wp:positionV>
            <wp:extent cx="2364105" cy="2162810"/>
            <wp:effectExtent l="0" t="0" r="17145" b="889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364105" cy="2162810"/>
                    </a:xfrm>
                    <a:prstGeom prst="rect">
                      <a:avLst/>
                    </a:prstGeom>
                    <a:noFill/>
                    <a:ln>
                      <a:noFill/>
                    </a:ln>
                  </pic:spPr>
                </pic:pic>
              </a:graphicData>
            </a:graphic>
          </wp:anchor>
        </w:drawing>
      </w:r>
      <w:r>
        <w:rPr>
          <w:sz w:val="21"/>
          <w:szCs w:val="21"/>
          <w:highlight w:val="none"/>
        </w:rPr>
        <w:t>注：加黑为毫克当量百分比大于25%</w:t>
      </w:r>
    </w:p>
    <w:p>
      <w:pPr>
        <w:autoSpaceDE w:val="0"/>
        <w:autoSpaceDN w:val="0"/>
        <w:ind w:firstLine="0" w:firstLineChars="0"/>
        <w:jc w:val="center"/>
        <w:rPr>
          <w:b/>
          <w:sz w:val="24"/>
          <w:highlight w:val="none"/>
        </w:rPr>
      </w:pPr>
    </w:p>
    <w:p>
      <w:pPr>
        <w:autoSpaceDE w:val="0"/>
        <w:autoSpaceDN w:val="0"/>
        <w:ind w:firstLine="0" w:firstLineChars="0"/>
        <w:jc w:val="center"/>
        <w:rPr>
          <w:b/>
          <w:sz w:val="24"/>
          <w:highlight w:val="none"/>
        </w:rPr>
      </w:pPr>
    </w:p>
    <w:p>
      <w:pPr>
        <w:autoSpaceDE w:val="0"/>
        <w:autoSpaceDN w:val="0"/>
        <w:ind w:firstLine="0" w:firstLineChars="0"/>
        <w:jc w:val="center"/>
        <w:rPr>
          <w:b/>
          <w:sz w:val="24"/>
          <w:highlight w:val="none"/>
        </w:rPr>
      </w:pPr>
    </w:p>
    <w:p>
      <w:pPr>
        <w:autoSpaceDE w:val="0"/>
        <w:autoSpaceDN w:val="0"/>
        <w:ind w:firstLine="0" w:firstLineChars="0"/>
        <w:jc w:val="center"/>
        <w:rPr>
          <w:b/>
          <w:sz w:val="24"/>
          <w:highlight w:val="none"/>
        </w:rPr>
      </w:pPr>
    </w:p>
    <w:p>
      <w:pPr>
        <w:autoSpaceDE w:val="0"/>
        <w:autoSpaceDN w:val="0"/>
        <w:ind w:firstLine="0" w:firstLineChars="0"/>
        <w:jc w:val="center"/>
        <w:rPr>
          <w:b/>
          <w:sz w:val="24"/>
          <w:highlight w:val="none"/>
        </w:rPr>
      </w:pPr>
    </w:p>
    <w:p>
      <w:pPr>
        <w:autoSpaceDE w:val="0"/>
        <w:autoSpaceDN w:val="0"/>
        <w:ind w:firstLine="0" w:firstLineChars="0"/>
        <w:jc w:val="center"/>
        <w:rPr>
          <w:b/>
          <w:sz w:val="24"/>
          <w:highlight w:val="none"/>
        </w:rPr>
      </w:pPr>
    </w:p>
    <w:p>
      <w:pPr>
        <w:autoSpaceDE w:val="0"/>
        <w:autoSpaceDN w:val="0"/>
        <w:ind w:firstLine="0" w:firstLineChars="0"/>
        <w:jc w:val="center"/>
        <w:rPr>
          <w:b/>
          <w:sz w:val="24"/>
          <w:highlight w:val="none"/>
        </w:rPr>
      </w:pPr>
    </w:p>
    <w:p>
      <w:pPr>
        <w:ind w:firstLine="0" w:firstLineChars="0"/>
        <w:jc w:val="both"/>
        <w:rPr>
          <w:rFonts w:eastAsia="黑体"/>
          <w:sz w:val="21"/>
          <w:szCs w:val="21"/>
          <w:highlight w:val="none"/>
        </w:rPr>
      </w:pPr>
    </w:p>
    <w:p>
      <w:pPr>
        <w:ind w:firstLine="420"/>
        <w:jc w:val="center"/>
        <w:rPr>
          <w:rFonts w:eastAsia="黑体"/>
          <w:sz w:val="21"/>
          <w:szCs w:val="21"/>
          <w:highlight w:val="none"/>
        </w:rPr>
      </w:pPr>
      <w:r>
        <w:rPr>
          <w:rFonts w:eastAsia="黑体"/>
          <w:sz w:val="21"/>
          <w:szCs w:val="21"/>
          <w:highlight w:val="none"/>
        </w:rPr>
        <w:t>图5.2-</w:t>
      </w:r>
      <w:r>
        <w:rPr>
          <w:rFonts w:hint="eastAsia" w:eastAsia="黑体"/>
          <w:sz w:val="21"/>
          <w:szCs w:val="21"/>
          <w:highlight w:val="none"/>
        </w:rPr>
        <w:t>3</w:t>
      </w:r>
      <w:r>
        <w:rPr>
          <w:rFonts w:eastAsia="黑体"/>
          <w:sz w:val="21"/>
          <w:szCs w:val="21"/>
          <w:highlight w:val="none"/>
        </w:rPr>
        <w:t xml:space="preserve">   评价区水化学类型piper图</w:t>
      </w:r>
    </w:p>
    <w:p>
      <w:pPr>
        <w:ind w:firstLine="480"/>
        <w:rPr>
          <w:rFonts w:hAnsi="宋体"/>
          <w:sz w:val="24"/>
          <w:szCs w:val="24"/>
          <w:highlight w:val="none"/>
        </w:rPr>
      </w:pPr>
      <w:r>
        <w:rPr>
          <w:rFonts w:hint="eastAsia" w:hAnsi="宋体"/>
          <w:sz w:val="24"/>
          <w:szCs w:val="24"/>
          <w:highlight w:val="none"/>
        </w:rPr>
        <w:t>（4）评价区地下水环境现状调查与评价</w:t>
      </w:r>
      <w:bookmarkEnd w:id="362"/>
    </w:p>
    <w:p>
      <w:pPr>
        <w:ind w:firstLine="480"/>
        <w:rPr>
          <w:sz w:val="24"/>
          <w:szCs w:val="22"/>
          <w:highlight w:val="none"/>
        </w:rPr>
      </w:pPr>
      <w:r>
        <w:rPr>
          <w:rFonts w:hint="eastAsia"/>
          <w:sz w:val="24"/>
          <w:szCs w:val="22"/>
          <w:highlight w:val="none"/>
        </w:rPr>
        <w:t>①</w:t>
      </w:r>
      <w:r>
        <w:rPr>
          <w:rFonts w:hint="eastAsia" w:hAnsi="宋体"/>
          <w:sz w:val="24"/>
          <w:szCs w:val="24"/>
          <w:highlight w:val="none"/>
        </w:rPr>
        <w:t>水文地质调查</w:t>
      </w:r>
    </w:p>
    <w:p>
      <w:pPr>
        <w:ind w:firstLine="480"/>
        <w:rPr>
          <w:sz w:val="24"/>
          <w:highlight w:val="none"/>
        </w:rPr>
      </w:pPr>
      <w:r>
        <w:rPr>
          <w:rFonts w:hint="eastAsia"/>
          <w:sz w:val="24"/>
          <w:szCs w:val="22"/>
          <w:highlight w:val="none"/>
        </w:rPr>
        <w:t>为了查明</w:t>
      </w:r>
      <w:r>
        <w:rPr>
          <w:rFonts w:hint="eastAsia" w:hAnsi="宋体"/>
          <w:sz w:val="24"/>
          <w:szCs w:val="24"/>
          <w:highlight w:val="none"/>
        </w:rPr>
        <w:t>评价</w:t>
      </w:r>
      <w:r>
        <w:rPr>
          <w:rFonts w:hint="eastAsia"/>
          <w:sz w:val="24"/>
          <w:szCs w:val="22"/>
          <w:highlight w:val="none"/>
        </w:rPr>
        <w:t>区的水文地质以及地下水位情况，近期对研究区进行了</w:t>
      </w:r>
      <w:r>
        <w:rPr>
          <w:sz w:val="24"/>
          <w:szCs w:val="22"/>
          <w:highlight w:val="none"/>
        </w:rPr>
        <w:t>区域水文地质</w:t>
      </w:r>
      <w:r>
        <w:rPr>
          <w:rFonts w:hint="eastAsia"/>
          <w:sz w:val="24"/>
          <w:szCs w:val="22"/>
          <w:highlight w:val="none"/>
        </w:rPr>
        <w:t>调查</w:t>
      </w:r>
      <w:r>
        <w:rPr>
          <w:sz w:val="24"/>
          <w:szCs w:val="22"/>
          <w:highlight w:val="none"/>
        </w:rPr>
        <w:t>，统测评价区的地下水位，调查该区域的地层岩性、含水层厚度以及分布规律；调查该区域内地貌单元的形态和分布规律；调查该区域内已有机民井的位置、井深，井的口径和井管结构，了解其开采形式与开采量</w:t>
      </w:r>
      <w:r>
        <w:rPr>
          <w:sz w:val="24"/>
          <w:highlight w:val="none"/>
        </w:rPr>
        <w:t>。</w:t>
      </w:r>
      <w:r>
        <w:rPr>
          <w:rFonts w:hint="eastAsia"/>
          <w:sz w:val="24"/>
          <w:highlight w:val="none"/>
        </w:rPr>
        <w:t>调查</w:t>
      </w:r>
      <w:r>
        <w:rPr>
          <w:sz w:val="24"/>
          <w:highlight w:val="none"/>
        </w:rPr>
        <w:t>观测线路的布置一般沿地质、地貌、水文地质条件变化最大的方向，以垂直地貌单元为主，观测点均匀布置在地质、地貌、地下水具有代表性地段。对一些重要的观测点，采用了数码照相和摄像等手段，记录地质、地貌、水文地质现象。</w:t>
      </w:r>
    </w:p>
    <w:p>
      <w:pPr>
        <w:ind w:firstLine="480"/>
        <w:rPr>
          <w:sz w:val="24"/>
          <w:highlight w:val="none"/>
        </w:rPr>
      </w:pPr>
      <w:r>
        <w:rPr>
          <w:rFonts w:hint="eastAsia"/>
          <w:sz w:val="24"/>
          <w:highlight w:val="none"/>
        </w:rPr>
        <w:t>本次调查仅关注</w:t>
      </w:r>
      <w:r>
        <w:rPr>
          <w:rFonts w:hint="eastAsia" w:hAnsi="宋体"/>
          <w:sz w:val="24"/>
          <w:szCs w:val="24"/>
          <w:highlight w:val="none"/>
        </w:rPr>
        <w:t>第四系</w:t>
      </w:r>
      <w:r>
        <w:rPr>
          <w:rFonts w:hint="eastAsia"/>
          <w:sz w:val="24"/>
          <w:highlight w:val="none"/>
        </w:rPr>
        <w:t>松散岩类孔隙水的特征，</w:t>
      </w:r>
      <w:r>
        <w:rPr>
          <w:sz w:val="24"/>
          <w:highlight w:val="none"/>
        </w:rPr>
        <w:t>水位统测采用人工测量方法，在评价区范围内选择了</w:t>
      </w:r>
      <w:r>
        <w:rPr>
          <w:rFonts w:hint="eastAsia"/>
          <w:sz w:val="24"/>
          <w:highlight w:val="none"/>
        </w:rPr>
        <w:t>20</w:t>
      </w:r>
      <w:r>
        <w:rPr>
          <w:sz w:val="24"/>
          <w:highlight w:val="none"/>
        </w:rPr>
        <w:t>口浅井，分别对浅层地下水</w:t>
      </w:r>
      <w:r>
        <w:rPr>
          <w:rFonts w:hint="eastAsia"/>
          <w:sz w:val="24"/>
          <w:highlight w:val="none"/>
        </w:rPr>
        <w:t>水位</w:t>
      </w:r>
      <w:r>
        <w:rPr>
          <w:sz w:val="24"/>
          <w:highlight w:val="none"/>
        </w:rPr>
        <w:t>进行了水位测量</w:t>
      </w:r>
      <w:r>
        <w:rPr>
          <w:rFonts w:hint="eastAsia"/>
          <w:sz w:val="24"/>
          <w:highlight w:val="none"/>
        </w:rPr>
        <w:t>并绘制了第四系松散岩类孔隙水地下水水位流场</w:t>
      </w:r>
      <w:r>
        <w:rPr>
          <w:sz w:val="24"/>
          <w:highlight w:val="none"/>
        </w:rPr>
        <w:t>，详</w:t>
      </w:r>
      <w:r>
        <w:rPr>
          <w:sz w:val="24"/>
          <w:szCs w:val="22"/>
          <w:highlight w:val="none"/>
        </w:rPr>
        <w:t>见</w:t>
      </w:r>
      <w:r>
        <w:rPr>
          <w:rFonts w:hint="eastAsia"/>
          <w:sz w:val="24"/>
          <w:szCs w:val="22"/>
          <w:highlight w:val="none"/>
        </w:rPr>
        <w:t>表</w:t>
      </w:r>
      <w:r>
        <w:rPr>
          <w:sz w:val="24"/>
          <w:szCs w:val="22"/>
          <w:highlight w:val="none"/>
        </w:rPr>
        <w:t>5.2-1</w:t>
      </w:r>
      <w:r>
        <w:rPr>
          <w:rFonts w:hint="eastAsia"/>
          <w:sz w:val="24"/>
          <w:szCs w:val="22"/>
          <w:highlight w:val="none"/>
        </w:rPr>
        <w:t>0和图</w:t>
      </w:r>
      <w:r>
        <w:rPr>
          <w:sz w:val="24"/>
          <w:szCs w:val="22"/>
          <w:highlight w:val="none"/>
        </w:rPr>
        <w:t>5.2-</w:t>
      </w:r>
      <w:r>
        <w:rPr>
          <w:rFonts w:hint="eastAsia"/>
          <w:sz w:val="24"/>
          <w:szCs w:val="22"/>
          <w:highlight w:val="none"/>
        </w:rPr>
        <w:t>4</w:t>
      </w:r>
      <w:r>
        <w:rPr>
          <w:sz w:val="24"/>
          <w:highlight w:val="none"/>
        </w:rPr>
        <w:t>。</w:t>
      </w:r>
    </w:p>
    <w:p>
      <w:pPr>
        <w:ind w:firstLine="0" w:firstLineChars="0"/>
        <w:jc w:val="center"/>
        <w:textAlignment w:val="auto"/>
        <w:rPr>
          <w:rFonts w:eastAsia="黑体"/>
          <w:kern w:val="2"/>
          <w:sz w:val="21"/>
          <w:szCs w:val="21"/>
          <w:highlight w:val="none"/>
        </w:rPr>
      </w:pPr>
      <w:r>
        <w:rPr>
          <w:rFonts w:hint="eastAsia" w:eastAsia="黑体"/>
          <w:kern w:val="2"/>
          <w:sz w:val="21"/>
          <w:szCs w:val="21"/>
          <w:highlight w:val="none"/>
        </w:rPr>
        <w:t>表</w:t>
      </w:r>
      <w:r>
        <w:rPr>
          <w:rFonts w:eastAsia="黑体"/>
          <w:kern w:val="2"/>
          <w:sz w:val="21"/>
          <w:szCs w:val="21"/>
          <w:highlight w:val="none"/>
        </w:rPr>
        <w:t>5.2-1</w:t>
      </w:r>
      <w:r>
        <w:rPr>
          <w:rFonts w:hint="eastAsia" w:eastAsia="黑体"/>
          <w:kern w:val="2"/>
          <w:sz w:val="21"/>
          <w:szCs w:val="21"/>
          <w:highlight w:val="none"/>
        </w:rPr>
        <w:t xml:space="preserve">0   </w:t>
      </w:r>
      <w:r>
        <w:rPr>
          <w:rFonts w:eastAsia="黑体"/>
          <w:kern w:val="2"/>
          <w:sz w:val="21"/>
          <w:szCs w:val="21"/>
          <w:highlight w:val="none"/>
        </w:rPr>
        <w:t>水井调查成果一览表</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256"/>
        <w:gridCol w:w="1256"/>
        <w:gridCol w:w="1162"/>
        <w:gridCol w:w="754"/>
        <w:gridCol w:w="1110"/>
        <w:gridCol w:w="1113"/>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编号</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相对位置</w:t>
            </w:r>
          </w:p>
        </w:tc>
        <w:tc>
          <w:tcPr>
            <w:tcW w:w="1256" w:type="dxa"/>
            <w:vAlign w:val="center"/>
          </w:tcPr>
          <w:p>
            <w:pPr>
              <w:spacing w:line="280" w:lineRule="exact"/>
              <w:ind w:firstLine="0" w:firstLineChars="0"/>
              <w:jc w:val="center"/>
              <w:rPr>
                <w:sz w:val="21"/>
                <w:szCs w:val="21"/>
                <w:highlight w:val="none"/>
              </w:rPr>
            </w:pPr>
            <w:r>
              <w:rPr>
                <w:sz w:val="21"/>
                <w:szCs w:val="21"/>
                <w:highlight w:val="none"/>
              </w:rPr>
              <w:t>X</w:t>
            </w:r>
          </w:p>
        </w:tc>
        <w:tc>
          <w:tcPr>
            <w:tcW w:w="1162" w:type="dxa"/>
            <w:vAlign w:val="center"/>
          </w:tcPr>
          <w:p>
            <w:pPr>
              <w:spacing w:line="280" w:lineRule="exact"/>
              <w:ind w:firstLine="0" w:firstLineChars="0"/>
              <w:jc w:val="center"/>
              <w:rPr>
                <w:sz w:val="21"/>
                <w:szCs w:val="21"/>
                <w:highlight w:val="none"/>
              </w:rPr>
            </w:pPr>
            <w:r>
              <w:rPr>
                <w:sz w:val="21"/>
                <w:szCs w:val="21"/>
                <w:highlight w:val="none"/>
              </w:rPr>
              <w:t>Y</w:t>
            </w:r>
          </w:p>
        </w:tc>
        <w:tc>
          <w:tcPr>
            <w:tcW w:w="754" w:type="dxa"/>
            <w:vAlign w:val="center"/>
          </w:tcPr>
          <w:p>
            <w:pPr>
              <w:spacing w:line="280" w:lineRule="exact"/>
              <w:ind w:firstLine="0" w:firstLineChars="0"/>
              <w:jc w:val="center"/>
              <w:rPr>
                <w:sz w:val="21"/>
                <w:szCs w:val="21"/>
                <w:highlight w:val="none"/>
              </w:rPr>
            </w:pPr>
            <w:r>
              <w:rPr>
                <w:sz w:val="21"/>
                <w:szCs w:val="21"/>
                <w:highlight w:val="none"/>
              </w:rPr>
              <w:t>井深(m)</w:t>
            </w:r>
          </w:p>
        </w:tc>
        <w:tc>
          <w:tcPr>
            <w:tcW w:w="1110" w:type="dxa"/>
            <w:vAlign w:val="center"/>
          </w:tcPr>
          <w:p>
            <w:pPr>
              <w:spacing w:line="280" w:lineRule="exact"/>
              <w:ind w:firstLine="0" w:firstLineChars="0"/>
              <w:jc w:val="center"/>
              <w:rPr>
                <w:sz w:val="21"/>
                <w:szCs w:val="21"/>
                <w:highlight w:val="none"/>
              </w:rPr>
            </w:pPr>
            <w:r>
              <w:rPr>
                <w:sz w:val="21"/>
                <w:szCs w:val="21"/>
                <w:highlight w:val="none"/>
              </w:rPr>
              <w:t>水位标高(m)</w:t>
            </w:r>
          </w:p>
        </w:tc>
        <w:tc>
          <w:tcPr>
            <w:tcW w:w="1113" w:type="dxa"/>
            <w:vAlign w:val="center"/>
          </w:tcPr>
          <w:p>
            <w:pPr>
              <w:spacing w:line="280" w:lineRule="exact"/>
              <w:ind w:firstLine="0" w:firstLineChars="0"/>
              <w:jc w:val="center"/>
              <w:rPr>
                <w:sz w:val="21"/>
                <w:szCs w:val="21"/>
                <w:highlight w:val="none"/>
              </w:rPr>
            </w:pPr>
            <w:r>
              <w:rPr>
                <w:sz w:val="21"/>
                <w:szCs w:val="21"/>
                <w:highlight w:val="none"/>
              </w:rPr>
              <w:t>水位埋深(m)</w:t>
            </w:r>
          </w:p>
        </w:tc>
        <w:tc>
          <w:tcPr>
            <w:tcW w:w="1113" w:type="dxa"/>
            <w:vAlign w:val="center"/>
          </w:tcPr>
          <w:p>
            <w:pPr>
              <w:spacing w:line="280" w:lineRule="exact"/>
              <w:ind w:firstLine="0" w:firstLineChars="0"/>
              <w:jc w:val="center"/>
              <w:rPr>
                <w:sz w:val="21"/>
                <w:szCs w:val="21"/>
                <w:highlight w:val="none"/>
              </w:rPr>
            </w:pPr>
            <w:r>
              <w:rPr>
                <w:sz w:val="21"/>
                <w:szCs w:val="21"/>
                <w:highlight w:val="none"/>
              </w:rPr>
              <w:t>地面高程(m)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G1</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东马各庄村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20584399.30</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4445014.32</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40.0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38.10</w:t>
            </w:r>
          </w:p>
        </w:tc>
        <w:tc>
          <w:tcPr>
            <w:tcW w:w="1113" w:type="dxa"/>
            <w:vAlign w:val="center"/>
          </w:tcPr>
          <w:p>
            <w:pPr>
              <w:spacing w:line="280" w:lineRule="exact"/>
              <w:ind w:firstLine="0" w:firstLineChars="0"/>
              <w:jc w:val="center"/>
              <w:rPr>
                <w:sz w:val="21"/>
                <w:szCs w:val="21"/>
                <w:highlight w:val="none"/>
              </w:rPr>
            </w:pPr>
            <w:r>
              <w:rPr>
                <w:sz w:val="21"/>
                <w:szCs w:val="21"/>
                <w:highlight w:val="none"/>
              </w:rPr>
              <w:t>7.30</w:t>
            </w:r>
          </w:p>
        </w:tc>
        <w:tc>
          <w:tcPr>
            <w:tcW w:w="1113" w:type="dxa"/>
            <w:vAlign w:val="center"/>
          </w:tcPr>
          <w:p>
            <w:pPr>
              <w:spacing w:line="280" w:lineRule="exact"/>
              <w:ind w:firstLine="0" w:firstLineChars="0"/>
              <w:jc w:val="center"/>
              <w:rPr>
                <w:sz w:val="21"/>
                <w:szCs w:val="21"/>
                <w:highlight w:val="none"/>
              </w:rPr>
            </w:pPr>
            <w:r>
              <w:rPr>
                <w:sz w:val="21"/>
                <w:szCs w:val="21"/>
                <w:highlight w:val="none"/>
              </w:rPr>
              <w:t>45.40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2</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西苇店村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20585031.96</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4443600.44</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37.0</w:t>
            </w:r>
          </w:p>
        </w:tc>
        <w:tc>
          <w:tcPr>
            <w:tcW w:w="1110" w:type="dxa"/>
            <w:vAlign w:val="center"/>
          </w:tcPr>
          <w:p>
            <w:pPr>
              <w:spacing w:line="280" w:lineRule="exact"/>
              <w:ind w:firstLine="0" w:firstLineChars="0"/>
              <w:jc w:val="center"/>
              <w:rPr>
                <w:sz w:val="21"/>
                <w:szCs w:val="21"/>
                <w:highlight w:val="none"/>
              </w:rPr>
            </w:pPr>
            <w:r>
              <w:rPr>
                <w:sz w:val="21"/>
                <w:szCs w:val="21"/>
                <w:highlight w:val="none"/>
              </w:rPr>
              <w:t>36.50</w:t>
            </w:r>
          </w:p>
        </w:tc>
        <w:tc>
          <w:tcPr>
            <w:tcW w:w="1113" w:type="dxa"/>
            <w:vAlign w:val="center"/>
          </w:tcPr>
          <w:p>
            <w:pPr>
              <w:spacing w:line="280" w:lineRule="exact"/>
              <w:ind w:firstLine="0" w:firstLineChars="0"/>
              <w:jc w:val="center"/>
              <w:rPr>
                <w:sz w:val="21"/>
                <w:szCs w:val="21"/>
                <w:highlight w:val="none"/>
              </w:rPr>
            </w:pPr>
            <w:r>
              <w:rPr>
                <w:sz w:val="21"/>
                <w:szCs w:val="21"/>
                <w:highlight w:val="none"/>
              </w:rPr>
              <w:t>8.70</w:t>
            </w:r>
          </w:p>
        </w:tc>
        <w:tc>
          <w:tcPr>
            <w:tcW w:w="1113" w:type="dxa"/>
            <w:vAlign w:val="center"/>
          </w:tcPr>
          <w:p>
            <w:pPr>
              <w:spacing w:line="280" w:lineRule="exact"/>
              <w:ind w:firstLine="0" w:firstLineChars="0"/>
              <w:jc w:val="center"/>
              <w:rPr>
                <w:sz w:val="21"/>
                <w:szCs w:val="21"/>
                <w:highlight w:val="none"/>
              </w:rPr>
            </w:pPr>
            <w:r>
              <w:rPr>
                <w:sz w:val="21"/>
                <w:szCs w:val="21"/>
                <w:highlight w:val="none"/>
              </w:rPr>
              <w:t>45.20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3</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岳各庄村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20586377.81</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4442853.28</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40.0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38.50</w:t>
            </w:r>
          </w:p>
        </w:tc>
        <w:tc>
          <w:tcPr>
            <w:tcW w:w="1113" w:type="dxa"/>
            <w:vAlign w:val="center"/>
          </w:tcPr>
          <w:p>
            <w:pPr>
              <w:spacing w:line="280" w:lineRule="exact"/>
              <w:ind w:firstLine="0" w:firstLineChars="0"/>
              <w:jc w:val="center"/>
              <w:rPr>
                <w:sz w:val="21"/>
                <w:szCs w:val="21"/>
                <w:highlight w:val="none"/>
              </w:rPr>
            </w:pPr>
            <w:r>
              <w:rPr>
                <w:sz w:val="21"/>
                <w:szCs w:val="21"/>
                <w:highlight w:val="none"/>
              </w:rPr>
              <w:t>7.50</w:t>
            </w:r>
          </w:p>
        </w:tc>
        <w:tc>
          <w:tcPr>
            <w:tcW w:w="1113" w:type="dxa"/>
            <w:vAlign w:val="center"/>
          </w:tcPr>
          <w:p>
            <w:pPr>
              <w:spacing w:line="280" w:lineRule="exact"/>
              <w:ind w:firstLine="0" w:firstLineChars="0"/>
              <w:jc w:val="center"/>
              <w:rPr>
                <w:sz w:val="21"/>
                <w:szCs w:val="21"/>
                <w:highlight w:val="none"/>
              </w:rPr>
            </w:pPr>
            <w:r>
              <w:rPr>
                <w:sz w:val="21"/>
                <w:szCs w:val="21"/>
                <w:highlight w:val="none"/>
              </w:rPr>
              <w:t>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4</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西北宅村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20585296.53</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4441416.41</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30.0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34.60</w:t>
            </w:r>
          </w:p>
        </w:tc>
        <w:tc>
          <w:tcPr>
            <w:tcW w:w="1113" w:type="dxa"/>
            <w:vAlign w:val="center"/>
          </w:tcPr>
          <w:p>
            <w:pPr>
              <w:spacing w:line="280" w:lineRule="exact"/>
              <w:ind w:firstLine="0" w:firstLineChars="0"/>
              <w:jc w:val="center"/>
              <w:rPr>
                <w:sz w:val="21"/>
                <w:szCs w:val="21"/>
                <w:highlight w:val="none"/>
              </w:rPr>
            </w:pPr>
            <w:r>
              <w:rPr>
                <w:sz w:val="21"/>
                <w:szCs w:val="21"/>
                <w:highlight w:val="none"/>
              </w:rPr>
              <w:t>9.40</w:t>
            </w:r>
          </w:p>
        </w:tc>
        <w:tc>
          <w:tcPr>
            <w:tcW w:w="1113" w:type="dxa"/>
            <w:vAlign w:val="center"/>
          </w:tcPr>
          <w:p>
            <w:pPr>
              <w:spacing w:line="280" w:lineRule="exact"/>
              <w:ind w:firstLine="0" w:firstLineChars="0"/>
              <w:jc w:val="center"/>
              <w:rPr>
                <w:sz w:val="21"/>
                <w:szCs w:val="21"/>
                <w:highlight w:val="none"/>
              </w:rPr>
            </w:pPr>
            <w:r>
              <w:rPr>
                <w:sz w:val="21"/>
                <w:szCs w:val="21"/>
                <w:highlight w:val="none"/>
              </w:rPr>
              <w:t>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5</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马店子村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20584721.38</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4442106.11</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30.0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34.50</w:t>
            </w:r>
          </w:p>
        </w:tc>
        <w:tc>
          <w:tcPr>
            <w:tcW w:w="1113" w:type="dxa"/>
            <w:vAlign w:val="center"/>
          </w:tcPr>
          <w:p>
            <w:pPr>
              <w:spacing w:line="280" w:lineRule="exact"/>
              <w:ind w:firstLine="0" w:firstLineChars="0"/>
              <w:jc w:val="center"/>
              <w:rPr>
                <w:sz w:val="21"/>
                <w:szCs w:val="21"/>
                <w:highlight w:val="none"/>
              </w:rPr>
            </w:pPr>
            <w:r>
              <w:rPr>
                <w:sz w:val="21"/>
                <w:szCs w:val="21"/>
                <w:highlight w:val="none"/>
              </w:rPr>
              <w:t>6.80</w:t>
            </w:r>
          </w:p>
        </w:tc>
        <w:tc>
          <w:tcPr>
            <w:tcW w:w="1113" w:type="dxa"/>
            <w:vAlign w:val="center"/>
          </w:tcPr>
          <w:p>
            <w:pPr>
              <w:spacing w:line="280" w:lineRule="exact"/>
              <w:ind w:firstLine="0" w:firstLineChars="0"/>
              <w:jc w:val="center"/>
              <w:rPr>
                <w:sz w:val="21"/>
                <w:szCs w:val="21"/>
                <w:highlight w:val="none"/>
              </w:rPr>
            </w:pPr>
            <w:r>
              <w:rPr>
                <w:sz w:val="21"/>
                <w:szCs w:val="21"/>
                <w:highlight w:val="none"/>
              </w:rPr>
              <w:t>41.30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6</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官房子村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20583433.05</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4442037.14</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40.0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32.30</w:t>
            </w:r>
          </w:p>
        </w:tc>
        <w:tc>
          <w:tcPr>
            <w:tcW w:w="1113" w:type="dxa"/>
            <w:vAlign w:val="center"/>
          </w:tcPr>
          <w:p>
            <w:pPr>
              <w:spacing w:line="280" w:lineRule="exact"/>
              <w:ind w:firstLine="0" w:firstLineChars="0"/>
              <w:jc w:val="center"/>
              <w:rPr>
                <w:sz w:val="21"/>
                <w:szCs w:val="21"/>
                <w:highlight w:val="none"/>
              </w:rPr>
            </w:pPr>
            <w:r>
              <w:rPr>
                <w:sz w:val="21"/>
                <w:szCs w:val="21"/>
                <w:highlight w:val="none"/>
              </w:rPr>
              <w:t>7.80</w:t>
            </w:r>
          </w:p>
        </w:tc>
        <w:tc>
          <w:tcPr>
            <w:tcW w:w="1113" w:type="dxa"/>
            <w:vAlign w:val="center"/>
          </w:tcPr>
          <w:p>
            <w:pPr>
              <w:spacing w:line="280" w:lineRule="exact"/>
              <w:ind w:firstLine="0" w:firstLineChars="0"/>
              <w:jc w:val="center"/>
              <w:rPr>
                <w:sz w:val="21"/>
                <w:szCs w:val="21"/>
                <w:highlight w:val="none"/>
              </w:rPr>
            </w:pPr>
            <w:r>
              <w:rPr>
                <w:sz w:val="21"/>
                <w:szCs w:val="21"/>
                <w:highlight w:val="none"/>
              </w:rPr>
              <w:t>40.10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7</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提举庄村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20582788.89</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4442232.55</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28.0</w:t>
            </w:r>
          </w:p>
        </w:tc>
        <w:tc>
          <w:tcPr>
            <w:tcW w:w="1110" w:type="dxa"/>
            <w:vAlign w:val="center"/>
          </w:tcPr>
          <w:p>
            <w:pPr>
              <w:spacing w:line="280" w:lineRule="exact"/>
              <w:ind w:firstLine="0" w:firstLineChars="0"/>
              <w:jc w:val="center"/>
              <w:rPr>
                <w:sz w:val="21"/>
                <w:szCs w:val="21"/>
                <w:highlight w:val="none"/>
              </w:rPr>
            </w:pPr>
            <w:r>
              <w:rPr>
                <w:sz w:val="21"/>
                <w:szCs w:val="21"/>
                <w:highlight w:val="none"/>
              </w:rPr>
              <w:t>31.80</w:t>
            </w:r>
          </w:p>
        </w:tc>
        <w:tc>
          <w:tcPr>
            <w:tcW w:w="1113" w:type="dxa"/>
            <w:vAlign w:val="center"/>
          </w:tcPr>
          <w:p>
            <w:pPr>
              <w:spacing w:line="280" w:lineRule="exact"/>
              <w:ind w:firstLine="0" w:firstLineChars="0"/>
              <w:jc w:val="center"/>
              <w:rPr>
                <w:sz w:val="21"/>
                <w:szCs w:val="21"/>
                <w:highlight w:val="none"/>
              </w:rPr>
            </w:pPr>
            <w:r>
              <w:rPr>
                <w:sz w:val="21"/>
                <w:szCs w:val="21"/>
                <w:highlight w:val="none"/>
              </w:rPr>
              <w:t>8.25</w:t>
            </w:r>
          </w:p>
        </w:tc>
        <w:tc>
          <w:tcPr>
            <w:tcW w:w="1113" w:type="dxa"/>
            <w:vAlign w:val="center"/>
          </w:tcPr>
          <w:p>
            <w:pPr>
              <w:spacing w:line="280" w:lineRule="exact"/>
              <w:ind w:firstLine="0" w:firstLineChars="0"/>
              <w:jc w:val="center"/>
              <w:rPr>
                <w:sz w:val="21"/>
                <w:szCs w:val="21"/>
                <w:highlight w:val="none"/>
              </w:rPr>
            </w:pPr>
            <w:r>
              <w:rPr>
                <w:sz w:val="21"/>
                <w:szCs w:val="21"/>
                <w:highlight w:val="none"/>
              </w:rPr>
              <w:t>40.05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8</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圪塔坨村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20583617.10</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4444290.14</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25.0</w:t>
            </w:r>
          </w:p>
        </w:tc>
        <w:tc>
          <w:tcPr>
            <w:tcW w:w="1110" w:type="dxa"/>
            <w:vAlign w:val="center"/>
          </w:tcPr>
          <w:p>
            <w:pPr>
              <w:spacing w:line="280" w:lineRule="exact"/>
              <w:ind w:firstLine="0" w:firstLineChars="0"/>
              <w:jc w:val="center"/>
              <w:rPr>
                <w:sz w:val="21"/>
                <w:szCs w:val="21"/>
                <w:highlight w:val="none"/>
              </w:rPr>
            </w:pPr>
            <w:r>
              <w:rPr>
                <w:sz w:val="21"/>
                <w:szCs w:val="21"/>
                <w:highlight w:val="none"/>
              </w:rPr>
              <w:t>36.20</w:t>
            </w:r>
          </w:p>
        </w:tc>
        <w:tc>
          <w:tcPr>
            <w:tcW w:w="1113" w:type="dxa"/>
            <w:vAlign w:val="center"/>
          </w:tcPr>
          <w:p>
            <w:pPr>
              <w:spacing w:line="280" w:lineRule="exact"/>
              <w:ind w:firstLine="0" w:firstLineChars="0"/>
              <w:jc w:val="center"/>
              <w:rPr>
                <w:sz w:val="21"/>
                <w:szCs w:val="21"/>
                <w:highlight w:val="none"/>
              </w:rPr>
            </w:pPr>
            <w:r>
              <w:rPr>
                <w:sz w:val="21"/>
                <w:szCs w:val="21"/>
                <w:highlight w:val="none"/>
              </w:rPr>
              <w:t>8.80</w:t>
            </w:r>
          </w:p>
        </w:tc>
        <w:tc>
          <w:tcPr>
            <w:tcW w:w="1113" w:type="dxa"/>
            <w:vAlign w:val="center"/>
          </w:tcPr>
          <w:p>
            <w:pPr>
              <w:spacing w:line="280" w:lineRule="exact"/>
              <w:ind w:firstLine="0" w:firstLineChars="0"/>
              <w:jc w:val="center"/>
              <w:rPr>
                <w:sz w:val="21"/>
                <w:szCs w:val="21"/>
                <w:highlight w:val="none"/>
              </w:rPr>
            </w:pPr>
            <w:r>
              <w:rPr>
                <w:sz w:val="21"/>
                <w:szCs w:val="21"/>
                <w:highlight w:val="none"/>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9</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东滩村北</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20582892.42</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4443899.31</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30.0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34.50</w:t>
            </w:r>
          </w:p>
        </w:tc>
        <w:tc>
          <w:tcPr>
            <w:tcW w:w="1113" w:type="dxa"/>
            <w:vAlign w:val="center"/>
          </w:tcPr>
          <w:p>
            <w:pPr>
              <w:spacing w:line="280" w:lineRule="exact"/>
              <w:ind w:firstLine="0" w:firstLineChars="0"/>
              <w:jc w:val="center"/>
              <w:rPr>
                <w:sz w:val="21"/>
                <w:szCs w:val="21"/>
                <w:highlight w:val="none"/>
              </w:rPr>
            </w:pPr>
            <w:r>
              <w:rPr>
                <w:sz w:val="21"/>
                <w:szCs w:val="21"/>
                <w:highlight w:val="none"/>
              </w:rPr>
              <w:t>7.40</w:t>
            </w:r>
          </w:p>
        </w:tc>
        <w:tc>
          <w:tcPr>
            <w:tcW w:w="1113" w:type="dxa"/>
            <w:vAlign w:val="center"/>
          </w:tcPr>
          <w:p>
            <w:pPr>
              <w:spacing w:line="280" w:lineRule="exact"/>
              <w:ind w:firstLine="0" w:firstLineChars="0"/>
              <w:jc w:val="center"/>
              <w:rPr>
                <w:sz w:val="21"/>
                <w:szCs w:val="21"/>
                <w:highlight w:val="none"/>
              </w:rPr>
            </w:pPr>
            <w:r>
              <w:rPr>
                <w:sz w:val="21"/>
                <w:szCs w:val="21"/>
                <w:highlight w:val="none"/>
              </w:rPr>
              <w:t>41.90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10</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骆各庄村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20581638.60</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4444416.58</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30.0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34.50</w:t>
            </w:r>
          </w:p>
        </w:tc>
        <w:tc>
          <w:tcPr>
            <w:tcW w:w="1113" w:type="dxa"/>
            <w:vAlign w:val="center"/>
          </w:tcPr>
          <w:p>
            <w:pPr>
              <w:spacing w:line="280" w:lineRule="exact"/>
              <w:ind w:firstLine="0" w:firstLineChars="0"/>
              <w:jc w:val="center"/>
              <w:rPr>
                <w:sz w:val="21"/>
                <w:szCs w:val="21"/>
                <w:highlight w:val="none"/>
              </w:rPr>
            </w:pPr>
            <w:r>
              <w:rPr>
                <w:sz w:val="21"/>
                <w:szCs w:val="21"/>
                <w:highlight w:val="none"/>
              </w:rPr>
              <w:t>7.50</w:t>
            </w:r>
          </w:p>
        </w:tc>
        <w:tc>
          <w:tcPr>
            <w:tcW w:w="1113" w:type="dxa"/>
            <w:vAlign w:val="center"/>
          </w:tcPr>
          <w:p>
            <w:pPr>
              <w:spacing w:line="280" w:lineRule="exact"/>
              <w:ind w:firstLine="0" w:firstLineChars="0"/>
              <w:jc w:val="center"/>
              <w:rPr>
                <w:sz w:val="21"/>
                <w:szCs w:val="21"/>
                <w:highlight w:val="none"/>
              </w:rPr>
            </w:pPr>
            <w:r>
              <w:rPr>
                <w:sz w:val="21"/>
                <w:szCs w:val="21"/>
                <w:highlight w:val="none"/>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sz w:val="21"/>
                <w:szCs w:val="21"/>
                <w:highlight w:val="none"/>
              </w:rPr>
              <w:t>G 11</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西黎河庄村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20581201.49</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4442244.05</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30.0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31.10</w:t>
            </w:r>
          </w:p>
        </w:tc>
        <w:tc>
          <w:tcPr>
            <w:tcW w:w="1113" w:type="dxa"/>
            <w:vAlign w:val="center"/>
          </w:tcPr>
          <w:p>
            <w:pPr>
              <w:spacing w:line="280" w:lineRule="exact"/>
              <w:ind w:firstLine="0" w:firstLineChars="0"/>
              <w:jc w:val="center"/>
              <w:rPr>
                <w:sz w:val="21"/>
                <w:szCs w:val="21"/>
                <w:highlight w:val="none"/>
              </w:rPr>
            </w:pPr>
            <w:r>
              <w:rPr>
                <w:sz w:val="21"/>
                <w:szCs w:val="21"/>
                <w:highlight w:val="none"/>
              </w:rPr>
              <w:t>8.90</w:t>
            </w:r>
          </w:p>
        </w:tc>
        <w:tc>
          <w:tcPr>
            <w:tcW w:w="1113" w:type="dxa"/>
            <w:vAlign w:val="center"/>
          </w:tcPr>
          <w:p>
            <w:pPr>
              <w:spacing w:line="280" w:lineRule="exact"/>
              <w:ind w:firstLine="0" w:firstLineChars="0"/>
              <w:jc w:val="center"/>
              <w:rPr>
                <w:sz w:val="21"/>
                <w:szCs w:val="21"/>
                <w:highlight w:val="none"/>
              </w:rPr>
            </w:pPr>
            <w:r>
              <w:rPr>
                <w:sz w:val="21"/>
                <w:szCs w:val="21"/>
                <w:highlight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12</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山里各庄村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20579832.64</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4442278.53</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40.0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31.10</w:t>
            </w:r>
          </w:p>
        </w:tc>
        <w:tc>
          <w:tcPr>
            <w:tcW w:w="1113" w:type="dxa"/>
            <w:vAlign w:val="center"/>
          </w:tcPr>
          <w:p>
            <w:pPr>
              <w:spacing w:line="280" w:lineRule="exact"/>
              <w:ind w:firstLine="0" w:firstLineChars="0"/>
              <w:jc w:val="center"/>
              <w:rPr>
                <w:sz w:val="21"/>
                <w:szCs w:val="21"/>
                <w:highlight w:val="none"/>
              </w:rPr>
            </w:pPr>
            <w:r>
              <w:rPr>
                <w:sz w:val="21"/>
                <w:szCs w:val="21"/>
                <w:highlight w:val="none"/>
              </w:rPr>
              <w:t>8.50</w:t>
            </w:r>
          </w:p>
        </w:tc>
        <w:tc>
          <w:tcPr>
            <w:tcW w:w="1113" w:type="dxa"/>
            <w:vAlign w:val="center"/>
          </w:tcPr>
          <w:p>
            <w:pPr>
              <w:spacing w:line="280" w:lineRule="exact"/>
              <w:ind w:firstLine="0" w:firstLineChars="0"/>
              <w:jc w:val="center"/>
              <w:rPr>
                <w:sz w:val="21"/>
                <w:szCs w:val="21"/>
                <w:highlight w:val="none"/>
              </w:rPr>
            </w:pPr>
            <w:r>
              <w:rPr>
                <w:sz w:val="21"/>
                <w:szCs w:val="21"/>
                <w:highlight w:val="none"/>
              </w:rPr>
              <w:t>39.60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13</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刘庄子村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20580154.72</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4441117.55</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25.0</w:t>
            </w:r>
          </w:p>
        </w:tc>
        <w:tc>
          <w:tcPr>
            <w:tcW w:w="1110" w:type="dxa"/>
            <w:vAlign w:val="center"/>
          </w:tcPr>
          <w:p>
            <w:pPr>
              <w:spacing w:line="280" w:lineRule="exact"/>
              <w:ind w:firstLine="0" w:firstLineChars="0"/>
              <w:jc w:val="center"/>
              <w:rPr>
                <w:sz w:val="21"/>
                <w:szCs w:val="21"/>
                <w:highlight w:val="none"/>
              </w:rPr>
            </w:pPr>
            <w:r>
              <w:rPr>
                <w:sz w:val="21"/>
                <w:szCs w:val="21"/>
                <w:highlight w:val="none"/>
              </w:rPr>
              <w:t>30.20</w:t>
            </w:r>
          </w:p>
        </w:tc>
        <w:tc>
          <w:tcPr>
            <w:tcW w:w="1113" w:type="dxa"/>
            <w:vAlign w:val="center"/>
          </w:tcPr>
          <w:p>
            <w:pPr>
              <w:spacing w:line="280" w:lineRule="exact"/>
              <w:ind w:firstLine="0" w:firstLineChars="0"/>
              <w:jc w:val="center"/>
              <w:rPr>
                <w:sz w:val="21"/>
                <w:szCs w:val="21"/>
                <w:highlight w:val="none"/>
              </w:rPr>
            </w:pPr>
            <w:r>
              <w:rPr>
                <w:sz w:val="21"/>
                <w:szCs w:val="21"/>
                <w:highlight w:val="none"/>
              </w:rPr>
              <w:t>6.30</w:t>
            </w:r>
          </w:p>
        </w:tc>
        <w:tc>
          <w:tcPr>
            <w:tcW w:w="1113" w:type="dxa"/>
            <w:vAlign w:val="center"/>
          </w:tcPr>
          <w:p>
            <w:pPr>
              <w:spacing w:line="280" w:lineRule="exact"/>
              <w:ind w:firstLine="0" w:firstLineChars="0"/>
              <w:jc w:val="center"/>
              <w:rPr>
                <w:sz w:val="21"/>
                <w:szCs w:val="21"/>
                <w:highlight w:val="none"/>
              </w:rPr>
            </w:pPr>
            <w:r>
              <w:rPr>
                <w:sz w:val="21"/>
                <w:szCs w:val="21"/>
                <w:highlight w:val="none"/>
              </w:rPr>
              <w:t>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14</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朱官屯村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20580844.89</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4440726.72</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30.0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30.10</w:t>
            </w:r>
          </w:p>
        </w:tc>
        <w:tc>
          <w:tcPr>
            <w:tcW w:w="1113" w:type="dxa"/>
            <w:vAlign w:val="center"/>
          </w:tcPr>
          <w:p>
            <w:pPr>
              <w:spacing w:line="280" w:lineRule="exact"/>
              <w:ind w:firstLine="0" w:firstLineChars="0"/>
              <w:jc w:val="center"/>
              <w:rPr>
                <w:sz w:val="21"/>
                <w:szCs w:val="21"/>
                <w:highlight w:val="none"/>
              </w:rPr>
            </w:pPr>
            <w:r>
              <w:rPr>
                <w:sz w:val="21"/>
                <w:szCs w:val="21"/>
                <w:highlight w:val="none"/>
              </w:rPr>
              <w:t>6.30</w:t>
            </w:r>
          </w:p>
        </w:tc>
        <w:tc>
          <w:tcPr>
            <w:tcW w:w="1113" w:type="dxa"/>
            <w:vAlign w:val="center"/>
          </w:tcPr>
          <w:p>
            <w:pPr>
              <w:spacing w:line="280" w:lineRule="exact"/>
              <w:ind w:firstLine="0" w:firstLineChars="0"/>
              <w:jc w:val="center"/>
              <w:rPr>
                <w:sz w:val="21"/>
                <w:szCs w:val="21"/>
                <w:highlight w:val="none"/>
              </w:rPr>
            </w:pPr>
            <w:r>
              <w:rPr>
                <w:sz w:val="21"/>
                <w:szCs w:val="21"/>
                <w:highlight w:val="none"/>
              </w:rPr>
              <w:t>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15</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东黎河庄村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20581822.64</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4441761.26</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25.0</w:t>
            </w:r>
          </w:p>
        </w:tc>
        <w:tc>
          <w:tcPr>
            <w:tcW w:w="1110" w:type="dxa"/>
            <w:vAlign w:val="center"/>
          </w:tcPr>
          <w:p>
            <w:pPr>
              <w:spacing w:line="280" w:lineRule="exact"/>
              <w:ind w:firstLine="0" w:firstLineChars="0"/>
              <w:jc w:val="center"/>
              <w:rPr>
                <w:sz w:val="21"/>
                <w:szCs w:val="21"/>
                <w:highlight w:val="none"/>
              </w:rPr>
            </w:pPr>
            <w:r>
              <w:rPr>
                <w:sz w:val="21"/>
                <w:szCs w:val="21"/>
                <w:highlight w:val="none"/>
              </w:rPr>
              <w:t>31.60</w:t>
            </w:r>
          </w:p>
        </w:tc>
        <w:tc>
          <w:tcPr>
            <w:tcW w:w="1113" w:type="dxa"/>
            <w:vAlign w:val="center"/>
          </w:tcPr>
          <w:p>
            <w:pPr>
              <w:spacing w:line="280" w:lineRule="exact"/>
              <w:ind w:firstLine="0" w:firstLineChars="0"/>
              <w:jc w:val="center"/>
              <w:rPr>
                <w:sz w:val="21"/>
                <w:szCs w:val="21"/>
                <w:highlight w:val="none"/>
              </w:rPr>
            </w:pPr>
            <w:r>
              <w:rPr>
                <w:sz w:val="21"/>
                <w:szCs w:val="21"/>
                <w:highlight w:val="none"/>
              </w:rPr>
              <w:t>8.40</w:t>
            </w:r>
          </w:p>
        </w:tc>
        <w:tc>
          <w:tcPr>
            <w:tcW w:w="1113" w:type="dxa"/>
            <w:vAlign w:val="center"/>
          </w:tcPr>
          <w:p>
            <w:pPr>
              <w:spacing w:line="280" w:lineRule="exact"/>
              <w:ind w:firstLine="0" w:firstLineChars="0"/>
              <w:jc w:val="center"/>
              <w:rPr>
                <w:sz w:val="21"/>
                <w:szCs w:val="21"/>
                <w:highlight w:val="none"/>
              </w:rPr>
            </w:pPr>
            <w:r>
              <w:rPr>
                <w:sz w:val="21"/>
                <w:szCs w:val="21"/>
                <w:highlight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16</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团瓢庄村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20582179.23</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4441037.08</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40.0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31.50</w:t>
            </w:r>
          </w:p>
        </w:tc>
        <w:tc>
          <w:tcPr>
            <w:tcW w:w="1113" w:type="dxa"/>
            <w:vAlign w:val="center"/>
          </w:tcPr>
          <w:p>
            <w:pPr>
              <w:spacing w:line="280" w:lineRule="exact"/>
              <w:ind w:firstLine="0" w:firstLineChars="0"/>
              <w:jc w:val="center"/>
              <w:rPr>
                <w:sz w:val="21"/>
                <w:szCs w:val="21"/>
                <w:highlight w:val="none"/>
              </w:rPr>
            </w:pPr>
            <w:r>
              <w:rPr>
                <w:sz w:val="21"/>
                <w:szCs w:val="21"/>
                <w:highlight w:val="none"/>
              </w:rPr>
              <w:t>6.00</w:t>
            </w:r>
          </w:p>
        </w:tc>
        <w:tc>
          <w:tcPr>
            <w:tcW w:w="1113" w:type="dxa"/>
            <w:vAlign w:val="center"/>
          </w:tcPr>
          <w:p>
            <w:pPr>
              <w:spacing w:line="280" w:lineRule="exact"/>
              <w:ind w:firstLine="0" w:firstLineChars="0"/>
              <w:jc w:val="center"/>
              <w:rPr>
                <w:sz w:val="21"/>
                <w:szCs w:val="21"/>
                <w:highlight w:val="none"/>
              </w:rPr>
            </w:pPr>
            <w:r>
              <w:rPr>
                <w:sz w:val="21"/>
                <w:szCs w:val="21"/>
                <w:highlight w:val="none"/>
              </w:rPr>
              <w:t>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17</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东下院寺村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20582271.26</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4440565.79</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40.0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31.10</w:t>
            </w:r>
          </w:p>
        </w:tc>
        <w:tc>
          <w:tcPr>
            <w:tcW w:w="1113" w:type="dxa"/>
            <w:vAlign w:val="center"/>
          </w:tcPr>
          <w:p>
            <w:pPr>
              <w:spacing w:line="280" w:lineRule="exact"/>
              <w:ind w:firstLine="0" w:firstLineChars="0"/>
              <w:jc w:val="center"/>
              <w:rPr>
                <w:sz w:val="21"/>
                <w:szCs w:val="21"/>
                <w:highlight w:val="none"/>
              </w:rPr>
            </w:pPr>
            <w:r>
              <w:rPr>
                <w:sz w:val="21"/>
                <w:szCs w:val="21"/>
                <w:highlight w:val="none"/>
              </w:rPr>
              <w:t>6.30</w:t>
            </w:r>
          </w:p>
        </w:tc>
        <w:tc>
          <w:tcPr>
            <w:tcW w:w="1113" w:type="dxa"/>
            <w:vAlign w:val="center"/>
          </w:tcPr>
          <w:p>
            <w:pPr>
              <w:spacing w:line="280" w:lineRule="exact"/>
              <w:ind w:firstLine="0" w:firstLineChars="0"/>
              <w:jc w:val="center"/>
              <w:rPr>
                <w:sz w:val="21"/>
                <w:szCs w:val="21"/>
                <w:highlight w:val="none"/>
              </w:rPr>
            </w:pPr>
            <w:r>
              <w:rPr>
                <w:sz w:val="21"/>
                <w:szCs w:val="21"/>
                <w:highlight w:val="none"/>
              </w:rPr>
              <w:t>37.40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18</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东下院寺村南</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20582271.26</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4440025.53</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25.0</w:t>
            </w:r>
          </w:p>
        </w:tc>
        <w:tc>
          <w:tcPr>
            <w:tcW w:w="1110" w:type="dxa"/>
            <w:vAlign w:val="center"/>
          </w:tcPr>
          <w:p>
            <w:pPr>
              <w:spacing w:line="280" w:lineRule="exact"/>
              <w:ind w:firstLine="0" w:firstLineChars="0"/>
              <w:jc w:val="center"/>
              <w:rPr>
                <w:sz w:val="21"/>
                <w:szCs w:val="21"/>
                <w:highlight w:val="none"/>
              </w:rPr>
            </w:pPr>
            <w:r>
              <w:rPr>
                <w:sz w:val="21"/>
                <w:szCs w:val="21"/>
                <w:highlight w:val="none"/>
              </w:rPr>
              <w:t>30.00</w:t>
            </w:r>
          </w:p>
        </w:tc>
        <w:tc>
          <w:tcPr>
            <w:tcW w:w="1113" w:type="dxa"/>
            <w:vAlign w:val="center"/>
          </w:tcPr>
          <w:p>
            <w:pPr>
              <w:spacing w:line="280" w:lineRule="exact"/>
              <w:ind w:firstLine="0" w:firstLineChars="0"/>
              <w:jc w:val="center"/>
              <w:rPr>
                <w:sz w:val="21"/>
                <w:szCs w:val="21"/>
                <w:highlight w:val="none"/>
              </w:rPr>
            </w:pPr>
            <w:r>
              <w:rPr>
                <w:sz w:val="21"/>
                <w:szCs w:val="21"/>
                <w:highlight w:val="none"/>
              </w:rPr>
              <w:t>6.60</w:t>
            </w:r>
          </w:p>
        </w:tc>
        <w:tc>
          <w:tcPr>
            <w:tcW w:w="1113" w:type="dxa"/>
            <w:vAlign w:val="center"/>
          </w:tcPr>
          <w:p>
            <w:pPr>
              <w:spacing w:line="280" w:lineRule="exact"/>
              <w:ind w:firstLine="0" w:firstLineChars="0"/>
              <w:jc w:val="center"/>
              <w:rPr>
                <w:sz w:val="21"/>
                <w:szCs w:val="21"/>
                <w:highlight w:val="none"/>
              </w:rPr>
            </w:pPr>
            <w:r>
              <w:rPr>
                <w:sz w:val="21"/>
                <w:szCs w:val="21"/>
                <w:highlight w:val="none"/>
              </w:rPr>
              <w:t>36.60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19</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东夏庄子村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20584054.21</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4440531.31</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20.0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31.90</w:t>
            </w:r>
          </w:p>
        </w:tc>
        <w:tc>
          <w:tcPr>
            <w:tcW w:w="1113" w:type="dxa"/>
            <w:vAlign w:val="center"/>
          </w:tcPr>
          <w:p>
            <w:pPr>
              <w:spacing w:line="280" w:lineRule="exact"/>
              <w:ind w:firstLine="0" w:firstLineChars="0"/>
              <w:jc w:val="center"/>
              <w:rPr>
                <w:sz w:val="21"/>
                <w:szCs w:val="21"/>
                <w:highlight w:val="none"/>
              </w:rPr>
            </w:pPr>
            <w:r>
              <w:rPr>
                <w:sz w:val="21"/>
                <w:szCs w:val="21"/>
                <w:highlight w:val="none"/>
              </w:rPr>
              <w:t>8.30</w:t>
            </w:r>
          </w:p>
        </w:tc>
        <w:tc>
          <w:tcPr>
            <w:tcW w:w="1113" w:type="dxa"/>
            <w:vAlign w:val="center"/>
          </w:tcPr>
          <w:p>
            <w:pPr>
              <w:spacing w:line="280" w:lineRule="exact"/>
              <w:ind w:firstLine="0" w:firstLineChars="0"/>
              <w:jc w:val="center"/>
              <w:rPr>
                <w:sz w:val="21"/>
                <w:szCs w:val="21"/>
                <w:highlight w:val="none"/>
              </w:rPr>
            </w:pPr>
            <w:r>
              <w:rPr>
                <w:sz w:val="21"/>
                <w:szCs w:val="21"/>
                <w:highlight w:val="none"/>
              </w:rPr>
              <w:t>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G 20</w:t>
            </w:r>
          </w:p>
        </w:tc>
        <w:tc>
          <w:tcPr>
            <w:tcW w:w="1256" w:type="dxa"/>
            <w:vAlign w:val="center"/>
          </w:tcPr>
          <w:p>
            <w:pPr>
              <w:spacing w:line="280" w:lineRule="exact"/>
              <w:ind w:firstLine="0" w:firstLineChars="0"/>
              <w:jc w:val="center"/>
              <w:rPr>
                <w:sz w:val="21"/>
                <w:szCs w:val="21"/>
                <w:highlight w:val="none"/>
              </w:rPr>
            </w:pPr>
            <w:r>
              <w:rPr>
                <w:rFonts w:hint="eastAsia"/>
                <w:sz w:val="21"/>
                <w:szCs w:val="21"/>
                <w:highlight w:val="none"/>
              </w:rPr>
              <w:t>东滩村</w:t>
            </w:r>
          </w:p>
        </w:tc>
        <w:tc>
          <w:tcPr>
            <w:tcW w:w="1256" w:type="dxa"/>
            <w:vAlign w:val="center"/>
          </w:tcPr>
          <w:p>
            <w:pPr>
              <w:spacing w:line="280" w:lineRule="exact"/>
              <w:ind w:firstLine="0" w:firstLineChars="0"/>
              <w:jc w:val="center"/>
              <w:rPr>
                <w:sz w:val="21"/>
                <w:szCs w:val="21"/>
                <w:highlight w:val="none"/>
              </w:rPr>
            </w:pPr>
            <w:r>
              <w:rPr>
                <w:sz w:val="21"/>
                <w:szCs w:val="21"/>
                <w:highlight w:val="none"/>
              </w:rPr>
              <w:t>20582397.79</w:t>
            </w:r>
          </w:p>
        </w:tc>
        <w:tc>
          <w:tcPr>
            <w:tcW w:w="1162" w:type="dxa"/>
            <w:vAlign w:val="center"/>
          </w:tcPr>
          <w:p>
            <w:pPr>
              <w:spacing w:line="280" w:lineRule="exact"/>
              <w:ind w:firstLine="0" w:firstLineChars="0"/>
              <w:jc w:val="center"/>
              <w:rPr>
                <w:sz w:val="21"/>
                <w:szCs w:val="21"/>
                <w:highlight w:val="none"/>
              </w:rPr>
            </w:pPr>
            <w:r>
              <w:rPr>
                <w:sz w:val="21"/>
                <w:szCs w:val="21"/>
                <w:highlight w:val="none"/>
              </w:rPr>
              <w:t>4443221.11</w:t>
            </w:r>
          </w:p>
        </w:tc>
        <w:tc>
          <w:tcPr>
            <w:tcW w:w="754" w:type="dxa"/>
            <w:vAlign w:val="center"/>
          </w:tcPr>
          <w:p>
            <w:pPr>
              <w:spacing w:line="280" w:lineRule="exact"/>
              <w:ind w:firstLine="0" w:firstLineChars="0"/>
              <w:jc w:val="center"/>
              <w:rPr>
                <w:sz w:val="21"/>
                <w:szCs w:val="21"/>
                <w:highlight w:val="none"/>
              </w:rPr>
            </w:pPr>
            <w:r>
              <w:rPr>
                <w:rFonts w:hint="eastAsia"/>
                <w:sz w:val="21"/>
                <w:szCs w:val="21"/>
                <w:highlight w:val="none"/>
              </w:rPr>
              <w:t>30.0</w:t>
            </w:r>
          </w:p>
        </w:tc>
        <w:tc>
          <w:tcPr>
            <w:tcW w:w="1110" w:type="dxa"/>
            <w:vAlign w:val="center"/>
          </w:tcPr>
          <w:p>
            <w:pPr>
              <w:spacing w:line="280" w:lineRule="exact"/>
              <w:ind w:firstLine="0" w:firstLineChars="0"/>
              <w:jc w:val="center"/>
              <w:rPr>
                <w:sz w:val="21"/>
                <w:szCs w:val="21"/>
                <w:highlight w:val="none"/>
              </w:rPr>
            </w:pPr>
            <w:r>
              <w:rPr>
                <w:sz w:val="21"/>
                <w:szCs w:val="21"/>
                <w:highlight w:val="none"/>
              </w:rPr>
              <w:t>32.80</w:t>
            </w:r>
          </w:p>
        </w:tc>
        <w:tc>
          <w:tcPr>
            <w:tcW w:w="1113" w:type="dxa"/>
            <w:vAlign w:val="center"/>
          </w:tcPr>
          <w:p>
            <w:pPr>
              <w:spacing w:line="280" w:lineRule="exact"/>
              <w:ind w:firstLine="0" w:firstLineChars="0"/>
              <w:jc w:val="center"/>
              <w:rPr>
                <w:sz w:val="21"/>
                <w:szCs w:val="21"/>
                <w:highlight w:val="none"/>
              </w:rPr>
            </w:pPr>
            <w:r>
              <w:rPr>
                <w:sz w:val="21"/>
                <w:szCs w:val="21"/>
                <w:highlight w:val="none"/>
              </w:rPr>
              <w:t>7.30</w:t>
            </w:r>
          </w:p>
        </w:tc>
        <w:tc>
          <w:tcPr>
            <w:tcW w:w="1113" w:type="dxa"/>
            <w:vAlign w:val="center"/>
          </w:tcPr>
          <w:p>
            <w:pPr>
              <w:spacing w:line="280" w:lineRule="exact"/>
              <w:ind w:firstLine="0" w:firstLineChars="0"/>
              <w:jc w:val="center"/>
              <w:rPr>
                <w:sz w:val="21"/>
                <w:szCs w:val="21"/>
                <w:highlight w:val="none"/>
              </w:rPr>
            </w:pPr>
            <w:r>
              <w:rPr>
                <w:sz w:val="21"/>
                <w:szCs w:val="21"/>
                <w:highlight w:val="none"/>
              </w:rPr>
              <w:t>40.10</w:t>
            </w:r>
          </w:p>
        </w:tc>
      </w:tr>
    </w:tbl>
    <w:p>
      <w:pPr>
        <w:autoSpaceDE w:val="0"/>
        <w:autoSpaceDN w:val="0"/>
        <w:spacing w:line="440" w:lineRule="atLeast"/>
        <w:ind w:firstLine="560"/>
        <w:jc w:val="center"/>
        <w:rPr>
          <w:highlight w:val="none"/>
        </w:rPr>
      </w:pPr>
    </w:p>
    <w:p>
      <w:pPr>
        <w:pStyle w:val="55"/>
        <w:ind w:left="0" w:leftChars="0" w:firstLine="0" w:firstLineChars="0"/>
        <w:rPr>
          <w:rFonts w:eastAsia="黑体"/>
          <w:szCs w:val="21"/>
          <w:highlight w:val="none"/>
        </w:rPr>
      </w:pPr>
      <w:r>
        <w:rPr>
          <w:highlight w:val="none"/>
        </w:rPr>
        <w:drawing>
          <wp:inline distT="0" distB="0" distL="114300" distR="114300">
            <wp:extent cx="5753100" cy="3671570"/>
            <wp:effectExtent l="0" t="0" r="0" b="5080"/>
            <wp:docPr id="25" name="图片 22" descr="地下水流场5月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地下水流场5月份"/>
                    <pic:cNvPicPr>
                      <a:picLocks noChangeAspect="1"/>
                    </pic:cNvPicPr>
                  </pic:nvPicPr>
                  <pic:blipFill>
                    <a:blip r:embed="rId52"/>
                    <a:srcRect l="24121" t="5521" r="25101" b="9019"/>
                    <a:stretch>
                      <a:fillRect/>
                    </a:stretch>
                  </pic:blipFill>
                  <pic:spPr>
                    <a:xfrm>
                      <a:off x="0" y="0"/>
                      <a:ext cx="5753100" cy="3671570"/>
                    </a:xfrm>
                    <a:prstGeom prst="rect">
                      <a:avLst/>
                    </a:prstGeom>
                    <a:noFill/>
                    <a:ln>
                      <a:noFill/>
                    </a:ln>
                  </pic:spPr>
                </pic:pic>
              </a:graphicData>
            </a:graphic>
          </wp:inline>
        </w:drawing>
      </w:r>
    </w:p>
    <w:p>
      <w:pPr>
        <w:autoSpaceDE w:val="0"/>
        <w:autoSpaceDN w:val="0"/>
        <w:spacing w:line="440" w:lineRule="atLeast"/>
        <w:ind w:left="-420" w:leftChars="-150" w:firstLine="420"/>
        <w:jc w:val="center"/>
        <w:rPr>
          <w:rFonts w:eastAsia="黑体"/>
          <w:sz w:val="21"/>
          <w:szCs w:val="21"/>
          <w:highlight w:val="none"/>
        </w:rPr>
      </w:pPr>
      <w:r>
        <w:rPr>
          <w:rFonts w:eastAsia="黑体"/>
          <w:sz w:val="21"/>
          <w:szCs w:val="21"/>
          <w:highlight w:val="none"/>
        </w:rPr>
        <w:t>图5.2-</w:t>
      </w:r>
      <w:r>
        <w:rPr>
          <w:rFonts w:hint="eastAsia" w:eastAsia="黑体"/>
          <w:sz w:val="21"/>
          <w:szCs w:val="21"/>
          <w:highlight w:val="none"/>
        </w:rPr>
        <w:t>4</w:t>
      </w:r>
      <w:r>
        <w:rPr>
          <w:rFonts w:eastAsia="黑体"/>
          <w:sz w:val="21"/>
          <w:szCs w:val="21"/>
          <w:highlight w:val="none"/>
        </w:rPr>
        <w:t xml:space="preserve">   浅层地下水流场</w:t>
      </w:r>
    </w:p>
    <w:p>
      <w:pPr>
        <w:spacing w:line="440" w:lineRule="atLeast"/>
        <w:ind w:firstLine="480"/>
        <w:rPr>
          <w:sz w:val="24"/>
          <w:szCs w:val="22"/>
          <w:highlight w:val="none"/>
        </w:rPr>
      </w:pPr>
      <w:r>
        <w:rPr>
          <w:sz w:val="24"/>
          <w:szCs w:val="22"/>
          <w:highlight w:val="none"/>
        </w:rPr>
        <w:t>②评价区水文地质试验</w:t>
      </w:r>
    </w:p>
    <w:p>
      <w:pPr>
        <w:spacing w:line="440" w:lineRule="atLeast"/>
        <w:ind w:firstLine="480"/>
        <w:rPr>
          <w:sz w:val="24"/>
          <w:highlight w:val="none"/>
        </w:rPr>
      </w:pPr>
      <w:r>
        <w:rPr>
          <w:sz w:val="24"/>
          <w:highlight w:val="none"/>
        </w:rPr>
        <w:t>该项</w:t>
      </w:r>
      <w:r>
        <w:rPr>
          <w:sz w:val="24"/>
          <w:szCs w:val="22"/>
          <w:highlight w:val="none"/>
        </w:rPr>
        <w:t>工作</w:t>
      </w:r>
      <w:r>
        <w:rPr>
          <w:sz w:val="24"/>
          <w:highlight w:val="none"/>
        </w:rPr>
        <w:t>包括抽水试验和渗水试验。抽水试验具体要求参照《供水水文地质勘察规范》（GB 50027-2001）进行。同时，通过</w:t>
      </w:r>
      <w:r>
        <w:rPr>
          <w:rFonts w:hint="eastAsia"/>
          <w:sz w:val="24"/>
          <w:highlight w:val="none"/>
        </w:rPr>
        <w:t>双</w:t>
      </w:r>
      <w:r>
        <w:rPr>
          <w:sz w:val="24"/>
          <w:highlight w:val="none"/>
        </w:rPr>
        <w:t>环渗水试验测试包气带渗透性能，综合分析包气带的天然防渗性能，为</w:t>
      </w:r>
      <w:r>
        <w:rPr>
          <w:rFonts w:hint="eastAsia"/>
          <w:sz w:val="24"/>
          <w:highlight w:val="none"/>
        </w:rPr>
        <w:t>拟建厂</w:t>
      </w:r>
      <w:r>
        <w:rPr>
          <w:sz w:val="24"/>
          <w:highlight w:val="none"/>
        </w:rPr>
        <w:t>区地下水污染防治措施的设计提供科学依据。试验点位置见图5.2-</w:t>
      </w:r>
      <w:r>
        <w:rPr>
          <w:rFonts w:hint="eastAsia"/>
          <w:sz w:val="24"/>
          <w:highlight w:val="none"/>
        </w:rPr>
        <w:t>5</w:t>
      </w:r>
      <w:r>
        <w:rPr>
          <w:sz w:val="24"/>
          <w:highlight w:val="none"/>
        </w:rPr>
        <w:t>。</w:t>
      </w:r>
    </w:p>
    <w:p>
      <w:pPr>
        <w:ind w:firstLine="560"/>
        <w:jc w:val="center"/>
        <w:rPr>
          <w:highlight w:val="none"/>
          <w:lang w:val="zh-CN"/>
        </w:rPr>
      </w:pPr>
      <w:r>
        <w:rPr>
          <w:highlight w:val="none"/>
          <w:lang w:val="zh-CN"/>
        </w:rPr>
        <w:drawing>
          <wp:inline distT="0" distB="0" distL="114300" distR="114300">
            <wp:extent cx="5227955" cy="3548380"/>
            <wp:effectExtent l="0" t="0" r="0" b="0"/>
            <wp:docPr id="26" name="图片 23" descr="抽水试验和渗水试验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抽水试验和渗水试验点"/>
                    <pic:cNvPicPr>
                      <a:picLocks noChangeAspect="1"/>
                    </pic:cNvPicPr>
                  </pic:nvPicPr>
                  <pic:blipFill>
                    <a:blip r:embed="rId53"/>
                    <a:srcRect l="18140" t="3511" r="32272" b="7518"/>
                    <a:stretch>
                      <a:fillRect/>
                    </a:stretch>
                  </pic:blipFill>
                  <pic:spPr>
                    <a:xfrm>
                      <a:off x="0" y="0"/>
                      <a:ext cx="5227955" cy="3548380"/>
                    </a:xfrm>
                    <a:prstGeom prst="rect">
                      <a:avLst/>
                    </a:prstGeom>
                    <a:noFill/>
                    <a:ln>
                      <a:noFill/>
                    </a:ln>
                  </pic:spPr>
                </pic:pic>
              </a:graphicData>
            </a:graphic>
          </wp:inline>
        </w:drawing>
      </w:r>
    </w:p>
    <w:p>
      <w:pPr>
        <w:ind w:firstLine="0" w:firstLineChars="0"/>
        <w:jc w:val="center"/>
        <w:textAlignment w:val="auto"/>
        <w:rPr>
          <w:rFonts w:eastAsia="黑体"/>
          <w:kern w:val="2"/>
          <w:sz w:val="21"/>
          <w:szCs w:val="21"/>
          <w:highlight w:val="none"/>
        </w:rPr>
      </w:pPr>
      <w:r>
        <w:rPr>
          <w:rFonts w:hint="eastAsia" w:eastAsia="黑体"/>
          <w:kern w:val="2"/>
          <w:sz w:val="21"/>
          <w:szCs w:val="21"/>
          <w:highlight w:val="none"/>
        </w:rPr>
        <w:t>图</w:t>
      </w:r>
      <w:r>
        <w:rPr>
          <w:rFonts w:eastAsia="黑体"/>
          <w:kern w:val="2"/>
          <w:sz w:val="21"/>
          <w:szCs w:val="21"/>
          <w:highlight w:val="none"/>
        </w:rPr>
        <w:t>5.2-</w:t>
      </w:r>
      <w:r>
        <w:rPr>
          <w:rFonts w:hint="eastAsia" w:eastAsia="黑体"/>
          <w:kern w:val="2"/>
          <w:sz w:val="21"/>
          <w:szCs w:val="21"/>
          <w:highlight w:val="none"/>
        </w:rPr>
        <w:t>5   项目区抽水试验和渗水试验位置图</w:t>
      </w:r>
    </w:p>
    <w:p>
      <w:pPr>
        <w:ind w:firstLine="480"/>
        <w:rPr>
          <w:sz w:val="24"/>
          <w:szCs w:val="22"/>
          <w:highlight w:val="none"/>
        </w:rPr>
      </w:pPr>
      <w:r>
        <w:rPr>
          <w:sz w:val="24"/>
          <w:szCs w:val="22"/>
          <w:highlight w:val="none"/>
        </w:rPr>
        <w:t>1</w:t>
      </w:r>
      <w:r>
        <w:rPr>
          <w:rFonts w:hint="eastAsia"/>
          <w:sz w:val="24"/>
          <w:szCs w:val="22"/>
          <w:highlight w:val="none"/>
        </w:rPr>
        <w:t>）抽水试验与参数计算</w:t>
      </w:r>
    </w:p>
    <w:p>
      <w:pPr>
        <w:ind w:firstLine="480"/>
        <w:rPr>
          <w:sz w:val="24"/>
          <w:highlight w:val="none"/>
        </w:rPr>
      </w:pPr>
      <w:r>
        <w:rPr>
          <w:rFonts w:hint="eastAsia"/>
          <w:sz w:val="24"/>
          <w:highlight w:val="none"/>
        </w:rPr>
        <w:t>a</w:t>
      </w:r>
      <w:r>
        <w:rPr>
          <w:sz w:val="24"/>
          <w:highlight w:val="none"/>
        </w:rPr>
        <w:t>.</w:t>
      </w:r>
      <w:r>
        <w:rPr>
          <w:rFonts w:hint="eastAsia"/>
          <w:sz w:val="24"/>
          <w:szCs w:val="22"/>
          <w:highlight w:val="none"/>
        </w:rPr>
        <w:t>抽水试验</w:t>
      </w:r>
    </w:p>
    <w:p>
      <w:pPr>
        <w:ind w:firstLine="480"/>
        <w:jc w:val="both"/>
        <w:rPr>
          <w:bCs/>
          <w:sz w:val="24"/>
          <w:szCs w:val="24"/>
          <w:highlight w:val="none"/>
        </w:rPr>
      </w:pPr>
      <w:r>
        <w:rPr>
          <w:rFonts w:hint="eastAsia"/>
          <w:bCs/>
          <w:sz w:val="24"/>
          <w:szCs w:val="24"/>
          <w:highlight w:val="none"/>
        </w:rPr>
        <w:t>为了查明评价区的水文地质参数，本次野外抽水试验分别在马店子村、官房子村和东滩村三个试验点进行了三次抽水试验。</w:t>
      </w:r>
    </w:p>
    <w:p>
      <w:pPr>
        <w:ind w:firstLine="480"/>
        <w:rPr>
          <w:sz w:val="24"/>
          <w:highlight w:val="none"/>
        </w:rPr>
      </w:pPr>
      <w:r>
        <w:rPr>
          <w:rFonts w:hint="eastAsia"/>
          <w:bCs/>
          <w:sz w:val="24"/>
          <w:szCs w:val="24"/>
          <w:highlight w:val="none"/>
        </w:rPr>
        <w:t>马店子村抽水试验井深为30m，井径0.3m，静止水位埋深6.60m，整个抽水试验历时900分钟，其中抽水试验阶段历时600分钟，水位稳定时间480分钟，恢复试验阶段历时300分钟，水位最大降深为3.00m，涌水量为78.33m</w:t>
      </w:r>
      <w:r>
        <w:rPr>
          <w:rFonts w:hint="eastAsia"/>
          <w:bCs/>
          <w:sz w:val="24"/>
          <w:szCs w:val="24"/>
          <w:highlight w:val="none"/>
          <w:vertAlign w:val="superscript"/>
        </w:rPr>
        <w:t>3</w:t>
      </w:r>
      <w:r>
        <w:rPr>
          <w:rFonts w:hint="eastAsia"/>
          <w:bCs/>
          <w:sz w:val="24"/>
          <w:szCs w:val="24"/>
          <w:highlight w:val="none"/>
        </w:rPr>
        <w:t>/h，单位涌水量26.11</w:t>
      </w:r>
      <w:r>
        <w:rPr>
          <w:bCs/>
          <w:sz w:val="24"/>
          <w:szCs w:val="24"/>
          <w:highlight w:val="none"/>
        </w:rPr>
        <w:t>m³/h·m</w:t>
      </w:r>
      <w:r>
        <w:rPr>
          <w:rFonts w:hint="eastAsia"/>
          <w:sz w:val="24"/>
          <w:szCs w:val="24"/>
          <w:highlight w:val="none"/>
        </w:rPr>
        <w:t>，</w:t>
      </w:r>
      <w:r>
        <w:rPr>
          <w:rFonts w:hint="eastAsia"/>
          <w:sz w:val="24"/>
          <w:highlight w:val="none"/>
        </w:rPr>
        <w:t>抽水试验结束时刻水位恢复至试验前水位（表</w:t>
      </w:r>
      <w:r>
        <w:rPr>
          <w:sz w:val="24"/>
          <w:highlight w:val="none"/>
        </w:rPr>
        <w:t>5.2-</w:t>
      </w:r>
      <w:r>
        <w:rPr>
          <w:rFonts w:hint="eastAsia"/>
          <w:sz w:val="24"/>
          <w:highlight w:val="none"/>
        </w:rPr>
        <w:t>11）。图</w:t>
      </w:r>
      <w:r>
        <w:rPr>
          <w:sz w:val="24"/>
          <w:highlight w:val="none"/>
        </w:rPr>
        <w:t>5.2-</w:t>
      </w:r>
      <w:r>
        <w:rPr>
          <w:rFonts w:hint="eastAsia"/>
          <w:sz w:val="24"/>
          <w:highlight w:val="none"/>
        </w:rPr>
        <w:t>6和图</w:t>
      </w:r>
      <w:r>
        <w:rPr>
          <w:sz w:val="24"/>
          <w:highlight w:val="none"/>
        </w:rPr>
        <w:t>5.2-</w:t>
      </w:r>
      <w:r>
        <w:rPr>
          <w:rFonts w:hint="eastAsia"/>
          <w:sz w:val="24"/>
          <w:highlight w:val="none"/>
        </w:rPr>
        <w:t>7为抽水试验水位降深和水位埋深分别对时间的变化曲线。</w:t>
      </w:r>
    </w:p>
    <w:p>
      <w:pPr>
        <w:autoSpaceDE w:val="0"/>
        <w:autoSpaceDN w:val="0"/>
        <w:ind w:firstLine="420"/>
        <w:jc w:val="center"/>
        <w:rPr>
          <w:rFonts w:eastAsia="黑体"/>
          <w:sz w:val="21"/>
          <w:szCs w:val="21"/>
          <w:highlight w:val="none"/>
        </w:rPr>
      </w:pPr>
      <w:r>
        <w:rPr>
          <w:rFonts w:eastAsia="黑体"/>
          <w:sz w:val="21"/>
          <w:szCs w:val="21"/>
          <w:highlight w:val="none"/>
        </w:rPr>
        <w:t>表5.2-</w:t>
      </w:r>
      <w:r>
        <w:rPr>
          <w:rFonts w:hint="eastAsia" w:eastAsia="黑体"/>
          <w:sz w:val="21"/>
          <w:szCs w:val="21"/>
          <w:highlight w:val="none"/>
        </w:rPr>
        <w:t>11</w:t>
      </w:r>
      <w:r>
        <w:rPr>
          <w:rFonts w:eastAsia="黑体"/>
          <w:sz w:val="21"/>
          <w:szCs w:val="21"/>
          <w:highlight w:val="none"/>
        </w:rPr>
        <w:t xml:space="preserve">   </w:t>
      </w:r>
      <w:r>
        <w:rPr>
          <w:rFonts w:hint="eastAsia" w:eastAsia="黑体"/>
          <w:sz w:val="21"/>
          <w:szCs w:val="21"/>
          <w:highlight w:val="none"/>
        </w:rPr>
        <w:t>马店子村</w:t>
      </w:r>
      <w:r>
        <w:rPr>
          <w:rFonts w:eastAsia="黑体"/>
          <w:sz w:val="21"/>
          <w:szCs w:val="21"/>
          <w:highlight w:val="none"/>
        </w:rPr>
        <w:t>抽水试验结果</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163"/>
        <w:gridCol w:w="1164"/>
        <w:gridCol w:w="1578"/>
        <w:gridCol w:w="1520"/>
        <w:gridCol w:w="1078"/>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61" w:type="dxa"/>
            <w:vMerge w:val="restart"/>
            <w:vAlign w:val="center"/>
          </w:tcPr>
          <w:p>
            <w:pPr>
              <w:spacing w:line="280" w:lineRule="exact"/>
              <w:ind w:firstLine="0" w:firstLineChars="0"/>
              <w:jc w:val="center"/>
              <w:rPr>
                <w:sz w:val="21"/>
                <w:szCs w:val="21"/>
                <w:highlight w:val="none"/>
              </w:rPr>
            </w:pPr>
            <w:r>
              <w:rPr>
                <w:sz w:val="21"/>
                <w:szCs w:val="21"/>
                <w:highlight w:val="none"/>
              </w:rPr>
              <w:t>地点</w:t>
            </w:r>
          </w:p>
        </w:tc>
        <w:tc>
          <w:tcPr>
            <w:tcW w:w="2327" w:type="dxa"/>
            <w:gridSpan w:val="2"/>
            <w:vMerge w:val="restart"/>
            <w:vAlign w:val="center"/>
          </w:tcPr>
          <w:p>
            <w:pPr>
              <w:spacing w:line="280" w:lineRule="exact"/>
              <w:ind w:firstLine="0" w:firstLineChars="0"/>
              <w:jc w:val="center"/>
              <w:rPr>
                <w:sz w:val="21"/>
                <w:szCs w:val="21"/>
                <w:highlight w:val="none"/>
              </w:rPr>
            </w:pPr>
            <w:r>
              <w:rPr>
                <w:rFonts w:hint="eastAsia"/>
                <w:sz w:val="21"/>
                <w:szCs w:val="21"/>
                <w:highlight w:val="none"/>
              </w:rPr>
              <w:t>马店子村</w:t>
            </w:r>
          </w:p>
        </w:tc>
        <w:tc>
          <w:tcPr>
            <w:tcW w:w="1578" w:type="dxa"/>
            <w:vAlign w:val="center"/>
          </w:tcPr>
          <w:p>
            <w:pPr>
              <w:spacing w:line="280" w:lineRule="exact"/>
              <w:ind w:firstLine="0" w:firstLineChars="0"/>
              <w:jc w:val="center"/>
              <w:rPr>
                <w:sz w:val="21"/>
                <w:szCs w:val="21"/>
                <w:highlight w:val="none"/>
              </w:rPr>
            </w:pPr>
            <w:r>
              <w:rPr>
                <w:sz w:val="21"/>
                <w:szCs w:val="21"/>
                <w:highlight w:val="none"/>
              </w:rPr>
              <w:t>井深</w:t>
            </w:r>
          </w:p>
        </w:tc>
        <w:tc>
          <w:tcPr>
            <w:tcW w:w="1520" w:type="dxa"/>
            <w:vAlign w:val="center"/>
          </w:tcPr>
          <w:p>
            <w:pPr>
              <w:spacing w:line="280" w:lineRule="exact"/>
              <w:ind w:firstLine="0" w:firstLineChars="0"/>
              <w:jc w:val="center"/>
              <w:rPr>
                <w:sz w:val="21"/>
                <w:szCs w:val="21"/>
                <w:highlight w:val="none"/>
              </w:rPr>
            </w:pPr>
            <w:r>
              <w:rPr>
                <w:rFonts w:hint="eastAsia"/>
                <w:sz w:val="21"/>
                <w:szCs w:val="21"/>
                <w:highlight w:val="none"/>
              </w:rPr>
              <w:t>30</w:t>
            </w:r>
            <w:r>
              <w:rPr>
                <w:sz w:val="21"/>
                <w:szCs w:val="21"/>
                <w:highlight w:val="none"/>
              </w:rPr>
              <w:t>m</w:t>
            </w:r>
          </w:p>
        </w:tc>
        <w:tc>
          <w:tcPr>
            <w:tcW w:w="1078" w:type="dxa"/>
            <w:vAlign w:val="center"/>
          </w:tcPr>
          <w:p>
            <w:pPr>
              <w:spacing w:line="280" w:lineRule="exact"/>
              <w:ind w:firstLine="0" w:firstLineChars="0"/>
              <w:jc w:val="center"/>
              <w:rPr>
                <w:sz w:val="21"/>
                <w:szCs w:val="21"/>
                <w:highlight w:val="none"/>
              </w:rPr>
            </w:pPr>
            <w:r>
              <w:rPr>
                <w:sz w:val="21"/>
                <w:szCs w:val="21"/>
                <w:highlight w:val="none"/>
              </w:rPr>
              <w:t>井径</w:t>
            </w:r>
          </w:p>
        </w:tc>
        <w:tc>
          <w:tcPr>
            <w:tcW w:w="858" w:type="dxa"/>
            <w:vAlign w:val="center"/>
          </w:tcPr>
          <w:p>
            <w:pPr>
              <w:spacing w:line="280" w:lineRule="exact"/>
              <w:ind w:firstLine="0" w:firstLineChars="0"/>
              <w:jc w:val="center"/>
              <w:rPr>
                <w:sz w:val="21"/>
                <w:szCs w:val="21"/>
                <w:highlight w:val="none"/>
              </w:rPr>
            </w:pPr>
            <w:r>
              <w:rPr>
                <w:rFonts w:hint="eastAsia"/>
                <w:sz w:val="21"/>
                <w:szCs w:val="21"/>
                <w:highlight w:val="none"/>
              </w:rPr>
              <w:t>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161" w:type="dxa"/>
            <w:vMerge w:val="continue"/>
            <w:vAlign w:val="center"/>
          </w:tcPr>
          <w:p>
            <w:pPr>
              <w:spacing w:line="280" w:lineRule="exact"/>
              <w:ind w:firstLine="0" w:firstLineChars="0"/>
              <w:jc w:val="center"/>
              <w:rPr>
                <w:sz w:val="21"/>
                <w:szCs w:val="21"/>
                <w:highlight w:val="none"/>
              </w:rPr>
            </w:pPr>
          </w:p>
        </w:tc>
        <w:tc>
          <w:tcPr>
            <w:tcW w:w="2327" w:type="dxa"/>
            <w:gridSpan w:val="2"/>
            <w:vMerge w:val="continue"/>
            <w:vAlign w:val="center"/>
          </w:tcPr>
          <w:p>
            <w:pPr>
              <w:spacing w:line="280" w:lineRule="exact"/>
              <w:ind w:firstLine="0" w:firstLineChars="0"/>
              <w:jc w:val="center"/>
              <w:rPr>
                <w:sz w:val="21"/>
                <w:szCs w:val="21"/>
                <w:highlight w:val="none"/>
              </w:rPr>
            </w:pPr>
          </w:p>
        </w:tc>
        <w:tc>
          <w:tcPr>
            <w:tcW w:w="3098" w:type="dxa"/>
            <w:gridSpan w:val="2"/>
            <w:vAlign w:val="center"/>
          </w:tcPr>
          <w:p>
            <w:pPr>
              <w:spacing w:line="280" w:lineRule="exact"/>
              <w:ind w:firstLine="0" w:firstLineChars="0"/>
              <w:jc w:val="center"/>
              <w:rPr>
                <w:sz w:val="21"/>
                <w:szCs w:val="21"/>
                <w:highlight w:val="none"/>
              </w:rPr>
            </w:pPr>
            <w:r>
              <w:rPr>
                <w:sz w:val="21"/>
                <w:szCs w:val="21"/>
                <w:highlight w:val="none"/>
              </w:rPr>
              <w:t>静止水位埋深</w:t>
            </w:r>
          </w:p>
        </w:tc>
        <w:tc>
          <w:tcPr>
            <w:tcW w:w="1936" w:type="dxa"/>
            <w:gridSpan w:val="2"/>
            <w:vAlign w:val="center"/>
          </w:tcPr>
          <w:p>
            <w:pPr>
              <w:spacing w:line="280" w:lineRule="exact"/>
              <w:ind w:firstLine="0" w:firstLineChars="0"/>
              <w:jc w:val="center"/>
              <w:rPr>
                <w:sz w:val="21"/>
                <w:szCs w:val="21"/>
                <w:highlight w:val="none"/>
              </w:rPr>
            </w:pPr>
            <w:r>
              <w:rPr>
                <w:rFonts w:hint="eastAsia"/>
                <w:sz w:val="21"/>
                <w:szCs w:val="21"/>
                <w:highlight w:val="none"/>
              </w:rPr>
              <w:t>6.6</w:t>
            </w:r>
            <w:r>
              <w:rPr>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61" w:type="dxa"/>
            <w:vMerge w:val="restart"/>
            <w:vAlign w:val="center"/>
          </w:tcPr>
          <w:p>
            <w:pPr>
              <w:spacing w:line="280" w:lineRule="exact"/>
              <w:ind w:firstLine="0" w:firstLineChars="0"/>
              <w:jc w:val="center"/>
              <w:rPr>
                <w:sz w:val="21"/>
                <w:szCs w:val="21"/>
                <w:highlight w:val="none"/>
              </w:rPr>
            </w:pPr>
            <w:r>
              <w:rPr>
                <w:sz w:val="21"/>
                <w:szCs w:val="21"/>
                <w:highlight w:val="none"/>
              </w:rPr>
              <w:t>抽水</w:t>
            </w:r>
          </w:p>
          <w:p>
            <w:pPr>
              <w:spacing w:line="280" w:lineRule="exact"/>
              <w:ind w:firstLine="0" w:firstLineChars="0"/>
              <w:jc w:val="center"/>
              <w:rPr>
                <w:sz w:val="21"/>
                <w:szCs w:val="21"/>
                <w:highlight w:val="none"/>
              </w:rPr>
            </w:pPr>
            <w:r>
              <w:rPr>
                <w:sz w:val="21"/>
                <w:szCs w:val="21"/>
                <w:highlight w:val="none"/>
              </w:rPr>
              <w:t>试验</w:t>
            </w:r>
          </w:p>
        </w:tc>
        <w:tc>
          <w:tcPr>
            <w:tcW w:w="1163" w:type="dxa"/>
            <w:vAlign w:val="center"/>
          </w:tcPr>
          <w:p>
            <w:pPr>
              <w:spacing w:line="280" w:lineRule="exact"/>
              <w:ind w:firstLine="0" w:firstLineChars="0"/>
              <w:jc w:val="center"/>
              <w:rPr>
                <w:sz w:val="21"/>
                <w:szCs w:val="21"/>
                <w:highlight w:val="none"/>
              </w:rPr>
            </w:pPr>
            <w:r>
              <w:rPr>
                <w:sz w:val="21"/>
                <w:szCs w:val="21"/>
                <w:highlight w:val="none"/>
              </w:rPr>
              <w:t>抽水</w:t>
            </w:r>
            <w:r>
              <w:rPr>
                <w:rFonts w:hint="eastAsia"/>
                <w:sz w:val="21"/>
                <w:szCs w:val="21"/>
                <w:highlight w:val="none"/>
              </w:rPr>
              <w:t>试验</w:t>
            </w:r>
          </w:p>
          <w:p>
            <w:pPr>
              <w:spacing w:line="280" w:lineRule="exact"/>
              <w:ind w:firstLine="0" w:firstLineChars="0"/>
              <w:jc w:val="center"/>
              <w:rPr>
                <w:sz w:val="21"/>
                <w:szCs w:val="21"/>
                <w:highlight w:val="none"/>
              </w:rPr>
            </w:pPr>
            <w:r>
              <w:rPr>
                <w:sz w:val="21"/>
                <w:szCs w:val="21"/>
                <w:highlight w:val="none"/>
              </w:rPr>
              <w:t>时间</w:t>
            </w:r>
          </w:p>
        </w:tc>
        <w:tc>
          <w:tcPr>
            <w:tcW w:w="1164" w:type="dxa"/>
            <w:vAlign w:val="center"/>
          </w:tcPr>
          <w:p>
            <w:pPr>
              <w:spacing w:line="280" w:lineRule="exact"/>
              <w:ind w:firstLine="0" w:firstLineChars="0"/>
              <w:jc w:val="center"/>
              <w:rPr>
                <w:sz w:val="21"/>
                <w:szCs w:val="21"/>
                <w:highlight w:val="none"/>
              </w:rPr>
            </w:pPr>
            <w:r>
              <w:rPr>
                <w:sz w:val="21"/>
                <w:szCs w:val="21"/>
                <w:highlight w:val="none"/>
              </w:rPr>
              <w:t>稳定</w:t>
            </w:r>
          </w:p>
          <w:p>
            <w:pPr>
              <w:spacing w:line="280" w:lineRule="exact"/>
              <w:ind w:firstLine="0" w:firstLineChars="0"/>
              <w:jc w:val="center"/>
              <w:rPr>
                <w:sz w:val="21"/>
                <w:szCs w:val="21"/>
                <w:highlight w:val="none"/>
              </w:rPr>
            </w:pPr>
            <w:r>
              <w:rPr>
                <w:sz w:val="21"/>
                <w:szCs w:val="21"/>
                <w:highlight w:val="none"/>
              </w:rPr>
              <w:t>时间</w:t>
            </w:r>
          </w:p>
        </w:tc>
        <w:tc>
          <w:tcPr>
            <w:tcW w:w="1578" w:type="dxa"/>
            <w:vAlign w:val="center"/>
          </w:tcPr>
          <w:p>
            <w:pPr>
              <w:spacing w:line="280" w:lineRule="exact"/>
              <w:ind w:firstLine="0" w:firstLineChars="0"/>
              <w:jc w:val="center"/>
              <w:rPr>
                <w:sz w:val="21"/>
                <w:szCs w:val="21"/>
                <w:highlight w:val="none"/>
              </w:rPr>
            </w:pPr>
            <w:r>
              <w:rPr>
                <w:sz w:val="21"/>
                <w:szCs w:val="21"/>
                <w:highlight w:val="none"/>
              </w:rPr>
              <w:t>抽水量</w:t>
            </w:r>
          </w:p>
        </w:tc>
        <w:tc>
          <w:tcPr>
            <w:tcW w:w="1520" w:type="dxa"/>
            <w:vAlign w:val="center"/>
          </w:tcPr>
          <w:p>
            <w:pPr>
              <w:spacing w:line="280" w:lineRule="exact"/>
              <w:ind w:firstLine="0" w:firstLineChars="0"/>
              <w:jc w:val="center"/>
              <w:rPr>
                <w:sz w:val="21"/>
                <w:szCs w:val="21"/>
                <w:highlight w:val="none"/>
              </w:rPr>
            </w:pPr>
            <w:r>
              <w:rPr>
                <w:sz w:val="21"/>
                <w:szCs w:val="21"/>
                <w:highlight w:val="none"/>
              </w:rPr>
              <w:t>降深</w:t>
            </w:r>
          </w:p>
        </w:tc>
        <w:tc>
          <w:tcPr>
            <w:tcW w:w="1936" w:type="dxa"/>
            <w:gridSpan w:val="2"/>
            <w:vAlign w:val="center"/>
          </w:tcPr>
          <w:p>
            <w:pPr>
              <w:spacing w:line="280" w:lineRule="exact"/>
              <w:ind w:firstLine="0" w:firstLineChars="0"/>
              <w:jc w:val="center"/>
              <w:rPr>
                <w:sz w:val="21"/>
                <w:szCs w:val="21"/>
                <w:highlight w:val="none"/>
              </w:rPr>
            </w:pPr>
            <w:r>
              <w:rPr>
                <w:sz w:val="21"/>
                <w:szCs w:val="21"/>
                <w:highlight w:val="none"/>
              </w:rPr>
              <w:t>单位</w:t>
            </w:r>
          </w:p>
          <w:p>
            <w:pPr>
              <w:spacing w:line="280" w:lineRule="exact"/>
              <w:ind w:firstLine="0" w:firstLineChars="0"/>
              <w:jc w:val="center"/>
              <w:rPr>
                <w:sz w:val="21"/>
                <w:szCs w:val="21"/>
                <w:highlight w:val="none"/>
              </w:rPr>
            </w:pPr>
            <w:r>
              <w:rPr>
                <w:sz w:val="21"/>
                <w:szCs w:val="21"/>
                <w:highlight w:val="none"/>
              </w:rPr>
              <w:t>涌水量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61" w:type="dxa"/>
            <w:vMerge w:val="continue"/>
            <w:vAlign w:val="center"/>
          </w:tcPr>
          <w:p>
            <w:pPr>
              <w:spacing w:line="280" w:lineRule="exact"/>
              <w:ind w:firstLine="422" w:firstLineChars="0"/>
              <w:jc w:val="center"/>
              <w:rPr>
                <w:rFonts w:ascii="隶书"/>
                <w:b/>
                <w:bCs/>
                <w:kern w:val="44"/>
                <w:sz w:val="21"/>
                <w:szCs w:val="21"/>
                <w:highlight w:val="none"/>
              </w:rPr>
            </w:pPr>
          </w:p>
        </w:tc>
        <w:tc>
          <w:tcPr>
            <w:tcW w:w="1163" w:type="dxa"/>
            <w:vAlign w:val="center"/>
          </w:tcPr>
          <w:p>
            <w:pPr>
              <w:spacing w:line="280" w:lineRule="exact"/>
              <w:ind w:firstLine="0" w:firstLineChars="0"/>
              <w:jc w:val="center"/>
              <w:rPr>
                <w:sz w:val="21"/>
                <w:szCs w:val="21"/>
                <w:highlight w:val="none"/>
              </w:rPr>
            </w:pPr>
            <w:r>
              <w:rPr>
                <w:rFonts w:hint="eastAsia"/>
                <w:sz w:val="21"/>
                <w:szCs w:val="21"/>
                <w:highlight w:val="none"/>
              </w:rPr>
              <w:t>min</w:t>
            </w:r>
          </w:p>
        </w:tc>
        <w:tc>
          <w:tcPr>
            <w:tcW w:w="1164" w:type="dxa"/>
            <w:vAlign w:val="center"/>
          </w:tcPr>
          <w:p>
            <w:pPr>
              <w:spacing w:line="280" w:lineRule="exact"/>
              <w:ind w:firstLine="0" w:firstLineChars="0"/>
              <w:jc w:val="center"/>
              <w:rPr>
                <w:sz w:val="21"/>
                <w:szCs w:val="21"/>
                <w:highlight w:val="none"/>
              </w:rPr>
            </w:pPr>
            <w:r>
              <w:rPr>
                <w:rFonts w:hint="eastAsia"/>
                <w:sz w:val="21"/>
                <w:szCs w:val="21"/>
                <w:highlight w:val="none"/>
              </w:rPr>
              <w:t>min</w:t>
            </w:r>
          </w:p>
        </w:tc>
        <w:tc>
          <w:tcPr>
            <w:tcW w:w="1578" w:type="dxa"/>
            <w:vAlign w:val="center"/>
          </w:tcPr>
          <w:p>
            <w:pPr>
              <w:spacing w:line="280" w:lineRule="exact"/>
              <w:ind w:firstLine="0" w:firstLineChars="0"/>
              <w:jc w:val="center"/>
              <w:rPr>
                <w:sz w:val="21"/>
                <w:szCs w:val="21"/>
                <w:highlight w:val="none"/>
              </w:rPr>
            </w:pPr>
            <w:r>
              <w:rPr>
                <w:sz w:val="21"/>
                <w:szCs w:val="21"/>
                <w:highlight w:val="none"/>
              </w:rPr>
              <w:t>m³/h</w:t>
            </w:r>
          </w:p>
        </w:tc>
        <w:tc>
          <w:tcPr>
            <w:tcW w:w="1520" w:type="dxa"/>
            <w:vAlign w:val="center"/>
          </w:tcPr>
          <w:p>
            <w:pPr>
              <w:spacing w:line="280" w:lineRule="exact"/>
              <w:ind w:firstLine="0" w:firstLineChars="0"/>
              <w:jc w:val="center"/>
              <w:rPr>
                <w:sz w:val="21"/>
                <w:szCs w:val="21"/>
                <w:highlight w:val="none"/>
              </w:rPr>
            </w:pPr>
            <w:r>
              <w:rPr>
                <w:sz w:val="21"/>
                <w:szCs w:val="21"/>
                <w:highlight w:val="none"/>
              </w:rPr>
              <w:t>m</w:t>
            </w:r>
          </w:p>
        </w:tc>
        <w:tc>
          <w:tcPr>
            <w:tcW w:w="1936" w:type="dxa"/>
            <w:gridSpan w:val="2"/>
            <w:vAlign w:val="center"/>
          </w:tcPr>
          <w:p>
            <w:pPr>
              <w:spacing w:line="280" w:lineRule="exact"/>
              <w:ind w:firstLine="0" w:firstLineChars="0"/>
              <w:jc w:val="center"/>
              <w:rPr>
                <w:sz w:val="21"/>
                <w:szCs w:val="21"/>
                <w:highlight w:val="none"/>
              </w:rPr>
            </w:pPr>
            <w:r>
              <w:rPr>
                <w:sz w:val="21"/>
                <w:szCs w:val="21"/>
                <w:highlight w:val="none"/>
              </w:rPr>
              <w:t>m³/h·m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61" w:type="dxa"/>
            <w:vAlign w:val="center"/>
          </w:tcPr>
          <w:p>
            <w:pPr>
              <w:spacing w:line="280" w:lineRule="exact"/>
              <w:ind w:firstLine="0" w:firstLineChars="0"/>
              <w:jc w:val="center"/>
              <w:rPr>
                <w:sz w:val="21"/>
                <w:szCs w:val="21"/>
                <w:highlight w:val="none"/>
              </w:rPr>
            </w:pPr>
            <w:r>
              <w:rPr>
                <w:sz w:val="21"/>
                <w:szCs w:val="21"/>
                <w:highlight w:val="none"/>
              </w:rPr>
              <w:t>抽水井</w:t>
            </w:r>
          </w:p>
        </w:tc>
        <w:tc>
          <w:tcPr>
            <w:tcW w:w="1163" w:type="dxa"/>
            <w:vAlign w:val="center"/>
          </w:tcPr>
          <w:p>
            <w:pPr>
              <w:spacing w:line="280" w:lineRule="exact"/>
              <w:ind w:firstLine="0" w:firstLineChars="0"/>
              <w:jc w:val="center"/>
              <w:rPr>
                <w:sz w:val="21"/>
                <w:szCs w:val="21"/>
                <w:highlight w:val="none"/>
              </w:rPr>
            </w:pPr>
            <w:r>
              <w:rPr>
                <w:rFonts w:hint="eastAsia"/>
                <w:sz w:val="21"/>
                <w:szCs w:val="21"/>
                <w:highlight w:val="none"/>
              </w:rPr>
              <w:t>900</w:t>
            </w:r>
          </w:p>
        </w:tc>
        <w:tc>
          <w:tcPr>
            <w:tcW w:w="1164" w:type="dxa"/>
            <w:vAlign w:val="center"/>
          </w:tcPr>
          <w:p>
            <w:pPr>
              <w:spacing w:line="280" w:lineRule="exact"/>
              <w:ind w:firstLine="0" w:firstLineChars="0"/>
              <w:jc w:val="center"/>
              <w:rPr>
                <w:sz w:val="21"/>
                <w:szCs w:val="21"/>
                <w:highlight w:val="none"/>
              </w:rPr>
            </w:pPr>
            <w:r>
              <w:rPr>
                <w:rFonts w:hint="eastAsia"/>
                <w:sz w:val="21"/>
                <w:szCs w:val="21"/>
                <w:highlight w:val="none"/>
              </w:rPr>
              <w:t>480</w:t>
            </w:r>
          </w:p>
        </w:tc>
        <w:tc>
          <w:tcPr>
            <w:tcW w:w="1578" w:type="dxa"/>
            <w:vAlign w:val="center"/>
          </w:tcPr>
          <w:p>
            <w:pPr>
              <w:spacing w:line="280" w:lineRule="exact"/>
              <w:ind w:firstLine="0" w:firstLineChars="0"/>
              <w:jc w:val="center"/>
              <w:rPr>
                <w:sz w:val="21"/>
                <w:szCs w:val="21"/>
                <w:highlight w:val="none"/>
              </w:rPr>
            </w:pPr>
            <w:r>
              <w:rPr>
                <w:rFonts w:hint="eastAsia"/>
                <w:sz w:val="21"/>
                <w:szCs w:val="21"/>
                <w:highlight w:val="none"/>
              </w:rPr>
              <w:t>78.33</w:t>
            </w:r>
          </w:p>
        </w:tc>
        <w:tc>
          <w:tcPr>
            <w:tcW w:w="1520" w:type="dxa"/>
            <w:vAlign w:val="center"/>
          </w:tcPr>
          <w:p>
            <w:pPr>
              <w:spacing w:line="280" w:lineRule="exact"/>
              <w:ind w:firstLine="0" w:firstLineChars="0"/>
              <w:jc w:val="center"/>
              <w:rPr>
                <w:sz w:val="21"/>
                <w:szCs w:val="21"/>
                <w:highlight w:val="none"/>
              </w:rPr>
            </w:pPr>
            <w:r>
              <w:rPr>
                <w:rFonts w:hint="eastAsia"/>
                <w:sz w:val="21"/>
                <w:szCs w:val="21"/>
                <w:highlight w:val="none"/>
              </w:rPr>
              <w:t>3.00</w:t>
            </w:r>
          </w:p>
        </w:tc>
        <w:tc>
          <w:tcPr>
            <w:tcW w:w="1936" w:type="dxa"/>
            <w:gridSpan w:val="2"/>
            <w:vAlign w:val="center"/>
          </w:tcPr>
          <w:p>
            <w:pPr>
              <w:spacing w:line="280" w:lineRule="exact"/>
              <w:ind w:firstLine="0" w:firstLineChars="0"/>
              <w:jc w:val="center"/>
              <w:rPr>
                <w:sz w:val="21"/>
                <w:szCs w:val="21"/>
                <w:highlight w:val="none"/>
              </w:rPr>
            </w:pPr>
            <w:r>
              <w:rPr>
                <w:rFonts w:hint="eastAsia"/>
                <w:sz w:val="21"/>
                <w:szCs w:val="21"/>
                <w:highlight w:val="none"/>
              </w:rPr>
              <w:t>26.11</w:t>
            </w:r>
          </w:p>
        </w:tc>
      </w:tr>
    </w:tbl>
    <w:p>
      <w:pPr>
        <w:autoSpaceDE w:val="0"/>
        <w:autoSpaceDN w:val="0"/>
        <w:ind w:firstLine="560"/>
        <w:jc w:val="center"/>
        <w:rPr>
          <w:sz w:val="24"/>
          <w:highlight w:val="none"/>
        </w:rPr>
      </w:pPr>
      <w:r>
        <w:rPr>
          <w:highlight w:val="none"/>
        </w:rPr>
        <w:drawing>
          <wp:inline distT="0" distB="0" distL="114300" distR="114300">
            <wp:extent cx="4572000" cy="2400935"/>
            <wp:effectExtent l="4445" t="4445" r="14605" b="1397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autoSpaceDE w:val="0"/>
        <w:autoSpaceDN w:val="0"/>
        <w:ind w:firstLine="420"/>
        <w:jc w:val="center"/>
        <w:rPr>
          <w:rFonts w:eastAsia="黑体"/>
          <w:sz w:val="21"/>
          <w:szCs w:val="21"/>
          <w:highlight w:val="none"/>
        </w:rPr>
      </w:pPr>
      <w:r>
        <w:rPr>
          <w:rFonts w:eastAsia="黑体"/>
          <w:sz w:val="21"/>
          <w:szCs w:val="21"/>
          <w:highlight w:val="none"/>
        </w:rPr>
        <w:t>图5.2-</w:t>
      </w:r>
      <w:r>
        <w:rPr>
          <w:rFonts w:hint="eastAsia" w:eastAsia="黑体"/>
          <w:sz w:val="21"/>
          <w:szCs w:val="21"/>
          <w:highlight w:val="none"/>
        </w:rPr>
        <w:t xml:space="preserve">6  </w:t>
      </w:r>
      <w:r>
        <w:rPr>
          <w:rFonts w:eastAsia="黑体"/>
          <w:sz w:val="21"/>
          <w:szCs w:val="21"/>
          <w:highlight w:val="none"/>
        </w:rPr>
        <w:t xml:space="preserve"> </w:t>
      </w:r>
      <w:r>
        <w:rPr>
          <w:rFonts w:hint="eastAsia" w:eastAsia="黑体"/>
          <w:sz w:val="21"/>
          <w:szCs w:val="21"/>
          <w:highlight w:val="none"/>
        </w:rPr>
        <w:t>马店子村</w:t>
      </w:r>
      <w:r>
        <w:rPr>
          <w:rFonts w:eastAsia="黑体"/>
          <w:sz w:val="21"/>
          <w:szCs w:val="21"/>
          <w:highlight w:val="none"/>
        </w:rPr>
        <w:t>抽水试验降深-时间曲线</w:t>
      </w:r>
    </w:p>
    <w:p>
      <w:pPr>
        <w:autoSpaceDE w:val="0"/>
        <w:autoSpaceDN w:val="0"/>
        <w:ind w:firstLine="420"/>
        <w:jc w:val="center"/>
        <w:rPr>
          <w:rFonts w:eastAsia="黑体"/>
          <w:sz w:val="21"/>
          <w:szCs w:val="21"/>
          <w:highlight w:val="none"/>
        </w:rPr>
      </w:pPr>
      <w:r>
        <w:rPr>
          <w:rFonts w:ascii="黑体" w:hAnsi="黑体" w:eastAsia="黑体"/>
          <w:sz w:val="21"/>
          <w:szCs w:val="21"/>
          <w:highlight w:val="none"/>
        </w:rPr>
        <w:drawing>
          <wp:inline distT="0" distB="0" distL="114300" distR="114300">
            <wp:extent cx="4667885" cy="2868295"/>
            <wp:effectExtent l="4445" t="5080" r="13970" b="2222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autoSpaceDE w:val="0"/>
        <w:autoSpaceDN w:val="0"/>
        <w:ind w:firstLine="480"/>
        <w:jc w:val="center"/>
        <w:rPr>
          <w:rFonts w:eastAsia="黑体"/>
          <w:sz w:val="24"/>
          <w:szCs w:val="24"/>
          <w:highlight w:val="none"/>
        </w:rPr>
      </w:pPr>
      <w:r>
        <w:rPr>
          <w:rFonts w:eastAsia="黑体"/>
          <w:sz w:val="24"/>
          <w:szCs w:val="24"/>
          <w:highlight w:val="none"/>
        </w:rPr>
        <w:t>图5.2-</w:t>
      </w:r>
      <w:r>
        <w:rPr>
          <w:rFonts w:hint="eastAsia" w:eastAsia="黑体"/>
          <w:sz w:val="24"/>
          <w:szCs w:val="24"/>
          <w:highlight w:val="none"/>
        </w:rPr>
        <w:t>7</w:t>
      </w:r>
      <w:r>
        <w:rPr>
          <w:rFonts w:eastAsia="黑体"/>
          <w:sz w:val="24"/>
          <w:szCs w:val="24"/>
          <w:highlight w:val="none"/>
        </w:rPr>
        <w:t xml:space="preserve"> </w:t>
      </w:r>
      <w:r>
        <w:rPr>
          <w:rFonts w:hint="eastAsia" w:eastAsia="黑体"/>
          <w:sz w:val="24"/>
          <w:szCs w:val="24"/>
          <w:highlight w:val="none"/>
        </w:rPr>
        <w:t xml:space="preserve">  马店子村</w:t>
      </w:r>
      <w:r>
        <w:rPr>
          <w:rFonts w:eastAsia="黑体"/>
          <w:sz w:val="24"/>
          <w:szCs w:val="24"/>
          <w:highlight w:val="none"/>
        </w:rPr>
        <w:t>抽水试验水位埋深-时间曲线</w:t>
      </w:r>
    </w:p>
    <w:p>
      <w:pPr>
        <w:autoSpaceDE w:val="0"/>
        <w:autoSpaceDN w:val="0"/>
        <w:ind w:firstLine="480"/>
        <w:rPr>
          <w:sz w:val="24"/>
          <w:highlight w:val="none"/>
        </w:rPr>
      </w:pPr>
      <w:r>
        <w:rPr>
          <w:rFonts w:hint="eastAsia"/>
          <w:sz w:val="24"/>
          <w:szCs w:val="24"/>
          <w:highlight w:val="none"/>
        </w:rPr>
        <w:t>官房子村抽水试验井深为40m，井径0.3m，静止水位埋深7.60m，整个抽水试验历时890分钟，其中抽水试验阶段历时500分钟，水位稳定时间400分钟，恢复试验阶段历时390分钟，水位最大降深为2.40m，涌水量为68.83m</w:t>
      </w:r>
      <w:r>
        <w:rPr>
          <w:rFonts w:hint="eastAsia"/>
          <w:sz w:val="24"/>
          <w:szCs w:val="24"/>
          <w:highlight w:val="none"/>
          <w:vertAlign w:val="superscript"/>
        </w:rPr>
        <w:t>3</w:t>
      </w:r>
      <w:r>
        <w:rPr>
          <w:rFonts w:hint="eastAsia"/>
          <w:sz w:val="24"/>
          <w:szCs w:val="24"/>
          <w:highlight w:val="none"/>
        </w:rPr>
        <w:t>/h，单位涌水量27.43</w:t>
      </w:r>
      <w:r>
        <w:rPr>
          <w:sz w:val="24"/>
          <w:szCs w:val="24"/>
          <w:highlight w:val="none"/>
        </w:rPr>
        <w:t>m³/h·m，</w:t>
      </w:r>
      <w:r>
        <w:rPr>
          <w:sz w:val="24"/>
          <w:highlight w:val="none"/>
        </w:rPr>
        <w:t>抽水试验结束时刻水位恢复至试验前水位。图5.2-</w:t>
      </w:r>
      <w:r>
        <w:rPr>
          <w:rFonts w:hint="eastAsia"/>
          <w:sz w:val="24"/>
          <w:highlight w:val="none"/>
        </w:rPr>
        <w:t>8</w:t>
      </w:r>
      <w:r>
        <w:rPr>
          <w:sz w:val="24"/>
          <w:highlight w:val="none"/>
        </w:rPr>
        <w:t>和图5.2-</w:t>
      </w:r>
      <w:r>
        <w:rPr>
          <w:rFonts w:hint="eastAsia"/>
          <w:sz w:val="24"/>
          <w:highlight w:val="none"/>
        </w:rPr>
        <w:t>9</w:t>
      </w:r>
      <w:r>
        <w:rPr>
          <w:sz w:val="24"/>
          <w:highlight w:val="none"/>
        </w:rPr>
        <w:t>为抽水试验水位降深和水位埋深分别对时间的变化曲线。</w:t>
      </w:r>
    </w:p>
    <w:p>
      <w:pPr>
        <w:autoSpaceDE w:val="0"/>
        <w:autoSpaceDN w:val="0"/>
        <w:ind w:firstLine="420"/>
        <w:jc w:val="center"/>
        <w:rPr>
          <w:rFonts w:eastAsia="黑体"/>
          <w:sz w:val="21"/>
          <w:szCs w:val="21"/>
          <w:highlight w:val="none"/>
        </w:rPr>
      </w:pPr>
      <w:r>
        <w:rPr>
          <w:rFonts w:eastAsia="黑体"/>
          <w:sz w:val="21"/>
          <w:szCs w:val="21"/>
          <w:highlight w:val="none"/>
        </w:rPr>
        <w:t>5.2-</w:t>
      </w:r>
      <w:r>
        <w:rPr>
          <w:rFonts w:hint="eastAsia" w:eastAsia="黑体"/>
          <w:sz w:val="21"/>
          <w:szCs w:val="21"/>
          <w:highlight w:val="none"/>
        </w:rPr>
        <w:t>12</w:t>
      </w:r>
      <w:r>
        <w:rPr>
          <w:rFonts w:eastAsia="黑体"/>
          <w:sz w:val="21"/>
          <w:szCs w:val="21"/>
          <w:highlight w:val="none"/>
        </w:rPr>
        <w:t xml:space="preserve"> </w:t>
      </w:r>
      <w:r>
        <w:rPr>
          <w:rFonts w:hint="eastAsia" w:eastAsia="黑体"/>
          <w:sz w:val="21"/>
          <w:szCs w:val="21"/>
          <w:highlight w:val="none"/>
        </w:rPr>
        <w:t xml:space="preserve">    </w:t>
      </w:r>
      <w:r>
        <w:rPr>
          <w:rFonts w:eastAsia="黑体"/>
          <w:sz w:val="21"/>
          <w:szCs w:val="21"/>
          <w:highlight w:val="none"/>
        </w:rPr>
        <w:t xml:space="preserve"> </w:t>
      </w:r>
      <w:r>
        <w:rPr>
          <w:rFonts w:hint="eastAsia" w:eastAsia="黑体"/>
          <w:sz w:val="21"/>
          <w:szCs w:val="21"/>
          <w:highlight w:val="none"/>
        </w:rPr>
        <w:t>官房</w:t>
      </w:r>
      <w:r>
        <w:rPr>
          <w:rFonts w:eastAsia="黑体"/>
          <w:sz w:val="21"/>
          <w:szCs w:val="21"/>
          <w:highlight w:val="none"/>
        </w:rPr>
        <w:t>子村抽水试验结果</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163"/>
        <w:gridCol w:w="1164"/>
        <w:gridCol w:w="1578"/>
        <w:gridCol w:w="1520"/>
        <w:gridCol w:w="1078"/>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vMerge w:val="restart"/>
            <w:vAlign w:val="center"/>
          </w:tcPr>
          <w:p>
            <w:pPr>
              <w:spacing w:line="280" w:lineRule="exact"/>
              <w:ind w:firstLine="0" w:firstLineChars="0"/>
              <w:jc w:val="center"/>
              <w:rPr>
                <w:sz w:val="21"/>
                <w:szCs w:val="21"/>
                <w:highlight w:val="none"/>
              </w:rPr>
            </w:pPr>
            <w:r>
              <w:rPr>
                <w:sz w:val="21"/>
                <w:szCs w:val="21"/>
                <w:highlight w:val="none"/>
              </w:rPr>
              <w:t>地点</w:t>
            </w:r>
          </w:p>
        </w:tc>
        <w:tc>
          <w:tcPr>
            <w:tcW w:w="2327" w:type="dxa"/>
            <w:gridSpan w:val="2"/>
            <w:vMerge w:val="restart"/>
            <w:vAlign w:val="center"/>
          </w:tcPr>
          <w:p>
            <w:pPr>
              <w:spacing w:line="280" w:lineRule="exact"/>
              <w:ind w:firstLine="0" w:firstLineChars="0"/>
              <w:jc w:val="center"/>
              <w:rPr>
                <w:sz w:val="21"/>
                <w:szCs w:val="21"/>
                <w:highlight w:val="none"/>
              </w:rPr>
            </w:pPr>
            <w:r>
              <w:rPr>
                <w:rFonts w:hint="eastAsia"/>
                <w:sz w:val="21"/>
                <w:highlight w:val="none"/>
              </w:rPr>
              <w:t>官房</w:t>
            </w:r>
            <w:r>
              <w:rPr>
                <w:sz w:val="21"/>
                <w:highlight w:val="none"/>
              </w:rPr>
              <w:t>子村</w:t>
            </w:r>
          </w:p>
        </w:tc>
        <w:tc>
          <w:tcPr>
            <w:tcW w:w="1578" w:type="dxa"/>
            <w:vAlign w:val="center"/>
          </w:tcPr>
          <w:p>
            <w:pPr>
              <w:spacing w:line="280" w:lineRule="exact"/>
              <w:ind w:firstLine="0" w:firstLineChars="0"/>
              <w:jc w:val="center"/>
              <w:rPr>
                <w:sz w:val="21"/>
                <w:szCs w:val="21"/>
                <w:highlight w:val="none"/>
              </w:rPr>
            </w:pPr>
            <w:r>
              <w:rPr>
                <w:sz w:val="21"/>
                <w:szCs w:val="21"/>
                <w:highlight w:val="none"/>
              </w:rPr>
              <w:t>井深</w:t>
            </w:r>
          </w:p>
        </w:tc>
        <w:tc>
          <w:tcPr>
            <w:tcW w:w="1520" w:type="dxa"/>
            <w:vAlign w:val="center"/>
          </w:tcPr>
          <w:p>
            <w:pPr>
              <w:spacing w:line="280" w:lineRule="exact"/>
              <w:ind w:firstLine="0" w:firstLineChars="0"/>
              <w:jc w:val="center"/>
              <w:rPr>
                <w:sz w:val="21"/>
                <w:szCs w:val="21"/>
                <w:highlight w:val="none"/>
              </w:rPr>
            </w:pPr>
            <w:r>
              <w:rPr>
                <w:rFonts w:hint="eastAsia"/>
                <w:sz w:val="21"/>
                <w:szCs w:val="21"/>
                <w:highlight w:val="none"/>
              </w:rPr>
              <w:t>40</w:t>
            </w:r>
            <w:r>
              <w:rPr>
                <w:sz w:val="21"/>
                <w:szCs w:val="21"/>
                <w:highlight w:val="none"/>
              </w:rPr>
              <w:t>m</w:t>
            </w:r>
          </w:p>
        </w:tc>
        <w:tc>
          <w:tcPr>
            <w:tcW w:w="1078" w:type="dxa"/>
            <w:vAlign w:val="center"/>
          </w:tcPr>
          <w:p>
            <w:pPr>
              <w:spacing w:line="280" w:lineRule="exact"/>
              <w:ind w:firstLine="0" w:firstLineChars="0"/>
              <w:jc w:val="center"/>
              <w:rPr>
                <w:sz w:val="21"/>
                <w:szCs w:val="21"/>
                <w:highlight w:val="none"/>
              </w:rPr>
            </w:pPr>
            <w:r>
              <w:rPr>
                <w:sz w:val="21"/>
                <w:szCs w:val="21"/>
                <w:highlight w:val="none"/>
              </w:rPr>
              <w:t>井径</w:t>
            </w:r>
          </w:p>
        </w:tc>
        <w:tc>
          <w:tcPr>
            <w:tcW w:w="858" w:type="dxa"/>
            <w:vAlign w:val="center"/>
          </w:tcPr>
          <w:p>
            <w:pPr>
              <w:spacing w:line="280" w:lineRule="exact"/>
              <w:ind w:firstLine="0" w:firstLineChars="0"/>
              <w:jc w:val="center"/>
              <w:rPr>
                <w:sz w:val="21"/>
                <w:szCs w:val="21"/>
                <w:highlight w:val="none"/>
              </w:rPr>
            </w:pPr>
            <w:r>
              <w:rPr>
                <w:sz w:val="21"/>
                <w:szCs w:val="21"/>
                <w:highlight w:val="none"/>
              </w:rPr>
              <w:t>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161" w:type="dxa"/>
            <w:vMerge w:val="continue"/>
            <w:vAlign w:val="center"/>
          </w:tcPr>
          <w:p>
            <w:pPr>
              <w:spacing w:line="280" w:lineRule="exact"/>
              <w:ind w:firstLine="0" w:firstLineChars="0"/>
              <w:jc w:val="center"/>
              <w:rPr>
                <w:sz w:val="21"/>
                <w:szCs w:val="21"/>
                <w:highlight w:val="none"/>
              </w:rPr>
            </w:pPr>
          </w:p>
        </w:tc>
        <w:tc>
          <w:tcPr>
            <w:tcW w:w="2327" w:type="dxa"/>
            <w:gridSpan w:val="2"/>
            <w:vMerge w:val="continue"/>
            <w:vAlign w:val="center"/>
          </w:tcPr>
          <w:p>
            <w:pPr>
              <w:spacing w:line="280" w:lineRule="exact"/>
              <w:ind w:firstLine="0" w:firstLineChars="0"/>
              <w:jc w:val="center"/>
              <w:rPr>
                <w:sz w:val="21"/>
                <w:szCs w:val="21"/>
                <w:highlight w:val="none"/>
              </w:rPr>
            </w:pPr>
          </w:p>
        </w:tc>
        <w:tc>
          <w:tcPr>
            <w:tcW w:w="3098" w:type="dxa"/>
            <w:gridSpan w:val="2"/>
            <w:vAlign w:val="center"/>
          </w:tcPr>
          <w:p>
            <w:pPr>
              <w:spacing w:line="280" w:lineRule="exact"/>
              <w:ind w:firstLine="0" w:firstLineChars="0"/>
              <w:jc w:val="center"/>
              <w:rPr>
                <w:sz w:val="21"/>
                <w:szCs w:val="21"/>
                <w:highlight w:val="none"/>
              </w:rPr>
            </w:pPr>
            <w:r>
              <w:rPr>
                <w:sz w:val="21"/>
                <w:szCs w:val="21"/>
                <w:highlight w:val="none"/>
              </w:rPr>
              <w:t>静止水位埋深</w:t>
            </w:r>
          </w:p>
        </w:tc>
        <w:tc>
          <w:tcPr>
            <w:tcW w:w="1936" w:type="dxa"/>
            <w:gridSpan w:val="2"/>
            <w:vAlign w:val="center"/>
          </w:tcPr>
          <w:p>
            <w:pPr>
              <w:spacing w:line="280" w:lineRule="exact"/>
              <w:ind w:firstLine="0" w:firstLineChars="0"/>
              <w:jc w:val="center"/>
              <w:rPr>
                <w:sz w:val="21"/>
                <w:szCs w:val="21"/>
                <w:highlight w:val="none"/>
              </w:rPr>
            </w:pPr>
            <w:r>
              <w:rPr>
                <w:rFonts w:hint="eastAsia"/>
                <w:sz w:val="21"/>
                <w:szCs w:val="21"/>
                <w:highlight w:val="none"/>
              </w:rPr>
              <w:t>7.6</w:t>
            </w:r>
            <w:r>
              <w:rPr>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161" w:type="dxa"/>
            <w:vMerge w:val="restart"/>
            <w:vAlign w:val="center"/>
          </w:tcPr>
          <w:p>
            <w:pPr>
              <w:spacing w:line="280" w:lineRule="exact"/>
              <w:ind w:firstLine="0" w:firstLineChars="0"/>
              <w:jc w:val="center"/>
              <w:rPr>
                <w:sz w:val="21"/>
                <w:szCs w:val="21"/>
                <w:highlight w:val="none"/>
              </w:rPr>
            </w:pPr>
            <w:r>
              <w:rPr>
                <w:sz w:val="21"/>
                <w:szCs w:val="21"/>
                <w:highlight w:val="none"/>
              </w:rPr>
              <w:t>抽水</w:t>
            </w:r>
          </w:p>
          <w:p>
            <w:pPr>
              <w:spacing w:line="280" w:lineRule="exact"/>
              <w:ind w:firstLine="0" w:firstLineChars="0"/>
              <w:jc w:val="center"/>
              <w:rPr>
                <w:sz w:val="21"/>
                <w:szCs w:val="21"/>
                <w:highlight w:val="none"/>
              </w:rPr>
            </w:pPr>
            <w:r>
              <w:rPr>
                <w:sz w:val="21"/>
                <w:szCs w:val="21"/>
                <w:highlight w:val="none"/>
              </w:rPr>
              <w:t>试验</w:t>
            </w:r>
          </w:p>
        </w:tc>
        <w:tc>
          <w:tcPr>
            <w:tcW w:w="1163" w:type="dxa"/>
            <w:vAlign w:val="center"/>
          </w:tcPr>
          <w:p>
            <w:pPr>
              <w:spacing w:line="280" w:lineRule="exact"/>
              <w:ind w:firstLine="0" w:firstLineChars="0"/>
              <w:jc w:val="center"/>
              <w:rPr>
                <w:sz w:val="21"/>
                <w:szCs w:val="21"/>
                <w:highlight w:val="none"/>
              </w:rPr>
            </w:pPr>
            <w:r>
              <w:rPr>
                <w:sz w:val="21"/>
                <w:szCs w:val="21"/>
                <w:highlight w:val="none"/>
              </w:rPr>
              <w:t>抽水时间</w:t>
            </w:r>
          </w:p>
        </w:tc>
        <w:tc>
          <w:tcPr>
            <w:tcW w:w="1164" w:type="dxa"/>
            <w:vAlign w:val="center"/>
          </w:tcPr>
          <w:p>
            <w:pPr>
              <w:spacing w:line="280" w:lineRule="exact"/>
              <w:ind w:firstLine="0" w:firstLineChars="0"/>
              <w:jc w:val="center"/>
              <w:rPr>
                <w:sz w:val="21"/>
                <w:szCs w:val="21"/>
                <w:highlight w:val="none"/>
              </w:rPr>
            </w:pPr>
            <w:r>
              <w:rPr>
                <w:sz w:val="21"/>
                <w:szCs w:val="21"/>
                <w:highlight w:val="none"/>
              </w:rPr>
              <w:t>稳定时间</w:t>
            </w:r>
          </w:p>
        </w:tc>
        <w:tc>
          <w:tcPr>
            <w:tcW w:w="1578" w:type="dxa"/>
            <w:vAlign w:val="center"/>
          </w:tcPr>
          <w:p>
            <w:pPr>
              <w:spacing w:line="280" w:lineRule="exact"/>
              <w:ind w:firstLine="0" w:firstLineChars="0"/>
              <w:jc w:val="center"/>
              <w:rPr>
                <w:sz w:val="21"/>
                <w:szCs w:val="21"/>
                <w:highlight w:val="none"/>
              </w:rPr>
            </w:pPr>
            <w:r>
              <w:rPr>
                <w:sz w:val="21"/>
                <w:szCs w:val="21"/>
                <w:highlight w:val="none"/>
              </w:rPr>
              <w:t>抽水量</w:t>
            </w:r>
          </w:p>
        </w:tc>
        <w:tc>
          <w:tcPr>
            <w:tcW w:w="1520" w:type="dxa"/>
            <w:vAlign w:val="center"/>
          </w:tcPr>
          <w:p>
            <w:pPr>
              <w:spacing w:line="280" w:lineRule="exact"/>
              <w:ind w:firstLine="0" w:firstLineChars="0"/>
              <w:jc w:val="center"/>
              <w:rPr>
                <w:sz w:val="21"/>
                <w:szCs w:val="21"/>
                <w:highlight w:val="none"/>
              </w:rPr>
            </w:pPr>
            <w:r>
              <w:rPr>
                <w:sz w:val="21"/>
                <w:szCs w:val="21"/>
                <w:highlight w:val="none"/>
              </w:rPr>
              <w:t>降深</w:t>
            </w:r>
          </w:p>
        </w:tc>
        <w:tc>
          <w:tcPr>
            <w:tcW w:w="1936" w:type="dxa"/>
            <w:gridSpan w:val="2"/>
            <w:vAlign w:val="center"/>
          </w:tcPr>
          <w:p>
            <w:pPr>
              <w:spacing w:line="280" w:lineRule="exact"/>
              <w:ind w:firstLine="0" w:firstLineChars="0"/>
              <w:jc w:val="center"/>
              <w:rPr>
                <w:sz w:val="21"/>
                <w:szCs w:val="21"/>
                <w:highlight w:val="none"/>
              </w:rPr>
            </w:pPr>
            <w:r>
              <w:rPr>
                <w:sz w:val="21"/>
                <w:szCs w:val="21"/>
                <w:highlight w:val="none"/>
              </w:rPr>
              <w:t>单位涌水量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61" w:type="dxa"/>
            <w:vMerge w:val="continue"/>
            <w:vAlign w:val="center"/>
          </w:tcPr>
          <w:p>
            <w:pPr>
              <w:spacing w:line="280" w:lineRule="exact"/>
              <w:ind w:firstLine="422" w:firstLineChars="0"/>
              <w:jc w:val="center"/>
              <w:rPr>
                <w:rFonts w:ascii="隶书"/>
                <w:b/>
                <w:bCs/>
                <w:kern w:val="44"/>
                <w:sz w:val="21"/>
                <w:szCs w:val="21"/>
                <w:highlight w:val="none"/>
              </w:rPr>
            </w:pPr>
          </w:p>
        </w:tc>
        <w:tc>
          <w:tcPr>
            <w:tcW w:w="1163" w:type="dxa"/>
            <w:vAlign w:val="center"/>
          </w:tcPr>
          <w:p>
            <w:pPr>
              <w:spacing w:line="280" w:lineRule="exact"/>
              <w:ind w:firstLine="0" w:firstLineChars="0"/>
              <w:jc w:val="center"/>
              <w:rPr>
                <w:sz w:val="21"/>
                <w:szCs w:val="21"/>
                <w:highlight w:val="none"/>
              </w:rPr>
            </w:pPr>
            <w:r>
              <w:rPr>
                <w:rFonts w:hint="eastAsia"/>
                <w:sz w:val="21"/>
                <w:szCs w:val="21"/>
                <w:highlight w:val="none"/>
              </w:rPr>
              <w:t>min</w:t>
            </w:r>
          </w:p>
        </w:tc>
        <w:tc>
          <w:tcPr>
            <w:tcW w:w="1164" w:type="dxa"/>
            <w:vAlign w:val="center"/>
          </w:tcPr>
          <w:p>
            <w:pPr>
              <w:spacing w:line="280" w:lineRule="exact"/>
              <w:ind w:firstLine="0" w:firstLineChars="0"/>
              <w:jc w:val="center"/>
              <w:rPr>
                <w:sz w:val="21"/>
                <w:szCs w:val="21"/>
                <w:highlight w:val="none"/>
              </w:rPr>
            </w:pPr>
            <w:r>
              <w:rPr>
                <w:rFonts w:hint="eastAsia"/>
                <w:sz w:val="21"/>
                <w:szCs w:val="21"/>
                <w:highlight w:val="none"/>
              </w:rPr>
              <w:t>min</w:t>
            </w:r>
          </w:p>
        </w:tc>
        <w:tc>
          <w:tcPr>
            <w:tcW w:w="1578" w:type="dxa"/>
            <w:vAlign w:val="center"/>
          </w:tcPr>
          <w:p>
            <w:pPr>
              <w:spacing w:line="280" w:lineRule="exact"/>
              <w:ind w:firstLine="0" w:firstLineChars="0"/>
              <w:jc w:val="center"/>
              <w:rPr>
                <w:sz w:val="21"/>
                <w:szCs w:val="21"/>
                <w:highlight w:val="none"/>
              </w:rPr>
            </w:pPr>
            <w:r>
              <w:rPr>
                <w:sz w:val="21"/>
                <w:szCs w:val="21"/>
                <w:highlight w:val="none"/>
              </w:rPr>
              <w:t>m³/h</w:t>
            </w:r>
          </w:p>
        </w:tc>
        <w:tc>
          <w:tcPr>
            <w:tcW w:w="1520" w:type="dxa"/>
            <w:vAlign w:val="center"/>
          </w:tcPr>
          <w:p>
            <w:pPr>
              <w:spacing w:line="280" w:lineRule="exact"/>
              <w:ind w:firstLine="0" w:firstLineChars="0"/>
              <w:jc w:val="center"/>
              <w:rPr>
                <w:sz w:val="21"/>
                <w:szCs w:val="21"/>
                <w:highlight w:val="none"/>
              </w:rPr>
            </w:pPr>
            <w:r>
              <w:rPr>
                <w:sz w:val="21"/>
                <w:szCs w:val="21"/>
                <w:highlight w:val="none"/>
              </w:rPr>
              <w:t>m</w:t>
            </w:r>
          </w:p>
        </w:tc>
        <w:tc>
          <w:tcPr>
            <w:tcW w:w="1936" w:type="dxa"/>
            <w:gridSpan w:val="2"/>
            <w:vAlign w:val="center"/>
          </w:tcPr>
          <w:p>
            <w:pPr>
              <w:spacing w:line="280" w:lineRule="exact"/>
              <w:ind w:firstLine="0" w:firstLineChars="0"/>
              <w:jc w:val="center"/>
              <w:rPr>
                <w:sz w:val="21"/>
                <w:szCs w:val="21"/>
                <w:highlight w:val="none"/>
              </w:rPr>
            </w:pPr>
            <w:r>
              <w:rPr>
                <w:sz w:val="21"/>
                <w:szCs w:val="21"/>
                <w:highlight w:val="none"/>
              </w:rPr>
              <w:t>m³/h·m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61" w:type="dxa"/>
            <w:vAlign w:val="center"/>
          </w:tcPr>
          <w:p>
            <w:pPr>
              <w:spacing w:line="280" w:lineRule="exact"/>
              <w:ind w:firstLine="0" w:firstLineChars="0"/>
              <w:jc w:val="center"/>
              <w:rPr>
                <w:sz w:val="21"/>
                <w:szCs w:val="21"/>
                <w:highlight w:val="none"/>
              </w:rPr>
            </w:pPr>
            <w:r>
              <w:rPr>
                <w:sz w:val="21"/>
                <w:szCs w:val="21"/>
                <w:highlight w:val="none"/>
              </w:rPr>
              <w:t>抽水井</w:t>
            </w:r>
          </w:p>
        </w:tc>
        <w:tc>
          <w:tcPr>
            <w:tcW w:w="1163" w:type="dxa"/>
            <w:vAlign w:val="center"/>
          </w:tcPr>
          <w:p>
            <w:pPr>
              <w:spacing w:line="280" w:lineRule="exact"/>
              <w:ind w:firstLine="0" w:firstLineChars="0"/>
              <w:jc w:val="center"/>
              <w:rPr>
                <w:sz w:val="21"/>
                <w:szCs w:val="21"/>
                <w:highlight w:val="none"/>
              </w:rPr>
            </w:pPr>
            <w:r>
              <w:rPr>
                <w:rFonts w:hint="eastAsia"/>
                <w:sz w:val="21"/>
                <w:szCs w:val="21"/>
                <w:highlight w:val="none"/>
              </w:rPr>
              <w:t>890</w:t>
            </w:r>
          </w:p>
        </w:tc>
        <w:tc>
          <w:tcPr>
            <w:tcW w:w="1164" w:type="dxa"/>
            <w:vAlign w:val="center"/>
          </w:tcPr>
          <w:p>
            <w:pPr>
              <w:spacing w:line="280" w:lineRule="exact"/>
              <w:ind w:firstLine="0" w:firstLineChars="0"/>
              <w:jc w:val="center"/>
              <w:rPr>
                <w:sz w:val="21"/>
                <w:szCs w:val="21"/>
                <w:highlight w:val="none"/>
              </w:rPr>
            </w:pPr>
            <w:r>
              <w:rPr>
                <w:rFonts w:hint="eastAsia"/>
                <w:sz w:val="21"/>
                <w:szCs w:val="21"/>
                <w:highlight w:val="none"/>
              </w:rPr>
              <w:t>400</w:t>
            </w:r>
          </w:p>
        </w:tc>
        <w:tc>
          <w:tcPr>
            <w:tcW w:w="1578" w:type="dxa"/>
            <w:vAlign w:val="center"/>
          </w:tcPr>
          <w:p>
            <w:pPr>
              <w:spacing w:line="280" w:lineRule="exact"/>
              <w:ind w:firstLine="0" w:firstLineChars="0"/>
              <w:jc w:val="center"/>
              <w:rPr>
                <w:sz w:val="21"/>
                <w:szCs w:val="21"/>
                <w:highlight w:val="none"/>
              </w:rPr>
            </w:pPr>
            <w:r>
              <w:rPr>
                <w:rFonts w:hint="eastAsia"/>
                <w:sz w:val="21"/>
                <w:szCs w:val="21"/>
                <w:highlight w:val="none"/>
              </w:rPr>
              <w:t>68.83</w:t>
            </w:r>
          </w:p>
        </w:tc>
        <w:tc>
          <w:tcPr>
            <w:tcW w:w="1520" w:type="dxa"/>
            <w:vAlign w:val="center"/>
          </w:tcPr>
          <w:p>
            <w:pPr>
              <w:spacing w:line="280" w:lineRule="exact"/>
              <w:ind w:firstLine="0" w:firstLineChars="0"/>
              <w:jc w:val="center"/>
              <w:rPr>
                <w:sz w:val="21"/>
                <w:szCs w:val="21"/>
                <w:highlight w:val="none"/>
              </w:rPr>
            </w:pPr>
            <w:r>
              <w:rPr>
                <w:rFonts w:hint="eastAsia"/>
                <w:sz w:val="21"/>
                <w:szCs w:val="21"/>
                <w:highlight w:val="none"/>
              </w:rPr>
              <w:t>2.4</w:t>
            </w:r>
          </w:p>
        </w:tc>
        <w:tc>
          <w:tcPr>
            <w:tcW w:w="1936" w:type="dxa"/>
            <w:gridSpan w:val="2"/>
            <w:vAlign w:val="center"/>
          </w:tcPr>
          <w:p>
            <w:pPr>
              <w:spacing w:line="280" w:lineRule="exact"/>
              <w:ind w:firstLine="0" w:firstLineChars="0"/>
              <w:jc w:val="center"/>
              <w:rPr>
                <w:sz w:val="21"/>
                <w:szCs w:val="21"/>
                <w:highlight w:val="none"/>
              </w:rPr>
            </w:pPr>
            <w:r>
              <w:rPr>
                <w:rFonts w:hint="eastAsia"/>
                <w:sz w:val="21"/>
                <w:szCs w:val="21"/>
                <w:highlight w:val="none"/>
              </w:rPr>
              <w:t>27.43</w:t>
            </w:r>
          </w:p>
        </w:tc>
      </w:tr>
    </w:tbl>
    <w:p>
      <w:pPr>
        <w:autoSpaceDE w:val="0"/>
        <w:autoSpaceDN w:val="0"/>
        <w:spacing w:before="120" w:beforeLines="50"/>
        <w:ind w:firstLine="420"/>
        <w:jc w:val="center"/>
        <w:rPr>
          <w:rFonts w:ascii="黑体" w:hAnsi="黑体" w:eastAsia="黑体"/>
          <w:sz w:val="21"/>
          <w:szCs w:val="21"/>
          <w:highlight w:val="none"/>
        </w:rPr>
      </w:pPr>
      <w:r>
        <w:rPr>
          <w:rFonts w:ascii="黑体" w:hAnsi="黑体" w:eastAsia="黑体"/>
          <w:sz w:val="21"/>
          <w:szCs w:val="21"/>
          <w:highlight w:val="none"/>
        </w:rPr>
        <w:drawing>
          <wp:inline distT="0" distB="0" distL="114300" distR="114300">
            <wp:extent cx="4572000" cy="2400935"/>
            <wp:effectExtent l="4445" t="4445" r="14605" b="1397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spacing w:line="240" w:lineRule="auto"/>
        <w:ind w:firstLine="0" w:firstLineChars="0"/>
        <w:jc w:val="center"/>
        <w:textAlignment w:val="auto"/>
        <w:rPr>
          <w:rFonts w:eastAsia="黑体"/>
          <w:kern w:val="2"/>
          <w:sz w:val="21"/>
          <w:szCs w:val="21"/>
          <w:highlight w:val="none"/>
        </w:rPr>
      </w:pPr>
      <w:r>
        <w:rPr>
          <w:rFonts w:hint="eastAsia" w:eastAsia="黑体"/>
          <w:kern w:val="2"/>
          <w:sz w:val="21"/>
          <w:szCs w:val="21"/>
          <w:highlight w:val="none"/>
        </w:rPr>
        <w:t>图</w:t>
      </w:r>
      <w:r>
        <w:rPr>
          <w:rFonts w:eastAsia="黑体"/>
          <w:kern w:val="2"/>
          <w:sz w:val="21"/>
          <w:szCs w:val="21"/>
          <w:highlight w:val="none"/>
        </w:rPr>
        <w:t>5.2-</w:t>
      </w:r>
      <w:r>
        <w:rPr>
          <w:rFonts w:hint="eastAsia" w:eastAsia="黑体"/>
          <w:kern w:val="2"/>
          <w:sz w:val="21"/>
          <w:szCs w:val="21"/>
          <w:highlight w:val="none"/>
        </w:rPr>
        <w:t>8</w:t>
      </w:r>
      <w:r>
        <w:rPr>
          <w:rFonts w:eastAsia="黑体"/>
          <w:kern w:val="2"/>
          <w:sz w:val="21"/>
          <w:szCs w:val="21"/>
          <w:highlight w:val="none"/>
        </w:rPr>
        <w:t xml:space="preserve"> </w:t>
      </w:r>
      <w:r>
        <w:rPr>
          <w:rFonts w:hint="eastAsia" w:eastAsia="黑体"/>
          <w:kern w:val="2"/>
          <w:sz w:val="21"/>
          <w:szCs w:val="21"/>
          <w:highlight w:val="none"/>
        </w:rPr>
        <w:t xml:space="preserve">  官房子村抽水试验水位埋深-时间曲线</w:t>
      </w:r>
    </w:p>
    <w:p>
      <w:pPr>
        <w:autoSpaceDE w:val="0"/>
        <w:autoSpaceDN w:val="0"/>
        <w:ind w:firstLine="420"/>
        <w:jc w:val="center"/>
        <w:rPr>
          <w:rFonts w:ascii="黑体" w:hAnsi="黑体" w:eastAsia="黑体"/>
          <w:sz w:val="21"/>
          <w:szCs w:val="21"/>
          <w:highlight w:val="none"/>
        </w:rPr>
      </w:pPr>
      <w:r>
        <w:rPr>
          <w:rFonts w:ascii="黑体" w:hAnsi="黑体" w:eastAsia="黑体"/>
          <w:sz w:val="21"/>
          <w:szCs w:val="21"/>
          <w:highlight w:val="none"/>
        </w:rPr>
        <w:drawing>
          <wp:inline distT="0" distB="0" distL="114300" distR="114300">
            <wp:extent cx="4582160" cy="2800350"/>
            <wp:effectExtent l="4445" t="4445" r="23495" b="14605"/>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ind w:firstLine="0" w:firstLineChars="0"/>
        <w:jc w:val="center"/>
        <w:textAlignment w:val="auto"/>
        <w:rPr>
          <w:rFonts w:eastAsia="黑体"/>
          <w:kern w:val="2"/>
          <w:sz w:val="21"/>
          <w:szCs w:val="21"/>
          <w:highlight w:val="none"/>
        </w:rPr>
      </w:pPr>
      <w:r>
        <w:rPr>
          <w:rFonts w:hint="eastAsia" w:eastAsia="黑体"/>
          <w:kern w:val="2"/>
          <w:sz w:val="21"/>
          <w:szCs w:val="21"/>
          <w:highlight w:val="none"/>
        </w:rPr>
        <w:t>图</w:t>
      </w:r>
      <w:r>
        <w:rPr>
          <w:rFonts w:eastAsia="黑体"/>
          <w:kern w:val="2"/>
          <w:sz w:val="21"/>
          <w:szCs w:val="21"/>
          <w:highlight w:val="none"/>
        </w:rPr>
        <w:t>5.2-</w:t>
      </w:r>
      <w:r>
        <w:rPr>
          <w:rFonts w:hint="eastAsia" w:eastAsia="黑体"/>
          <w:kern w:val="2"/>
          <w:sz w:val="21"/>
          <w:szCs w:val="21"/>
          <w:highlight w:val="none"/>
        </w:rPr>
        <w:t xml:space="preserve">9  </w:t>
      </w:r>
      <w:r>
        <w:rPr>
          <w:rFonts w:eastAsia="黑体"/>
          <w:kern w:val="2"/>
          <w:sz w:val="21"/>
          <w:szCs w:val="21"/>
          <w:highlight w:val="none"/>
        </w:rPr>
        <w:t xml:space="preserve"> </w:t>
      </w:r>
      <w:r>
        <w:rPr>
          <w:rFonts w:hint="eastAsia" w:eastAsia="黑体"/>
          <w:kern w:val="2"/>
          <w:sz w:val="21"/>
          <w:szCs w:val="21"/>
          <w:highlight w:val="none"/>
        </w:rPr>
        <w:t>官房子村抽水试验水位降深-时间曲线</w:t>
      </w:r>
    </w:p>
    <w:p>
      <w:pPr>
        <w:autoSpaceDE w:val="0"/>
        <w:autoSpaceDN w:val="0"/>
        <w:ind w:firstLine="480"/>
        <w:rPr>
          <w:rFonts w:eastAsia="黑体"/>
          <w:sz w:val="21"/>
          <w:szCs w:val="21"/>
          <w:highlight w:val="none"/>
        </w:rPr>
      </w:pPr>
      <w:r>
        <w:rPr>
          <w:rFonts w:hint="eastAsia"/>
          <w:sz w:val="24"/>
          <w:szCs w:val="24"/>
          <w:highlight w:val="none"/>
        </w:rPr>
        <w:t>东滩村抽水试验井深为30m，井径0.3m，静止水位埋深7.10m，整个抽水试验历时670分钟，其中抽水试验阶段历时510分钟，水位稳定时间460分钟，恢复试验阶段历时160分钟，水位最大降深为1.50m，涌水量为52.08m</w:t>
      </w:r>
      <w:r>
        <w:rPr>
          <w:rFonts w:hint="eastAsia"/>
          <w:sz w:val="24"/>
          <w:szCs w:val="24"/>
          <w:highlight w:val="none"/>
          <w:vertAlign w:val="superscript"/>
        </w:rPr>
        <w:t>3</w:t>
      </w:r>
      <w:r>
        <w:rPr>
          <w:rFonts w:hint="eastAsia"/>
          <w:sz w:val="24"/>
          <w:szCs w:val="24"/>
          <w:highlight w:val="none"/>
        </w:rPr>
        <w:t>/h，单位涌水量34.72</w:t>
      </w:r>
      <w:r>
        <w:rPr>
          <w:sz w:val="24"/>
          <w:szCs w:val="24"/>
          <w:highlight w:val="none"/>
        </w:rPr>
        <w:t>m³/h·m</w:t>
      </w:r>
      <w:r>
        <w:rPr>
          <w:rFonts w:hint="eastAsia"/>
          <w:sz w:val="24"/>
          <w:szCs w:val="24"/>
          <w:highlight w:val="none"/>
        </w:rPr>
        <w:t>，</w:t>
      </w:r>
      <w:r>
        <w:rPr>
          <w:rFonts w:hint="eastAsia"/>
          <w:sz w:val="24"/>
          <w:highlight w:val="none"/>
        </w:rPr>
        <w:t>抽水试验结束时刻水位恢复至试验前水位（表</w:t>
      </w:r>
      <w:r>
        <w:rPr>
          <w:sz w:val="24"/>
          <w:highlight w:val="none"/>
        </w:rPr>
        <w:t>5.2-</w:t>
      </w:r>
      <w:r>
        <w:rPr>
          <w:rFonts w:hint="eastAsia"/>
          <w:sz w:val="24"/>
          <w:highlight w:val="none"/>
        </w:rPr>
        <w:t>13）。图</w:t>
      </w:r>
      <w:r>
        <w:rPr>
          <w:sz w:val="24"/>
          <w:highlight w:val="none"/>
        </w:rPr>
        <w:t>5.2-1</w:t>
      </w:r>
      <w:r>
        <w:rPr>
          <w:rFonts w:hint="eastAsia"/>
          <w:sz w:val="24"/>
          <w:highlight w:val="none"/>
        </w:rPr>
        <w:t>0和图</w:t>
      </w:r>
      <w:r>
        <w:rPr>
          <w:sz w:val="24"/>
          <w:highlight w:val="none"/>
        </w:rPr>
        <w:t>5.2-1</w:t>
      </w:r>
      <w:r>
        <w:rPr>
          <w:rFonts w:hint="eastAsia"/>
          <w:sz w:val="24"/>
          <w:highlight w:val="none"/>
        </w:rPr>
        <w:t>1为抽水试验水位降深和水位埋深分别对时间的变化曲线。</w:t>
      </w:r>
    </w:p>
    <w:p>
      <w:pPr>
        <w:autoSpaceDE w:val="0"/>
        <w:autoSpaceDN w:val="0"/>
        <w:ind w:firstLine="420"/>
        <w:jc w:val="center"/>
        <w:rPr>
          <w:rFonts w:ascii="黑体" w:hAnsi="黑体" w:eastAsia="黑体"/>
          <w:sz w:val="21"/>
          <w:szCs w:val="21"/>
          <w:highlight w:val="none"/>
        </w:rPr>
      </w:pPr>
      <w:r>
        <w:rPr>
          <w:rFonts w:eastAsia="黑体"/>
          <w:sz w:val="21"/>
          <w:szCs w:val="21"/>
          <w:highlight w:val="none"/>
        </w:rPr>
        <w:t>5.2-</w:t>
      </w:r>
      <w:r>
        <w:rPr>
          <w:rFonts w:hint="eastAsia" w:eastAsia="黑体"/>
          <w:sz w:val="21"/>
          <w:szCs w:val="21"/>
          <w:highlight w:val="none"/>
        </w:rPr>
        <w:t>13</w:t>
      </w:r>
      <w:r>
        <w:rPr>
          <w:rFonts w:eastAsia="黑体"/>
          <w:sz w:val="21"/>
          <w:szCs w:val="21"/>
          <w:highlight w:val="none"/>
        </w:rPr>
        <w:t xml:space="preserve">   </w:t>
      </w:r>
      <w:r>
        <w:rPr>
          <w:rFonts w:hint="eastAsia" w:ascii="黑体" w:hAnsi="黑体" w:eastAsia="黑体"/>
          <w:sz w:val="21"/>
          <w:szCs w:val="21"/>
          <w:highlight w:val="none"/>
        </w:rPr>
        <w:t>东滩村抽水试验结果</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163"/>
        <w:gridCol w:w="1164"/>
        <w:gridCol w:w="1578"/>
        <w:gridCol w:w="1520"/>
        <w:gridCol w:w="1078"/>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61" w:type="dxa"/>
            <w:vMerge w:val="restart"/>
            <w:vAlign w:val="center"/>
          </w:tcPr>
          <w:p>
            <w:pPr>
              <w:spacing w:line="240" w:lineRule="exact"/>
              <w:ind w:firstLine="0" w:firstLineChars="0"/>
              <w:jc w:val="center"/>
              <w:rPr>
                <w:sz w:val="21"/>
                <w:szCs w:val="21"/>
                <w:highlight w:val="none"/>
              </w:rPr>
            </w:pPr>
            <w:r>
              <w:rPr>
                <w:sz w:val="21"/>
                <w:szCs w:val="21"/>
                <w:highlight w:val="none"/>
              </w:rPr>
              <w:t>地点</w:t>
            </w:r>
          </w:p>
        </w:tc>
        <w:tc>
          <w:tcPr>
            <w:tcW w:w="2327" w:type="dxa"/>
            <w:gridSpan w:val="2"/>
            <w:vMerge w:val="restart"/>
            <w:vAlign w:val="center"/>
          </w:tcPr>
          <w:p>
            <w:pPr>
              <w:spacing w:line="240" w:lineRule="exact"/>
              <w:ind w:firstLine="0" w:firstLineChars="0"/>
              <w:jc w:val="center"/>
              <w:rPr>
                <w:sz w:val="21"/>
                <w:szCs w:val="21"/>
                <w:highlight w:val="none"/>
              </w:rPr>
            </w:pPr>
            <w:r>
              <w:rPr>
                <w:rFonts w:hint="eastAsia"/>
                <w:sz w:val="21"/>
                <w:szCs w:val="21"/>
                <w:highlight w:val="none"/>
              </w:rPr>
              <w:t>东滩村</w:t>
            </w:r>
          </w:p>
        </w:tc>
        <w:tc>
          <w:tcPr>
            <w:tcW w:w="1578" w:type="dxa"/>
            <w:vAlign w:val="center"/>
          </w:tcPr>
          <w:p>
            <w:pPr>
              <w:spacing w:line="240" w:lineRule="exact"/>
              <w:ind w:firstLine="0" w:firstLineChars="0"/>
              <w:jc w:val="center"/>
              <w:rPr>
                <w:sz w:val="21"/>
                <w:szCs w:val="21"/>
                <w:highlight w:val="none"/>
              </w:rPr>
            </w:pPr>
            <w:r>
              <w:rPr>
                <w:sz w:val="21"/>
                <w:szCs w:val="21"/>
                <w:highlight w:val="none"/>
              </w:rPr>
              <w:t>井深</w:t>
            </w:r>
          </w:p>
        </w:tc>
        <w:tc>
          <w:tcPr>
            <w:tcW w:w="1520" w:type="dxa"/>
            <w:vAlign w:val="center"/>
          </w:tcPr>
          <w:p>
            <w:pPr>
              <w:spacing w:line="240" w:lineRule="exact"/>
              <w:ind w:firstLine="0" w:firstLineChars="0"/>
              <w:jc w:val="center"/>
              <w:rPr>
                <w:sz w:val="21"/>
                <w:szCs w:val="21"/>
                <w:highlight w:val="none"/>
              </w:rPr>
            </w:pPr>
            <w:r>
              <w:rPr>
                <w:rFonts w:hint="eastAsia"/>
                <w:sz w:val="21"/>
                <w:szCs w:val="21"/>
                <w:highlight w:val="none"/>
              </w:rPr>
              <w:t>30</w:t>
            </w:r>
            <w:r>
              <w:rPr>
                <w:sz w:val="21"/>
                <w:szCs w:val="21"/>
                <w:highlight w:val="none"/>
              </w:rPr>
              <w:t>m</w:t>
            </w:r>
          </w:p>
        </w:tc>
        <w:tc>
          <w:tcPr>
            <w:tcW w:w="1078" w:type="dxa"/>
            <w:vAlign w:val="center"/>
          </w:tcPr>
          <w:p>
            <w:pPr>
              <w:spacing w:line="240" w:lineRule="exact"/>
              <w:ind w:firstLine="0" w:firstLineChars="0"/>
              <w:jc w:val="center"/>
              <w:rPr>
                <w:sz w:val="21"/>
                <w:szCs w:val="21"/>
                <w:highlight w:val="none"/>
              </w:rPr>
            </w:pPr>
            <w:r>
              <w:rPr>
                <w:sz w:val="21"/>
                <w:szCs w:val="21"/>
                <w:highlight w:val="none"/>
              </w:rPr>
              <w:t>井径</w:t>
            </w:r>
          </w:p>
        </w:tc>
        <w:tc>
          <w:tcPr>
            <w:tcW w:w="858" w:type="dxa"/>
            <w:vAlign w:val="center"/>
          </w:tcPr>
          <w:p>
            <w:pPr>
              <w:spacing w:line="240" w:lineRule="exact"/>
              <w:ind w:firstLine="0" w:firstLineChars="0"/>
              <w:jc w:val="center"/>
              <w:rPr>
                <w:sz w:val="21"/>
                <w:szCs w:val="21"/>
                <w:highlight w:val="none"/>
              </w:rPr>
            </w:pPr>
            <w:r>
              <w:rPr>
                <w:rFonts w:hint="eastAsia"/>
                <w:sz w:val="21"/>
                <w:szCs w:val="21"/>
                <w:highlight w:val="none"/>
              </w:rPr>
              <w:t>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161" w:type="dxa"/>
            <w:vMerge w:val="continue"/>
            <w:vAlign w:val="center"/>
          </w:tcPr>
          <w:p>
            <w:pPr>
              <w:spacing w:line="240" w:lineRule="exact"/>
              <w:ind w:firstLine="0" w:firstLineChars="0"/>
              <w:jc w:val="center"/>
              <w:rPr>
                <w:sz w:val="21"/>
                <w:szCs w:val="21"/>
                <w:highlight w:val="none"/>
              </w:rPr>
            </w:pPr>
          </w:p>
        </w:tc>
        <w:tc>
          <w:tcPr>
            <w:tcW w:w="2327" w:type="dxa"/>
            <w:gridSpan w:val="2"/>
            <w:vMerge w:val="continue"/>
            <w:vAlign w:val="center"/>
          </w:tcPr>
          <w:p>
            <w:pPr>
              <w:spacing w:line="240" w:lineRule="exact"/>
              <w:ind w:firstLine="0" w:firstLineChars="0"/>
              <w:jc w:val="center"/>
              <w:rPr>
                <w:sz w:val="21"/>
                <w:szCs w:val="21"/>
                <w:highlight w:val="none"/>
              </w:rPr>
            </w:pPr>
          </w:p>
        </w:tc>
        <w:tc>
          <w:tcPr>
            <w:tcW w:w="3098" w:type="dxa"/>
            <w:gridSpan w:val="2"/>
            <w:vAlign w:val="center"/>
          </w:tcPr>
          <w:p>
            <w:pPr>
              <w:spacing w:line="240" w:lineRule="exact"/>
              <w:ind w:firstLine="0" w:firstLineChars="0"/>
              <w:jc w:val="center"/>
              <w:rPr>
                <w:sz w:val="21"/>
                <w:szCs w:val="21"/>
                <w:highlight w:val="none"/>
              </w:rPr>
            </w:pPr>
            <w:r>
              <w:rPr>
                <w:sz w:val="21"/>
                <w:szCs w:val="21"/>
                <w:highlight w:val="none"/>
              </w:rPr>
              <w:t>静止水位埋深</w:t>
            </w:r>
          </w:p>
        </w:tc>
        <w:tc>
          <w:tcPr>
            <w:tcW w:w="1936" w:type="dxa"/>
            <w:gridSpan w:val="2"/>
            <w:vAlign w:val="center"/>
          </w:tcPr>
          <w:p>
            <w:pPr>
              <w:spacing w:line="240" w:lineRule="exact"/>
              <w:ind w:firstLine="0" w:firstLineChars="0"/>
              <w:jc w:val="center"/>
              <w:rPr>
                <w:sz w:val="21"/>
                <w:szCs w:val="21"/>
                <w:highlight w:val="none"/>
              </w:rPr>
            </w:pPr>
            <w:r>
              <w:rPr>
                <w:rFonts w:hint="eastAsia"/>
                <w:sz w:val="21"/>
                <w:szCs w:val="21"/>
                <w:highlight w:val="none"/>
              </w:rPr>
              <w:t>7.1</w:t>
            </w:r>
            <w:r>
              <w:rPr>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61" w:type="dxa"/>
            <w:vMerge w:val="restart"/>
            <w:vAlign w:val="center"/>
          </w:tcPr>
          <w:p>
            <w:pPr>
              <w:spacing w:line="240" w:lineRule="exact"/>
              <w:ind w:firstLine="0" w:firstLineChars="0"/>
              <w:jc w:val="center"/>
              <w:rPr>
                <w:sz w:val="21"/>
                <w:szCs w:val="21"/>
                <w:highlight w:val="none"/>
              </w:rPr>
            </w:pPr>
            <w:r>
              <w:rPr>
                <w:sz w:val="21"/>
                <w:szCs w:val="21"/>
                <w:highlight w:val="none"/>
              </w:rPr>
              <w:t>抽水</w:t>
            </w:r>
          </w:p>
          <w:p>
            <w:pPr>
              <w:spacing w:line="240" w:lineRule="exact"/>
              <w:ind w:firstLine="0" w:firstLineChars="0"/>
              <w:jc w:val="center"/>
              <w:rPr>
                <w:sz w:val="21"/>
                <w:szCs w:val="21"/>
                <w:highlight w:val="none"/>
              </w:rPr>
            </w:pPr>
            <w:r>
              <w:rPr>
                <w:sz w:val="21"/>
                <w:szCs w:val="21"/>
                <w:highlight w:val="none"/>
              </w:rPr>
              <w:t>试验</w:t>
            </w:r>
          </w:p>
        </w:tc>
        <w:tc>
          <w:tcPr>
            <w:tcW w:w="1163" w:type="dxa"/>
            <w:vAlign w:val="center"/>
          </w:tcPr>
          <w:p>
            <w:pPr>
              <w:spacing w:line="240" w:lineRule="exact"/>
              <w:ind w:firstLine="0" w:firstLineChars="0"/>
              <w:jc w:val="center"/>
              <w:rPr>
                <w:sz w:val="21"/>
                <w:szCs w:val="21"/>
                <w:highlight w:val="none"/>
              </w:rPr>
            </w:pPr>
            <w:r>
              <w:rPr>
                <w:sz w:val="21"/>
                <w:szCs w:val="21"/>
                <w:highlight w:val="none"/>
              </w:rPr>
              <w:t>抽水</w:t>
            </w:r>
          </w:p>
          <w:p>
            <w:pPr>
              <w:spacing w:line="240" w:lineRule="exact"/>
              <w:ind w:firstLine="0" w:firstLineChars="0"/>
              <w:jc w:val="center"/>
              <w:rPr>
                <w:sz w:val="21"/>
                <w:szCs w:val="21"/>
                <w:highlight w:val="none"/>
              </w:rPr>
            </w:pPr>
            <w:r>
              <w:rPr>
                <w:sz w:val="21"/>
                <w:szCs w:val="21"/>
                <w:highlight w:val="none"/>
              </w:rPr>
              <w:t>时间</w:t>
            </w:r>
          </w:p>
        </w:tc>
        <w:tc>
          <w:tcPr>
            <w:tcW w:w="1164" w:type="dxa"/>
            <w:vAlign w:val="center"/>
          </w:tcPr>
          <w:p>
            <w:pPr>
              <w:spacing w:line="240" w:lineRule="exact"/>
              <w:ind w:firstLine="0" w:firstLineChars="0"/>
              <w:jc w:val="center"/>
              <w:rPr>
                <w:sz w:val="21"/>
                <w:szCs w:val="21"/>
                <w:highlight w:val="none"/>
              </w:rPr>
            </w:pPr>
            <w:r>
              <w:rPr>
                <w:sz w:val="21"/>
                <w:szCs w:val="21"/>
                <w:highlight w:val="none"/>
              </w:rPr>
              <w:t>稳定</w:t>
            </w:r>
          </w:p>
          <w:p>
            <w:pPr>
              <w:spacing w:line="240" w:lineRule="exact"/>
              <w:ind w:firstLine="0" w:firstLineChars="0"/>
              <w:jc w:val="center"/>
              <w:rPr>
                <w:sz w:val="21"/>
                <w:szCs w:val="21"/>
                <w:highlight w:val="none"/>
              </w:rPr>
            </w:pPr>
            <w:r>
              <w:rPr>
                <w:sz w:val="21"/>
                <w:szCs w:val="21"/>
                <w:highlight w:val="none"/>
              </w:rPr>
              <w:t>时间</w:t>
            </w:r>
          </w:p>
        </w:tc>
        <w:tc>
          <w:tcPr>
            <w:tcW w:w="1578" w:type="dxa"/>
            <w:vAlign w:val="center"/>
          </w:tcPr>
          <w:p>
            <w:pPr>
              <w:spacing w:line="240" w:lineRule="exact"/>
              <w:ind w:firstLine="0" w:firstLineChars="0"/>
              <w:jc w:val="center"/>
              <w:rPr>
                <w:sz w:val="21"/>
                <w:szCs w:val="21"/>
                <w:highlight w:val="none"/>
              </w:rPr>
            </w:pPr>
            <w:r>
              <w:rPr>
                <w:sz w:val="21"/>
                <w:szCs w:val="21"/>
                <w:highlight w:val="none"/>
              </w:rPr>
              <w:t>抽水量</w:t>
            </w:r>
          </w:p>
        </w:tc>
        <w:tc>
          <w:tcPr>
            <w:tcW w:w="1520" w:type="dxa"/>
            <w:vAlign w:val="center"/>
          </w:tcPr>
          <w:p>
            <w:pPr>
              <w:spacing w:line="240" w:lineRule="exact"/>
              <w:ind w:firstLine="0" w:firstLineChars="0"/>
              <w:jc w:val="center"/>
              <w:rPr>
                <w:sz w:val="21"/>
                <w:szCs w:val="21"/>
                <w:highlight w:val="none"/>
              </w:rPr>
            </w:pPr>
            <w:r>
              <w:rPr>
                <w:sz w:val="21"/>
                <w:szCs w:val="21"/>
                <w:highlight w:val="none"/>
              </w:rPr>
              <w:t>降深</w:t>
            </w:r>
          </w:p>
        </w:tc>
        <w:tc>
          <w:tcPr>
            <w:tcW w:w="1936" w:type="dxa"/>
            <w:gridSpan w:val="2"/>
            <w:vAlign w:val="center"/>
          </w:tcPr>
          <w:p>
            <w:pPr>
              <w:spacing w:line="240" w:lineRule="exact"/>
              <w:ind w:firstLine="0" w:firstLineChars="0"/>
              <w:jc w:val="center"/>
              <w:rPr>
                <w:sz w:val="21"/>
                <w:szCs w:val="21"/>
                <w:highlight w:val="none"/>
              </w:rPr>
            </w:pPr>
            <w:r>
              <w:rPr>
                <w:sz w:val="21"/>
                <w:szCs w:val="21"/>
                <w:highlight w:val="none"/>
              </w:rPr>
              <w:t>单位</w:t>
            </w:r>
          </w:p>
          <w:p>
            <w:pPr>
              <w:spacing w:line="240" w:lineRule="exact"/>
              <w:ind w:firstLine="0" w:firstLineChars="0"/>
              <w:jc w:val="center"/>
              <w:rPr>
                <w:sz w:val="21"/>
                <w:szCs w:val="21"/>
                <w:highlight w:val="none"/>
              </w:rPr>
            </w:pPr>
            <w:r>
              <w:rPr>
                <w:sz w:val="21"/>
                <w:szCs w:val="21"/>
                <w:highlight w:val="none"/>
              </w:rPr>
              <w:t>涌水量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61" w:type="dxa"/>
            <w:vMerge w:val="continue"/>
            <w:vAlign w:val="center"/>
          </w:tcPr>
          <w:p>
            <w:pPr>
              <w:spacing w:line="240" w:lineRule="exact"/>
              <w:ind w:firstLine="422" w:firstLineChars="0"/>
              <w:jc w:val="center"/>
              <w:rPr>
                <w:rFonts w:ascii="隶书"/>
                <w:b/>
                <w:bCs/>
                <w:kern w:val="44"/>
                <w:sz w:val="21"/>
                <w:szCs w:val="21"/>
                <w:highlight w:val="none"/>
              </w:rPr>
            </w:pPr>
          </w:p>
        </w:tc>
        <w:tc>
          <w:tcPr>
            <w:tcW w:w="1163" w:type="dxa"/>
            <w:vAlign w:val="center"/>
          </w:tcPr>
          <w:p>
            <w:pPr>
              <w:spacing w:line="240" w:lineRule="exact"/>
              <w:ind w:firstLine="0" w:firstLineChars="0"/>
              <w:jc w:val="center"/>
              <w:rPr>
                <w:sz w:val="21"/>
                <w:szCs w:val="21"/>
                <w:highlight w:val="none"/>
              </w:rPr>
            </w:pPr>
            <w:r>
              <w:rPr>
                <w:rFonts w:hint="eastAsia"/>
                <w:sz w:val="21"/>
                <w:szCs w:val="21"/>
                <w:highlight w:val="none"/>
              </w:rPr>
              <w:t>min</w:t>
            </w:r>
          </w:p>
        </w:tc>
        <w:tc>
          <w:tcPr>
            <w:tcW w:w="1164" w:type="dxa"/>
            <w:vAlign w:val="center"/>
          </w:tcPr>
          <w:p>
            <w:pPr>
              <w:spacing w:line="240" w:lineRule="exact"/>
              <w:ind w:firstLine="0" w:firstLineChars="0"/>
              <w:jc w:val="center"/>
              <w:rPr>
                <w:sz w:val="21"/>
                <w:szCs w:val="21"/>
                <w:highlight w:val="none"/>
              </w:rPr>
            </w:pPr>
            <w:r>
              <w:rPr>
                <w:rFonts w:hint="eastAsia"/>
                <w:sz w:val="21"/>
                <w:szCs w:val="21"/>
                <w:highlight w:val="none"/>
              </w:rPr>
              <w:t>min</w:t>
            </w:r>
          </w:p>
        </w:tc>
        <w:tc>
          <w:tcPr>
            <w:tcW w:w="1578" w:type="dxa"/>
            <w:vAlign w:val="center"/>
          </w:tcPr>
          <w:p>
            <w:pPr>
              <w:spacing w:line="240" w:lineRule="exact"/>
              <w:ind w:firstLine="0" w:firstLineChars="0"/>
              <w:jc w:val="center"/>
              <w:rPr>
                <w:sz w:val="21"/>
                <w:szCs w:val="21"/>
                <w:highlight w:val="none"/>
              </w:rPr>
            </w:pPr>
            <w:r>
              <w:rPr>
                <w:sz w:val="21"/>
                <w:szCs w:val="21"/>
                <w:highlight w:val="none"/>
              </w:rPr>
              <w:t>m³/h</w:t>
            </w:r>
          </w:p>
        </w:tc>
        <w:tc>
          <w:tcPr>
            <w:tcW w:w="1520" w:type="dxa"/>
            <w:vAlign w:val="center"/>
          </w:tcPr>
          <w:p>
            <w:pPr>
              <w:spacing w:line="240" w:lineRule="exact"/>
              <w:ind w:firstLine="0" w:firstLineChars="0"/>
              <w:jc w:val="center"/>
              <w:rPr>
                <w:sz w:val="21"/>
                <w:szCs w:val="21"/>
                <w:highlight w:val="none"/>
              </w:rPr>
            </w:pPr>
            <w:r>
              <w:rPr>
                <w:sz w:val="21"/>
                <w:szCs w:val="21"/>
                <w:highlight w:val="none"/>
              </w:rPr>
              <w:t>m</w:t>
            </w:r>
          </w:p>
        </w:tc>
        <w:tc>
          <w:tcPr>
            <w:tcW w:w="1936" w:type="dxa"/>
            <w:gridSpan w:val="2"/>
            <w:vAlign w:val="center"/>
          </w:tcPr>
          <w:p>
            <w:pPr>
              <w:spacing w:line="240" w:lineRule="exact"/>
              <w:ind w:firstLine="0" w:firstLineChars="0"/>
              <w:jc w:val="center"/>
              <w:rPr>
                <w:sz w:val="21"/>
                <w:szCs w:val="21"/>
                <w:highlight w:val="none"/>
              </w:rPr>
            </w:pPr>
            <w:r>
              <w:rPr>
                <w:sz w:val="21"/>
                <w:szCs w:val="21"/>
                <w:highlight w:val="none"/>
              </w:rPr>
              <w:t>m³/h·m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61" w:type="dxa"/>
            <w:vAlign w:val="center"/>
          </w:tcPr>
          <w:p>
            <w:pPr>
              <w:spacing w:line="240" w:lineRule="exact"/>
              <w:ind w:firstLine="0" w:firstLineChars="0"/>
              <w:jc w:val="center"/>
              <w:rPr>
                <w:sz w:val="21"/>
                <w:szCs w:val="21"/>
                <w:highlight w:val="none"/>
              </w:rPr>
            </w:pPr>
            <w:r>
              <w:rPr>
                <w:sz w:val="21"/>
                <w:szCs w:val="21"/>
                <w:highlight w:val="none"/>
              </w:rPr>
              <w:t>抽水井</w:t>
            </w:r>
          </w:p>
        </w:tc>
        <w:tc>
          <w:tcPr>
            <w:tcW w:w="1163" w:type="dxa"/>
            <w:vAlign w:val="center"/>
          </w:tcPr>
          <w:p>
            <w:pPr>
              <w:spacing w:line="240" w:lineRule="exact"/>
              <w:ind w:firstLine="0" w:firstLineChars="0"/>
              <w:jc w:val="center"/>
              <w:rPr>
                <w:sz w:val="21"/>
                <w:szCs w:val="21"/>
                <w:highlight w:val="none"/>
              </w:rPr>
            </w:pPr>
            <w:r>
              <w:rPr>
                <w:rFonts w:hint="eastAsia"/>
                <w:sz w:val="21"/>
                <w:szCs w:val="21"/>
                <w:highlight w:val="none"/>
              </w:rPr>
              <w:t>670</w:t>
            </w:r>
          </w:p>
        </w:tc>
        <w:tc>
          <w:tcPr>
            <w:tcW w:w="1164" w:type="dxa"/>
            <w:vAlign w:val="center"/>
          </w:tcPr>
          <w:p>
            <w:pPr>
              <w:spacing w:line="240" w:lineRule="exact"/>
              <w:ind w:firstLine="0" w:firstLineChars="0"/>
              <w:jc w:val="center"/>
              <w:rPr>
                <w:sz w:val="21"/>
                <w:szCs w:val="21"/>
                <w:highlight w:val="none"/>
              </w:rPr>
            </w:pPr>
            <w:r>
              <w:rPr>
                <w:rFonts w:hint="eastAsia"/>
                <w:sz w:val="21"/>
                <w:szCs w:val="21"/>
                <w:highlight w:val="none"/>
              </w:rPr>
              <w:t>460</w:t>
            </w:r>
          </w:p>
        </w:tc>
        <w:tc>
          <w:tcPr>
            <w:tcW w:w="1578" w:type="dxa"/>
            <w:vAlign w:val="center"/>
          </w:tcPr>
          <w:p>
            <w:pPr>
              <w:spacing w:line="240" w:lineRule="exact"/>
              <w:ind w:firstLine="0" w:firstLineChars="0"/>
              <w:jc w:val="center"/>
              <w:rPr>
                <w:sz w:val="21"/>
                <w:szCs w:val="21"/>
                <w:highlight w:val="none"/>
              </w:rPr>
            </w:pPr>
            <w:r>
              <w:rPr>
                <w:rFonts w:hint="eastAsia"/>
                <w:sz w:val="21"/>
                <w:szCs w:val="21"/>
                <w:highlight w:val="none"/>
              </w:rPr>
              <w:t>52.08</w:t>
            </w:r>
          </w:p>
        </w:tc>
        <w:tc>
          <w:tcPr>
            <w:tcW w:w="1520" w:type="dxa"/>
            <w:vAlign w:val="center"/>
          </w:tcPr>
          <w:p>
            <w:pPr>
              <w:spacing w:line="240" w:lineRule="exact"/>
              <w:ind w:firstLine="0" w:firstLineChars="0"/>
              <w:jc w:val="center"/>
              <w:rPr>
                <w:sz w:val="21"/>
                <w:szCs w:val="21"/>
                <w:highlight w:val="none"/>
              </w:rPr>
            </w:pPr>
            <w:r>
              <w:rPr>
                <w:rFonts w:hint="eastAsia"/>
                <w:sz w:val="21"/>
                <w:szCs w:val="21"/>
                <w:highlight w:val="none"/>
              </w:rPr>
              <w:t>1.50</w:t>
            </w:r>
          </w:p>
        </w:tc>
        <w:tc>
          <w:tcPr>
            <w:tcW w:w="1936" w:type="dxa"/>
            <w:gridSpan w:val="2"/>
            <w:vAlign w:val="center"/>
          </w:tcPr>
          <w:p>
            <w:pPr>
              <w:spacing w:line="240" w:lineRule="exact"/>
              <w:ind w:firstLine="0" w:firstLineChars="0"/>
              <w:jc w:val="center"/>
              <w:rPr>
                <w:sz w:val="21"/>
                <w:szCs w:val="21"/>
                <w:highlight w:val="none"/>
              </w:rPr>
            </w:pPr>
            <w:r>
              <w:rPr>
                <w:rFonts w:hint="eastAsia"/>
                <w:sz w:val="21"/>
                <w:szCs w:val="21"/>
                <w:highlight w:val="none"/>
              </w:rPr>
              <w:t>34.72</w:t>
            </w:r>
          </w:p>
        </w:tc>
      </w:tr>
    </w:tbl>
    <w:p>
      <w:pPr>
        <w:autoSpaceDE w:val="0"/>
        <w:autoSpaceDN w:val="0"/>
        <w:spacing w:before="120" w:beforeLines="50"/>
        <w:ind w:firstLine="560"/>
        <w:jc w:val="center"/>
        <w:rPr>
          <w:sz w:val="24"/>
          <w:highlight w:val="none"/>
        </w:rPr>
      </w:pPr>
      <w:r>
        <w:rPr>
          <w:highlight w:val="none"/>
        </w:rPr>
        <w:drawing>
          <wp:inline distT="0" distB="0" distL="114300" distR="114300">
            <wp:extent cx="4572000" cy="2400935"/>
            <wp:effectExtent l="4445" t="4445" r="14605" b="1397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spacing w:line="240" w:lineRule="auto"/>
        <w:ind w:firstLine="0" w:firstLineChars="0"/>
        <w:jc w:val="center"/>
        <w:textAlignment w:val="auto"/>
        <w:rPr>
          <w:rFonts w:eastAsia="黑体"/>
          <w:kern w:val="2"/>
          <w:sz w:val="21"/>
          <w:szCs w:val="21"/>
          <w:highlight w:val="none"/>
        </w:rPr>
      </w:pPr>
      <w:r>
        <w:rPr>
          <w:rFonts w:hint="eastAsia" w:eastAsia="黑体"/>
          <w:kern w:val="2"/>
          <w:sz w:val="21"/>
          <w:szCs w:val="21"/>
          <w:highlight w:val="none"/>
        </w:rPr>
        <w:t>图</w:t>
      </w:r>
      <w:r>
        <w:rPr>
          <w:rFonts w:eastAsia="黑体"/>
          <w:kern w:val="2"/>
          <w:sz w:val="21"/>
          <w:szCs w:val="21"/>
          <w:highlight w:val="none"/>
        </w:rPr>
        <w:t>5.2-1</w:t>
      </w:r>
      <w:r>
        <w:rPr>
          <w:rFonts w:hint="eastAsia" w:eastAsia="黑体"/>
          <w:kern w:val="2"/>
          <w:sz w:val="21"/>
          <w:szCs w:val="21"/>
          <w:highlight w:val="none"/>
        </w:rPr>
        <w:t>0</w:t>
      </w:r>
      <w:r>
        <w:rPr>
          <w:rFonts w:eastAsia="黑体"/>
          <w:kern w:val="2"/>
          <w:sz w:val="21"/>
          <w:szCs w:val="21"/>
          <w:highlight w:val="none"/>
        </w:rPr>
        <w:t xml:space="preserve">  </w:t>
      </w:r>
      <w:r>
        <w:rPr>
          <w:rFonts w:hint="eastAsia" w:eastAsia="黑体"/>
          <w:kern w:val="2"/>
          <w:sz w:val="21"/>
          <w:szCs w:val="21"/>
          <w:highlight w:val="none"/>
        </w:rPr>
        <w:t>东滩村抽水试验水位埋深-时间曲线</w:t>
      </w:r>
    </w:p>
    <w:p>
      <w:pPr>
        <w:autoSpaceDE w:val="0"/>
        <w:autoSpaceDN w:val="0"/>
        <w:ind w:firstLine="560"/>
        <w:jc w:val="center"/>
        <w:rPr>
          <w:sz w:val="24"/>
          <w:highlight w:val="none"/>
        </w:rPr>
      </w:pPr>
      <w:r>
        <w:rPr>
          <w:highlight w:val="none"/>
        </w:rPr>
        <w:drawing>
          <wp:inline distT="0" distB="0" distL="114300" distR="114300">
            <wp:extent cx="4572000" cy="2743200"/>
            <wp:effectExtent l="4445" t="4445" r="14605" b="1460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spacing w:line="240" w:lineRule="auto"/>
        <w:ind w:firstLine="0" w:firstLineChars="0"/>
        <w:jc w:val="center"/>
        <w:textAlignment w:val="auto"/>
        <w:rPr>
          <w:rFonts w:eastAsia="黑体"/>
          <w:kern w:val="2"/>
          <w:sz w:val="21"/>
          <w:szCs w:val="21"/>
          <w:highlight w:val="none"/>
        </w:rPr>
      </w:pPr>
      <w:r>
        <w:rPr>
          <w:rFonts w:hint="eastAsia" w:eastAsia="黑体"/>
          <w:kern w:val="2"/>
          <w:sz w:val="21"/>
          <w:szCs w:val="21"/>
          <w:highlight w:val="none"/>
        </w:rPr>
        <w:t>图</w:t>
      </w:r>
      <w:r>
        <w:rPr>
          <w:rFonts w:eastAsia="黑体"/>
          <w:kern w:val="2"/>
          <w:sz w:val="21"/>
          <w:szCs w:val="21"/>
          <w:highlight w:val="none"/>
        </w:rPr>
        <w:t>5.2-1</w:t>
      </w:r>
      <w:r>
        <w:rPr>
          <w:rFonts w:hint="eastAsia" w:eastAsia="黑体"/>
          <w:kern w:val="2"/>
          <w:sz w:val="21"/>
          <w:szCs w:val="21"/>
          <w:highlight w:val="none"/>
        </w:rPr>
        <w:t>1  东滩村抽水试验水位降深-时间曲线</w:t>
      </w:r>
    </w:p>
    <w:p>
      <w:pPr>
        <w:autoSpaceDE w:val="0"/>
        <w:autoSpaceDN w:val="0"/>
        <w:spacing w:line="440" w:lineRule="atLeast"/>
        <w:ind w:firstLine="480"/>
        <w:rPr>
          <w:sz w:val="24"/>
          <w:highlight w:val="none"/>
        </w:rPr>
      </w:pPr>
      <w:r>
        <w:rPr>
          <w:rFonts w:hint="eastAsia"/>
          <w:sz w:val="24"/>
          <w:highlight w:val="none"/>
        </w:rPr>
        <w:t>b</w:t>
      </w:r>
      <w:r>
        <w:rPr>
          <w:sz w:val="24"/>
          <w:highlight w:val="none"/>
        </w:rPr>
        <w:t>.参数计算</w:t>
      </w:r>
      <w:r>
        <w:rPr>
          <w:rFonts w:hint="eastAsia"/>
          <w:sz w:val="24"/>
          <w:highlight w:val="none"/>
        </w:rPr>
        <w:t>方法</w:t>
      </w:r>
    </w:p>
    <w:p>
      <w:pPr>
        <w:spacing w:line="440" w:lineRule="atLeast"/>
        <w:ind w:firstLine="482"/>
        <w:rPr>
          <w:b/>
          <w:sz w:val="24"/>
          <w:szCs w:val="24"/>
          <w:highlight w:val="none"/>
        </w:rPr>
      </w:pPr>
      <w:r>
        <w:rPr>
          <w:b/>
          <w:sz w:val="24"/>
          <w:szCs w:val="24"/>
          <w:highlight w:val="none"/>
        </w:rPr>
        <w:t>潜水井Dupuit公式法</w:t>
      </w:r>
    </w:p>
    <w:p>
      <w:pPr>
        <w:wordWrap w:val="0"/>
        <w:spacing w:line="440" w:lineRule="atLeast"/>
        <w:ind w:firstLine="480"/>
        <w:jc w:val="right"/>
        <w:rPr>
          <w:sz w:val="24"/>
          <w:szCs w:val="24"/>
          <w:highlight w:val="none"/>
        </w:rPr>
      </w:pPr>
      <w:r>
        <w:rPr>
          <w:position w:val="-30"/>
          <w:sz w:val="24"/>
          <w:szCs w:val="24"/>
          <w:highlight w:val="none"/>
        </w:rPr>
        <w:object>
          <v:shape id="_x0000_i1029" o:spt="75" type="#_x0000_t75" style="height:33.5pt;width:175pt;" o:ole="t" filled="f" o:preferrelative="t" stroked="f" coordsize="21600,21600">
            <v:path/>
            <v:fill on="f" focussize="0,0"/>
            <v:stroke on="f" joinstyle="miter"/>
            <v:imagedata r:id="rId61" o:title=""/>
            <o:lock v:ext="edit" aspectratio="t"/>
            <w10:wrap type="none"/>
            <w10:anchorlock/>
          </v:shape>
          <o:OLEObject Type="Embed" ProgID="Equation.3" ShapeID="_x0000_i1029" DrawAspect="Content" ObjectID="_1468075729" r:id="rId60">
            <o:LockedField>false</o:LockedField>
          </o:OLEObject>
        </w:object>
      </w:r>
      <w:r>
        <w:rPr>
          <w:rFonts w:hint="eastAsia"/>
          <w:position w:val="-30"/>
          <w:sz w:val="24"/>
          <w:szCs w:val="24"/>
          <w:highlight w:val="none"/>
        </w:rPr>
        <w:t xml:space="preserve">             </w:t>
      </w:r>
      <w:r>
        <w:rPr>
          <w:sz w:val="24"/>
          <w:szCs w:val="24"/>
          <w:highlight w:val="none"/>
        </w:rPr>
        <w:t>（</w:t>
      </w:r>
      <w:r>
        <w:rPr>
          <w:rFonts w:hint="eastAsia"/>
          <w:sz w:val="24"/>
          <w:szCs w:val="24"/>
          <w:highlight w:val="none"/>
        </w:rPr>
        <w:t>5</w:t>
      </w:r>
      <w:r>
        <w:rPr>
          <w:sz w:val="24"/>
          <w:szCs w:val="24"/>
          <w:highlight w:val="none"/>
        </w:rPr>
        <w:t>.2-4）</w:t>
      </w:r>
    </w:p>
    <w:p>
      <w:pPr>
        <w:wordWrap w:val="0"/>
        <w:spacing w:line="440" w:lineRule="atLeast"/>
        <w:ind w:firstLine="480"/>
        <w:jc w:val="right"/>
        <w:rPr>
          <w:sz w:val="24"/>
          <w:szCs w:val="24"/>
          <w:highlight w:val="none"/>
        </w:rPr>
      </w:pPr>
      <w:r>
        <w:rPr>
          <w:position w:val="-14"/>
          <w:sz w:val="24"/>
          <w:szCs w:val="24"/>
          <w:highlight w:val="none"/>
        </w:rPr>
        <w:object>
          <v:shape id="_x0000_i1030" o:spt="75" type="#_x0000_t75" style="height:21.5pt;width:75pt;" o:ole="t" filled="f" o:preferrelative="t" stroked="f" coordsize="21600,21600">
            <v:path/>
            <v:fill on="f" focussize="0,0"/>
            <v:stroke on="f" joinstyle="miter"/>
            <v:imagedata r:id="rId63" o:title=""/>
            <o:lock v:ext="edit" aspectratio="t"/>
            <w10:wrap type="none"/>
            <w10:anchorlock/>
          </v:shape>
          <o:OLEObject Type="Embed" ProgID="Equation.3" ShapeID="_x0000_i1030" DrawAspect="Content" ObjectID="_1468075730" r:id="rId62">
            <o:LockedField>false</o:LockedField>
          </o:OLEObject>
        </w:object>
      </w:r>
      <w:r>
        <w:rPr>
          <w:sz w:val="24"/>
          <w:szCs w:val="24"/>
          <w:highlight w:val="none"/>
        </w:rPr>
        <w:t xml:space="preserve"> (库萨金公式)              （</w:t>
      </w:r>
      <w:r>
        <w:rPr>
          <w:rFonts w:hint="eastAsia"/>
          <w:sz w:val="24"/>
          <w:szCs w:val="24"/>
          <w:highlight w:val="none"/>
        </w:rPr>
        <w:t>5</w:t>
      </w:r>
      <w:r>
        <w:rPr>
          <w:sz w:val="24"/>
          <w:szCs w:val="24"/>
          <w:highlight w:val="none"/>
        </w:rPr>
        <w:t>.2-5）</w:t>
      </w:r>
    </w:p>
    <w:p>
      <w:pPr>
        <w:pStyle w:val="30"/>
        <w:wordWrap w:val="0"/>
        <w:spacing w:line="440" w:lineRule="atLeast"/>
        <w:jc w:val="right"/>
        <w:rPr>
          <w:rFonts w:ascii="Times New Roman" w:hAnsi="Times New Roman"/>
          <w:szCs w:val="24"/>
          <w:highlight w:val="none"/>
        </w:rPr>
      </w:pPr>
      <w:r>
        <w:rPr>
          <w:rFonts w:ascii="Times New Roman" w:hAnsi="Times New Roman"/>
          <w:position w:val="-30"/>
          <w:szCs w:val="24"/>
          <w:highlight w:val="none"/>
        </w:rPr>
        <w:object>
          <v:shape id="_x0000_i1031" o:spt="75" type="#_x0000_t75" style="height:33.5pt;width:120.5pt;" o:ole="t" filled="f" o:preferrelative="t" stroked="f" coordsize="21600,21600">
            <v:path/>
            <v:fill on="f" focussize="0,0"/>
            <v:stroke on="f" joinstyle="miter"/>
            <v:imagedata r:id="rId65" o:title=""/>
            <o:lock v:ext="edit" aspectratio="t"/>
            <w10:wrap type="none"/>
            <w10:anchorlock/>
          </v:shape>
          <o:OLEObject Type="Embed" ProgID="Equation.3" ShapeID="_x0000_i1031" DrawAspect="Content" ObjectID="_1468075731" r:id="rId64">
            <o:LockedField>false</o:LockedField>
          </o:OLEObject>
        </w:object>
      </w:r>
      <w:r>
        <w:rPr>
          <w:rFonts w:ascii="Times New Roman" w:hAnsi="Times New Roman"/>
          <w:szCs w:val="24"/>
          <w:highlight w:val="none"/>
        </w:rPr>
        <w:t xml:space="preserve">          </w:t>
      </w:r>
      <w:r>
        <w:rPr>
          <w:rFonts w:hint="eastAsia" w:ascii="Times New Roman" w:hAnsi="Times New Roman"/>
          <w:szCs w:val="24"/>
          <w:highlight w:val="none"/>
        </w:rPr>
        <w:t xml:space="preserve">          </w:t>
      </w:r>
      <w:r>
        <w:rPr>
          <w:rFonts w:ascii="Times New Roman" w:hAnsi="Times New Roman"/>
          <w:szCs w:val="24"/>
          <w:highlight w:val="none"/>
        </w:rPr>
        <w:t xml:space="preserve">      </w:t>
      </w:r>
      <w:r>
        <w:rPr>
          <w:rFonts w:ascii="Times New Roman" w:hAnsi="Times New Roman"/>
          <w:sz w:val="24"/>
          <w:szCs w:val="24"/>
          <w:highlight w:val="none"/>
        </w:rPr>
        <w:t xml:space="preserve"> （5.2-6）</w:t>
      </w:r>
    </w:p>
    <w:p>
      <w:pPr>
        <w:autoSpaceDE w:val="0"/>
        <w:autoSpaceDN w:val="0"/>
        <w:ind w:firstLine="480"/>
        <w:jc w:val="both"/>
        <w:rPr>
          <w:sz w:val="24"/>
          <w:highlight w:val="none"/>
        </w:rPr>
      </w:pPr>
      <w:r>
        <w:rPr>
          <w:sz w:val="24"/>
          <w:highlight w:val="none"/>
        </w:rPr>
        <w:t>式中，</w:t>
      </w:r>
    </w:p>
    <w:p>
      <w:pPr>
        <w:autoSpaceDE w:val="0"/>
        <w:autoSpaceDN w:val="0"/>
        <w:ind w:firstLine="480"/>
        <w:jc w:val="both"/>
        <w:rPr>
          <w:sz w:val="24"/>
          <w:highlight w:val="none"/>
        </w:rPr>
      </w:pPr>
      <w:r>
        <w:rPr>
          <w:i/>
          <w:sz w:val="24"/>
          <w:highlight w:val="none"/>
        </w:rPr>
        <w:t>s</w:t>
      </w:r>
      <w:r>
        <w:rPr>
          <w:sz w:val="24"/>
          <w:highlight w:val="none"/>
          <w:vertAlign w:val="subscript"/>
        </w:rPr>
        <w:t>w</w:t>
      </w:r>
      <w:r>
        <w:rPr>
          <w:sz w:val="24"/>
          <w:highlight w:val="none"/>
        </w:rPr>
        <w:t>—井中水位降深，m；</w:t>
      </w:r>
    </w:p>
    <w:p>
      <w:pPr>
        <w:autoSpaceDE w:val="0"/>
        <w:autoSpaceDN w:val="0"/>
        <w:ind w:firstLine="480"/>
        <w:jc w:val="both"/>
        <w:rPr>
          <w:sz w:val="24"/>
          <w:highlight w:val="none"/>
        </w:rPr>
      </w:pPr>
      <w:r>
        <w:rPr>
          <w:i/>
          <w:sz w:val="24"/>
          <w:highlight w:val="none"/>
        </w:rPr>
        <w:t>Q</w:t>
      </w:r>
      <w:r>
        <w:rPr>
          <w:sz w:val="24"/>
          <w:highlight w:val="none"/>
        </w:rPr>
        <w:t>—</w:t>
      </w:r>
      <w:r>
        <w:rPr>
          <w:sz w:val="24"/>
          <w:szCs w:val="24"/>
          <w:highlight w:val="none"/>
        </w:rPr>
        <w:t>抽水井</w:t>
      </w:r>
      <w:r>
        <w:rPr>
          <w:sz w:val="24"/>
          <w:highlight w:val="none"/>
        </w:rPr>
        <w:t>流量，m</w:t>
      </w:r>
      <w:r>
        <w:rPr>
          <w:sz w:val="24"/>
          <w:highlight w:val="none"/>
          <w:vertAlign w:val="superscript"/>
        </w:rPr>
        <w:t>3</w:t>
      </w:r>
      <w:r>
        <w:rPr>
          <w:sz w:val="24"/>
          <w:highlight w:val="none"/>
        </w:rPr>
        <w:t>/d；</w:t>
      </w:r>
    </w:p>
    <w:p>
      <w:pPr>
        <w:autoSpaceDE w:val="0"/>
        <w:autoSpaceDN w:val="0"/>
        <w:ind w:firstLine="480"/>
        <w:jc w:val="both"/>
        <w:rPr>
          <w:sz w:val="24"/>
          <w:highlight w:val="none"/>
        </w:rPr>
      </w:pPr>
      <w:r>
        <w:rPr>
          <w:i/>
          <w:sz w:val="24"/>
          <w:highlight w:val="none"/>
        </w:rPr>
        <w:t>H</w:t>
      </w:r>
      <w:r>
        <w:rPr>
          <w:i/>
          <w:sz w:val="24"/>
          <w:highlight w:val="none"/>
          <w:vertAlign w:val="subscript"/>
        </w:rPr>
        <w:t>0</w:t>
      </w:r>
      <w:r>
        <w:rPr>
          <w:sz w:val="24"/>
          <w:highlight w:val="none"/>
        </w:rPr>
        <w:t>—</w:t>
      </w:r>
      <w:r>
        <w:rPr>
          <w:sz w:val="24"/>
          <w:szCs w:val="24"/>
          <w:highlight w:val="none"/>
        </w:rPr>
        <w:t>潜水含水层</w:t>
      </w:r>
      <w:r>
        <w:rPr>
          <w:sz w:val="24"/>
          <w:highlight w:val="none"/>
        </w:rPr>
        <w:t>初始厚度，m；</w:t>
      </w:r>
    </w:p>
    <w:p>
      <w:pPr>
        <w:autoSpaceDE w:val="0"/>
        <w:autoSpaceDN w:val="0"/>
        <w:ind w:firstLine="480"/>
        <w:jc w:val="both"/>
        <w:rPr>
          <w:sz w:val="24"/>
          <w:highlight w:val="none"/>
        </w:rPr>
      </w:pPr>
      <w:r>
        <w:rPr>
          <w:i/>
          <w:sz w:val="24"/>
          <w:highlight w:val="none"/>
        </w:rPr>
        <w:t>K</w:t>
      </w:r>
      <w:r>
        <w:rPr>
          <w:sz w:val="24"/>
          <w:highlight w:val="none"/>
        </w:rPr>
        <w:t>—</w:t>
      </w:r>
      <w:r>
        <w:rPr>
          <w:sz w:val="24"/>
          <w:szCs w:val="24"/>
          <w:highlight w:val="none"/>
        </w:rPr>
        <w:t>渗透系数</w:t>
      </w:r>
      <w:r>
        <w:rPr>
          <w:sz w:val="24"/>
          <w:highlight w:val="none"/>
        </w:rPr>
        <w:t>，m/d；</w:t>
      </w:r>
    </w:p>
    <w:p>
      <w:pPr>
        <w:autoSpaceDE w:val="0"/>
        <w:autoSpaceDN w:val="0"/>
        <w:ind w:firstLine="480"/>
        <w:jc w:val="both"/>
        <w:rPr>
          <w:sz w:val="24"/>
          <w:highlight w:val="none"/>
        </w:rPr>
      </w:pPr>
      <w:r>
        <w:rPr>
          <w:i/>
          <w:sz w:val="24"/>
          <w:highlight w:val="none"/>
        </w:rPr>
        <w:t>r</w:t>
      </w:r>
      <w:r>
        <w:rPr>
          <w:sz w:val="24"/>
          <w:highlight w:val="none"/>
          <w:vertAlign w:val="subscript"/>
        </w:rPr>
        <w:t>w</w:t>
      </w:r>
      <w:r>
        <w:rPr>
          <w:sz w:val="24"/>
          <w:highlight w:val="none"/>
        </w:rPr>
        <w:t>—井半径，m；</w:t>
      </w:r>
    </w:p>
    <w:p>
      <w:pPr>
        <w:autoSpaceDE w:val="0"/>
        <w:autoSpaceDN w:val="0"/>
        <w:ind w:firstLine="480"/>
        <w:jc w:val="both"/>
        <w:rPr>
          <w:sz w:val="24"/>
          <w:highlight w:val="none"/>
        </w:rPr>
      </w:pPr>
      <w:r>
        <w:rPr>
          <w:i/>
          <w:sz w:val="24"/>
          <w:highlight w:val="none"/>
        </w:rPr>
        <w:t>R</w:t>
      </w:r>
      <w:r>
        <w:rPr>
          <w:sz w:val="24"/>
          <w:highlight w:val="none"/>
        </w:rPr>
        <w:t>—</w:t>
      </w:r>
      <w:r>
        <w:rPr>
          <w:sz w:val="24"/>
          <w:szCs w:val="24"/>
          <w:highlight w:val="none"/>
        </w:rPr>
        <w:t>影响半径</w:t>
      </w:r>
      <w:r>
        <w:rPr>
          <w:sz w:val="24"/>
          <w:highlight w:val="none"/>
        </w:rPr>
        <w:t>（圆岛半径），m；</w:t>
      </w:r>
    </w:p>
    <w:p>
      <w:pPr>
        <w:autoSpaceDE w:val="0"/>
        <w:autoSpaceDN w:val="0"/>
        <w:ind w:firstLine="480"/>
        <w:jc w:val="both"/>
        <w:rPr>
          <w:sz w:val="24"/>
          <w:szCs w:val="24"/>
          <w:highlight w:val="none"/>
        </w:rPr>
      </w:pPr>
      <w:bookmarkStart w:id="363" w:name="_Toc294819699"/>
      <w:bookmarkStart w:id="364" w:name="_Toc247286207"/>
      <w:bookmarkStart w:id="365" w:name="_Toc468692998"/>
      <w:r>
        <w:rPr>
          <w:rFonts w:hint="eastAsia"/>
          <w:sz w:val="24"/>
          <w:szCs w:val="24"/>
          <w:highlight w:val="none"/>
        </w:rPr>
        <w:t>（5）水文地质参数计算结果与分析</w:t>
      </w:r>
      <w:bookmarkEnd w:id="363"/>
      <w:bookmarkEnd w:id="364"/>
      <w:bookmarkEnd w:id="365"/>
    </w:p>
    <w:p>
      <w:pPr>
        <w:autoSpaceDE w:val="0"/>
        <w:autoSpaceDN w:val="0"/>
        <w:ind w:firstLine="480"/>
        <w:rPr>
          <w:rFonts w:eastAsia="黑体"/>
          <w:sz w:val="24"/>
          <w:szCs w:val="24"/>
          <w:highlight w:val="none"/>
        </w:rPr>
      </w:pPr>
      <w:r>
        <w:rPr>
          <w:rFonts w:hint="eastAsia"/>
          <w:sz w:val="24"/>
          <w:szCs w:val="24"/>
          <w:highlight w:val="none"/>
        </w:rPr>
        <w:t>①</w:t>
      </w:r>
      <w:r>
        <w:rPr>
          <w:sz w:val="24"/>
          <w:szCs w:val="24"/>
          <w:highlight w:val="none"/>
        </w:rPr>
        <w:t>潜水井Dupuit公式法</w:t>
      </w:r>
    </w:p>
    <w:p>
      <w:pPr>
        <w:autoSpaceDE w:val="0"/>
        <w:autoSpaceDN w:val="0"/>
        <w:ind w:firstLine="480"/>
        <w:jc w:val="both"/>
        <w:rPr>
          <w:sz w:val="24"/>
          <w:szCs w:val="24"/>
          <w:highlight w:val="none"/>
        </w:rPr>
      </w:pPr>
      <w:r>
        <w:rPr>
          <w:sz w:val="24"/>
          <w:szCs w:val="24"/>
          <w:highlight w:val="none"/>
        </w:rPr>
        <w:t>采用潜水井流Dupuit公式（</w:t>
      </w:r>
      <w:r>
        <w:rPr>
          <w:rFonts w:hint="eastAsia"/>
          <w:sz w:val="24"/>
          <w:szCs w:val="24"/>
          <w:highlight w:val="none"/>
        </w:rPr>
        <w:t>5</w:t>
      </w:r>
      <w:r>
        <w:rPr>
          <w:sz w:val="24"/>
          <w:szCs w:val="24"/>
          <w:highlight w:val="none"/>
        </w:rPr>
        <w:t>.2-4）至（</w:t>
      </w:r>
      <w:r>
        <w:rPr>
          <w:rFonts w:hint="eastAsia"/>
          <w:sz w:val="24"/>
          <w:szCs w:val="24"/>
          <w:highlight w:val="none"/>
        </w:rPr>
        <w:t>5</w:t>
      </w:r>
      <w:r>
        <w:rPr>
          <w:sz w:val="24"/>
          <w:szCs w:val="24"/>
          <w:highlight w:val="none"/>
        </w:rPr>
        <w:t>.2-6）对三个抽水试验场地进行渗透系数（K）和影响半径（R），结果见表5.2-</w:t>
      </w:r>
      <w:r>
        <w:rPr>
          <w:rFonts w:hint="eastAsia"/>
          <w:sz w:val="24"/>
          <w:szCs w:val="24"/>
          <w:highlight w:val="none"/>
        </w:rPr>
        <w:t>14</w:t>
      </w:r>
      <w:r>
        <w:rPr>
          <w:sz w:val="24"/>
          <w:szCs w:val="24"/>
          <w:highlight w:val="none"/>
        </w:rPr>
        <w:t>。</w:t>
      </w:r>
      <w:r>
        <w:rPr>
          <w:rFonts w:hint="eastAsia"/>
          <w:sz w:val="24"/>
          <w:szCs w:val="24"/>
          <w:highlight w:val="none"/>
        </w:rPr>
        <w:t>马店子村</w:t>
      </w:r>
      <w:r>
        <w:rPr>
          <w:sz w:val="24"/>
          <w:szCs w:val="24"/>
          <w:highlight w:val="none"/>
        </w:rPr>
        <w:t>渗透系数K和影响半径分别为</w:t>
      </w:r>
      <w:r>
        <w:rPr>
          <w:rFonts w:hint="eastAsia"/>
          <w:sz w:val="24"/>
          <w:szCs w:val="24"/>
          <w:highlight w:val="none"/>
        </w:rPr>
        <w:t>23.</w:t>
      </w:r>
      <w:r>
        <w:rPr>
          <w:sz w:val="24"/>
          <w:szCs w:val="24"/>
          <w:highlight w:val="none"/>
        </w:rPr>
        <w:t>2m/d和</w:t>
      </w:r>
      <w:r>
        <w:rPr>
          <w:rFonts w:hint="eastAsia"/>
          <w:sz w:val="24"/>
          <w:szCs w:val="24"/>
          <w:highlight w:val="none"/>
        </w:rPr>
        <w:t>133.1</w:t>
      </w:r>
      <w:r>
        <w:rPr>
          <w:sz w:val="24"/>
          <w:szCs w:val="24"/>
          <w:highlight w:val="none"/>
        </w:rPr>
        <w:t>m；</w:t>
      </w:r>
      <w:r>
        <w:rPr>
          <w:rFonts w:hint="eastAsia"/>
          <w:sz w:val="24"/>
          <w:szCs w:val="24"/>
          <w:highlight w:val="none"/>
        </w:rPr>
        <w:t>项目西南450m</w:t>
      </w:r>
      <w:r>
        <w:rPr>
          <w:sz w:val="24"/>
          <w:szCs w:val="24"/>
          <w:highlight w:val="none"/>
        </w:rPr>
        <w:t>渗透系数K和影响半径分别为</w:t>
      </w:r>
      <w:r>
        <w:rPr>
          <w:rFonts w:hint="eastAsia"/>
          <w:sz w:val="24"/>
          <w:szCs w:val="24"/>
          <w:highlight w:val="none"/>
        </w:rPr>
        <w:t>36.78</w:t>
      </w:r>
      <w:r>
        <w:rPr>
          <w:sz w:val="24"/>
          <w:szCs w:val="24"/>
          <w:highlight w:val="none"/>
        </w:rPr>
        <w:t>m/d和</w:t>
      </w:r>
      <w:r>
        <w:rPr>
          <w:rFonts w:hint="eastAsia"/>
          <w:sz w:val="24"/>
          <w:szCs w:val="24"/>
          <w:highlight w:val="none"/>
        </w:rPr>
        <w:t>26.0</w:t>
      </w:r>
      <w:r>
        <w:rPr>
          <w:sz w:val="24"/>
          <w:szCs w:val="24"/>
          <w:highlight w:val="none"/>
        </w:rPr>
        <w:t>m；</w:t>
      </w:r>
      <w:r>
        <w:rPr>
          <w:rFonts w:hint="eastAsia" w:hAnsi="宋体"/>
          <w:sz w:val="24"/>
          <w:szCs w:val="24"/>
          <w:highlight w:val="none"/>
        </w:rPr>
        <w:t>大曹各寨村渗透系数K和影响半径分别为32.52m/d和598.24m</w:t>
      </w:r>
      <w:r>
        <w:rPr>
          <w:sz w:val="24"/>
          <w:szCs w:val="24"/>
          <w:highlight w:val="none"/>
        </w:rPr>
        <w:t>；</w:t>
      </w:r>
    </w:p>
    <w:p>
      <w:pPr>
        <w:ind w:firstLine="420"/>
        <w:jc w:val="center"/>
        <w:rPr>
          <w:rFonts w:eastAsia="黑体"/>
          <w:sz w:val="21"/>
          <w:szCs w:val="21"/>
          <w:highlight w:val="none"/>
        </w:rPr>
      </w:pPr>
      <w:r>
        <w:rPr>
          <w:rFonts w:eastAsia="黑体"/>
          <w:sz w:val="21"/>
          <w:szCs w:val="21"/>
          <w:highlight w:val="none"/>
        </w:rPr>
        <w:t>5.2-</w:t>
      </w:r>
      <w:r>
        <w:rPr>
          <w:rFonts w:hint="eastAsia" w:eastAsia="黑体"/>
          <w:sz w:val="21"/>
          <w:szCs w:val="21"/>
          <w:highlight w:val="none"/>
        </w:rPr>
        <w:t>14</w:t>
      </w:r>
      <w:r>
        <w:rPr>
          <w:rFonts w:eastAsia="黑体"/>
          <w:sz w:val="21"/>
          <w:szCs w:val="21"/>
          <w:highlight w:val="none"/>
        </w:rPr>
        <w:t xml:space="preserve"> </w:t>
      </w:r>
      <w:r>
        <w:rPr>
          <w:rFonts w:hint="eastAsia" w:eastAsia="黑体"/>
          <w:sz w:val="21"/>
          <w:szCs w:val="21"/>
          <w:highlight w:val="none"/>
        </w:rPr>
        <w:t xml:space="preserve"> </w:t>
      </w:r>
      <w:r>
        <w:rPr>
          <w:rFonts w:eastAsia="黑体"/>
          <w:sz w:val="21"/>
          <w:szCs w:val="21"/>
          <w:highlight w:val="none"/>
        </w:rPr>
        <w:t xml:space="preserve"> 三个抽水试验潜水井流Dupuit计算成果表</w:t>
      </w:r>
    </w:p>
    <w:tbl>
      <w:tblPr>
        <w:tblStyle w:val="56"/>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153"/>
        <w:gridCol w:w="1157"/>
        <w:gridCol w:w="1157"/>
        <w:gridCol w:w="1157"/>
        <w:gridCol w:w="1157"/>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588" w:type="dxa"/>
            <w:vAlign w:val="center"/>
          </w:tcPr>
          <w:p>
            <w:pPr>
              <w:widowControl/>
              <w:ind w:firstLine="0" w:firstLineChars="0"/>
              <w:jc w:val="center"/>
              <w:rPr>
                <w:sz w:val="21"/>
                <w:szCs w:val="21"/>
                <w:highlight w:val="none"/>
              </w:rPr>
            </w:pPr>
            <w:r>
              <w:rPr>
                <w:sz w:val="21"/>
                <w:szCs w:val="21"/>
                <w:highlight w:val="none"/>
              </w:rPr>
              <w:t>抽水试验位置</w:t>
            </w:r>
          </w:p>
        </w:tc>
        <w:tc>
          <w:tcPr>
            <w:tcW w:w="1153" w:type="dxa"/>
            <w:vAlign w:val="center"/>
          </w:tcPr>
          <w:p>
            <w:pPr>
              <w:widowControl/>
              <w:ind w:firstLine="0" w:firstLineChars="0"/>
              <w:jc w:val="center"/>
              <w:rPr>
                <w:sz w:val="21"/>
                <w:szCs w:val="21"/>
                <w:highlight w:val="none"/>
              </w:rPr>
            </w:pPr>
            <w:r>
              <w:rPr>
                <w:rFonts w:hint="eastAsia"/>
                <w:sz w:val="21"/>
                <w:szCs w:val="21"/>
                <w:highlight w:val="none"/>
              </w:rPr>
              <w:t>（</w:t>
            </w:r>
            <w:r>
              <w:rPr>
                <w:sz w:val="21"/>
                <w:szCs w:val="21"/>
                <w:highlight w:val="none"/>
              </w:rPr>
              <w:t>H</w:t>
            </w:r>
            <w:r>
              <w:rPr>
                <w:rFonts w:hint="eastAsia"/>
                <w:sz w:val="21"/>
                <w:szCs w:val="21"/>
                <w:highlight w:val="none"/>
              </w:rPr>
              <w:t>-h）/m</w:t>
            </w:r>
          </w:p>
        </w:tc>
        <w:tc>
          <w:tcPr>
            <w:tcW w:w="1157" w:type="dxa"/>
            <w:vAlign w:val="center"/>
          </w:tcPr>
          <w:p>
            <w:pPr>
              <w:widowControl/>
              <w:ind w:firstLine="0" w:firstLineChars="0"/>
              <w:jc w:val="center"/>
              <w:rPr>
                <w:sz w:val="21"/>
                <w:szCs w:val="21"/>
                <w:highlight w:val="none"/>
              </w:rPr>
            </w:pPr>
            <w:r>
              <w:rPr>
                <w:sz w:val="21"/>
                <w:szCs w:val="21"/>
                <w:highlight w:val="none"/>
              </w:rPr>
              <w:t>S</w:t>
            </w:r>
            <w:r>
              <w:rPr>
                <w:sz w:val="21"/>
                <w:szCs w:val="21"/>
                <w:highlight w:val="none"/>
                <w:vertAlign w:val="subscript"/>
              </w:rPr>
              <w:t>w</w:t>
            </w:r>
            <w:r>
              <w:rPr>
                <w:rFonts w:hint="eastAsia"/>
                <w:sz w:val="21"/>
                <w:szCs w:val="21"/>
                <w:highlight w:val="none"/>
              </w:rPr>
              <w:t>/m</w:t>
            </w:r>
          </w:p>
        </w:tc>
        <w:tc>
          <w:tcPr>
            <w:tcW w:w="1157" w:type="dxa"/>
            <w:vAlign w:val="center"/>
          </w:tcPr>
          <w:p>
            <w:pPr>
              <w:widowControl/>
              <w:ind w:firstLine="0" w:firstLineChars="0"/>
              <w:jc w:val="center"/>
              <w:rPr>
                <w:sz w:val="21"/>
                <w:szCs w:val="21"/>
                <w:highlight w:val="none"/>
              </w:rPr>
            </w:pPr>
            <w:r>
              <w:rPr>
                <w:sz w:val="21"/>
                <w:szCs w:val="21"/>
                <w:highlight w:val="none"/>
              </w:rPr>
              <w:t>Q</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/d</w:t>
            </w:r>
          </w:p>
        </w:tc>
        <w:tc>
          <w:tcPr>
            <w:tcW w:w="1157" w:type="dxa"/>
            <w:vAlign w:val="center"/>
          </w:tcPr>
          <w:p>
            <w:pPr>
              <w:widowControl/>
              <w:ind w:firstLine="0" w:firstLineChars="0"/>
              <w:jc w:val="center"/>
              <w:rPr>
                <w:sz w:val="21"/>
                <w:szCs w:val="21"/>
                <w:highlight w:val="none"/>
              </w:rPr>
            </w:pPr>
            <w:r>
              <w:rPr>
                <w:sz w:val="21"/>
                <w:szCs w:val="21"/>
                <w:highlight w:val="none"/>
              </w:rPr>
              <w:t>r</w:t>
            </w:r>
            <w:r>
              <w:rPr>
                <w:rFonts w:hint="eastAsia"/>
                <w:sz w:val="21"/>
                <w:szCs w:val="21"/>
                <w:highlight w:val="none"/>
              </w:rPr>
              <w:t>/m</w:t>
            </w:r>
          </w:p>
        </w:tc>
        <w:tc>
          <w:tcPr>
            <w:tcW w:w="1157" w:type="dxa"/>
            <w:vAlign w:val="center"/>
          </w:tcPr>
          <w:p>
            <w:pPr>
              <w:widowControl/>
              <w:ind w:firstLine="0" w:firstLineChars="0"/>
              <w:jc w:val="center"/>
              <w:rPr>
                <w:sz w:val="21"/>
                <w:szCs w:val="21"/>
                <w:highlight w:val="none"/>
              </w:rPr>
            </w:pPr>
            <w:r>
              <w:rPr>
                <w:sz w:val="21"/>
                <w:szCs w:val="21"/>
                <w:highlight w:val="none"/>
              </w:rPr>
              <w:t>R</w:t>
            </w:r>
            <w:r>
              <w:rPr>
                <w:rFonts w:hint="eastAsia"/>
                <w:sz w:val="21"/>
                <w:szCs w:val="21"/>
                <w:highlight w:val="none"/>
              </w:rPr>
              <w:t>/m</w:t>
            </w:r>
          </w:p>
        </w:tc>
        <w:tc>
          <w:tcPr>
            <w:tcW w:w="1150" w:type="dxa"/>
            <w:vAlign w:val="center"/>
          </w:tcPr>
          <w:p>
            <w:pPr>
              <w:widowControl/>
              <w:ind w:firstLine="0" w:firstLineChars="0"/>
              <w:jc w:val="center"/>
              <w:rPr>
                <w:sz w:val="21"/>
                <w:szCs w:val="21"/>
                <w:highlight w:val="none"/>
              </w:rPr>
            </w:pPr>
            <w:r>
              <w:rPr>
                <w:sz w:val="21"/>
                <w:szCs w:val="21"/>
                <w:highlight w:val="none"/>
              </w:rPr>
              <w:t>K</w:t>
            </w:r>
            <w:r>
              <w:rPr>
                <w:rFonts w:hint="eastAsia"/>
                <w:sz w:val="21"/>
                <w:szCs w:val="21"/>
                <w:highlight w:val="none"/>
              </w:rPr>
              <w:t>/m/d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588" w:type="dxa"/>
            <w:vAlign w:val="center"/>
          </w:tcPr>
          <w:p>
            <w:pPr>
              <w:widowControl/>
              <w:ind w:firstLine="0" w:firstLineChars="0"/>
              <w:jc w:val="center"/>
              <w:rPr>
                <w:sz w:val="21"/>
                <w:szCs w:val="21"/>
                <w:highlight w:val="none"/>
              </w:rPr>
            </w:pPr>
            <w:r>
              <w:rPr>
                <w:rFonts w:hint="eastAsia"/>
                <w:sz w:val="21"/>
                <w:szCs w:val="21"/>
                <w:highlight w:val="none"/>
              </w:rPr>
              <w:t>马店子村</w:t>
            </w:r>
          </w:p>
        </w:tc>
        <w:tc>
          <w:tcPr>
            <w:tcW w:w="1153" w:type="dxa"/>
            <w:vAlign w:val="center"/>
          </w:tcPr>
          <w:p>
            <w:pPr>
              <w:widowControl/>
              <w:ind w:firstLine="0" w:firstLineChars="0"/>
              <w:jc w:val="center"/>
              <w:rPr>
                <w:sz w:val="21"/>
                <w:szCs w:val="21"/>
                <w:highlight w:val="none"/>
              </w:rPr>
            </w:pPr>
            <w:r>
              <w:rPr>
                <w:rFonts w:hint="eastAsia"/>
                <w:sz w:val="21"/>
                <w:szCs w:val="21"/>
                <w:highlight w:val="none"/>
              </w:rPr>
              <w:t>30.0</w:t>
            </w:r>
            <w:r>
              <w:rPr>
                <w:sz w:val="21"/>
                <w:szCs w:val="21"/>
                <w:highlight w:val="none"/>
              </w:rPr>
              <w:t xml:space="preserve"> </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3</w:t>
            </w:r>
            <w:r>
              <w:rPr>
                <w:sz w:val="21"/>
                <w:szCs w:val="21"/>
                <w:highlight w:val="none"/>
              </w:rPr>
              <w:t>.0</w:t>
            </w:r>
            <w:r>
              <w:rPr>
                <w:rFonts w:hint="eastAsia"/>
                <w:sz w:val="21"/>
                <w:szCs w:val="21"/>
                <w:highlight w:val="none"/>
              </w:rPr>
              <w:t>0</w:t>
            </w:r>
            <w:r>
              <w:rPr>
                <w:sz w:val="21"/>
                <w:szCs w:val="21"/>
                <w:highlight w:val="none"/>
              </w:rPr>
              <w:t xml:space="preserve"> </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1880</w:t>
            </w:r>
          </w:p>
        </w:tc>
        <w:tc>
          <w:tcPr>
            <w:tcW w:w="1157" w:type="dxa"/>
            <w:vAlign w:val="center"/>
          </w:tcPr>
          <w:p>
            <w:pPr>
              <w:widowControl/>
              <w:ind w:firstLine="0" w:firstLineChars="0"/>
              <w:jc w:val="center"/>
              <w:rPr>
                <w:sz w:val="21"/>
                <w:szCs w:val="21"/>
                <w:highlight w:val="none"/>
              </w:rPr>
            </w:pPr>
            <w:r>
              <w:rPr>
                <w:sz w:val="21"/>
                <w:szCs w:val="21"/>
                <w:highlight w:val="none"/>
              </w:rPr>
              <w:t xml:space="preserve">0.15 </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162.56</w:t>
            </w:r>
          </w:p>
        </w:tc>
        <w:tc>
          <w:tcPr>
            <w:tcW w:w="1150" w:type="dxa"/>
            <w:vAlign w:val="center"/>
          </w:tcPr>
          <w:p>
            <w:pPr>
              <w:widowControl/>
              <w:ind w:firstLine="0" w:firstLineChars="0"/>
              <w:jc w:val="center"/>
              <w:rPr>
                <w:sz w:val="21"/>
                <w:szCs w:val="21"/>
                <w:highlight w:val="none"/>
              </w:rPr>
            </w:pPr>
            <w:r>
              <w:rPr>
                <w:rFonts w:hint="eastAsia"/>
                <w:sz w:val="21"/>
                <w:szCs w:val="21"/>
                <w:highlight w:val="none"/>
              </w:rPr>
              <w:t>24.47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588" w:type="dxa"/>
            <w:vAlign w:val="center"/>
          </w:tcPr>
          <w:p>
            <w:pPr>
              <w:widowControl/>
              <w:ind w:firstLine="0" w:firstLineChars="0"/>
              <w:jc w:val="center"/>
              <w:rPr>
                <w:sz w:val="21"/>
                <w:szCs w:val="21"/>
                <w:highlight w:val="none"/>
              </w:rPr>
            </w:pPr>
            <w:r>
              <w:rPr>
                <w:rFonts w:hint="eastAsia"/>
                <w:sz w:val="21"/>
                <w:szCs w:val="21"/>
                <w:highlight w:val="none"/>
              </w:rPr>
              <w:t>官房子村</w:t>
            </w:r>
          </w:p>
        </w:tc>
        <w:tc>
          <w:tcPr>
            <w:tcW w:w="1153" w:type="dxa"/>
            <w:vAlign w:val="center"/>
          </w:tcPr>
          <w:p>
            <w:pPr>
              <w:widowControl/>
              <w:ind w:firstLine="0" w:firstLineChars="0"/>
              <w:jc w:val="center"/>
              <w:rPr>
                <w:sz w:val="21"/>
                <w:szCs w:val="21"/>
                <w:highlight w:val="none"/>
              </w:rPr>
            </w:pPr>
            <w:r>
              <w:rPr>
                <w:rFonts w:hint="eastAsia"/>
                <w:sz w:val="21"/>
                <w:szCs w:val="21"/>
                <w:highlight w:val="none"/>
              </w:rPr>
              <w:t>40.0</w:t>
            </w:r>
            <w:r>
              <w:rPr>
                <w:sz w:val="21"/>
                <w:szCs w:val="21"/>
                <w:highlight w:val="none"/>
              </w:rPr>
              <w:t xml:space="preserve"> </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2.40</w:t>
            </w:r>
            <w:r>
              <w:rPr>
                <w:sz w:val="21"/>
                <w:szCs w:val="21"/>
                <w:highlight w:val="none"/>
              </w:rPr>
              <w:t xml:space="preserve"> </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1580</w:t>
            </w:r>
          </w:p>
        </w:tc>
        <w:tc>
          <w:tcPr>
            <w:tcW w:w="1157" w:type="dxa"/>
            <w:vAlign w:val="center"/>
          </w:tcPr>
          <w:p>
            <w:pPr>
              <w:widowControl/>
              <w:ind w:firstLine="0" w:firstLineChars="0"/>
              <w:jc w:val="center"/>
              <w:rPr>
                <w:sz w:val="21"/>
                <w:szCs w:val="21"/>
                <w:highlight w:val="none"/>
              </w:rPr>
            </w:pPr>
            <w:r>
              <w:rPr>
                <w:sz w:val="21"/>
                <w:szCs w:val="21"/>
                <w:highlight w:val="none"/>
              </w:rPr>
              <w:t xml:space="preserve">0.15 </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129.77</w:t>
            </w:r>
          </w:p>
        </w:tc>
        <w:tc>
          <w:tcPr>
            <w:tcW w:w="1150" w:type="dxa"/>
            <w:vAlign w:val="center"/>
          </w:tcPr>
          <w:p>
            <w:pPr>
              <w:widowControl/>
              <w:ind w:firstLine="0" w:firstLineChars="0"/>
              <w:jc w:val="center"/>
              <w:rPr>
                <w:sz w:val="21"/>
                <w:szCs w:val="21"/>
                <w:highlight w:val="none"/>
              </w:rPr>
            </w:pPr>
            <w:r>
              <w:rPr>
                <w:rFonts w:hint="eastAsia"/>
                <w:sz w:val="21"/>
                <w:szCs w:val="21"/>
                <w:highlight w:val="none"/>
              </w:rPr>
              <w:t>18.27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588" w:type="dxa"/>
            <w:vAlign w:val="center"/>
          </w:tcPr>
          <w:p>
            <w:pPr>
              <w:widowControl/>
              <w:ind w:firstLine="0" w:firstLineChars="0"/>
              <w:jc w:val="center"/>
              <w:rPr>
                <w:sz w:val="21"/>
                <w:szCs w:val="21"/>
                <w:highlight w:val="none"/>
              </w:rPr>
            </w:pPr>
            <w:r>
              <w:rPr>
                <w:rFonts w:hint="eastAsia"/>
                <w:sz w:val="21"/>
                <w:szCs w:val="21"/>
                <w:highlight w:val="none"/>
              </w:rPr>
              <w:t>东滩村</w:t>
            </w:r>
          </w:p>
        </w:tc>
        <w:tc>
          <w:tcPr>
            <w:tcW w:w="1153" w:type="dxa"/>
            <w:vAlign w:val="center"/>
          </w:tcPr>
          <w:p>
            <w:pPr>
              <w:widowControl/>
              <w:ind w:firstLine="0" w:firstLineChars="0"/>
              <w:jc w:val="center"/>
              <w:rPr>
                <w:sz w:val="21"/>
                <w:szCs w:val="21"/>
                <w:highlight w:val="none"/>
              </w:rPr>
            </w:pPr>
            <w:r>
              <w:rPr>
                <w:rFonts w:hint="eastAsia"/>
                <w:sz w:val="21"/>
                <w:szCs w:val="21"/>
                <w:highlight w:val="none"/>
              </w:rPr>
              <w:t>30.0</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1.50</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1250</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0.15</w:t>
            </w:r>
          </w:p>
        </w:tc>
        <w:tc>
          <w:tcPr>
            <w:tcW w:w="1157" w:type="dxa"/>
            <w:vAlign w:val="center"/>
          </w:tcPr>
          <w:p>
            <w:pPr>
              <w:widowControl/>
              <w:ind w:firstLine="0" w:firstLineChars="0"/>
              <w:jc w:val="center"/>
              <w:rPr>
                <w:sz w:val="21"/>
                <w:szCs w:val="21"/>
                <w:highlight w:val="none"/>
              </w:rPr>
            </w:pPr>
            <w:r>
              <w:rPr>
                <w:rFonts w:hint="eastAsia"/>
                <w:sz w:val="21"/>
                <w:szCs w:val="21"/>
                <w:highlight w:val="none"/>
              </w:rPr>
              <w:t>88.39</w:t>
            </w:r>
          </w:p>
        </w:tc>
        <w:tc>
          <w:tcPr>
            <w:tcW w:w="1150" w:type="dxa"/>
            <w:vAlign w:val="center"/>
          </w:tcPr>
          <w:p>
            <w:pPr>
              <w:widowControl/>
              <w:ind w:firstLine="0" w:firstLineChars="0"/>
              <w:jc w:val="center"/>
              <w:rPr>
                <w:sz w:val="21"/>
                <w:szCs w:val="21"/>
                <w:highlight w:val="none"/>
              </w:rPr>
            </w:pPr>
            <w:r>
              <w:rPr>
                <w:rFonts w:hint="eastAsia"/>
                <w:sz w:val="21"/>
                <w:szCs w:val="21"/>
                <w:highlight w:val="none"/>
              </w:rPr>
              <w:t>28.94</w:t>
            </w:r>
          </w:p>
        </w:tc>
      </w:tr>
    </w:tbl>
    <w:p>
      <w:pPr>
        <w:autoSpaceDE w:val="0"/>
        <w:autoSpaceDN w:val="0"/>
        <w:ind w:firstLine="480"/>
        <w:rPr>
          <w:sz w:val="24"/>
          <w:szCs w:val="24"/>
          <w:highlight w:val="none"/>
        </w:rPr>
      </w:pPr>
      <w:r>
        <w:rPr>
          <w:rFonts w:hint="eastAsia"/>
          <w:sz w:val="24"/>
          <w:szCs w:val="24"/>
          <w:highlight w:val="none"/>
        </w:rPr>
        <w:t>②</w:t>
      </w:r>
      <w:r>
        <w:rPr>
          <w:sz w:val="24"/>
          <w:szCs w:val="24"/>
          <w:highlight w:val="none"/>
        </w:rPr>
        <w:t>渗水试验与参数计算</w:t>
      </w:r>
    </w:p>
    <w:p>
      <w:pPr>
        <w:autoSpaceDE w:val="0"/>
        <w:autoSpaceDN w:val="0"/>
        <w:ind w:firstLine="480"/>
        <w:rPr>
          <w:sz w:val="24"/>
          <w:szCs w:val="24"/>
          <w:highlight w:val="none"/>
        </w:rPr>
      </w:pPr>
      <w:r>
        <w:rPr>
          <w:sz w:val="24"/>
          <w:szCs w:val="24"/>
          <w:highlight w:val="none"/>
        </w:rPr>
        <w:t>为查明项目区包气带的防污性能，为地下水污染防治措施的设计提供科学依据，本次分别完成了</w:t>
      </w:r>
      <w:r>
        <w:rPr>
          <w:rFonts w:hint="eastAsia"/>
          <w:sz w:val="24"/>
          <w:szCs w:val="24"/>
          <w:highlight w:val="none"/>
        </w:rPr>
        <w:t>3</w:t>
      </w:r>
      <w:r>
        <w:rPr>
          <w:sz w:val="24"/>
          <w:szCs w:val="24"/>
          <w:highlight w:val="none"/>
        </w:rPr>
        <w:t>处渗水试验，通过野外现场测定了包气带地层的垂向渗透系数。</w:t>
      </w:r>
    </w:p>
    <w:p>
      <w:pPr>
        <w:autoSpaceDE w:val="0"/>
        <w:autoSpaceDN w:val="0"/>
        <w:ind w:firstLine="480"/>
        <w:rPr>
          <w:sz w:val="24"/>
          <w:szCs w:val="24"/>
          <w:highlight w:val="none"/>
        </w:rPr>
      </w:pPr>
      <w:r>
        <w:rPr>
          <w:rFonts w:hint="eastAsia"/>
          <w:sz w:val="24"/>
          <w:szCs w:val="24"/>
          <w:highlight w:val="none"/>
        </w:rPr>
        <w:t>a</w:t>
      </w:r>
      <w:r>
        <w:rPr>
          <w:sz w:val="24"/>
          <w:szCs w:val="24"/>
          <w:highlight w:val="none"/>
        </w:rPr>
        <w:t>.渗水实验求参原理</w:t>
      </w:r>
    </w:p>
    <w:p>
      <w:pPr>
        <w:autoSpaceDE w:val="0"/>
        <w:autoSpaceDN w:val="0"/>
        <w:ind w:firstLine="480"/>
        <w:rPr>
          <w:sz w:val="24"/>
          <w:szCs w:val="24"/>
          <w:highlight w:val="none"/>
        </w:rPr>
      </w:pPr>
      <w:r>
        <w:rPr>
          <w:sz w:val="24"/>
          <w:szCs w:val="24"/>
          <w:highlight w:val="none"/>
        </w:rPr>
        <w:t>试验采用双环渗水试验，分别将直径为0.5m和0.25m的铁圈插入地下土层内，试验时向内、外环同时注入清水，并保持内外环的水位基本一致，都为0.1m，由于外环渗透场的约束作用使内环的水只能垂向渗入，因而排除了侧向渗流的误差。当向内环单位时间注入水量稳定时，则根据达西渗透定律计算包气带地层饱和渗透系数K。</w:t>
      </w:r>
    </w:p>
    <w:p>
      <w:pPr>
        <w:ind w:firstLine="480"/>
        <w:rPr>
          <w:sz w:val="24"/>
          <w:highlight w:val="none"/>
        </w:rPr>
      </w:pPr>
      <w:r>
        <w:rPr>
          <w:sz w:val="24"/>
          <w:highlight w:val="none"/>
        </w:rPr>
        <w:t>如图5.2-1</w:t>
      </w:r>
      <w:r>
        <w:rPr>
          <w:rFonts w:hint="eastAsia"/>
          <w:sz w:val="24"/>
          <w:highlight w:val="none"/>
        </w:rPr>
        <w:t>2</w:t>
      </w:r>
      <w:r>
        <w:rPr>
          <w:sz w:val="24"/>
          <w:highlight w:val="none"/>
        </w:rPr>
        <w:t>进行试验，根据达西定律：</w:t>
      </w:r>
    </w:p>
    <w:p>
      <w:pPr>
        <w:ind w:firstLine="480"/>
        <w:rPr>
          <w:sz w:val="24"/>
          <w:highlight w:val="none"/>
        </w:rPr>
      </w:pPr>
      <w:r>
        <w:rPr>
          <w:sz w:val="24"/>
          <w:highlight w:val="none"/>
        </w:rPr>
        <w:drawing>
          <wp:inline distT="0" distB="0" distL="0" distR="0">
            <wp:extent cx="1162050" cy="40005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162050" cy="400050"/>
                    </a:xfrm>
                    <a:prstGeom prst="rect">
                      <a:avLst/>
                    </a:prstGeom>
                    <a:noFill/>
                    <a:ln>
                      <a:noFill/>
                    </a:ln>
                  </pic:spPr>
                </pic:pic>
              </a:graphicData>
            </a:graphic>
          </wp:inline>
        </w:drawing>
      </w:r>
    </w:p>
    <w:p>
      <w:pPr>
        <w:spacing w:line="540" w:lineRule="exact"/>
        <w:ind w:firstLine="480"/>
        <w:rPr>
          <w:sz w:val="24"/>
          <w:highlight w:val="none"/>
        </w:rPr>
      </w:pPr>
      <w:r>
        <w:rPr>
          <w:sz w:val="24"/>
          <w:highlight w:val="none"/>
        </w:rPr>
        <w:t>当水柱高度不大时，h</w:t>
      </w:r>
      <w:r>
        <w:rPr>
          <w:sz w:val="24"/>
          <w:highlight w:val="none"/>
          <w:vertAlign w:val="subscript"/>
        </w:rPr>
        <w:t>0</w:t>
      </w:r>
      <w:r>
        <w:rPr>
          <w:sz w:val="24"/>
          <w:highlight w:val="none"/>
        </w:rPr>
        <w:t>可以忽略不计，所以V=K。渗水达到稳定时，下渗速度为：</w:t>
      </w:r>
    </w:p>
    <w:p>
      <w:pPr>
        <w:ind w:firstLine="480"/>
        <w:rPr>
          <w:sz w:val="24"/>
          <w:highlight w:val="none"/>
        </w:rPr>
      </w:pPr>
      <w:r>
        <w:rPr>
          <w:sz w:val="24"/>
          <w:highlight w:val="none"/>
        </w:rPr>
        <w:drawing>
          <wp:inline distT="0" distB="0" distL="0" distR="0">
            <wp:extent cx="466725" cy="40005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66725" cy="400050"/>
                    </a:xfrm>
                    <a:prstGeom prst="rect">
                      <a:avLst/>
                    </a:prstGeom>
                    <a:noFill/>
                    <a:ln>
                      <a:noFill/>
                    </a:ln>
                  </pic:spPr>
                </pic:pic>
              </a:graphicData>
            </a:graphic>
          </wp:inline>
        </w:drawing>
      </w:r>
    </w:p>
    <w:p>
      <w:pPr>
        <w:spacing w:line="540" w:lineRule="exact"/>
        <w:ind w:firstLine="480"/>
        <w:rPr>
          <w:sz w:val="24"/>
          <w:highlight w:val="none"/>
        </w:rPr>
      </w:pPr>
      <w:r>
        <w:rPr>
          <w:sz w:val="24"/>
          <w:highlight w:val="none"/>
        </w:rPr>
        <w:t>式中：V—下渗速度；Q—内环渗入流量；W—内环面积。</w:t>
      </w:r>
    </w:p>
    <w:p>
      <w:pPr>
        <w:widowControl/>
        <w:ind w:firstLine="480"/>
        <w:jc w:val="center"/>
        <w:rPr>
          <w:sz w:val="24"/>
          <w:highlight w:val="none"/>
        </w:rPr>
      </w:pPr>
      <w:r>
        <w:rPr>
          <w:sz w:val="24"/>
          <w:highlight w:val="none"/>
        </w:rPr>
        <w:drawing>
          <wp:inline distT="0" distB="0" distL="0" distR="0">
            <wp:extent cx="3686175" cy="350520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noChangeArrowheads="1"/>
                    </pic:cNvPicPr>
                  </pic:nvPicPr>
                  <pic:blipFill>
                    <a:blip r:embed="rId68">
                      <a:extLst>
                        <a:ext uri="{28A0092B-C50C-407E-A947-70E740481C1C}">
                          <a14:useLocalDpi xmlns:a14="http://schemas.microsoft.com/office/drawing/2010/main" val="0"/>
                        </a:ext>
                      </a:extLst>
                    </a:blip>
                    <a:srcRect l="12076" t="4533" r="4926" b="30418"/>
                    <a:stretch>
                      <a:fillRect/>
                    </a:stretch>
                  </pic:blipFill>
                  <pic:spPr>
                    <a:xfrm>
                      <a:off x="0" y="0"/>
                      <a:ext cx="3686175" cy="3505200"/>
                    </a:xfrm>
                    <a:prstGeom prst="rect">
                      <a:avLst/>
                    </a:prstGeom>
                    <a:noFill/>
                    <a:ln>
                      <a:noFill/>
                    </a:ln>
                  </pic:spPr>
                </pic:pic>
              </a:graphicData>
            </a:graphic>
          </wp:inline>
        </w:drawing>
      </w:r>
    </w:p>
    <w:p>
      <w:pPr>
        <w:spacing w:line="240" w:lineRule="auto"/>
        <w:ind w:firstLine="0" w:firstLineChars="0"/>
        <w:jc w:val="center"/>
        <w:textAlignment w:val="auto"/>
        <w:rPr>
          <w:rFonts w:eastAsia="黑体"/>
          <w:kern w:val="2"/>
          <w:sz w:val="21"/>
          <w:szCs w:val="21"/>
          <w:highlight w:val="none"/>
        </w:rPr>
      </w:pPr>
      <w:r>
        <w:rPr>
          <w:rFonts w:hint="eastAsia" w:eastAsia="黑体"/>
          <w:kern w:val="2"/>
          <w:sz w:val="21"/>
          <w:szCs w:val="21"/>
          <w:highlight w:val="none"/>
        </w:rPr>
        <w:t>图</w:t>
      </w:r>
      <w:r>
        <w:rPr>
          <w:rFonts w:eastAsia="黑体"/>
          <w:kern w:val="2"/>
          <w:sz w:val="21"/>
          <w:szCs w:val="21"/>
          <w:highlight w:val="none"/>
        </w:rPr>
        <w:t>5.2-1</w:t>
      </w:r>
      <w:r>
        <w:rPr>
          <w:rFonts w:hint="eastAsia" w:eastAsia="黑体"/>
          <w:kern w:val="2"/>
          <w:sz w:val="21"/>
          <w:szCs w:val="21"/>
          <w:highlight w:val="none"/>
        </w:rPr>
        <w:t>2   双环渗水试验原理图</w:t>
      </w:r>
    </w:p>
    <w:p>
      <w:pPr>
        <w:spacing w:line="540" w:lineRule="exact"/>
        <w:ind w:firstLine="480"/>
        <w:rPr>
          <w:sz w:val="24"/>
          <w:highlight w:val="none"/>
        </w:rPr>
      </w:pPr>
      <w:r>
        <w:rPr>
          <w:rFonts w:hint="eastAsia"/>
          <w:sz w:val="24"/>
          <w:highlight w:val="none"/>
        </w:rPr>
        <w:t>b.</w:t>
      </w:r>
      <w:r>
        <w:rPr>
          <w:sz w:val="24"/>
          <w:highlight w:val="none"/>
        </w:rPr>
        <w:t>渗水实验求参结果</w:t>
      </w:r>
    </w:p>
    <w:p>
      <w:pPr>
        <w:spacing w:line="540" w:lineRule="exact"/>
        <w:ind w:firstLine="480"/>
        <w:rPr>
          <w:sz w:val="24"/>
          <w:highlight w:val="none"/>
        </w:rPr>
      </w:pPr>
      <w:r>
        <w:rPr>
          <w:sz w:val="24"/>
          <w:highlight w:val="none"/>
        </w:rPr>
        <w:t>双环渗水试验的计算结果参见5.2-</w:t>
      </w:r>
      <w:r>
        <w:rPr>
          <w:rFonts w:hint="eastAsia"/>
          <w:sz w:val="24"/>
          <w:highlight w:val="none"/>
        </w:rPr>
        <w:t>15</w:t>
      </w:r>
      <w:r>
        <w:rPr>
          <w:sz w:val="24"/>
          <w:highlight w:val="none"/>
        </w:rPr>
        <w:t>。</w:t>
      </w:r>
    </w:p>
    <w:p>
      <w:pPr>
        <w:autoSpaceDE w:val="0"/>
        <w:autoSpaceDN w:val="0"/>
        <w:ind w:firstLine="420"/>
        <w:jc w:val="center"/>
        <w:rPr>
          <w:rFonts w:ascii="黑体" w:hAnsi="黑体" w:eastAsia="黑体"/>
          <w:sz w:val="21"/>
          <w:szCs w:val="21"/>
          <w:highlight w:val="none"/>
          <w:lang w:val="zh-CN"/>
        </w:rPr>
      </w:pPr>
      <w:r>
        <w:rPr>
          <w:rFonts w:eastAsia="黑体"/>
          <w:sz w:val="21"/>
          <w:szCs w:val="21"/>
          <w:highlight w:val="none"/>
        </w:rPr>
        <w:t>5.2-</w:t>
      </w:r>
      <w:r>
        <w:rPr>
          <w:rFonts w:hint="eastAsia" w:eastAsia="黑体"/>
          <w:sz w:val="21"/>
          <w:szCs w:val="21"/>
          <w:highlight w:val="none"/>
        </w:rPr>
        <w:t>15</w:t>
      </w:r>
      <w:r>
        <w:rPr>
          <w:rFonts w:eastAsia="黑体"/>
          <w:sz w:val="21"/>
          <w:szCs w:val="21"/>
          <w:highlight w:val="none"/>
        </w:rPr>
        <w:t xml:space="preserve"> </w:t>
      </w:r>
      <w:r>
        <w:rPr>
          <w:rFonts w:eastAsia="黑体"/>
          <w:sz w:val="21"/>
          <w:szCs w:val="21"/>
          <w:highlight w:val="none"/>
          <w:lang w:val="zh-CN"/>
        </w:rPr>
        <w:t xml:space="preserve">  渗水</w:t>
      </w:r>
      <w:r>
        <w:rPr>
          <w:rFonts w:hint="eastAsia" w:ascii="黑体" w:hAnsi="黑体" w:eastAsia="黑体"/>
          <w:sz w:val="21"/>
          <w:szCs w:val="21"/>
          <w:highlight w:val="none"/>
          <w:lang w:val="zh-CN"/>
        </w:rPr>
        <w:t>试验渗透系数结果统计表</w:t>
      </w:r>
      <w:r>
        <w:rPr>
          <w:rFonts w:hint="eastAsia" w:ascii="黑体" w:hAnsi="黑体" w:eastAsia="黑体"/>
          <w:sz w:val="21"/>
          <w:szCs w:val="21"/>
          <w:highlight w:val="none"/>
          <w:lang w:val="zh-CN"/>
        </w:rPr>
        <w:tab/>
      </w:r>
    </w:p>
    <w:tbl>
      <w:tblPr>
        <w:tblStyle w:val="5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3"/>
        <w:gridCol w:w="1962"/>
        <w:gridCol w:w="1844"/>
        <w:gridCol w:w="1362"/>
        <w:gridCol w:w="20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trPr>
        <w:tc>
          <w:tcPr>
            <w:tcW w:w="1333" w:type="dxa"/>
            <w:vMerge w:val="restart"/>
            <w:vAlign w:val="center"/>
          </w:tcPr>
          <w:p>
            <w:pPr>
              <w:spacing w:line="260" w:lineRule="exact"/>
              <w:ind w:firstLine="420"/>
              <w:jc w:val="center"/>
              <w:rPr>
                <w:sz w:val="21"/>
                <w:szCs w:val="21"/>
                <w:highlight w:val="none"/>
              </w:rPr>
            </w:pPr>
            <w:r>
              <w:rPr>
                <w:sz w:val="21"/>
                <w:szCs w:val="21"/>
                <w:highlight w:val="none"/>
              </w:rPr>
              <w:t>实验点</w:t>
            </w:r>
          </w:p>
          <w:p>
            <w:pPr>
              <w:spacing w:line="260" w:lineRule="exact"/>
              <w:ind w:firstLine="420"/>
              <w:jc w:val="center"/>
              <w:rPr>
                <w:sz w:val="21"/>
                <w:szCs w:val="21"/>
                <w:highlight w:val="none"/>
              </w:rPr>
            </w:pPr>
            <w:r>
              <w:rPr>
                <w:sz w:val="21"/>
                <w:szCs w:val="21"/>
                <w:highlight w:val="none"/>
              </w:rPr>
              <w:t>编号</w:t>
            </w:r>
          </w:p>
        </w:tc>
        <w:tc>
          <w:tcPr>
            <w:tcW w:w="3806" w:type="dxa"/>
            <w:gridSpan w:val="2"/>
            <w:vAlign w:val="center"/>
          </w:tcPr>
          <w:p>
            <w:pPr>
              <w:spacing w:line="260" w:lineRule="exact"/>
              <w:ind w:firstLine="420"/>
              <w:jc w:val="center"/>
              <w:rPr>
                <w:sz w:val="21"/>
                <w:szCs w:val="21"/>
                <w:highlight w:val="none"/>
              </w:rPr>
            </w:pPr>
            <w:r>
              <w:rPr>
                <w:sz w:val="21"/>
                <w:szCs w:val="21"/>
                <w:highlight w:val="none"/>
              </w:rPr>
              <w:t>试验点坐标</w:t>
            </w:r>
          </w:p>
        </w:tc>
        <w:tc>
          <w:tcPr>
            <w:tcW w:w="1362" w:type="dxa"/>
            <w:vMerge w:val="restart"/>
            <w:vAlign w:val="center"/>
          </w:tcPr>
          <w:p>
            <w:pPr>
              <w:spacing w:line="260" w:lineRule="exact"/>
              <w:ind w:firstLine="420"/>
              <w:jc w:val="center"/>
              <w:rPr>
                <w:sz w:val="21"/>
                <w:szCs w:val="21"/>
                <w:highlight w:val="none"/>
              </w:rPr>
            </w:pPr>
            <w:r>
              <w:rPr>
                <w:sz w:val="21"/>
                <w:szCs w:val="21"/>
                <w:highlight w:val="none"/>
              </w:rPr>
              <w:t>水头高度</w:t>
            </w:r>
          </w:p>
          <w:p>
            <w:pPr>
              <w:spacing w:line="260" w:lineRule="exact"/>
              <w:ind w:firstLine="420"/>
              <w:jc w:val="center"/>
              <w:rPr>
                <w:sz w:val="21"/>
                <w:szCs w:val="21"/>
                <w:highlight w:val="none"/>
              </w:rPr>
            </w:pPr>
            <w:r>
              <w:rPr>
                <w:sz w:val="21"/>
                <w:szCs w:val="21"/>
                <w:highlight w:val="none"/>
              </w:rPr>
              <w:t>（cm）</w:t>
            </w:r>
          </w:p>
        </w:tc>
        <w:tc>
          <w:tcPr>
            <w:tcW w:w="2021" w:type="dxa"/>
            <w:vMerge w:val="restart"/>
            <w:vAlign w:val="center"/>
          </w:tcPr>
          <w:p>
            <w:pPr>
              <w:spacing w:line="260" w:lineRule="exact"/>
              <w:ind w:firstLine="420"/>
              <w:jc w:val="center"/>
              <w:rPr>
                <w:sz w:val="21"/>
                <w:szCs w:val="21"/>
                <w:highlight w:val="none"/>
              </w:rPr>
            </w:pPr>
            <w:r>
              <w:rPr>
                <w:sz w:val="21"/>
                <w:szCs w:val="21"/>
                <w:highlight w:val="none"/>
              </w:rPr>
              <w:t>渗透系数K</w:t>
            </w:r>
          </w:p>
          <w:p>
            <w:pPr>
              <w:spacing w:line="260" w:lineRule="exact"/>
              <w:ind w:firstLine="420"/>
              <w:jc w:val="center"/>
              <w:rPr>
                <w:sz w:val="21"/>
                <w:szCs w:val="21"/>
                <w:highlight w:val="none"/>
              </w:rPr>
            </w:pPr>
            <w:r>
              <w:rPr>
                <w:sz w:val="21"/>
                <w:szCs w:val="21"/>
                <w:highlight w:val="none"/>
              </w:rPr>
              <w:t>（cm/s）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3" w:hRule="atLeast"/>
        </w:trPr>
        <w:tc>
          <w:tcPr>
            <w:tcW w:w="1333" w:type="dxa"/>
            <w:vMerge w:val="continue"/>
            <w:vAlign w:val="center"/>
          </w:tcPr>
          <w:p>
            <w:pPr>
              <w:spacing w:line="260" w:lineRule="exact"/>
              <w:ind w:firstLine="420"/>
              <w:jc w:val="center"/>
              <w:rPr>
                <w:sz w:val="21"/>
                <w:szCs w:val="21"/>
                <w:highlight w:val="none"/>
              </w:rPr>
            </w:pPr>
          </w:p>
        </w:tc>
        <w:tc>
          <w:tcPr>
            <w:tcW w:w="1962" w:type="dxa"/>
            <w:vAlign w:val="center"/>
          </w:tcPr>
          <w:p>
            <w:pPr>
              <w:spacing w:line="260" w:lineRule="exact"/>
              <w:ind w:firstLine="420"/>
              <w:jc w:val="center"/>
              <w:rPr>
                <w:sz w:val="21"/>
                <w:szCs w:val="21"/>
                <w:highlight w:val="none"/>
              </w:rPr>
            </w:pPr>
            <w:r>
              <w:rPr>
                <w:rFonts w:hint="eastAsia"/>
                <w:sz w:val="21"/>
                <w:szCs w:val="21"/>
                <w:highlight w:val="none"/>
              </w:rPr>
              <w:t>X</w:t>
            </w:r>
          </w:p>
        </w:tc>
        <w:tc>
          <w:tcPr>
            <w:tcW w:w="1844" w:type="dxa"/>
            <w:vAlign w:val="center"/>
          </w:tcPr>
          <w:p>
            <w:pPr>
              <w:spacing w:line="260" w:lineRule="exact"/>
              <w:ind w:firstLine="420"/>
              <w:jc w:val="center"/>
              <w:rPr>
                <w:sz w:val="21"/>
                <w:szCs w:val="21"/>
                <w:highlight w:val="none"/>
              </w:rPr>
            </w:pPr>
            <w:r>
              <w:rPr>
                <w:rFonts w:hint="eastAsia"/>
                <w:sz w:val="21"/>
                <w:szCs w:val="21"/>
                <w:highlight w:val="none"/>
              </w:rPr>
              <w:t>Y</w:t>
            </w:r>
          </w:p>
        </w:tc>
        <w:tc>
          <w:tcPr>
            <w:tcW w:w="1362" w:type="dxa"/>
            <w:vMerge w:val="continue"/>
            <w:vAlign w:val="center"/>
          </w:tcPr>
          <w:p>
            <w:pPr>
              <w:spacing w:line="260" w:lineRule="exact"/>
              <w:ind w:firstLine="420"/>
              <w:jc w:val="center"/>
              <w:rPr>
                <w:sz w:val="21"/>
                <w:szCs w:val="21"/>
                <w:highlight w:val="none"/>
              </w:rPr>
            </w:pPr>
          </w:p>
        </w:tc>
        <w:tc>
          <w:tcPr>
            <w:tcW w:w="2021" w:type="dxa"/>
            <w:vMerge w:val="continue"/>
            <w:vAlign w:val="center"/>
          </w:tcPr>
          <w:p>
            <w:pPr>
              <w:spacing w:line="260" w:lineRule="exact"/>
              <w:ind w:firstLine="420"/>
              <w:jc w:val="center"/>
              <w:rPr>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33" w:type="dxa"/>
            <w:vAlign w:val="center"/>
          </w:tcPr>
          <w:p>
            <w:pPr>
              <w:spacing w:line="260" w:lineRule="exact"/>
              <w:ind w:firstLine="420"/>
              <w:jc w:val="center"/>
              <w:rPr>
                <w:sz w:val="21"/>
                <w:szCs w:val="21"/>
                <w:highlight w:val="none"/>
              </w:rPr>
            </w:pPr>
            <w:r>
              <w:rPr>
                <w:sz w:val="21"/>
                <w:szCs w:val="21"/>
                <w:highlight w:val="none"/>
              </w:rPr>
              <w:t>S</w:t>
            </w:r>
            <w:r>
              <w:rPr>
                <w:rFonts w:hint="eastAsia"/>
                <w:sz w:val="21"/>
                <w:szCs w:val="21"/>
                <w:highlight w:val="none"/>
              </w:rPr>
              <w:t>-1</w:t>
            </w:r>
          </w:p>
        </w:tc>
        <w:tc>
          <w:tcPr>
            <w:tcW w:w="1962" w:type="dxa"/>
            <w:vAlign w:val="center"/>
          </w:tcPr>
          <w:p>
            <w:pPr>
              <w:ind w:firstLine="420"/>
              <w:jc w:val="center"/>
              <w:textAlignment w:val="center"/>
              <w:rPr>
                <w:sz w:val="21"/>
                <w:szCs w:val="21"/>
                <w:highlight w:val="none"/>
              </w:rPr>
            </w:pPr>
            <w:r>
              <w:rPr>
                <w:sz w:val="21"/>
                <w:szCs w:val="21"/>
                <w:highlight w:val="none"/>
              </w:rPr>
              <w:t>20584000.88</w:t>
            </w:r>
          </w:p>
        </w:tc>
        <w:tc>
          <w:tcPr>
            <w:tcW w:w="1844" w:type="dxa"/>
            <w:vAlign w:val="center"/>
          </w:tcPr>
          <w:p>
            <w:pPr>
              <w:ind w:firstLine="420"/>
              <w:jc w:val="center"/>
              <w:textAlignment w:val="center"/>
              <w:rPr>
                <w:sz w:val="21"/>
                <w:szCs w:val="21"/>
                <w:highlight w:val="none"/>
              </w:rPr>
            </w:pPr>
            <w:r>
              <w:rPr>
                <w:sz w:val="21"/>
                <w:szCs w:val="21"/>
                <w:highlight w:val="none"/>
              </w:rPr>
              <w:t>4442128.68</w:t>
            </w:r>
          </w:p>
        </w:tc>
        <w:tc>
          <w:tcPr>
            <w:tcW w:w="1362" w:type="dxa"/>
            <w:vAlign w:val="center"/>
          </w:tcPr>
          <w:p>
            <w:pPr>
              <w:spacing w:line="260" w:lineRule="exact"/>
              <w:ind w:firstLine="420"/>
              <w:jc w:val="center"/>
              <w:rPr>
                <w:sz w:val="21"/>
                <w:szCs w:val="21"/>
                <w:highlight w:val="none"/>
              </w:rPr>
            </w:pPr>
            <w:r>
              <w:rPr>
                <w:sz w:val="21"/>
                <w:szCs w:val="21"/>
                <w:highlight w:val="none"/>
              </w:rPr>
              <w:t>10</w:t>
            </w:r>
          </w:p>
        </w:tc>
        <w:tc>
          <w:tcPr>
            <w:tcW w:w="2021" w:type="dxa"/>
            <w:vAlign w:val="center"/>
          </w:tcPr>
          <w:p>
            <w:pPr>
              <w:spacing w:line="280" w:lineRule="exact"/>
              <w:ind w:firstLine="420"/>
              <w:jc w:val="center"/>
              <w:rPr>
                <w:sz w:val="21"/>
                <w:szCs w:val="21"/>
                <w:highlight w:val="none"/>
              </w:rPr>
            </w:pPr>
            <w:r>
              <w:rPr>
                <w:rFonts w:hint="eastAsia"/>
                <w:sz w:val="21"/>
                <w:szCs w:val="21"/>
                <w:highlight w:val="none"/>
              </w:rPr>
              <w:t>4.87</w:t>
            </w:r>
            <w:r>
              <w:rPr>
                <w:sz w:val="21"/>
                <w:szCs w:val="21"/>
                <w:highlight w:val="none"/>
              </w:rPr>
              <w:t>×10</w:t>
            </w:r>
            <w:r>
              <w:rPr>
                <w:sz w:val="21"/>
                <w:szCs w:val="21"/>
                <w:highlight w:val="none"/>
                <w:vertAlign w:val="superscript"/>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33" w:type="dxa"/>
            <w:vAlign w:val="center"/>
          </w:tcPr>
          <w:p>
            <w:pPr>
              <w:spacing w:line="260" w:lineRule="exact"/>
              <w:ind w:firstLine="420"/>
              <w:jc w:val="center"/>
              <w:rPr>
                <w:sz w:val="21"/>
                <w:szCs w:val="21"/>
                <w:highlight w:val="none"/>
              </w:rPr>
            </w:pPr>
            <w:r>
              <w:rPr>
                <w:sz w:val="21"/>
                <w:szCs w:val="21"/>
                <w:highlight w:val="none"/>
              </w:rPr>
              <w:t>S</w:t>
            </w:r>
            <w:r>
              <w:rPr>
                <w:rFonts w:hint="eastAsia"/>
                <w:sz w:val="21"/>
                <w:szCs w:val="21"/>
                <w:highlight w:val="none"/>
              </w:rPr>
              <w:t>-2</w:t>
            </w:r>
          </w:p>
        </w:tc>
        <w:tc>
          <w:tcPr>
            <w:tcW w:w="1962" w:type="dxa"/>
            <w:vAlign w:val="center"/>
          </w:tcPr>
          <w:p>
            <w:pPr>
              <w:ind w:firstLine="420"/>
              <w:jc w:val="center"/>
              <w:textAlignment w:val="center"/>
              <w:rPr>
                <w:sz w:val="21"/>
                <w:szCs w:val="21"/>
                <w:highlight w:val="none"/>
              </w:rPr>
            </w:pPr>
            <w:r>
              <w:rPr>
                <w:sz w:val="21"/>
                <w:szCs w:val="21"/>
                <w:highlight w:val="none"/>
              </w:rPr>
              <w:t>20584270.9</w:t>
            </w:r>
            <w:r>
              <w:rPr>
                <w:rFonts w:hint="eastAsia"/>
                <w:sz w:val="21"/>
                <w:szCs w:val="21"/>
                <w:highlight w:val="none"/>
              </w:rPr>
              <w:t>2</w:t>
            </w:r>
          </w:p>
        </w:tc>
        <w:tc>
          <w:tcPr>
            <w:tcW w:w="1844" w:type="dxa"/>
            <w:vAlign w:val="center"/>
          </w:tcPr>
          <w:p>
            <w:pPr>
              <w:ind w:firstLine="420"/>
              <w:jc w:val="center"/>
              <w:textAlignment w:val="center"/>
              <w:rPr>
                <w:sz w:val="21"/>
                <w:szCs w:val="21"/>
                <w:highlight w:val="none"/>
              </w:rPr>
            </w:pPr>
            <w:r>
              <w:rPr>
                <w:sz w:val="21"/>
                <w:szCs w:val="21"/>
                <w:highlight w:val="none"/>
              </w:rPr>
              <w:t>4442621.79</w:t>
            </w:r>
          </w:p>
        </w:tc>
        <w:tc>
          <w:tcPr>
            <w:tcW w:w="1362" w:type="dxa"/>
            <w:vAlign w:val="center"/>
          </w:tcPr>
          <w:p>
            <w:pPr>
              <w:spacing w:line="260" w:lineRule="exact"/>
              <w:ind w:firstLine="420"/>
              <w:jc w:val="center"/>
              <w:rPr>
                <w:sz w:val="21"/>
                <w:szCs w:val="21"/>
                <w:highlight w:val="none"/>
              </w:rPr>
            </w:pPr>
            <w:r>
              <w:rPr>
                <w:sz w:val="21"/>
                <w:szCs w:val="21"/>
                <w:highlight w:val="none"/>
              </w:rPr>
              <w:t>10</w:t>
            </w:r>
          </w:p>
        </w:tc>
        <w:tc>
          <w:tcPr>
            <w:tcW w:w="2021" w:type="dxa"/>
            <w:vAlign w:val="center"/>
          </w:tcPr>
          <w:p>
            <w:pPr>
              <w:spacing w:line="280" w:lineRule="exact"/>
              <w:ind w:firstLine="420"/>
              <w:jc w:val="center"/>
              <w:rPr>
                <w:sz w:val="21"/>
                <w:szCs w:val="21"/>
                <w:highlight w:val="none"/>
              </w:rPr>
            </w:pPr>
            <w:r>
              <w:rPr>
                <w:rFonts w:hint="eastAsia"/>
                <w:sz w:val="21"/>
                <w:szCs w:val="21"/>
                <w:highlight w:val="none"/>
              </w:rPr>
              <w:t>4.50</w:t>
            </w:r>
            <w:r>
              <w:rPr>
                <w:sz w:val="21"/>
                <w:szCs w:val="21"/>
                <w:highlight w:val="none"/>
              </w:rPr>
              <w:t>×10</w:t>
            </w:r>
            <w:r>
              <w:rPr>
                <w:sz w:val="21"/>
                <w:szCs w:val="21"/>
                <w:highlight w:val="none"/>
                <w:vertAlign w:val="superscript"/>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33" w:type="dxa"/>
            <w:vAlign w:val="center"/>
          </w:tcPr>
          <w:p>
            <w:pPr>
              <w:spacing w:line="260" w:lineRule="exact"/>
              <w:ind w:firstLine="420"/>
              <w:jc w:val="center"/>
              <w:rPr>
                <w:sz w:val="21"/>
                <w:szCs w:val="21"/>
                <w:highlight w:val="none"/>
              </w:rPr>
            </w:pPr>
            <w:r>
              <w:rPr>
                <w:sz w:val="21"/>
                <w:szCs w:val="21"/>
                <w:highlight w:val="none"/>
              </w:rPr>
              <w:t>S</w:t>
            </w:r>
            <w:r>
              <w:rPr>
                <w:rFonts w:hint="eastAsia"/>
                <w:sz w:val="21"/>
                <w:szCs w:val="21"/>
                <w:highlight w:val="none"/>
              </w:rPr>
              <w:t>-3</w:t>
            </w:r>
          </w:p>
        </w:tc>
        <w:tc>
          <w:tcPr>
            <w:tcW w:w="1962" w:type="dxa"/>
            <w:vAlign w:val="center"/>
          </w:tcPr>
          <w:p>
            <w:pPr>
              <w:ind w:firstLine="420"/>
              <w:jc w:val="center"/>
              <w:textAlignment w:val="center"/>
              <w:rPr>
                <w:sz w:val="21"/>
                <w:szCs w:val="21"/>
                <w:highlight w:val="none"/>
              </w:rPr>
            </w:pPr>
            <w:r>
              <w:rPr>
                <w:sz w:val="21"/>
                <w:szCs w:val="21"/>
                <w:highlight w:val="none"/>
              </w:rPr>
              <w:t>20584566.83</w:t>
            </w:r>
          </w:p>
        </w:tc>
        <w:tc>
          <w:tcPr>
            <w:tcW w:w="1844" w:type="dxa"/>
            <w:vAlign w:val="center"/>
          </w:tcPr>
          <w:p>
            <w:pPr>
              <w:ind w:firstLine="420"/>
              <w:jc w:val="center"/>
              <w:textAlignment w:val="center"/>
              <w:rPr>
                <w:sz w:val="21"/>
                <w:szCs w:val="21"/>
                <w:highlight w:val="none"/>
              </w:rPr>
            </w:pPr>
            <w:r>
              <w:rPr>
                <w:sz w:val="21"/>
                <w:szCs w:val="21"/>
                <w:highlight w:val="none"/>
              </w:rPr>
              <w:t>4441646.05</w:t>
            </w:r>
          </w:p>
        </w:tc>
        <w:tc>
          <w:tcPr>
            <w:tcW w:w="1362" w:type="dxa"/>
            <w:vAlign w:val="center"/>
          </w:tcPr>
          <w:p>
            <w:pPr>
              <w:spacing w:line="260" w:lineRule="exact"/>
              <w:ind w:firstLine="420"/>
              <w:jc w:val="center"/>
              <w:rPr>
                <w:sz w:val="21"/>
                <w:szCs w:val="21"/>
                <w:highlight w:val="none"/>
              </w:rPr>
            </w:pPr>
            <w:r>
              <w:rPr>
                <w:rFonts w:hint="eastAsia"/>
                <w:sz w:val="21"/>
                <w:szCs w:val="21"/>
                <w:highlight w:val="none"/>
              </w:rPr>
              <w:t>10</w:t>
            </w:r>
          </w:p>
        </w:tc>
        <w:tc>
          <w:tcPr>
            <w:tcW w:w="2021" w:type="dxa"/>
            <w:vAlign w:val="center"/>
          </w:tcPr>
          <w:p>
            <w:pPr>
              <w:spacing w:line="280" w:lineRule="exact"/>
              <w:ind w:firstLine="420"/>
              <w:jc w:val="center"/>
              <w:rPr>
                <w:sz w:val="21"/>
                <w:szCs w:val="21"/>
                <w:highlight w:val="none"/>
              </w:rPr>
            </w:pPr>
            <w:r>
              <w:rPr>
                <w:rFonts w:hint="eastAsia"/>
                <w:sz w:val="21"/>
                <w:szCs w:val="21"/>
                <w:highlight w:val="none"/>
              </w:rPr>
              <w:t>4.20</w:t>
            </w:r>
            <w:r>
              <w:rPr>
                <w:sz w:val="21"/>
                <w:szCs w:val="21"/>
                <w:highlight w:val="none"/>
              </w:rPr>
              <w:t>×10</w:t>
            </w:r>
            <w:r>
              <w:rPr>
                <w:sz w:val="21"/>
                <w:szCs w:val="21"/>
                <w:highlight w:val="none"/>
                <w:vertAlign w:val="superscript"/>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33" w:type="dxa"/>
            <w:vAlign w:val="center"/>
          </w:tcPr>
          <w:p>
            <w:pPr>
              <w:spacing w:line="260" w:lineRule="exact"/>
              <w:ind w:firstLine="420"/>
              <w:jc w:val="center"/>
              <w:rPr>
                <w:sz w:val="21"/>
                <w:szCs w:val="21"/>
                <w:highlight w:val="none"/>
              </w:rPr>
            </w:pPr>
            <w:r>
              <w:rPr>
                <w:sz w:val="21"/>
                <w:szCs w:val="21"/>
                <w:highlight w:val="none"/>
              </w:rPr>
              <w:t>S</w:t>
            </w:r>
            <w:r>
              <w:rPr>
                <w:rFonts w:hint="eastAsia"/>
                <w:sz w:val="21"/>
                <w:szCs w:val="21"/>
                <w:highlight w:val="none"/>
              </w:rPr>
              <w:t>-4</w:t>
            </w:r>
          </w:p>
        </w:tc>
        <w:tc>
          <w:tcPr>
            <w:tcW w:w="1962" w:type="dxa"/>
            <w:vAlign w:val="center"/>
          </w:tcPr>
          <w:p>
            <w:pPr>
              <w:ind w:firstLine="420"/>
              <w:jc w:val="center"/>
              <w:textAlignment w:val="center"/>
              <w:rPr>
                <w:sz w:val="21"/>
                <w:szCs w:val="21"/>
                <w:highlight w:val="none"/>
              </w:rPr>
            </w:pPr>
            <w:r>
              <w:rPr>
                <w:sz w:val="21"/>
                <w:szCs w:val="21"/>
                <w:highlight w:val="none"/>
              </w:rPr>
              <w:t>20585336.38</w:t>
            </w:r>
          </w:p>
        </w:tc>
        <w:tc>
          <w:tcPr>
            <w:tcW w:w="1844" w:type="dxa"/>
            <w:vAlign w:val="center"/>
          </w:tcPr>
          <w:p>
            <w:pPr>
              <w:ind w:firstLine="420"/>
              <w:jc w:val="center"/>
              <w:textAlignment w:val="center"/>
              <w:rPr>
                <w:sz w:val="21"/>
                <w:szCs w:val="21"/>
                <w:highlight w:val="none"/>
              </w:rPr>
            </w:pPr>
            <w:r>
              <w:rPr>
                <w:sz w:val="21"/>
                <w:szCs w:val="21"/>
                <w:highlight w:val="none"/>
              </w:rPr>
              <w:t>4441810.51</w:t>
            </w:r>
          </w:p>
        </w:tc>
        <w:tc>
          <w:tcPr>
            <w:tcW w:w="1362" w:type="dxa"/>
            <w:vAlign w:val="center"/>
          </w:tcPr>
          <w:p>
            <w:pPr>
              <w:spacing w:line="260" w:lineRule="exact"/>
              <w:ind w:firstLine="420"/>
              <w:jc w:val="center"/>
              <w:rPr>
                <w:sz w:val="21"/>
                <w:szCs w:val="21"/>
                <w:highlight w:val="none"/>
              </w:rPr>
            </w:pPr>
            <w:r>
              <w:rPr>
                <w:rFonts w:hint="eastAsia"/>
                <w:sz w:val="21"/>
                <w:szCs w:val="21"/>
                <w:highlight w:val="none"/>
              </w:rPr>
              <w:t>10</w:t>
            </w:r>
          </w:p>
        </w:tc>
        <w:tc>
          <w:tcPr>
            <w:tcW w:w="2021" w:type="dxa"/>
            <w:vAlign w:val="center"/>
          </w:tcPr>
          <w:p>
            <w:pPr>
              <w:spacing w:line="280" w:lineRule="exact"/>
              <w:ind w:firstLine="420"/>
              <w:jc w:val="center"/>
              <w:rPr>
                <w:sz w:val="21"/>
                <w:szCs w:val="21"/>
                <w:highlight w:val="none"/>
              </w:rPr>
            </w:pPr>
            <w:r>
              <w:rPr>
                <w:rFonts w:hint="eastAsia"/>
                <w:sz w:val="21"/>
                <w:szCs w:val="21"/>
                <w:highlight w:val="none"/>
              </w:rPr>
              <w:t>4.70</w:t>
            </w:r>
            <w:r>
              <w:rPr>
                <w:sz w:val="21"/>
                <w:szCs w:val="21"/>
                <w:highlight w:val="none"/>
              </w:rPr>
              <w:t>×10</w:t>
            </w:r>
            <w:r>
              <w:rPr>
                <w:sz w:val="21"/>
                <w:szCs w:val="21"/>
                <w:highlight w:val="none"/>
                <w:vertAlign w:val="superscript"/>
              </w:rPr>
              <w:t>-5</w:t>
            </w:r>
          </w:p>
        </w:tc>
      </w:tr>
    </w:tbl>
    <w:p>
      <w:pPr>
        <w:adjustRightInd w:val="0"/>
        <w:snapToGrid w:val="0"/>
        <w:spacing w:line="240" w:lineRule="atLeast"/>
        <w:ind w:firstLine="560"/>
        <w:jc w:val="center"/>
        <w:rPr>
          <w:highlight w:val="none"/>
        </w:rPr>
      </w:pPr>
      <w:r>
        <w:rPr>
          <w:highlight w:val="none"/>
        </w:rPr>
        <w:drawing>
          <wp:inline distT="0" distB="0" distL="114300" distR="114300">
            <wp:extent cx="4718050" cy="2428240"/>
            <wp:effectExtent l="4445" t="4445" r="20955" b="5715"/>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spacing w:line="240" w:lineRule="auto"/>
        <w:ind w:firstLine="0" w:firstLineChars="0"/>
        <w:jc w:val="center"/>
        <w:textAlignment w:val="auto"/>
        <w:rPr>
          <w:rFonts w:eastAsia="黑体"/>
          <w:kern w:val="2"/>
          <w:sz w:val="21"/>
          <w:szCs w:val="21"/>
          <w:highlight w:val="none"/>
        </w:rPr>
      </w:pPr>
      <w:r>
        <w:rPr>
          <w:rFonts w:hint="eastAsia" w:eastAsia="黑体"/>
          <w:kern w:val="2"/>
          <w:sz w:val="21"/>
          <w:szCs w:val="21"/>
          <w:highlight w:val="none"/>
        </w:rPr>
        <w:t>图</w:t>
      </w:r>
      <w:r>
        <w:rPr>
          <w:rFonts w:eastAsia="黑体"/>
          <w:kern w:val="2"/>
          <w:sz w:val="21"/>
          <w:szCs w:val="21"/>
          <w:highlight w:val="none"/>
        </w:rPr>
        <w:t>5.2-1</w:t>
      </w:r>
      <w:r>
        <w:rPr>
          <w:rFonts w:hint="eastAsia" w:eastAsia="黑体"/>
          <w:kern w:val="2"/>
          <w:sz w:val="21"/>
          <w:szCs w:val="21"/>
          <w:highlight w:val="none"/>
        </w:rPr>
        <w:t>3   S-1渗水试验成果图</w:t>
      </w:r>
    </w:p>
    <w:p>
      <w:pPr>
        <w:adjustRightInd w:val="0"/>
        <w:snapToGrid w:val="0"/>
        <w:spacing w:line="240" w:lineRule="atLeast"/>
        <w:ind w:firstLine="560"/>
        <w:jc w:val="center"/>
        <w:rPr>
          <w:highlight w:val="none"/>
        </w:rPr>
      </w:pPr>
      <w:r>
        <w:rPr>
          <w:highlight w:val="none"/>
        </w:rPr>
        <w:drawing>
          <wp:inline distT="0" distB="0" distL="114300" distR="114300">
            <wp:extent cx="4530725" cy="2477770"/>
            <wp:effectExtent l="4445" t="5080" r="17780" b="1270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spacing w:line="240" w:lineRule="auto"/>
        <w:ind w:firstLine="0" w:firstLineChars="0"/>
        <w:jc w:val="center"/>
        <w:textAlignment w:val="auto"/>
        <w:rPr>
          <w:rFonts w:eastAsia="黑体"/>
          <w:kern w:val="2"/>
          <w:sz w:val="21"/>
          <w:szCs w:val="21"/>
          <w:highlight w:val="none"/>
        </w:rPr>
      </w:pPr>
      <w:r>
        <w:rPr>
          <w:rFonts w:hint="eastAsia" w:eastAsia="黑体"/>
          <w:kern w:val="2"/>
          <w:sz w:val="21"/>
          <w:szCs w:val="21"/>
          <w:highlight w:val="none"/>
        </w:rPr>
        <w:t>图</w:t>
      </w:r>
      <w:r>
        <w:rPr>
          <w:rFonts w:eastAsia="黑体"/>
          <w:kern w:val="2"/>
          <w:sz w:val="21"/>
          <w:szCs w:val="21"/>
          <w:highlight w:val="none"/>
        </w:rPr>
        <w:t>5.2-</w:t>
      </w:r>
      <w:r>
        <w:rPr>
          <w:rFonts w:hint="eastAsia" w:eastAsia="黑体"/>
          <w:kern w:val="2"/>
          <w:sz w:val="21"/>
          <w:szCs w:val="21"/>
          <w:highlight w:val="none"/>
        </w:rPr>
        <w:t>14   S-2渗水试验成果图</w:t>
      </w:r>
    </w:p>
    <w:p>
      <w:pPr>
        <w:adjustRightInd w:val="0"/>
        <w:snapToGrid w:val="0"/>
        <w:spacing w:line="240" w:lineRule="atLeast"/>
        <w:ind w:firstLine="560"/>
        <w:jc w:val="center"/>
        <w:rPr>
          <w:highlight w:val="none"/>
        </w:rPr>
      </w:pPr>
      <w:r>
        <w:rPr>
          <w:highlight w:val="none"/>
        </w:rPr>
        <w:drawing>
          <wp:inline distT="0" distB="0" distL="114300" distR="114300">
            <wp:extent cx="4732655" cy="2748915"/>
            <wp:effectExtent l="4445" t="5080" r="6350" b="8255"/>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spacing w:line="240" w:lineRule="atLeast"/>
        <w:ind w:firstLine="420"/>
        <w:jc w:val="center"/>
        <w:rPr>
          <w:rFonts w:ascii="黑体" w:hAnsi="黑体" w:eastAsia="黑体"/>
          <w:sz w:val="21"/>
          <w:szCs w:val="21"/>
          <w:highlight w:val="none"/>
          <w:lang w:val="zh-CN"/>
        </w:rPr>
      </w:pPr>
      <w:r>
        <w:rPr>
          <w:rFonts w:eastAsia="黑体"/>
          <w:sz w:val="21"/>
          <w:szCs w:val="21"/>
          <w:highlight w:val="none"/>
          <w:lang w:val="zh-CN"/>
        </w:rPr>
        <w:t>图5.2-</w:t>
      </w:r>
      <w:r>
        <w:rPr>
          <w:rFonts w:hint="eastAsia" w:eastAsia="黑体"/>
          <w:sz w:val="21"/>
          <w:szCs w:val="21"/>
          <w:highlight w:val="none"/>
        </w:rPr>
        <w:t>15</w:t>
      </w:r>
      <w:r>
        <w:rPr>
          <w:rFonts w:eastAsia="黑体"/>
          <w:sz w:val="21"/>
          <w:szCs w:val="21"/>
          <w:highlight w:val="none"/>
          <w:lang w:val="zh-CN"/>
        </w:rPr>
        <w:t xml:space="preserve"> </w:t>
      </w:r>
      <w:r>
        <w:rPr>
          <w:rFonts w:eastAsia="黑体"/>
          <w:sz w:val="21"/>
          <w:szCs w:val="21"/>
          <w:highlight w:val="none"/>
        </w:rPr>
        <w:t xml:space="preserve"> </w:t>
      </w:r>
      <w:r>
        <w:rPr>
          <w:rFonts w:eastAsia="黑体"/>
          <w:sz w:val="21"/>
          <w:szCs w:val="21"/>
          <w:highlight w:val="none"/>
          <w:lang w:val="zh-CN"/>
        </w:rPr>
        <w:t xml:space="preserve"> S-</w:t>
      </w:r>
      <w:r>
        <w:rPr>
          <w:rFonts w:eastAsia="黑体"/>
          <w:sz w:val="21"/>
          <w:szCs w:val="21"/>
          <w:highlight w:val="none"/>
        </w:rPr>
        <w:t>3</w:t>
      </w:r>
      <w:r>
        <w:rPr>
          <w:rFonts w:hint="eastAsia" w:ascii="黑体" w:hAnsi="黑体" w:eastAsia="黑体"/>
          <w:sz w:val="21"/>
          <w:szCs w:val="21"/>
          <w:highlight w:val="none"/>
          <w:lang w:val="zh-CN"/>
        </w:rPr>
        <w:t>渗水试验成果图</w:t>
      </w:r>
    </w:p>
    <w:p>
      <w:pPr>
        <w:adjustRightInd w:val="0"/>
        <w:snapToGrid w:val="0"/>
        <w:spacing w:line="240" w:lineRule="atLeast"/>
        <w:ind w:firstLine="560"/>
        <w:jc w:val="center"/>
        <w:rPr>
          <w:highlight w:val="none"/>
        </w:rPr>
      </w:pPr>
      <w:r>
        <w:rPr>
          <w:highlight w:val="none"/>
        </w:rPr>
        <w:drawing>
          <wp:inline distT="0" distB="0" distL="114300" distR="114300">
            <wp:extent cx="4979035" cy="2748915"/>
            <wp:effectExtent l="4445" t="4445" r="7620" b="889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spacing w:line="240" w:lineRule="atLeast"/>
        <w:ind w:firstLine="420"/>
        <w:jc w:val="center"/>
        <w:rPr>
          <w:rFonts w:ascii="黑体" w:hAnsi="黑体" w:eastAsia="黑体"/>
          <w:sz w:val="21"/>
          <w:szCs w:val="21"/>
          <w:highlight w:val="none"/>
          <w:lang w:val="zh-CN"/>
        </w:rPr>
      </w:pPr>
      <w:r>
        <w:rPr>
          <w:rFonts w:hint="eastAsia" w:ascii="黑体" w:hAnsi="黑体" w:eastAsia="黑体"/>
          <w:sz w:val="21"/>
          <w:szCs w:val="21"/>
          <w:highlight w:val="none"/>
          <w:lang w:val="zh-CN"/>
        </w:rPr>
        <w:t>图5.2-</w:t>
      </w:r>
      <w:r>
        <w:rPr>
          <w:rFonts w:hint="eastAsia" w:ascii="黑体" w:hAnsi="黑体" w:eastAsia="黑体"/>
          <w:sz w:val="21"/>
          <w:szCs w:val="21"/>
          <w:highlight w:val="none"/>
        </w:rPr>
        <w:t>16</w:t>
      </w:r>
      <w:r>
        <w:rPr>
          <w:rFonts w:hint="eastAsia" w:ascii="黑体" w:hAnsi="黑体" w:eastAsia="黑体"/>
          <w:sz w:val="21"/>
          <w:szCs w:val="21"/>
          <w:highlight w:val="none"/>
          <w:lang w:val="zh-CN"/>
        </w:rPr>
        <w:t xml:space="preserve">   S-4渗水试验成果图</w:t>
      </w:r>
    </w:p>
    <w:p>
      <w:pPr>
        <w:pStyle w:val="55"/>
        <w:ind w:left="560"/>
        <w:rPr>
          <w:highlight w:val="none"/>
          <w:lang w:val="zh-CN"/>
        </w:rPr>
      </w:pPr>
    </w:p>
    <w:p>
      <w:pPr>
        <w:pStyle w:val="3"/>
        <w:numPr>
          <w:ilvl w:val="3"/>
          <w:numId w:val="1"/>
        </w:numPr>
        <w:ind w:left="709" w:hanging="709"/>
        <w:rPr>
          <w:rFonts w:eastAsia="宋体"/>
          <w:b/>
          <w:highlight w:val="none"/>
        </w:rPr>
      </w:pPr>
      <w:bookmarkStart w:id="366" w:name="_Toc468692999"/>
      <w:bookmarkStart w:id="367" w:name="_Toc2969"/>
      <w:bookmarkStart w:id="368" w:name="_Toc468693001"/>
      <w:bookmarkStart w:id="369" w:name="_Toc325797833"/>
      <w:r>
        <w:rPr>
          <w:rFonts w:eastAsia="宋体"/>
          <w:b/>
          <w:highlight w:val="none"/>
        </w:rPr>
        <w:t>地下水环境影响评价</w:t>
      </w:r>
      <w:bookmarkEnd w:id="366"/>
    </w:p>
    <w:p>
      <w:pPr>
        <w:ind w:firstLine="480"/>
        <w:rPr>
          <w:sz w:val="24"/>
          <w:highlight w:val="none"/>
        </w:rPr>
      </w:pPr>
      <w:r>
        <w:rPr>
          <w:sz w:val="24"/>
          <w:highlight w:val="none"/>
        </w:rPr>
        <w:t>根据建设项目自身性质及其对地下水环境影响的特点，为预测和评价项目建设对地下水环境可能造成的影响和危害，并针对这种影响和危害提出防治策略，从而达到预防与控制环境恶化、保护地下水资源的目的。本次工作将采用数值模拟法进行预测与评价。</w:t>
      </w:r>
    </w:p>
    <w:p>
      <w:pPr>
        <w:ind w:firstLine="480"/>
        <w:rPr>
          <w:sz w:val="24"/>
          <w:highlight w:val="none"/>
        </w:rPr>
      </w:pPr>
      <w:r>
        <w:rPr>
          <w:sz w:val="24"/>
          <w:highlight w:val="none"/>
        </w:rPr>
        <w:t>总体思路是：在对评价区水文地质条件综合分析的基础上确定模拟范围，通过边界条件、地下水流动特征及含水层系统结构的概化，建立评价区的水文地质概念模型，进一步采用有限差分原理进行空间离散、高程插值、非均质分区、边界条件设置等，从而构建评价区地下水渗流数值模型。利用已有的水位观测资料及区域地下水运动规律，完成模型的识别验证。最后按照根据项目的特点，设计了污染泄漏情景，在地下水渗流数值模型的基础上耦合污染物迁移方程，得到地下水溶质运移模型，利用此模型对污染情景进行预测评价。</w:t>
      </w:r>
    </w:p>
    <w:p>
      <w:pPr>
        <w:ind w:firstLine="480"/>
        <w:rPr>
          <w:sz w:val="24"/>
          <w:highlight w:val="none"/>
        </w:rPr>
      </w:pPr>
      <w:bookmarkStart w:id="370" w:name="_Toc468693000"/>
      <w:bookmarkStart w:id="371" w:name="_Toc3233"/>
      <w:r>
        <w:rPr>
          <w:rFonts w:hint="eastAsia"/>
          <w:sz w:val="24"/>
          <w:highlight w:val="none"/>
        </w:rPr>
        <w:t>（1）</w:t>
      </w:r>
      <w:r>
        <w:rPr>
          <w:sz w:val="24"/>
          <w:highlight w:val="none"/>
        </w:rPr>
        <w:t>水文地质概念模型</w:t>
      </w:r>
      <w:bookmarkEnd w:id="370"/>
      <w:bookmarkEnd w:id="371"/>
    </w:p>
    <w:p>
      <w:pPr>
        <w:ind w:firstLine="480"/>
        <w:rPr>
          <w:sz w:val="24"/>
          <w:highlight w:val="none"/>
        </w:rPr>
      </w:pPr>
      <w:r>
        <w:rPr>
          <w:rFonts w:hint="eastAsia"/>
          <w:sz w:val="24"/>
          <w:highlight w:val="none"/>
        </w:rPr>
        <w:t>①</w:t>
      </w:r>
      <w:r>
        <w:rPr>
          <w:sz w:val="24"/>
          <w:highlight w:val="none"/>
        </w:rPr>
        <w:t>计算区范围</w:t>
      </w:r>
    </w:p>
    <w:p>
      <w:pPr>
        <w:ind w:firstLine="480"/>
        <w:jc w:val="both"/>
        <w:rPr>
          <w:sz w:val="24"/>
          <w:highlight w:val="none"/>
        </w:rPr>
      </w:pPr>
      <w:bookmarkStart w:id="372" w:name="_Toc345078944"/>
      <w:r>
        <w:rPr>
          <w:rFonts w:hint="eastAsia"/>
          <w:sz w:val="24"/>
          <w:szCs w:val="24"/>
          <w:highlight w:val="none"/>
        </w:rPr>
        <w:t>选择到最靠近边界处的项目区工业取水影响半径以外处，流场基本稳定的位置作为定流量边界。最终确定评价范围如下：下游延伸到大杨庄村为界，距离厂区3.990 km，上游边界取距厂区2.87 km处，北侧边界取距厂区3.89 km处，南侧边界取距厂区1.798 km处，评价区</w:t>
      </w:r>
      <w:r>
        <w:rPr>
          <w:sz w:val="24"/>
          <w:szCs w:val="24"/>
          <w:highlight w:val="none"/>
        </w:rPr>
        <w:t>总面积约为</w:t>
      </w:r>
      <w:r>
        <w:rPr>
          <w:rFonts w:hint="eastAsia"/>
          <w:sz w:val="24"/>
          <w:szCs w:val="24"/>
          <w:highlight w:val="none"/>
        </w:rPr>
        <w:t xml:space="preserve">37.57 </w:t>
      </w:r>
      <w:r>
        <w:rPr>
          <w:sz w:val="24"/>
          <w:szCs w:val="24"/>
          <w:highlight w:val="none"/>
        </w:rPr>
        <w:t>km</w:t>
      </w:r>
      <w:r>
        <w:rPr>
          <w:sz w:val="24"/>
          <w:szCs w:val="24"/>
          <w:highlight w:val="none"/>
          <w:vertAlign w:val="superscript"/>
        </w:rPr>
        <w:t>2</w:t>
      </w:r>
      <w:r>
        <w:rPr>
          <w:rFonts w:hint="eastAsia"/>
          <w:sz w:val="24"/>
          <w:szCs w:val="24"/>
          <w:highlight w:val="none"/>
        </w:rPr>
        <w:t>，</w:t>
      </w:r>
      <w:r>
        <w:rPr>
          <w:sz w:val="24"/>
          <w:szCs w:val="24"/>
          <w:highlight w:val="none"/>
        </w:rPr>
        <w:t>满足</w:t>
      </w:r>
      <w:r>
        <w:rPr>
          <w:rFonts w:hint="eastAsia"/>
          <w:sz w:val="24"/>
          <w:szCs w:val="24"/>
          <w:highlight w:val="none"/>
        </w:rPr>
        <w:t>地下水</w:t>
      </w:r>
      <w:r>
        <w:rPr>
          <w:sz w:val="24"/>
          <w:szCs w:val="24"/>
          <w:highlight w:val="none"/>
        </w:rPr>
        <w:t>导则规定的</w:t>
      </w:r>
      <w:r>
        <w:rPr>
          <w:rFonts w:hint="eastAsia"/>
          <w:sz w:val="24"/>
          <w:szCs w:val="24"/>
          <w:highlight w:val="none"/>
        </w:rPr>
        <w:t>评价区</w:t>
      </w:r>
      <w:r>
        <w:rPr>
          <w:sz w:val="24"/>
          <w:szCs w:val="24"/>
          <w:highlight w:val="none"/>
        </w:rPr>
        <w:t>面积要求</w:t>
      </w:r>
      <w:bookmarkEnd w:id="372"/>
      <w:r>
        <w:rPr>
          <w:sz w:val="24"/>
          <w:highlight w:val="none"/>
        </w:rPr>
        <w:t>。</w:t>
      </w:r>
    </w:p>
    <w:p>
      <w:pPr>
        <w:ind w:firstLine="480"/>
        <w:jc w:val="both"/>
        <w:rPr>
          <w:bCs/>
          <w:sz w:val="24"/>
          <w:szCs w:val="24"/>
          <w:highlight w:val="none"/>
        </w:rPr>
      </w:pPr>
      <w:r>
        <w:rPr>
          <w:bCs/>
          <w:sz w:val="24"/>
          <w:szCs w:val="24"/>
          <w:highlight w:val="none"/>
        </w:rPr>
        <w:t>根据本区地质及水文地质条件，同时考虑拟建项目对地下水环境影响范围及影响程度，</w:t>
      </w:r>
      <w:r>
        <w:rPr>
          <w:rFonts w:hint="eastAsia"/>
          <w:bCs/>
          <w:sz w:val="24"/>
          <w:szCs w:val="24"/>
          <w:highlight w:val="none"/>
        </w:rPr>
        <w:t>以及评价区内地下水敏感点的分布和数量，导则规定的面积要求等，</w:t>
      </w:r>
      <w:r>
        <w:rPr>
          <w:bCs/>
          <w:sz w:val="24"/>
          <w:szCs w:val="24"/>
          <w:highlight w:val="none"/>
        </w:rPr>
        <w:t>以能满足环境影响预测和分析的要求为依据，确定本次模拟区</w:t>
      </w:r>
      <w:r>
        <w:rPr>
          <w:rFonts w:hint="eastAsia"/>
          <w:bCs/>
          <w:sz w:val="24"/>
          <w:szCs w:val="24"/>
          <w:highlight w:val="none"/>
        </w:rPr>
        <w:t>与评价范围相同，总面积</w:t>
      </w:r>
      <w:r>
        <w:rPr>
          <w:sz w:val="24"/>
          <w:szCs w:val="24"/>
          <w:highlight w:val="none"/>
        </w:rPr>
        <w:t>约为</w:t>
      </w:r>
      <w:r>
        <w:rPr>
          <w:rFonts w:hint="eastAsia"/>
          <w:sz w:val="24"/>
          <w:szCs w:val="24"/>
          <w:highlight w:val="none"/>
        </w:rPr>
        <w:t xml:space="preserve">37.57 </w:t>
      </w:r>
      <w:r>
        <w:rPr>
          <w:sz w:val="24"/>
          <w:szCs w:val="24"/>
          <w:highlight w:val="none"/>
        </w:rPr>
        <w:t>km</w:t>
      </w:r>
      <w:r>
        <w:rPr>
          <w:sz w:val="24"/>
          <w:szCs w:val="24"/>
          <w:highlight w:val="none"/>
          <w:vertAlign w:val="superscript"/>
        </w:rPr>
        <w:t>2</w:t>
      </w:r>
      <w:r>
        <w:rPr>
          <w:rFonts w:hint="eastAsia"/>
          <w:sz w:val="24"/>
          <w:szCs w:val="24"/>
          <w:highlight w:val="none"/>
        </w:rPr>
        <w:t>。</w:t>
      </w:r>
    </w:p>
    <w:p>
      <w:pPr>
        <w:pStyle w:val="55"/>
        <w:ind w:left="560"/>
        <w:rPr>
          <w:highlight w:val="none"/>
        </w:rPr>
      </w:pPr>
    </w:p>
    <w:p>
      <w:pPr>
        <w:widowControl/>
        <w:ind w:firstLine="560"/>
        <w:jc w:val="center"/>
        <w:rPr>
          <w:rFonts w:ascii="宋体" w:hAnsi="宋体" w:cs="宋体"/>
          <w:sz w:val="24"/>
          <w:szCs w:val="24"/>
          <w:highlight w:val="none"/>
        </w:rPr>
      </w:pPr>
      <w:r>
        <w:rPr>
          <w:highlight w:val="none"/>
          <w:lang w:val="zh-CN"/>
        </w:rPr>
        <w:drawing>
          <wp:inline distT="0" distB="0" distL="114300" distR="114300">
            <wp:extent cx="5227955" cy="3548380"/>
            <wp:effectExtent l="0" t="0" r="0" b="0"/>
            <wp:docPr id="39" name="图片 34" descr="抽水试验和渗水试验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descr="抽水试验和渗水试验点"/>
                    <pic:cNvPicPr>
                      <a:picLocks noChangeAspect="1"/>
                    </pic:cNvPicPr>
                  </pic:nvPicPr>
                  <pic:blipFill>
                    <a:blip r:embed="rId53"/>
                    <a:srcRect l="18140" t="3511" r="32272" b="7518"/>
                    <a:stretch>
                      <a:fillRect/>
                    </a:stretch>
                  </pic:blipFill>
                  <pic:spPr>
                    <a:xfrm>
                      <a:off x="0" y="0"/>
                      <a:ext cx="5227955" cy="3548380"/>
                    </a:xfrm>
                    <a:prstGeom prst="rect">
                      <a:avLst/>
                    </a:prstGeom>
                    <a:noFill/>
                    <a:ln>
                      <a:noFill/>
                    </a:ln>
                  </pic:spPr>
                </pic:pic>
              </a:graphicData>
            </a:graphic>
          </wp:inline>
        </w:drawing>
      </w:r>
    </w:p>
    <w:p>
      <w:pPr>
        <w:ind w:firstLine="420"/>
        <w:jc w:val="center"/>
        <w:rPr>
          <w:rFonts w:ascii="黑体" w:hAnsi="黑体" w:eastAsia="黑体"/>
          <w:sz w:val="21"/>
          <w:szCs w:val="21"/>
          <w:highlight w:val="none"/>
          <w:lang w:val="zh-CN"/>
        </w:rPr>
      </w:pPr>
      <w:r>
        <w:rPr>
          <w:rFonts w:eastAsia="黑体"/>
          <w:sz w:val="21"/>
          <w:szCs w:val="21"/>
          <w:highlight w:val="none"/>
          <w:lang w:val="zh-CN"/>
        </w:rPr>
        <w:t>图5.2-</w:t>
      </w:r>
      <w:r>
        <w:rPr>
          <w:rFonts w:hint="eastAsia" w:eastAsia="黑体"/>
          <w:sz w:val="21"/>
          <w:szCs w:val="21"/>
          <w:highlight w:val="none"/>
        </w:rPr>
        <w:t>16</w:t>
      </w:r>
      <w:r>
        <w:rPr>
          <w:rFonts w:eastAsia="黑体"/>
          <w:sz w:val="21"/>
          <w:szCs w:val="21"/>
          <w:highlight w:val="none"/>
          <w:lang w:val="zh-CN"/>
        </w:rPr>
        <w:t xml:space="preserve"> </w:t>
      </w:r>
      <w:r>
        <w:rPr>
          <w:rFonts w:hint="eastAsia" w:eastAsia="黑体"/>
          <w:sz w:val="21"/>
          <w:szCs w:val="21"/>
          <w:highlight w:val="none"/>
        </w:rPr>
        <w:t xml:space="preserve">  地下水评价</w:t>
      </w:r>
      <w:r>
        <w:rPr>
          <w:rFonts w:ascii="黑体" w:hAnsi="黑体" w:eastAsia="黑体"/>
          <w:sz w:val="21"/>
          <w:szCs w:val="21"/>
          <w:highlight w:val="none"/>
          <w:lang w:val="zh-CN"/>
        </w:rPr>
        <w:t>范围示意图</w:t>
      </w:r>
    </w:p>
    <w:p>
      <w:pPr>
        <w:tabs>
          <w:tab w:val="left" w:pos="0"/>
          <w:tab w:val="left" w:pos="251"/>
        </w:tabs>
        <w:ind w:firstLine="480"/>
        <w:rPr>
          <w:sz w:val="24"/>
          <w:szCs w:val="24"/>
          <w:highlight w:val="none"/>
        </w:rPr>
      </w:pPr>
      <w:r>
        <w:rPr>
          <w:rFonts w:hint="eastAsia"/>
          <w:sz w:val="24"/>
          <w:szCs w:val="24"/>
          <w:highlight w:val="none"/>
        </w:rPr>
        <w:t>②</w:t>
      </w:r>
      <w:r>
        <w:rPr>
          <w:sz w:val="24"/>
          <w:szCs w:val="24"/>
          <w:highlight w:val="none"/>
        </w:rPr>
        <w:t>边界条件</w:t>
      </w:r>
    </w:p>
    <w:p>
      <w:pPr>
        <w:spacing w:line="440" w:lineRule="atLeast"/>
        <w:ind w:firstLine="480"/>
        <w:rPr>
          <w:sz w:val="24"/>
          <w:szCs w:val="24"/>
          <w:highlight w:val="none"/>
        </w:rPr>
      </w:pPr>
      <w:r>
        <w:rPr>
          <w:rFonts w:hint="eastAsia" w:ascii="宋体" w:hAnsi="宋体"/>
          <w:sz w:val="24"/>
          <w:szCs w:val="24"/>
          <w:highlight w:val="none"/>
        </w:rPr>
        <w:t>模拟区西北部为山区和平原界线，地下水由山区流向平原，此次将该边界概化为流量边界；东南部边界垂直于等水位线，为零流量边界；东北和西南部边界均为流量边界，从地下水等水位线图来看，东北为流入边界，西南为流出边界，边界流量根据断面法分段进行计算。鉴于本次地下水数值模拟目的是在地下水识别模型的基础上预测厂区在事故条件下地下水污染的时空分布特征，因此，此次只建立评价区域浅层含水层的数值模型。</w:t>
      </w:r>
    </w:p>
    <w:p>
      <w:pPr>
        <w:pStyle w:val="221"/>
        <w:spacing w:line="360" w:lineRule="auto"/>
        <w:ind w:firstLine="480" w:firstLineChars="200"/>
        <w:rPr>
          <w:b/>
          <w:highlight w:val="none"/>
        </w:rPr>
      </w:pPr>
      <w:r>
        <w:rPr>
          <w:rFonts w:hint="eastAsia"/>
          <w:highlight w:val="none"/>
        </w:rPr>
        <w:t>③</w:t>
      </w:r>
      <w:r>
        <w:rPr>
          <w:highlight w:val="none"/>
        </w:rPr>
        <w:t>水文地质特征</w:t>
      </w:r>
    </w:p>
    <w:p>
      <w:pPr>
        <w:ind w:firstLine="480"/>
        <w:jc w:val="both"/>
        <w:rPr>
          <w:sz w:val="24"/>
          <w:szCs w:val="24"/>
          <w:highlight w:val="none"/>
        </w:rPr>
      </w:pPr>
      <w:r>
        <w:rPr>
          <w:sz w:val="24"/>
          <w:szCs w:val="24"/>
          <w:highlight w:val="none"/>
        </w:rPr>
        <w:t>①</w:t>
      </w:r>
      <w:r>
        <w:rPr>
          <w:rFonts w:hint="eastAsia" w:ascii="宋体" w:hAnsi="宋体"/>
          <w:sz w:val="24"/>
          <w:szCs w:val="24"/>
          <w:highlight w:val="none"/>
        </w:rPr>
        <w:t>含水层</w:t>
      </w:r>
    </w:p>
    <w:p>
      <w:pPr>
        <w:ind w:firstLine="480"/>
        <w:jc w:val="both"/>
        <w:rPr>
          <w:sz w:val="24"/>
          <w:szCs w:val="24"/>
          <w:highlight w:val="none"/>
        </w:rPr>
      </w:pPr>
      <w:r>
        <w:rPr>
          <w:rFonts w:hint="eastAsia" w:ascii="宋体" w:hAnsi="宋体"/>
          <w:sz w:val="24"/>
          <w:szCs w:val="24"/>
          <w:highlight w:val="none"/>
        </w:rPr>
        <w:t>计算区含水层主要为第四系潜水含水层，与区外具有统一的水力联系，计算时概化为一个统一的单层含水层。</w:t>
      </w:r>
    </w:p>
    <w:p>
      <w:pPr>
        <w:ind w:firstLine="480"/>
        <w:jc w:val="both"/>
        <w:rPr>
          <w:sz w:val="24"/>
          <w:szCs w:val="24"/>
          <w:highlight w:val="none"/>
        </w:rPr>
      </w:pPr>
      <w:r>
        <w:rPr>
          <w:sz w:val="24"/>
          <w:szCs w:val="24"/>
          <w:highlight w:val="none"/>
        </w:rPr>
        <w:t>②</w:t>
      </w:r>
      <w:r>
        <w:rPr>
          <w:rFonts w:hint="eastAsia" w:ascii="宋体" w:hAnsi="宋体"/>
          <w:sz w:val="24"/>
          <w:szCs w:val="24"/>
          <w:highlight w:val="none"/>
        </w:rPr>
        <w:t>地下水流动特征</w:t>
      </w:r>
    </w:p>
    <w:p>
      <w:pPr>
        <w:ind w:firstLine="480"/>
        <w:jc w:val="both"/>
        <w:rPr>
          <w:sz w:val="24"/>
          <w:szCs w:val="24"/>
          <w:highlight w:val="none"/>
        </w:rPr>
      </w:pPr>
      <w:r>
        <w:rPr>
          <w:rFonts w:hint="eastAsia" w:ascii="宋体" w:hAnsi="宋体"/>
          <w:sz w:val="24"/>
          <w:szCs w:val="24"/>
          <w:highlight w:val="none"/>
        </w:rPr>
        <w:t>区内孔隙潜水含水层连通性较好、具有统一的径流场，地下水运动以水平方式为主，自东北向西南方向径流。计算时将地下水流的垂向分量忽略、概化为二维流渗流。</w:t>
      </w:r>
    </w:p>
    <w:p>
      <w:pPr>
        <w:ind w:firstLine="480"/>
        <w:jc w:val="both"/>
        <w:rPr>
          <w:sz w:val="24"/>
          <w:szCs w:val="24"/>
          <w:highlight w:val="none"/>
        </w:rPr>
      </w:pPr>
      <w:r>
        <w:rPr>
          <w:sz w:val="24"/>
          <w:szCs w:val="24"/>
          <w:highlight w:val="none"/>
        </w:rPr>
        <w:t>③</w:t>
      </w:r>
      <w:r>
        <w:rPr>
          <w:rFonts w:hint="eastAsia" w:ascii="宋体" w:hAnsi="宋体"/>
          <w:sz w:val="24"/>
          <w:szCs w:val="24"/>
          <w:highlight w:val="none"/>
        </w:rPr>
        <w:t>地下水补给、排泄和动态特征</w:t>
      </w:r>
    </w:p>
    <w:p>
      <w:pPr>
        <w:ind w:firstLine="480"/>
        <w:jc w:val="both"/>
        <w:rPr>
          <w:sz w:val="24"/>
          <w:szCs w:val="24"/>
          <w:highlight w:val="none"/>
        </w:rPr>
      </w:pPr>
      <w:r>
        <w:rPr>
          <w:rFonts w:hint="eastAsia" w:ascii="宋体" w:hAnsi="宋体"/>
          <w:sz w:val="24"/>
          <w:szCs w:val="24"/>
          <w:highlight w:val="none"/>
        </w:rPr>
        <w:t>计算区内潜水的主要补给来源为降水入渗，排泄方式以分散的人饮以及灌溉开采为主，其次为向下游的侧向径流。地下水水位动态变化受大气降水以及人工开采影响显著。</w:t>
      </w:r>
    </w:p>
    <w:p>
      <w:pPr>
        <w:ind w:firstLine="480"/>
        <w:rPr>
          <w:sz w:val="24"/>
          <w:highlight w:val="none"/>
        </w:rPr>
      </w:pPr>
      <w:r>
        <w:rPr>
          <w:rFonts w:hint="eastAsia"/>
          <w:sz w:val="24"/>
          <w:highlight w:val="none"/>
        </w:rPr>
        <w:t>（2）</w:t>
      </w:r>
      <w:r>
        <w:rPr>
          <w:sz w:val="24"/>
          <w:highlight w:val="none"/>
        </w:rPr>
        <w:t>地下水流数学模型</w:t>
      </w:r>
      <w:bookmarkEnd w:id="367"/>
      <w:bookmarkEnd w:id="368"/>
    </w:p>
    <w:p>
      <w:pPr>
        <w:autoSpaceDE w:val="0"/>
        <w:autoSpaceDN w:val="0"/>
        <w:ind w:firstLine="480"/>
        <w:rPr>
          <w:sz w:val="24"/>
          <w:highlight w:val="none"/>
        </w:rPr>
      </w:pPr>
      <w:r>
        <w:rPr>
          <w:sz w:val="24"/>
          <w:highlight w:val="none"/>
        </w:rPr>
        <w:t>根据模拟区内的含水介质特征、地下水补给、径流、排泄条件等，模拟区内地下水运动呈现出二维运动特征，且符合达西定律。模拟区内地下水二维非稳定流运动可采用下列数学模型进行描述：</w:t>
      </w:r>
    </w:p>
    <w:p>
      <w:pPr>
        <w:tabs>
          <w:tab w:val="left" w:pos="0"/>
          <w:tab w:val="left" w:pos="251"/>
        </w:tabs>
        <w:ind w:firstLine="644" w:firstLineChars="230"/>
        <w:rPr>
          <w:highlight w:val="none"/>
        </w:rPr>
      </w:pPr>
      <w:r>
        <w:rPr>
          <w:position w:val="-92"/>
          <w:highlight w:val="none"/>
        </w:rPr>
        <w:object>
          <v:shape id="_x0000_i1032" o:spt="75" type="#_x0000_t75" style="height:86pt;width:311.5pt;" o:ole="t" filled="f" o:preferrelative="t" stroked="f" coordsize="21600,21600">
            <v:path/>
            <v:fill on="f" focussize="0,0"/>
            <v:stroke on="f" joinstyle="miter"/>
            <v:imagedata r:id="rId74" cropright="990f" o:title=""/>
            <o:lock v:ext="edit" aspectratio="t"/>
            <w10:wrap type="none"/>
            <w10:anchorlock/>
          </v:shape>
          <o:OLEObject Type="Embed" ProgID="Equation.3" ShapeID="_x0000_i1032" DrawAspect="Content" ObjectID="_1468075732" r:id="rId73">
            <o:LockedField>false</o:LockedField>
          </o:OLEObject>
        </w:object>
      </w:r>
      <w:r>
        <w:rPr>
          <w:sz w:val="24"/>
          <w:szCs w:val="24"/>
          <w:highlight w:val="none"/>
        </w:rPr>
        <w:t>（</w:t>
      </w:r>
      <w:r>
        <w:rPr>
          <w:rFonts w:hint="eastAsia"/>
          <w:sz w:val="24"/>
          <w:szCs w:val="24"/>
          <w:highlight w:val="none"/>
        </w:rPr>
        <w:t>5</w:t>
      </w:r>
      <w:r>
        <w:rPr>
          <w:sz w:val="24"/>
          <w:szCs w:val="24"/>
          <w:highlight w:val="none"/>
        </w:rPr>
        <w:t>.</w:t>
      </w:r>
      <w:r>
        <w:rPr>
          <w:rFonts w:hint="eastAsia"/>
          <w:sz w:val="24"/>
          <w:szCs w:val="24"/>
          <w:highlight w:val="none"/>
        </w:rPr>
        <w:t>2</w:t>
      </w:r>
      <w:r>
        <w:rPr>
          <w:sz w:val="24"/>
          <w:szCs w:val="24"/>
          <w:highlight w:val="none"/>
        </w:rPr>
        <w:t>-</w:t>
      </w:r>
      <w:r>
        <w:rPr>
          <w:rFonts w:hint="eastAsia"/>
          <w:sz w:val="24"/>
          <w:szCs w:val="24"/>
          <w:highlight w:val="none"/>
        </w:rPr>
        <w:t>7</w:t>
      </w:r>
      <w:r>
        <w:rPr>
          <w:sz w:val="24"/>
          <w:szCs w:val="24"/>
          <w:highlight w:val="none"/>
        </w:rPr>
        <w:t>）</w:t>
      </w:r>
    </w:p>
    <w:p>
      <w:pPr>
        <w:tabs>
          <w:tab w:val="left" w:pos="0"/>
          <w:tab w:val="left" w:pos="251"/>
        </w:tabs>
        <w:ind w:firstLine="552" w:firstLineChars="230"/>
        <w:rPr>
          <w:sz w:val="24"/>
          <w:highlight w:val="none"/>
        </w:rPr>
      </w:pPr>
      <w:r>
        <w:rPr>
          <w:sz w:val="24"/>
          <w:highlight w:val="none"/>
        </w:rPr>
        <w:t>式中，</w:t>
      </w:r>
    </w:p>
    <w:p>
      <w:pPr>
        <w:tabs>
          <w:tab w:val="left" w:pos="0"/>
          <w:tab w:val="left" w:pos="251"/>
        </w:tabs>
        <w:ind w:firstLine="792" w:firstLineChars="330"/>
        <w:rPr>
          <w:sz w:val="24"/>
          <w:highlight w:val="none"/>
        </w:rPr>
      </w:pPr>
      <w:r>
        <w:rPr>
          <w:sz w:val="24"/>
          <w:highlight w:val="none"/>
        </w:rPr>
        <w:t xml:space="preserve"> Ω－渗流区域；</w:t>
      </w:r>
    </w:p>
    <w:p>
      <w:pPr>
        <w:pStyle w:val="260"/>
        <w:ind w:firstLine="856" w:firstLineChars="357"/>
        <w:rPr>
          <w:rFonts w:cs="Times New Roman"/>
          <w:szCs w:val="24"/>
          <w:highlight w:val="none"/>
        </w:rPr>
      </w:pPr>
      <w:r>
        <w:rPr>
          <w:rFonts w:cs="Times New Roman"/>
          <w:szCs w:val="24"/>
          <w:highlight w:val="none"/>
        </w:rPr>
        <w:t>H－地下水水位标高（m）；</w:t>
      </w:r>
    </w:p>
    <w:p>
      <w:pPr>
        <w:pStyle w:val="260"/>
        <w:ind w:firstLine="856" w:firstLineChars="357"/>
        <w:rPr>
          <w:rFonts w:cs="Times New Roman"/>
          <w:szCs w:val="24"/>
          <w:highlight w:val="none"/>
        </w:rPr>
      </w:pPr>
      <w:r>
        <w:rPr>
          <w:rFonts w:cs="Times New Roman"/>
          <w:szCs w:val="24"/>
          <w:highlight w:val="none"/>
        </w:rPr>
        <w:t>K－含水层在水平方向上的渗透系数（m/d）；</w:t>
      </w:r>
    </w:p>
    <w:p>
      <w:pPr>
        <w:pStyle w:val="260"/>
        <w:ind w:firstLine="856" w:firstLineChars="357"/>
        <w:rPr>
          <w:rFonts w:cs="Times New Roman"/>
          <w:szCs w:val="24"/>
          <w:highlight w:val="none"/>
        </w:rPr>
      </w:pPr>
      <w:r>
        <w:rPr>
          <w:rFonts w:cs="Times New Roman"/>
          <w:szCs w:val="24"/>
          <w:highlight w:val="none"/>
        </w:rPr>
        <w:t>ε－含水层的源汇项（m/d）；</w:t>
      </w:r>
    </w:p>
    <w:p>
      <w:pPr>
        <w:pStyle w:val="260"/>
        <w:ind w:firstLine="856" w:firstLineChars="357"/>
        <w:rPr>
          <w:rFonts w:cs="Times New Roman"/>
          <w:szCs w:val="24"/>
          <w:highlight w:val="none"/>
        </w:rPr>
      </w:pPr>
      <w:r>
        <w:rPr>
          <w:rFonts w:cs="Times New Roman"/>
          <w:szCs w:val="24"/>
          <w:highlight w:val="none"/>
        </w:rPr>
        <w:t>H</w:t>
      </w:r>
      <w:r>
        <w:rPr>
          <w:rFonts w:cs="Times New Roman"/>
          <w:szCs w:val="24"/>
          <w:highlight w:val="none"/>
          <w:vertAlign w:val="subscript"/>
        </w:rPr>
        <w:t>0</w:t>
      </w:r>
      <w:r>
        <w:rPr>
          <w:rFonts w:cs="Times New Roman"/>
          <w:szCs w:val="24"/>
          <w:highlight w:val="none"/>
        </w:rPr>
        <w:t>－初始流场（m）；</w:t>
      </w:r>
    </w:p>
    <w:p>
      <w:pPr>
        <w:pStyle w:val="260"/>
        <w:ind w:firstLine="856" w:firstLineChars="357"/>
        <w:rPr>
          <w:rFonts w:cs="Times New Roman"/>
          <w:szCs w:val="24"/>
          <w:highlight w:val="none"/>
        </w:rPr>
      </w:pPr>
      <w:r>
        <w:rPr>
          <w:rFonts w:cs="Times New Roman"/>
          <w:szCs w:val="24"/>
          <w:highlight w:val="none"/>
        </w:rPr>
        <w:t>Γ</w:t>
      </w:r>
      <w:r>
        <w:rPr>
          <w:rFonts w:cs="Times New Roman"/>
          <w:szCs w:val="24"/>
          <w:highlight w:val="none"/>
          <w:vertAlign w:val="subscript"/>
        </w:rPr>
        <w:t>2</w:t>
      </w:r>
      <w:r>
        <w:rPr>
          <w:rFonts w:cs="Times New Roman"/>
          <w:szCs w:val="24"/>
          <w:highlight w:val="none"/>
        </w:rPr>
        <w:t>—渗流区域的二类边界；</w:t>
      </w:r>
    </w:p>
    <w:p>
      <w:pPr>
        <w:pStyle w:val="260"/>
        <w:ind w:firstLine="736" w:firstLineChars="307"/>
        <w:rPr>
          <w:rFonts w:cs="Times New Roman"/>
          <w:szCs w:val="24"/>
          <w:highlight w:val="none"/>
        </w:rPr>
      </w:pPr>
      <w:r>
        <w:rPr>
          <w:rFonts w:cs="Times New Roman"/>
          <w:szCs w:val="24"/>
          <w:highlight w:val="none"/>
        </w:rPr>
        <w:t xml:space="preserve"> n－边界面的法线方向；</w:t>
      </w:r>
    </w:p>
    <w:p>
      <w:pPr>
        <w:pStyle w:val="260"/>
        <w:ind w:firstLine="856" w:firstLineChars="357"/>
        <w:rPr>
          <w:rFonts w:cs="Times New Roman"/>
          <w:szCs w:val="24"/>
          <w:highlight w:val="none"/>
        </w:rPr>
      </w:pPr>
      <w:r>
        <w:rPr>
          <w:rFonts w:cs="Times New Roman"/>
          <w:szCs w:val="24"/>
          <w:highlight w:val="none"/>
        </w:rPr>
        <w:object>
          <v:shape id="_x0000_i1033" o:spt="75" type="#_x0000_t75" style="height:26pt;width:17.5pt;" o:ole="t" filled="f" o:preferrelative="t" stroked="f" coordsize="21600,21600">
            <v:path/>
            <v:fill on="f" focussize="0,0"/>
            <v:stroke on="f" joinstyle="miter"/>
            <v:imagedata r:id="rId76" o:title=""/>
            <o:lock v:ext="edit" aspectratio="t"/>
            <w10:wrap type="none"/>
            <w10:anchorlock/>
          </v:shape>
          <o:OLEObject Type="Embed" ProgID="Equation.3" ShapeID="_x0000_i1033" DrawAspect="Content" ObjectID="_1468075733" r:id="rId75">
            <o:LockedField>false</o:LockedField>
          </o:OLEObject>
        </w:object>
      </w:r>
      <w:r>
        <w:rPr>
          <w:rFonts w:cs="Times New Roman"/>
          <w:szCs w:val="24"/>
          <w:highlight w:val="none"/>
        </w:rPr>
        <w:t>—H沿外法线方向n的导数（无量纲）；</w:t>
      </w:r>
    </w:p>
    <w:p>
      <w:pPr>
        <w:pStyle w:val="260"/>
        <w:ind w:firstLine="856" w:firstLineChars="357"/>
        <w:rPr>
          <w:rFonts w:cs="Times New Roman"/>
          <w:szCs w:val="24"/>
          <w:highlight w:val="none"/>
        </w:rPr>
      </w:pPr>
      <w:r>
        <w:rPr>
          <w:rFonts w:cs="Times New Roman"/>
          <w:szCs w:val="24"/>
          <w:highlight w:val="none"/>
        </w:rPr>
        <w:t>q－Γ</w:t>
      </w:r>
      <w:r>
        <w:rPr>
          <w:rFonts w:cs="Times New Roman"/>
          <w:szCs w:val="24"/>
          <w:highlight w:val="none"/>
          <w:vertAlign w:val="subscript"/>
        </w:rPr>
        <w:t>2</w:t>
      </w:r>
      <w:r>
        <w:rPr>
          <w:rFonts w:cs="Times New Roman"/>
          <w:szCs w:val="24"/>
          <w:highlight w:val="none"/>
        </w:rPr>
        <w:t>边界上的单宽流量（m</w:t>
      </w:r>
      <w:r>
        <w:rPr>
          <w:rFonts w:cs="Times New Roman"/>
          <w:szCs w:val="24"/>
          <w:highlight w:val="none"/>
          <w:vertAlign w:val="superscript"/>
        </w:rPr>
        <w:t>2</w:t>
      </w:r>
      <w:r>
        <w:rPr>
          <w:rFonts w:cs="Times New Roman"/>
          <w:szCs w:val="24"/>
          <w:highlight w:val="none"/>
        </w:rPr>
        <w:t>/d），流入为正，流出为负；</w:t>
      </w:r>
    </w:p>
    <w:p>
      <w:pPr>
        <w:pStyle w:val="260"/>
        <w:ind w:firstLine="856" w:firstLineChars="357"/>
        <w:rPr>
          <w:rFonts w:cs="Times New Roman"/>
          <w:szCs w:val="24"/>
          <w:highlight w:val="none"/>
        </w:rPr>
      </w:pPr>
      <w:r>
        <w:rPr>
          <w:rFonts w:cs="Times New Roman"/>
          <w:szCs w:val="24"/>
          <w:highlight w:val="none"/>
        </w:rPr>
        <w:t>Z(x,y) —含水层底板高程。</w:t>
      </w:r>
    </w:p>
    <w:p>
      <w:pPr>
        <w:spacing w:line="440" w:lineRule="exact"/>
        <w:ind w:firstLine="480"/>
        <w:rPr>
          <w:sz w:val="24"/>
          <w:highlight w:val="none"/>
        </w:rPr>
      </w:pPr>
      <w:bookmarkStart w:id="373" w:name="_Toc9671"/>
      <w:r>
        <w:rPr>
          <w:rFonts w:hint="eastAsia"/>
          <w:sz w:val="24"/>
          <w:highlight w:val="none"/>
        </w:rPr>
        <w:t>（3）</w:t>
      </w:r>
      <w:r>
        <w:rPr>
          <w:sz w:val="24"/>
          <w:highlight w:val="none"/>
        </w:rPr>
        <w:t>地下水流数值模型的建立</w:t>
      </w:r>
      <w:bookmarkEnd w:id="373"/>
    </w:p>
    <w:p>
      <w:pPr>
        <w:autoSpaceDE w:val="0"/>
        <w:autoSpaceDN w:val="0"/>
        <w:spacing w:line="440" w:lineRule="exact"/>
        <w:ind w:firstLine="480"/>
        <w:rPr>
          <w:sz w:val="24"/>
          <w:highlight w:val="none"/>
        </w:rPr>
      </w:pPr>
      <w:r>
        <w:rPr>
          <w:rFonts w:hint="eastAsia"/>
          <w:sz w:val="24"/>
          <w:highlight w:val="none"/>
        </w:rPr>
        <w:t>①</w:t>
      </w:r>
      <w:r>
        <w:rPr>
          <w:sz w:val="24"/>
          <w:highlight w:val="none"/>
        </w:rPr>
        <w:t>模型剖分</w:t>
      </w:r>
    </w:p>
    <w:p>
      <w:pPr>
        <w:autoSpaceDE w:val="0"/>
        <w:autoSpaceDN w:val="0"/>
        <w:spacing w:line="440" w:lineRule="exact"/>
        <w:ind w:firstLine="480"/>
        <w:rPr>
          <w:sz w:val="24"/>
          <w:highlight w:val="none"/>
        </w:rPr>
      </w:pPr>
      <w:r>
        <w:rPr>
          <w:sz w:val="24"/>
          <w:highlight w:val="none"/>
        </w:rPr>
        <w:t>模拟区范围地理位置属于高斯投影的第20个投影带（6°带），由于以前在区内进行的有关地质及水文地质工作主要是建立在高斯投影坐标的基础上，本次模拟仍选用高斯投影坐标系（6°带）。</w:t>
      </w:r>
    </w:p>
    <w:p>
      <w:pPr>
        <w:pStyle w:val="55"/>
        <w:spacing w:after="0" w:line="440" w:lineRule="exact"/>
        <w:ind w:left="0" w:leftChars="0" w:firstLine="480"/>
        <w:rPr>
          <w:sz w:val="24"/>
          <w:highlight w:val="none"/>
        </w:rPr>
      </w:pPr>
      <w:r>
        <w:rPr>
          <w:sz w:val="24"/>
          <w:highlight w:val="none"/>
        </w:rPr>
        <w:t>本次地下水流数值模拟采用二维规则网格有限差分法进行模拟计算，计算剖分包括空间剖分和时间剖分。</w:t>
      </w:r>
    </w:p>
    <w:bookmarkEnd w:id="369"/>
    <w:p>
      <w:pPr>
        <w:spacing w:line="440" w:lineRule="exact"/>
        <w:ind w:firstLine="480"/>
        <w:rPr>
          <w:highlight w:val="none"/>
        </w:rPr>
      </w:pPr>
      <w:r>
        <w:rPr>
          <w:rFonts w:hint="eastAsia" w:ascii="宋体" w:hAnsi="宋体"/>
          <w:sz w:val="24"/>
          <w:szCs w:val="24"/>
          <w:highlight w:val="none"/>
        </w:rPr>
        <w:t>在平面上，根据本次地下水数值模拟的目的，对评价区域模型采用矩形网格剖分，共剖分有效单元3</w:t>
      </w:r>
      <w:r>
        <w:rPr>
          <w:sz w:val="24"/>
          <w:szCs w:val="24"/>
          <w:highlight w:val="none"/>
        </w:rPr>
        <w:t>757</w:t>
      </w:r>
      <w:r>
        <w:rPr>
          <w:rFonts w:hint="eastAsia" w:ascii="宋体" w:hAnsi="宋体"/>
          <w:sz w:val="24"/>
          <w:szCs w:val="24"/>
          <w:highlight w:val="none"/>
        </w:rPr>
        <w:t>个，边长为0.1km×0.1km，，计算节点位于单元中心</w:t>
      </w:r>
      <w:r>
        <w:rPr>
          <w:sz w:val="24"/>
          <w:highlight w:val="none"/>
        </w:rPr>
        <w:t>。模拟区网格平面剖分见</w:t>
      </w:r>
      <w:r>
        <w:rPr>
          <w:rFonts w:hint="eastAsia"/>
          <w:sz w:val="24"/>
          <w:highlight w:val="none"/>
        </w:rPr>
        <w:t>图</w:t>
      </w:r>
      <w:r>
        <w:rPr>
          <w:sz w:val="24"/>
          <w:highlight w:val="none"/>
        </w:rPr>
        <w:t>5.2-</w:t>
      </w:r>
      <w:r>
        <w:rPr>
          <w:rFonts w:hint="eastAsia"/>
          <w:sz w:val="24"/>
          <w:highlight w:val="none"/>
        </w:rPr>
        <w:t>17</w:t>
      </w:r>
      <w:r>
        <w:rPr>
          <w:highlight w:val="none"/>
        </w:rPr>
        <w:t>，以月作为时间步长。</w:t>
      </w:r>
    </w:p>
    <w:p>
      <w:pPr>
        <w:widowControl/>
        <w:ind w:firstLine="560"/>
        <w:jc w:val="center"/>
        <w:rPr>
          <w:highlight w:val="none"/>
        </w:rPr>
      </w:pPr>
      <w:r>
        <w:rPr>
          <w:rFonts w:ascii="宋体" w:hAnsi="宋体" w:cs="宋体"/>
          <w:highlight w:val="none"/>
          <w:lang w:bidi="ar"/>
        </w:rPr>
        <w:drawing>
          <wp:inline distT="0" distB="0" distL="114300" distR="114300">
            <wp:extent cx="4713605" cy="3314700"/>
            <wp:effectExtent l="0" t="0" r="10795" b="0"/>
            <wp:docPr id="40"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IMG_256"/>
                    <pic:cNvPicPr>
                      <a:picLocks noChangeAspect="1"/>
                    </pic:cNvPicPr>
                  </pic:nvPicPr>
                  <pic:blipFill>
                    <a:blip r:embed="rId77"/>
                    <a:srcRect l="1508" t="3514" b="4027"/>
                    <a:stretch>
                      <a:fillRect/>
                    </a:stretch>
                  </pic:blipFill>
                  <pic:spPr>
                    <a:xfrm>
                      <a:off x="0" y="0"/>
                      <a:ext cx="4713605" cy="3314700"/>
                    </a:xfrm>
                    <a:prstGeom prst="rect">
                      <a:avLst/>
                    </a:prstGeom>
                    <a:noFill/>
                    <a:ln>
                      <a:noFill/>
                    </a:ln>
                  </pic:spPr>
                </pic:pic>
              </a:graphicData>
            </a:graphic>
          </wp:inline>
        </w:drawing>
      </w:r>
    </w:p>
    <w:p>
      <w:pPr>
        <w:ind w:firstLine="420"/>
        <w:jc w:val="center"/>
        <w:rPr>
          <w:rFonts w:eastAsia="黑体"/>
          <w:sz w:val="21"/>
          <w:szCs w:val="21"/>
          <w:highlight w:val="none"/>
          <w:lang w:val="zh-CN"/>
        </w:rPr>
      </w:pPr>
      <w:r>
        <w:rPr>
          <w:rFonts w:eastAsia="黑体"/>
          <w:sz w:val="21"/>
          <w:szCs w:val="21"/>
          <w:highlight w:val="none"/>
          <w:lang w:val="zh-CN"/>
        </w:rPr>
        <w:t>图5.2-</w:t>
      </w:r>
      <w:r>
        <w:rPr>
          <w:rFonts w:hint="eastAsia" w:eastAsia="黑体"/>
          <w:sz w:val="21"/>
          <w:szCs w:val="21"/>
          <w:highlight w:val="none"/>
        </w:rPr>
        <w:t>17</w:t>
      </w:r>
      <w:r>
        <w:rPr>
          <w:rFonts w:eastAsia="黑体"/>
          <w:sz w:val="21"/>
          <w:szCs w:val="21"/>
          <w:highlight w:val="none"/>
          <w:lang w:val="zh-CN"/>
        </w:rPr>
        <w:t xml:space="preserve"> </w:t>
      </w:r>
      <w:r>
        <w:rPr>
          <w:rFonts w:hint="eastAsia" w:eastAsia="黑体"/>
          <w:sz w:val="21"/>
          <w:szCs w:val="21"/>
          <w:highlight w:val="none"/>
        </w:rPr>
        <w:t xml:space="preserve">  </w:t>
      </w:r>
      <w:r>
        <w:rPr>
          <w:rFonts w:eastAsia="黑体"/>
          <w:sz w:val="21"/>
          <w:szCs w:val="21"/>
          <w:highlight w:val="none"/>
          <w:lang w:val="zh-CN"/>
        </w:rPr>
        <w:t>模拟区网格剖分图</w:t>
      </w:r>
    </w:p>
    <w:p>
      <w:pPr>
        <w:autoSpaceDE w:val="0"/>
        <w:autoSpaceDN w:val="0"/>
        <w:ind w:firstLine="480"/>
        <w:rPr>
          <w:bCs/>
          <w:sz w:val="24"/>
          <w:highlight w:val="none"/>
        </w:rPr>
      </w:pPr>
      <w:bookmarkStart w:id="374" w:name="_Toc405317346"/>
      <w:r>
        <w:rPr>
          <w:rFonts w:hint="eastAsia"/>
          <w:bCs/>
          <w:sz w:val="24"/>
          <w:highlight w:val="none"/>
        </w:rPr>
        <w:t>②</w:t>
      </w:r>
      <w:r>
        <w:rPr>
          <w:bCs/>
          <w:sz w:val="24"/>
          <w:highlight w:val="none"/>
        </w:rPr>
        <w:t>源汇项的处理</w:t>
      </w:r>
      <w:bookmarkEnd w:id="374"/>
    </w:p>
    <w:p>
      <w:pPr>
        <w:autoSpaceDE w:val="0"/>
        <w:autoSpaceDN w:val="0"/>
        <w:ind w:firstLine="480"/>
        <w:rPr>
          <w:bCs/>
          <w:sz w:val="24"/>
          <w:highlight w:val="none"/>
        </w:rPr>
      </w:pPr>
      <w:r>
        <w:rPr>
          <w:rFonts w:hint="eastAsia"/>
          <w:bCs/>
          <w:sz w:val="24"/>
          <w:highlight w:val="none"/>
        </w:rPr>
        <w:t>a.</w:t>
      </w:r>
      <w:r>
        <w:rPr>
          <w:bCs/>
          <w:sz w:val="24"/>
          <w:highlight w:val="none"/>
        </w:rPr>
        <w:t>大气降水入渗补给</w:t>
      </w:r>
    </w:p>
    <w:p>
      <w:pPr>
        <w:autoSpaceDE w:val="0"/>
        <w:autoSpaceDN w:val="0"/>
        <w:ind w:firstLine="480"/>
        <w:rPr>
          <w:sz w:val="24"/>
          <w:highlight w:val="none"/>
        </w:rPr>
      </w:pPr>
      <w:r>
        <w:rPr>
          <w:sz w:val="24"/>
          <w:highlight w:val="none"/>
        </w:rPr>
        <w:t>浅层含水层通过包气带接受大气降水入渗补给，在模型中大气降水入渗补给量的计算公式为：</w:t>
      </w:r>
    </w:p>
    <w:p>
      <w:pPr>
        <w:autoSpaceDE w:val="0"/>
        <w:autoSpaceDN w:val="0"/>
        <w:ind w:firstLine="480"/>
        <w:jc w:val="center"/>
        <w:rPr>
          <w:sz w:val="24"/>
          <w:highlight w:val="none"/>
        </w:rPr>
      </w:pPr>
      <w:r>
        <w:rPr>
          <w:position w:val="-28"/>
          <w:sz w:val="24"/>
          <w:highlight w:val="none"/>
        </w:rPr>
        <w:object>
          <v:shape id="_x0000_i1034" o:spt="75" type="#_x0000_t75" style="height:27pt;width:78pt;" o:ole="t" filled="f" o:preferrelative="t" stroked="f" coordsize="21600,21600">
            <v:path/>
            <v:fill on="f" focussize="0,0"/>
            <v:stroke on="f" joinstyle="miter"/>
            <v:imagedata r:id="rId79" o:title=""/>
            <o:lock v:ext="edit" aspectratio="t"/>
            <w10:wrap type="none"/>
            <w10:anchorlock/>
          </v:shape>
          <o:OLEObject Type="Embed" ProgID="Equation.3" ShapeID="_x0000_i1034" DrawAspect="Content" ObjectID="_1468075734" r:id="rId78">
            <o:LockedField>false</o:LockedField>
          </o:OLEObject>
        </w:object>
      </w:r>
      <w:r>
        <w:rPr>
          <w:sz w:val="24"/>
          <w:highlight w:val="none"/>
        </w:rPr>
        <w:t>（5</w:t>
      </w:r>
      <w:r>
        <w:rPr>
          <w:rFonts w:hint="eastAsia"/>
          <w:sz w:val="24"/>
          <w:highlight w:val="none"/>
        </w:rPr>
        <w:t>.</w:t>
      </w:r>
      <w:r>
        <w:rPr>
          <w:sz w:val="24"/>
          <w:highlight w:val="none"/>
        </w:rPr>
        <w:t>2</w:t>
      </w:r>
      <w:r>
        <w:rPr>
          <w:rFonts w:hint="eastAsia"/>
          <w:sz w:val="24"/>
          <w:highlight w:val="none"/>
        </w:rPr>
        <w:t>-</w:t>
      </w:r>
      <w:r>
        <w:rPr>
          <w:sz w:val="24"/>
          <w:highlight w:val="none"/>
        </w:rPr>
        <w:t>8）</w:t>
      </w:r>
    </w:p>
    <w:p>
      <w:pPr>
        <w:autoSpaceDE w:val="0"/>
        <w:autoSpaceDN w:val="0"/>
        <w:ind w:firstLine="480"/>
        <w:rPr>
          <w:sz w:val="24"/>
          <w:highlight w:val="none"/>
        </w:rPr>
      </w:pPr>
      <w:r>
        <w:rPr>
          <w:sz w:val="24"/>
          <w:highlight w:val="none"/>
        </w:rPr>
        <w:t>式中，</w:t>
      </w:r>
    </w:p>
    <w:p>
      <w:pPr>
        <w:autoSpaceDE w:val="0"/>
        <w:autoSpaceDN w:val="0"/>
        <w:ind w:firstLine="600" w:firstLineChars="250"/>
        <w:rPr>
          <w:sz w:val="24"/>
          <w:szCs w:val="24"/>
          <w:highlight w:val="none"/>
        </w:rPr>
      </w:pPr>
      <w:r>
        <w:rPr>
          <w:i/>
          <w:sz w:val="24"/>
          <w:szCs w:val="24"/>
          <w:highlight w:val="none"/>
        </w:rPr>
        <w:t>Q</w:t>
      </w:r>
      <w:r>
        <w:rPr>
          <w:sz w:val="24"/>
          <w:szCs w:val="24"/>
          <w:highlight w:val="none"/>
          <w:vertAlign w:val="subscript"/>
        </w:rPr>
        <w:t>降</w:t>
      </w:r>
      <w:r>
        <w:rPr>
          <w:sz w:val="24"/>
          <w:szCs w:val="24"/>
          <w:highlight w:val="none"/>
        </w:rPr>
        <w:t>—大气降水入渗补给量（m</w:t>
      </w:r>
      <w:r>
        <w:rPr>
          <w:sz w:val="24"/>
          <w:szCs w:val="24"/>
          <w:highlight w:val="none"/>
          <w:vertAlign w:val="superscript"/>
        </w:rPr>
        <w:t>3</w:t>
      </w:r>
      <w:r>
        <w:rPr>
          <w:sz w:val="24"/>
          <w:szCs w:val="24"/>
          <w:highlight w:val="none"/>
        </w:rPr>
        <w:t>/d）；</w:t>
      </w:r>
    </w:p>
    <w:p>
      <w:pPr>
        <w:autoSpaceDE w:val="0"/>
        <w:autoSpaceDN w:val="0"/>
        <w:ind w:firstLine="480"/>
        <w:rPr>
          <w:sz w:val="24"/>
          <w:szCs w:val="24"/>
          <w:highlight w:val="none"/>
        </w:rPr>
      </w:pPr>
      <w:r>
        <w:rPr>
          <w:i/>
          <w:sz w:val="24"/>
          <w:szCs w:val="24"/>
          <w:highlight w:val="none"/>
        </w:rPr>
        <w:t>α</w:t>
      </w:r>
      <w:r>
        <w:rPr>
          <w:sz w:val="24"/>
          <w:szCs w:val="24"/>
          <w:highlight w:val="none"/>
          <w:vertAlign w:val="subscript"/>
        </w:rPr>
        <w:t>i</w:t>
      </w:r>
      <w:r>
        <w:rPr>
          <w:sz w:val="24"/>
          <w:szCs w:val="24"/>
          <w:highlight w:val="none"/>
        </w:rPr>
        <w:t>—各计算分区大气降水</w:t>
      </w:r>
      <w:r>
        <w:rPr>
          <w:bCs/>
          <w:sz w:val="24"/>
          <w:highlight w:val="none"/>
        </w:rPr>
        <w:t>入渗</w:t>
      </w:r>
      <w:r>
        <w:rPr>
          <w:sz w:val="24"/>
          <w:szCs w:val="24"/>
          <w:highlight w:val="none"/>
        </w:rPr>
        <w:t>系数；</w:t>
      </w:r>
    </w:p>
    <w:p>
      <w:pPr>
        <w:autoSpaceDE w:val="0"/>
        <w:autoSpaceDN w:val="0"/>
        <w:ind w:firstLine="600" w:firstLineChars="250"/>
        <w:rPr>
          <w:sz w:val="24"/>
          <w:szCs w:val="24"/>
          <w:highlight w:val="none"/>
        </w:rPr>
      </w:pPr>
      <w:r>
        <w:rPr>
          <w:i/>
          <w:sz w:val="24"/>
          <w:szCs w:val="24"/>
          <w:highlight w:val="none"/>
        </w:rPr>
        <w:t>P</w:t>
      </w:r>
      <w:r>
        <w:rPr>
          <w:sz w:val="24"/>
          <w:szCs w:val="24"/>
          <w:highlight w:val="none"/>
          <w:vertAlign w:val="subscript"/>
        </w:rPr>
        <w:t>i</w:t>
      </w:r>
      <w:r>
        <w:rPr>
          <w:sz w:val="24"/>
          <w:szCs w:val="24"/>
          <w:highlight w:val="none"/>
        </w:rPr>
        <w:t>—各计算分区降水量（m/d）；</w:t>
      </w:r>
    </w:p>
    <w:p>
      <w:pPr>
        <w:autoSpaceDE w:val="0"/>
        <w:autoSpaceDN w:val="0"/>
        <w:ind w:firstLine="600" w:firstLineChars="250"/>
        <w:rPr>
          <w:sz w:val="24"/>
          <w:highlight w:val="none"/>
        </w:rPr>
      </w:pPr>
      <w:r>
        <w:rPr>
          <w:i/>
          <w:sz w:val="24"/>
          <w:szCs w:val="24"/>
          <w:highlight w:val="none"/>
        </w:rPr>
        <w:t>A</w:t>
      </w:r>
      <w:r>
        <w:rPr>
          <w:sz w:val="24"/>
          <w:szCs w:val="24"/>
          <w:highlight w:val="none"/>
          <w:vertAlign w:val="subscript"/>
        </w:rPr>
        <w:t>i</w:t>
      </w:r>
      <w:r>
        <w:rPr>
          <w:sz w:val="24"/>
          <w:szCs w:val="24"/>
          <w:highlight w:val="none"/>
        </w:rPr>
        <w:t>—各计算分区面积（m</w:t>
      </w:r>
      <w:r>
        <w:rPr>
          <w:sz w:val="24"/>
          <w:szCs w:val="24"/>
          <w:highlight w:val="none"/>
          <w:vertAlign w:val="superscript"/>
        </w:rPr>
        <w:t>2</w:t>
      </w:r>
      <w:r>
        <w:rPr>
          <w:sz w:val="24"/>
          <w:szCs w:val="24"/>
          <w:highlight w:val="none"/>
        </w:rPr>
        <w:t>）。</w:t>
      </w:r>
    </w:p>
    <w:p>
      <w:pPr>
        <w:widowControl/>
        <w:ind w:firstLine="480"/>
        <w:rPr>
          <w:highlight w:val="none"/>
        </w:rPr>
      </w:pPr>
      <w:r>
        <w:rPr>
          <w:sz w:val="24"/>
          <w:highlight w:val="none"/>
        </w:rPr>
        <w:t>降水入渗补给条件的不均匀性用入渗分区概化处理。依据有关降水入渗资料，并参考包气带岩性、潜水位埋深、地形、植被等因素，绘出全区降水入渗系数分区图，分别给出各区降水入渗系数平均值，加在模型对应的剖分网格单元上。根据各区面积、降水量以及降水入渗系数计算大气降水入渗补给量。</w:t>
      </w:r>
    </w:p>
    <w:p>
      <w:pPr>
        <w:ind w:firstLine="480"/>
        <w:rPr>
          <w:sz w:val="24"/>
          <w:highlight w:val="none"/>
        </w:rPr>
      </w:pPr>
      <w:r>
        <w:rPr>
          <w:sz w:val="24"/>
          <w:highlight w:val="none"/>
        </w:rPr>
        <w:t>本次模拟降水入渗系数参照河北省水文站与“六五”科技攻关38项科研报告中提供的数值，并考虑现有的地下水位埋深，综合考虑确定如下。</w:t>
      </w:r>
    </w:p>
    <w:p>
      <w:pPr>
        <w:ind w:firstLine="420"/>
        <w:jc w:val="center"/>
        <w:rPr>
          <w:sz w:val="24"/>
          <w:szCs w:val="24"/>
          <w:highlight w:val="none"/>
        </w:rPr>
      </w:pPr>
      <w:r>
        <w:rPr>
          <w:rFonts w:eastAsia="黑体"/>
          <w:sz w:val="21"/>
          <w:szCs w:val="21"/>
          <w:highlight w:val="none"/>
        </w:rPr>
        <w:t>表5.2-</w:t>
      </w:r>
      <w:r>
        <w:rPr>
          <w:rFonts w:hint="eastAsia" w:eastAsia="黑体"/>
          <w:sz w:val="21"/>
          <w:szCs w:val="21"/>
          <w:highlight w:val="none"/>
        </w:rPr>
        <w:t>16</w:t>
      </w:r>
      <w:r>
        <w:rPr>
          <w:rFonts w:eastAsia="黑体"/>
          <w:sz w:val="21"/>
          <w:szCs w:val="21"/>
          <w:highlight w:val="none"/>
        </w:rPr>
        <w:t xml:space="preserve">  </w:t>
      </w:r>
      <w:r>
        <w:rPr>
          <w:rFonts w:hint="eastAsia" w:eastAsia="黑体"/>
          <w:sz w:val="21"/>
          <w:szCs w:val="21"/>
          <w:highlight w:val="none"/>
        </w:rPr>
        <w:t xml:space="preserve"> </w:t>
      </w:r>
      <w:r>
        <w:rPr>
          <w:rFonts w:eastAsia="黑体"/>
          <w:sz w:val="21"/>
          <w:szCs w:val="21"/>
          <w:highlight w:val="none"/>
        </w:rPr>
        <w:t>模</w:t>
      </w:r>
      <w:r>
        <w:rPr>
          <w:rFonts w:ascii="黑体" w:hAnsi="黑体" w:eastAsia="黑体"/>
          <w:sz w:val="21"/>
          <w:szCs w:val="21"/>
          <w:highlight w:val="none"/>
        </w:rPr>
        <w:t>型区大气降水入渗补给系数取值一览表</w:t>
      </w:r>
    </w:p>
    <w:tbl>
      <w:tblPr>
        <w:tblStyle w:val="5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1"/>
        <w:gridCol w:w="1888"/>
        <w:gridCol w:w="2373"/>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371"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计算分区</w:t>
            </w:r>
          </w:p>
        </w:tc>
        <w:tc>
          <w:tcPr>
            <w:tcW w:w="1888"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参数值</w:t>
            </w:r>
          </w:p>
        </w:tc>
        <w:tc>
          <w:tcPr>
            <w:tcW w:w="2373"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计算分区</w:t>
            </w:r>
          </w:p>
        </w:tc>
        <w:tc>
          <w:tcPr>
            <w:tcW w:w="1890"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参数值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371"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1</w:t>
            </w:r>
          </w:p>
        </w:tc>
        <w:tc>
          <w:tcPr>
            <w:tcW w:w="1888"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0.</w:t>
            </w:r>
            <w:r>
              <w:rPr>
                <w:rFonts w:hint="eastAsia"/>
                <w:sz w:val="21"/>
                <w:szCs w:val="21"/>
                <w:highlight w:val="none"/>
              </w:rPr>
              <w:t>22</w:t>
            </w:r>
          </w:p>
        </w:tc>
        <w:tc>
          <w:tcPr>
            <w:tcW w:w="2373"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2</w:t>
            </w:r>
          </w:p>
        </w:tc>
        <w:tc>
          <w:tcPr>
            <w:tcW w:w="1890" w:type="dxa"/>
            <w:vAlign w:val="center"/>
          </w:tcPr>
          <w:p>
            <w:pPr>
              <w:adjustRightInd w:val="0"/>
              <w:snapToGrid w:val="0"/>
              <w:spacing w:line="240" w:lineRule="auto"/>
              <w:ind w:firstLine="0" w:firstLineChars="0"/>
              <w:jc w:val="center"/>
              <w:rPr>
                <w:sz w:val="21"/>
                <w:szCs w:val="21"/>
                <w:highlight w:val="none"/>
              </w:rPr>
            </w:pPr>
            <w:r>
              <w:rPr>
                <w:sz w:val="21"/>
                <w:szCs w:val="21"/>
                <w:highlight w:val="none"/>
              </w:rPr>
              <w:t>0.</w:t>
            </w:r>
            <w:r>
              <w:rPr>
                <w:rFonts w:hint="eastAsia"/>
                <w:sz w:val="21"/>
                <w:szCs w:val="21"/>
                <w:highlight w:val="none"/>
              </w:rPr>
              <w:t>20</w:t>
            </w:r>
          </w:p>
        </w:tc>
      </w:tr>
    </w:tbl>
    <w:p>
      <w:pPr>
        <w:widowControl/>
        <w:spacing w:before="120" w:beforeLines="50"/>
        <w:ind w:firstLine="560"/>
        <w:jc w:val="center"/>
        <w:rPr>
          <w:rFonts w:ascii="宋体" w:hAnsi="宋体" w:cs="宋体"/>
          <w:sz w:val="24"/>
          <w:szCs w:val="24"/>
          <w:highlight w:val="none"/>
        </w:rPr>
      </w:pPr>
      <w:r>
        <w:rPr>
          <w:rFonts w:ascii="宋体" w:hAnsi="宋体" w:cs="宋体"/>
          <w:highlight w:val="none"/>
          <w:lang w:bidi="ar"/>
        </w:rPr>
        <w:drawing>
          <wp:inline distT="0" distB="0" distL="114300" distR="114300">
            <wp:extent cx="4604385" cy="3308985"/>
            <wp:effectExtent l="0" t="0" r="5715" b="5715"/>
            <wp:docPr id="41"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descr="IMG_256"/>
                    <pic:cNvPicPr>
                      <a:picLocks noChangeAspect="1"/>
                    </pic:cNvPicPr>
                  </pic:nvPicPr>
                  <pic:blipFill>
                    <a:blip r:embed="rId80"/>
                    <a:stretch>
                      <a:fillRect/>
                    </a:stretch>
                  </pic:blipFill>
                  <pic:spPr>
                    <a:xfrm>
                      <a:off x="0" y="0"/>
                      <a:ext cx="4604385" cy="3308985"/>
                    </a:xfrm>
                    <a:prstGeom prst="rect">
                      <a:avLst/>
                    </a:prstGeom>
                    <a:noFill/>
                    <a:ln>
                      <a:noFill/>
                    </a:ln>
                  </pic:spPr>
                </pic:pic>
              </a:graphicData>
            </a:graphic>
          </wp:inline>
        </w:drawing>
      </w:r>
      <w:r>
        <w:rPr>
          <w:rFonts w:ascii="宋体" w:hAnsi="宋体" w:cs="宋体"/>
          <w:sz w:val="24"/>
          <w:szCs w:val="24"/>
          <w:highlight w:val="none"/>
        </w:rPr>
        <w:fldChar w:fldCharType="begin"/>
      </w:r>
      <w:r>
        <w:rPr>
          <w:rFonts w:ascii="宋体" w:hAnsi="宋体" w:cs="宋体"/>
          <w:sz w:val="24"/>
          <w:szCs w:val="24"/>
          <w:highlight w:val="none"/>
        </w:rPr>
        <w:instrText xml:space="preserve">INCLUDEPICTURE \d "C:\\Users\\Administrator\\AppData\\Roaming\\Tencent\\Users\\552396278\\QQ\\WinTemp\\RichOle\\%[I8T`P{0E}0%4VQCIGGS.png" \* MERGEFORMATINET </w:instrText>
      </w:r>
      <w:r>
        <w:rPr>
          <w:rFonts w:ascii="宋体" w:hAnsi="宋体" w:cs="宋体"/>
          <w:sz w:val="24"/>
          <w:szCs w:val="24"/>
          <w:highlight w:val="none"/>
        </w:rPr>
        <w:fldChar w:fldCharType="end"/>
      </w:r>
    </w:p>
    <w:p>
      <w:pPr>
        <w:ind w:firstLine="420"/>
        <w:jc w:val="center"/>
        <w:rPr>
          <w:rFonts w:eastAsia="黑体"/>
          <w:sz w:val="21"/>
          <w:szCs w:val="21"/>
          <w:highlight w:val="none"/>
          <w:lang w:val="zh-CN"/>
        </w:rPr>
      </w:pPr>
      <w:r>
        <w:rPr>
          <w:rFonts w:eastAsia="黑体"/>
          <w:sz w:val="21"/>
          <w:szCs w:val="21"/>
          <w:highlight w:val="none"/>
          <w:lang w:val="zh-CN"/>
        </w:rPr>
        <w:t>图5.2-</w:t>
      </w:r>
      <w:r>
        <w:rPr>
          <w:rFonts w:hint="eastAsia" w:eastAsia="黑体"/>
          <w:sz w:val="21"/>
          <w:szCs w:val="21"/>
          <w:highlight w:val="none"/>
        </w:rPr>
        <w:t>18</w:t>
      </w:r>
      <w:r>
        <w:rPr>
          <w:rFonts w:eastAsia="黑体"/>
          <w:sz w:val="21"/>
          <w:szCs w:val="21"/>
          <w:highlight w:val="none"/>
          <w:lang w:val="zh-CN"/>
        </w:rPr>
        <w:t xml:space="preserve"> </w:t>
      </w:r>
      <w:r>
        <w:rPr>
          <w:rFonts w:hint="eastAsia" w:eastAsia="黑体"/>
          <w:sz w:val="21"/>
          <w:szCs w:val="21"/>
          <w:highlight w:val="none"/>
        </w:rPr>
        <w:t xml:space="preserve">  </w:t>
      </w:r>
      <w:r>
        <w:rPr>
          <w:rFonts w:eastAsia="黑体"/>
          <w:sz w:val="21"/>
          <w:szCs w:val="21"/>
          <w:highlight w:val="none"/>
          <w:lang w:val="zh-CN"/>
        </w:rPr>
        <w:t>大气降水入渗补给系数平面分区图</w:t>
      </w:r>
    </w:p>
    <w:p>
      <w:pPr>
        <w:overflowPunct w:val="0"/>
        <w:autoSpaceDE w:val="0"/>
        <w:autoSpaceDN w:val="0"/>
        <w:ind w:firstLine="480"/>
        <w:rPr>
          <w:sz w:val="24"/>
          <w:highlight w:val="none"/>
        </w:rPr>
      </w:pPr>
      <w:r>
        <w:rPr>
          <w:sz w:val="24"/>
          <w:highlight w:val="none"/>
        </w:rPr>
        <w:t>b.地下水侧向径流补排量</w:t>
      </w:r>
    </w:p>
    <w:p>
      <w:pPr>
        <w:overflowPunct w:val="0"/>
        <w:autoSpaceDE w:val="0"/>
        <w:autoSpaceDN w:val="0"/>
        <w:ind w:firstLine="480"/>
        <w:rPr>
          <w:sz w:val="24"/>
          <w:highlight w:val="none"/>
        </w:rPr>
      </w:pPr>
      <w:r>
        <w:rPr>
          <w:sz w:val="24"/>
          <w:highlight w:val="none"/>
        </w:rPr>
        <w:t>由于缺少多年的水位监测资料，所以仅计算均衡期内的地下水侧向补给量和排泄量。计算区地下水侧向补给和排泄量，可分段采用达西定律计算，公式为：</w:t>
      </w:r>
    </w:p>
    <w:p>
      <w:pPr>
        <w:overflowPunct w:val="0"/>
        <w:autoSpaceDE w:val="0"/>
        <w:autoSpaceDN w:val="0"/>
        <w:ind w:firstLine="480"/>
        <w:rPr>
          <w:sz w:val="24"/>
          <w:highlight w:val="none"/>
        </w:rPr>
      </w:pPr>
      <w:r>
        <w:rPr>
          <w:position w:val="-28"/>
          <w:sz w:val="24"/>
          <w:highlight w:val="none"/>
        </w:rPr>
        <w:object>
          <v:shape id="_x0000_i1035" o:spt="75" type="#_x0000_t75" style="height:27pt;width:116.5pt;" o:ole="t" filled="f" o:preferrelative="t" stroked="f" coordsize="21600,21600">
            <v:path/>
            <v:fill on="f" focussize="0,0"/>
            <v:stroke on="f" joinstyle="miter"/>
            <v:imagedata r:id="rId82" o:title=""/>
            <o:lock v:ext="edit" aspectratio="t"/>
            <w10:wrap type="none"/>
            <w10:anchorlock/>
          </v:shape>
          <o:OLEObject Type="Embed" ProgID="Equation.3" ShapeID="_x0000_i1035" DrawAspect="Content" ObjectID="_1468075735" r:id="rId81">
            <o:LockedField>false</o:LockedField>
          </o:OLEObject>
        </w:object>
      </w:r>
      <w:r>
        <w:rPr>
          <w:rFonts w:hint="eastAsia"/>
          <w:position w:val="-28"/>
          <w:sz w:val="24"/>
          <w:highlight w:val="none"/>
        </w:rPr>
        <w:t xml:space="preserve">     </w:t>
      </w:r>
      <w:r>
        <w:rPr>
          <w:rFonts w:hint="eastAsia"/>
          <w:sz w:val="24"/>
          <w:highlight w:val="none"/>
        </w:rPr>
        <w:t>（5.</w:t>
      </w:r>
      <w:r>
        <w:rPr>
          <w:sz w:val="24"/>
          <w:highlight w:val="none"/>
        </w:rPr>
        <w:t>2</w:t>
      </w:r>
      <w:r>
        <w:rPr>
          <w:rFonts w:hint="eastAsia"/>
          <w:sz w:val="24"/>
          <w:highlight w:val="none"/>
        </w:rPr>
        <w:t>-</w:t>
      </w:r>
      <w:r>
        <w:rPr>
          <w:sz w:val="24"/>
          <w:highlight w:val="none"/>
        </w:rPr>
        <w:t>9</w:t>
      </w:r>
      <w:r>
        <w:rPr>
          <w:rFonts w:hint="eastAsia"/>
          <w:sz w:val="24"/>
          <w:highlight w:val="none"/>
        </w:rPr>
        <w:t>）</w:t>
      </w:r>
    </w:p>
    <w:p>
      <w:pPr>
        <w:overflowPunct w:val="0"/>
        <w:autoSpaceDE w:val="0"/>
        <w:autoSpaceDN w:val="0"/>
        <w:ind w:firstLine="480"/>
        <w:rPr>
          <w:sz w:val="24"/>
          <w:highlight w:val="none"/>
        </w:rPr>
      </w:pPr>
      <w:r>
        <w:rPr>
          <w:sz w:val="24"/>
          <w:highlight w:val="none"/>
        </w:rPr>
        <w:t>式中，</w:t>
      </w:r>
    </w:p>
    <w:p>
      <w:pPr>
        <w:overflowPunct w:val="0"/>
        <w:autoSpaceDE w:val="0"/>
        <w:autoSpaceDN w:val="0"/>
        <w:ind w:firstLine="480"/>
        <w:rPr>
          <w:sz w:val="24"/>
          <w:szCs w:val="24"/>
          <w:highlight w:val="none"/>
        </w:rPr>
      </w:pPr>
      <w:r>
        <w:rPr>
          <w:position w:val="-12"/>
          <w:sz w:val="24"/>
          <w:szCs w:val="24"/>
          <w:highlight w:val="none"/>
        </w:rPr>
        <w:object>
          <v:shape id="_x0000_i1036" o:spt="75" type="#_x0000_t75" style="height:18.5pt;width:39pt;" o:ole="t" filled="f" o:preferrelative="t" stroked="f" coordsize="21600,21600">
            <v:path/>
            <v:fill on="f" focussize="0,0"/>
            <v:stroke on="f" joinstyle="miter"/>
            <v:imagedata r:id="rId84" o:title=""/>
            <o:lock v:ext="edit" aspectratio="t"/>
            <w10:wrap type="none"/>
            <w10:anchorlock/>
          </v:shape>
          <o:OLEObject Type="Embed" ProgID="Equation.3" ShapeID="_x0000_i1036" DrawAspect="Content" ObjectID="_1468075736" r:id="rId83">
            <o:LockedField>false</o:LockedField>
          </o:OLEObject>
        </w:object>
      </w:r>
      <w:r>
        <w:rPr>
          <w:sz w:val="24"/>
          <w:szCs w:val="24"/>
          <w:highlight w:val="none"/>
        </w:rPr>
        <w:t>—地下水侧向径流补给量(m</w:t>
      </w:r>
      <w:r>
        <w:rPr>
          <w:sz w:val="24"/>
          <w:szCs w:val="24"/>
          <w:highlight w:val="none"/>
          <w:vertAlign w:val="superscript"/>
        </w:rPr>
        <w:t>3</w:t>
      </w:r>
      <w:r>
        <w:rPr>
          <w:sz w:val="24"/>
          <w:szCs w:val="24"/>
          <w:highlight w:val="none"/>
        </w:rPr>
        <w:t>/d)；</w:t>
      </w:r>
    </w:p>
    <w:p>
      <w:pPr>
        <w:overflowPunct w:val="0"/>
        <w:autoSpaceDE w:val="0"/>
        <w:autoSpaceDN w:val="0"/>
        <w:ind w:firstLine="480"/>
        <w:rPr>
          <w:sz w:val="24"/>
          <w:szCs w:val="24"/>
          <w:highlight w:val="none"/>
        </w:rPr>
      </w:pPr>
      <w:r>
        <w:rPr>
          <w:position w:val="-12"/>
          <w:sz w:val="24"/>
          <w:szCs w:val="24"/>
          <w:highlight w:val="none"/>
        </w:rPr>
        <w:object>
          <v:shape id="_x0000_i1037" o:spt="75" type="#_x0000_t75" style="height:17.5pt;width:15.5pt;" o:ole="t" filled="f" o:preferrelative="t" stroked="f" coordsize="21600,21600">
            <v:path/>
            <v:fill on="f" focussize="0,0"/>
            <v:stroke on="f" joinstyle="miter"/>
            <v:imagedata r:id="rId86" o:title=""/>
            <o:lock v:ext="edit" aspectratio="t"/>
            <w10:wrap type="none"/>
            <w10:anchorlock/>
          </v:shape>
          <o:OLEObject Type="Embed" ProgID="Equation.3" ShapeID="_x0000_i1037" DrawAspect="Content" ObjectID="_1468075737" r:id="rId85">
            <o:LockedField>false</o:LockedField>
          </o:OLEObject>
        </w:object>
      </w:r>
      <w:r>
        <w:rPr>
          <w:sz w:val="24"/>
          <w:szCs w:val="24"/>
          <w:highlight w:val="none"/>
        </w:rPr>
        <w:t>—第i分段含水层渗透系数(m/d)；</w:t>
      </w:r>
    </w:p>
    <w:p>
      <w:pPr>
        <w:overflowPunct w:val="0"/>
        <w:autoSpaceDE w:val="0"/>
        <w:autoSpaceDN w:val="0"/>
        <w:ind w:firstLine="480"/>
        <w:rPr>
          <w:sz w:val="24"/>
          <w:szCs w:val="24"/>
          <w:highlight w:val="none"/>
        </w:rPr>
      </w:pPr>
      <w:r>
        <w:rPr>
          <w:position w:val="-12"/>
          <w:sz w:val="24"/>
          <w:szCs w:val="24"/>
          <w:highlight w:val="none"/>
        </w:rPr>
        <w:object>
          <v:shape id="_x0000_i1038" o:spt="75" type="#_x0000_t75" style="height:17.5pt;width:12pt;" o:ole="t" filled="f" o:preferrelative="t" stroked="f" coordsize="21600,21600">
            <v:path/>
            <v:fill on="f" focussize="0,0"/>
            <v:stroke on="f" joinstyle="miter"/>
            <v:imagedata r:id="rId88" o:title=""/>
            <o:lock v:ext="edit" aspectratio="t"/>
            <w10:wrap type="none"/>
            <w10:anchorlock/>
          </v:shape>
          <o:OLEObject Type="Embed" ProgID="Equation.3" ShapeID="_x0000_i1038" DrawAspect="Content" ObjectID="_1468075738" r:id="rId87">
            <o:LockedField>false</o:LockedField>
          </o:OLEObject>
        </w:object>
      </w:r>
      <w:r>
        <w:rPr>
          <w:sz w:val="24"/>
          <w:szCs w:val="24"/>
          <w:highlight w:val="none"/>
        </w:rPr>
        <w:t>—第i分段断面的法向水力坡度；</w:t>
      </w:r>
    </w:p>
    <w:p>
      <w:pPr>
        <w:overflowPunct w:val="0"/>
        <w:autoSpaceDE w:val="0"/>
        <w:autoSpaceDN w:val="0"/>
        <w:ind w:firstLine="480"/>
        <w:rPr>
          <w:sz w:val="24"/>
          <w:szCs w:val="24"/>
          <w:highlight w:val="none"/>
        </w:rPr>
      </w:pPr>
      <w:r>
        <w:rPr>
          <w:position w:val="-12"/>
          <w:sz w:val="24"/>
          <w:szCs w:val="24"/>
          <w:highlight w:val="none"/>
          <w:vertAlign w:val="subscript"/>
        </w:rPr>
        <w:object>
          <v:shape id="_x0000_i1039" o:spt="75" type="#_x0000_t75" style="height:17.5pt;width:14.5pt;" o:ole="t" filled="f" o:preferrelative="t" stroked="f" coordsize="21600,21600">
            <v:path/>
            <v:fill on="f" focussize="0,0"/>
            <v:stroke on="f" joinstyle="miter"/>
            <v:imagedata r:id="rId90" o:title=""/>
            <o:lock v:ext="edit" aspectratio="t"/>
            <w10:wrap type="none"/>
            <w10:anchorlock/>
          </v:shape>
          <o:OLEObject Type="Embed" ProgID="Equation.3" ShapeID="_x0000_i1039" DrawAspect="Content" ObjectID="_1468075739" r:id="rId89">
            <o:LockedField>false</o:LockedField>
          </o:OLEObject>
        </w:object>
      </w:r>
      <w:r>
        <w:rPr>
          <w:sz w:val="24"/>
          <w:szCs w:val="24"/>
          <w:highlight w:val="none"/>
          <w:vertAlign w:val="subscript"/>
        </w:rPr>
        <w:t>——</w:t>
      </w:r>
      <w:r>
        <w:rPr>
          <w:sz w:val="24"/>
          <w:szCs w:val="24"/>
          <w:highlight w:val="none"/>
        </w:rPr>
        <w:t>第i分段含水层断面面积(m</w:t>
      </w:r>
      <w:r>
        <w:rPr>
          <w:sz w:val="24"/>
          <w:szCs w:val="24"/>
          <w:highlight w:val="none"/>
          <w:vertAlign w:val="superscript"/>
        </w:rPr>
        <w:t>2</w:t>
      </w:r>
      <w:r>
        <w:rPr>
          <w:sz w:val="24"/>
          <w:szCs w:val="24"/>
          <w:highlight w:val="none"/>
        </w:rPr>
        <w:t>)。</w:t>
      </w:r>
    </w:p>
    <w:p>
      <w:pPr>
        <w:tabs>
          <w:tab w:val="left" w:pos="3120"/>
        </w:tabs>
        <w:overflowPunct w:val="0"/>
        <w:autoSpaceDE w:val="0"/>
        <w:autoSpaceDN w:val="0"/>
        <w:ind w:firstLine="480"/>
        <w:rPr>
          <w:sz w:val="24"/>
          <w:highlight w:val="none"/>
        </w:rPr>
      </w:pPr>
      <w:r>
        <w:rPr>
          <w:rFonts w:hint="eastAsia"/>
          <w:sz w:val="24"/>
          <w:highlight w:val="none"/>
        </w:rPr>
        <w:t>c.</w:t>
      </w:r>
      <w:r>
        <w:rPr>
          <w:sz w:val="24"/>
          <w:highlight w:val="none"/>
        </w:rPr>
        <w:t>灌溉回归入渗补给</w:t>
      </w:r>
    </w:p>
    <w:p>
      <w:pPr>
        <w:tabs>
          <w:tab w:val="left" w:pos="2955"/>
        </w:tabs>
        <w:ind w:firstLine="480"/>
        <w:rPr>
          <w:sz w:val="24"/>
          <w:highlight w:val="none"/>
        </w:rPr>
      </w:pPr>
      <w:r>
        <w:rPr>
          <w:sz w:val="24"/>
          <w:highlight w:val="none"/>
        </w:rPr>
        <w:t>计算公式：Q</w:t>
      </w:r>
      <w:r>
        <w:rPr>
          <w:sz w:val="24"/>
          <w:highlight w:val="none"/>
          <w:vertAlign w:val="subscript"/>
        </w:rPr>
        <w:t>井</w:t>
      </w:r>
      <w:r>
        <w:rPr>
          <w:sz w:val="24"/>
          <w:highlight w:val="none"/>
        </w:rPr>
        <w:t>＝Q</w:t>
      </w:r>
      <w:r>
        <w:rPr>
          <w:sz w:val="24"/>
          <w:highlight w:val="none"/>
          <w:vertAlign w:val="subscript"/>
        </w:rPr>
        <w:t>农开</w:t>
      </w:r>
      <w:r>
        <w:rPr>
          <w:sz w:val="24"/>
          <w:highlight w:val="none"/>
        </w:rPr>
        <w:t xml:space="preserve">·β             </w:t>
      </w:r>
      <w:r>
        <w:rPr>
          <w:rFonts w:hint="eastAsia"/>
          <w:sz w:val="24"/>
          <w:highlight w:val="none"/>
        </w:rPr>
        <w:t>（</w:t>
      </w:r>
      <w:r>
        <w:rPr>
          <w:sz w:val="24"/>
          <w:highlight w:val="none"/>
        </w:rPr>
        <w:t>5</w:t>
      </w:r>
      <w:r>
        <w:rPr>
          <w:rFonts w:hint="eastAsia"/>
          <w:sz w:val="24"/>
          <w:highlight w:val="none"/>
        </w:rPr>
        <w:t>.2-</w:t>
      </w:r>
      <w:r>
        <w:rPr>
          <w:sz w:val="24"/>
          <w:highlight w:val="none"/>
        </w:rPr>
        <w:t>10</w:t>
      </w:r>
      <w:r>
        <w:rPr>
          <w:rFonts w:hint="eastAsia"/>
          <w:sz w:val="24"/>
          <w:highlight w:val="none"/>
        </w:rPr>
        <w:t>）</w:t>
      </w:r>
      <w:r>
        <w:rPr>
          <w:sz w:val="24"/>
          <w:highlight w:val="none"/>
        </w:rPr>
        <w:t xml:space="preserve"> </w:t>
      </w:r>
    </w:p>
    <w:p>
      <w:pPr>
        <w:ind w:firstLine="480"/>
        <w:rPr>
          <w:sz w:val="24"/>
          <w:highlight w:val="none"/>
        </w:rPr>
      </w:pPr>
      <w:r>
        <w:rPr>
          <w:sz w:val="24"/>
          <w:highlight w:val="none"/>
        </w:rPr>
        <w:t>式中，</w:t>
      </w:r>
    </w:p>
    <w:p>
      <w:pPr>
        <w:ind w:firstLine="480"/>
        <w:rPr>
          <w:sz w:val="24"/>
          <w:highlight w:val="none"/>
        </w:rPr>
      </w:pPr>
      <w:r>
        <w:rPr>
          <w:sz w:val="24"/>
          <w:highlight w:val="none"/>
        </w:rPr>
        <w:t>Q</w:t>
      </w:r>
      <w:r>
        <w:rPr>
          <w:sz w:val="24"/>
          <w:highlight w:val="none"/>
          <w:vertAlign w:val="subscript"/>
        </w:rPr>
        <w:t>井</w:t>
      </w:r>
      <w:r>
        <w:rPr>
          <w:sz w:val="24"/>
          <w:highlight w:val="none"/>
        </w:rPr>
        <w:t>—井灌回归量(10</w:t>
      </w:r>
      <w:r>
        <w:rPr>
          <w:sz w:val="24"/>
          <w:highlight w:val="none"/>
          <w:vertAlign w:val="superscript"/>
        </w:rPr>
        <w:t>4</w:t>
      </w:r>
      <w:r>
        <w:rPr>
          <w:sz w:val="24"/>
          <w:highlight w:val="none"/>
        </w:rPr>
        <w:t>m</w:t>
      </w:r>
      <w:r>
        <w:rPr>
          <w:sz w:val="24"/>
          <w:highlight w:val="none"/>
          <w:vertAlign w:val="superscript"/>
        </w:rPr>
        <w:t>3</w:t>
      </w:r>
      <w:r>
        <w:rPr>
          <w:sz w:val="24"/>
          <w:highlight w:val="none"/>
        </w:rPr>
        <w:t>/a)</w:t>
      </w:r>
    </w:p>
    <w:p>
      <w:pPr>
        <w:ind w:firstLine="480"/>
        <w:rPr>
          <w:sz w:val="24"/>
          <w:highlight w:val="none"/>
        </w:rPr>
      </w:pPr>
      <w:r>
        <w:rPr>
          <w:sz w:val="24"/>
          <w:highlight w:val="none"/>
        </w:rPr>
        <w:t>Q</w:t>
      </w:r>
      <w:r>
        <w:rPr>
          <w:sz w:val="24"/>
          <w:highlight w:val="none"/>
          <w:vertAlign w:val="subscript"/>
        </w:rPr>
        <w:t>农开</w:t>
      </w:r>
      <w:r>
        <w:rPr>
          <w:sz w:val="24"/>
          <w:highlight w:val="none"/>
        </w:rPr>
        <w:t>—农业开采量(10</w:t>
      </w:r>
      <w:r>
        <w:rPr>
          <w:sz w:val="24"/>
          <w:highlight w:val="none"/>
          <w:vertAlign w:val="superscript"/>
        </w:rPr>
        <w:t>4</w:t>
      </w:r>
      <w:r>
        <w:rPr>
          <w:sz w:val="24"/>
          <w:highlight w:val="none"/>
        </w:rPr>
        <w:t>m</w:t>
      </w:r>
      <w:r>
        <w:rPr>
          <w:sz w:val="24"/>
          <w:highlight w:val="none"/>
          <w:vertAlign w:val="superscript"/>
        </w:rPr>
        <w:t>3</w:t>
      </w:r>
      <w:r>
        <w:rPr>
          <w:sz w:val="24"/>
          <w:highlight w:val="none"/>
        </w:rPr>
        <w:t>/a)</w:t>
      </w:r>
    </w:p>
    <w:p>
      <w:pPr>
        <w:ind w:firstLine="480"/>
        <w:rPr>
          <w:sz w:val="24"/>
          <w:highlight w:val="none"/>
        </w:rPr>
      </w:pPr>
      <w:r>
        <w:rPr>
          <w:sz w:val="24"/>
          <w:highlight w:val="none"/>
        </w:rPr>
        <w:t>β—井灌回归系数</w:t>
      </w:r>
    </w:p>
    <w:p>
      <w:pPr>
        <w:ind w:firstLine="480"/>
        <w:rPr>
          <w:sz w:val="24"/>
          <w:szCs w:val="24"/>
          <w:highlight w:val="none"/>
        </w:rPr>
      </w:pPr>
      <w:r>
        <w:rPr>
          <w:rFonts w:hint="eastAsia"/>
          <w:sz w:val="24"/>
          <w:szCs w:val="24"/>
          <w:highlight w:val="none"/>
        </w:rPr>
        <w:t>d</w:t>
      </w:r>
      <w:r>
        <w:rPr>
          <w:sz w:val="24"/>
          <w:szCs w:val="24"/>
          <w:highlight w:val="none"/>
        </w:rPr>
        <w:t>.河流入渗</w:t>
      </w:r>
    </w:p>
    <w:p>
      <w:pPr>
        <w:ind w:firstLine="480"/>
        <w:rPr>
          <w:sz w:val="24"/>
          <w:szCs w:val="24"/>
          <w:highlight w:val="none"/>
        </w:rPr>
      </w:pPr>
      <w:r>
        <w:rPr>
          <w:sz w:val="24"/>
          <w:szCs w:val="24"/>
          <w:highlight w:val="none"/>
        </w:rPr>
        <w:t>模型中将</w:t>
      </w:r>
      <w:r>
        <w:rPr>
          <w:rFonts w:hint="eastAsia"/>
          <w:sz w:val="24"/>
          <w:szCs w:val="24"/>
          <w:highlight w:val="none"/>
        </w:rPr>
        <w:t>河流</w:t>
      </w:r>
      <w:r>
        <w:rPr>
          <w:sz w:val="24"/>
          <w:szCs w:val="24"/>
          <w:highlight w:val="none"/>
        </w:rPr>
        <w:t>作为第三类边界条件——混合边界（River）处理。因此，把河流水位和河流垂向渗透参数写入Visual Modflow中的River程序包，便可计算河</w:t>
      </w:r>
      <w:r>
        <w:rPr>
          <w:rFonts w:hint="eastAsia"/>
          <w:sz w:val="24"/>
          <w:szCs w:val="24"/>
          <w:highlight w:val="none"/>
        </w:rPr>
        <w:t>流</w:t>
      </w:r>
      <w:r>
        <w:rPr>
          <w:sz w:val="24"/>
          <w:szCs w:val="24"/>
          <w:highlight w:val="none"/>
        </w:rPr>
        <w:t>的渗漏补给。</w:t>
      </w:r>
    </w:p>
    <w:p>
      <w:pPr>
        <w:ind w:firstLine="480"/>
        <w:rPr>
          <w:sz w:val="24"/>
          <w:szCs w:val="24"/>
          <w:highlight w:val="none"/>
        </w:rPr>
      </w:pPr>
      <w:r>
        <w:rPr>
          <w:rFonts w:hint="eastAsia"/>
          <w:sz w:val="24"/>
          <w:szCs w:val="24"/>
          <w:highlight w:val="none"/>
        </w:rPr>
        <w:t>e</w:t>
      </w:r>
      <w:r>
        <w:rPr>
          <w:sz w:val="24"/>
          <w:szCs w:val="24"/>
          <w:highlight w:val="none"/>
        </w:rPr>
        <w:t>.人工开采量</w:t>
      </w:r>
    </w:p>
    <w:p>
      <w:pPr>
        <w:ind w:firstLine="480"/>
        <w:rPr>
          <w:sz w:val="24"/>
          <w:szCs w:val="24"/>
          <w:highlight w:val="none"/>
        </w:rPr>
      </w:pPr>
      <w:r>
        <w:rPr>
          <w:sz w:val="24"/>
          <w:szCs w:val="24"/>
          <w:highlight w:val="none"/>
        </w:rPr>
        <w:t>根据调查，评价区浅层地下水目前主要用于农业灌溉和人饮，少量用于工业开采。农业灌溉为面状开采，根据模拟区井浇地分布范围，并依据开采井的密度和单井抽水量进行分区，分别给出各区开采强度，加在模型对应的剖分网格单元上。</w:t>
      </w:r>
    </w:p>
    <w:p>
      <w:pPr>
        <w:ind w:firstLine="480"/>
        <w:rPr>
          <w:sz w:val="24"/>
          <w:szCs w:val="24"/>
          <w:highlight w:val="none"/>
        </w:rPr>
      </w:pPr>
      <w:r>
        <w:rPr>
          <w:rFonts w:hint="eastAsia"/>
          <w:sz w:val="24"/>
          <w:szCs w:val="24"/>
          <w:highlight w:val="none"/>
        </w:rPr>
        <w:t>f</w:t>
      </w:r>
      <w:r>
        <w:rPr>
          <w:sz w:val="24"/>
          <w:szCs w:val="24"/>
          <w:highlight w:val="none"/>
        </w:rPr>
        <w:t>.潜水蒸发</w:t>
      </w:r>
    </w:p>
    <w:p>
      <w:pPr>
        <w:ind w:firstLine="480"/>
        <w:rPr>
          <w:sz w:val="24"/>
          <w:szCs w:val="24"/>
          <w:highlight w:val="none"/>
        </w:rPr>
      </w:pPr>
      <w:r>
        <w:rPr>
          <w:sz w:val="24"/>
          <w:szCs w:val="24"/>
          <w:highlight w:val="none"/>
        </w:rPr>
        <w:t>潜水蒸发是指潜水（埋深小于4米时）在毛细管力的作用下向上运动，最终以参加陆面蒸散发形式散逸到大气中的水分损失量。评价期内潜水埋深均超过了4米，潜水蒸发量按零计。</w:t>
      </w:r>
    </w:p>
    <w:p>
      <w:pPr>
        <w:ind w:firstLine="480"/>
        <w:rPr>
          <w:sz w:val="24"/>
          <w:szCs w:val="24"/>
          <w:highlight w:val="none"/>
        </w:rPr>
      </w:pPr>
      <w:bookmarkStart w:id="375" w:name="_Toc1066"/>
      <w:bookmarkStart w:id="376" w:name="_Toc405317347"/>
      <w:bookmarkStart w:id="377" w:name="_Toc468693002"/>
      <w:bookmarkStart w:id="378" w:name="_Hlk514968884"/>
      <w:r>
        <w:rPr>
          <w:rFonts w:hint="eastAsia"/>
          <w:sz w:val="24"/>
          <w:szCs w:val="24"/>
          <w:highlight w:val="none"/>
        </w:rPr>
        <w:t>（4）</w:t>
      </w:r>
      <w:r>
        <w:rPr>
          <w:sz w:val="24"/>
          <w:szCs w:val="24"/>
          <w:highlight w:val="none"/>
        </w:rPr>
        <w:t>模型的识别与检验</w:t>
      </w:r>
      <w:bookmarkEnd w:id="375"/>
      <w:bookmarkEnd w:id="376"/>
      <w:bookmarkEnd w:id="377"/>
    </w:p>
    <w:p>
      <w:pPr>
        <w:widowControl/>
        <w:ind w:firstLine="480"/>
        <w:rPr>
          <w:sz w:val="24"/>
          <w:highlight w:val="none"/>
        </w:rPr>
      </w:pPr>
      <w:r>
        <w:rPr>
          <w:sz w:val="24"/>
          <w:highlight w:val="none"/>
        </w:rPr>
        <w:t>模型的识别与验证过程是整个模拟中极为重要的一步工作，通常要在反复修改参数和调整某些源汇项基础上才能达到较为理想的拟合结果。此模型的识别与检验过程采用的方法称为试估—校正法，属于反求参数的间接方法之一。为了确保模型求解的唯一性，在模型调试过程中充分利用各种定解条件，也就是用那些靠得住的实测资料，如边界断面流量、灌溉井开采量等来约束模型对原形的拟合。在模型调试过程中，还充分利用水文地质调查中获得的有关信息及计算者对水文地质条件的认识，来约束模型的调试和识别。</w:t>
      </w:r>
    </w:p>
    <w:p>
      <w:pPr>
        <w:tabs>
          <w:tab w:val="left" w:pos="900"/>
        </w:tabs>
        <w:ind w:firstLine="520"/>
        <w:rPr>
          <w:spacing w:val="10"/>
          <w:sz w:val="24"/>
          <w:highlight w:val="none"/>
        </w:rPr>
      </w:pPr>
      <w:r>
        <w:rPr>
          <w:spacing w:val="10"/>
          <w:sz w:val="24"/>
          <w:highlight w:val="none"/>
        </w:rPr>
        <w:t>运行计算程序，可得到这种水文地质概念模型在给定水文地质参数和各均衡项条件下的地下水位时空分布，通过拟合同时期的流场，识别水文地质参数、边界值和其它均衡项，使建立的模型更加符合模拟区的水文地质条件。</w:t>
      </w:r>
    </w:p>
    <w:p>
      <w:pPr>
        <w:ind w:firstLine="480"/>
        <w:rPr>
          <w:sz w:val="24"/>
          <w:highlight w:val="none"/>
        </w:rPr>
      </w:pPr>
      <w:r>
        <w:rPr>
          <w:sz w:val="24"/>
          <w:highlight w:val="none"/>
        </w:rPr>
        <w:t>模型的识别和验证主要遵循以下原则：</w:t>
      </w:r>
      <w:r>
        <w:rPr>
          <w:rFonts w:hint="eastAsia" w:ascii="宋体" w:hAnsi="宋体" w:cs="宋体"/>
          <w:sz w:val="24"/>
          <w:highlight w:val="none"/>
        </w:rPr>
        <w:t>①</w:t>
      </w:r>
      <w:r>
        <w:rPr>
          <w:sz w:val="24"/>
          <w:highlight w:val="none"/>
        </w:rPr>
        <w:t>模拟的地下水流场要与实际地下水流场基本一致，即要求地下水模拟等值线与实测地下水位等值线形状相似；</w:t>
      </w:r>
      <w:r>
        <w:rPr>
          <w:rFonts w:hint="eastAsia" w:ascii="宋体" w:hAnsi="宋体" w:cs="宋体"/>
          <w:sz w:val="24"/>
          <w:highlight w:val="none"/>
        </w:rPr>
        <w:t>②</w:t>
      </w:r>
      <w:r>
        <w:rPr>
          <w:sz w:val="24"/>
          <w:highlight w:val="none"/>
        </w:rPr>
        <w:t>从均衡的角度出发，模拟的地下水均衡变化与实际要基本相符；</w:t>
      </w:r>
      <w:r>
        <w:rPr>
          <w:rFonts w:hint="eastAsia" w:ascii="宋体" w:hAnsi="宋体" w:cs="宋体"/>
          <w:sz w:val="24"/>
          <w:highlight w:val="none"/>
        </w:rPr>
        <w:t>③</w:t>
      </w:r>
      <w:r>
        <w:rPr>
          <w:sz w:val="24"/>
          <w:highlight w:val="none"/>
        </w:rPr>
        <w:t>识别的水文地质参数要符合实际水文地质条件。根据以上三个原则，对模拟区地下水系统进行了识别和验证。通过反复模拟、识别验证后的水文地质参数较好的刻划了地下水系统的水文地质特征，基本反映了地下水随时间和空间的变化规律，使水位拟合误差较小，达到预期效果。识别验证后的平面流场（</w:t>
      </w:r>
      <w:r>
        <w:rPr>
          <w:rFonts w:hint="eastAsia"/>
          <w:sz w:val="24"/>
          <w:highlight w:val="none"/>
        </w:rPr>
        <w:t>图</w:t>
      </w:r>
      <w:r>
        <w:rPr>
          <w:sz w:val="24"/>
          <w:highlight w:val="none"/>
        </w:rPr>
        <w:t>5.2-</w:t>
      </w:r>
      <w:r>
        <w:rPr>
          <w:rFonts w:hint="eastAsia"/>
          <w:sz w:val="24"/>
          <w:highlight w:val="none"/>
        </w:rPr>
        <w:t>19</w:t>
      </w:r>
      <w:r>
        <w:rPr>
          <w:sz w:val="24"/>
          <w:highlight w:val="none"/>
        </w:rPr>
        <w:t>）和参数分区图见</w:t>
      </w:r>
      <w:r>
        <w:rPr>
          <w:rFonts w:hint="eastAsia"/>
          <w:sz w:val="24"/>
          <w:highlight w:val="none"/>
        </w:rPr>
        <w:t>图</w:t>
      </w:r>
      <w:r>
        <w:rPr>
          <w:sz w:val="24"/>
          <w:highlight w:val="none"/>
        </w:rPr>
        <w:t>5.2-</w:t>
      </w:r>
      <w:r>
        <w:rPr>
          <w:rFonts w:hint="eastAsia"/>
          <w:sz w:val="24"/>
          <w:highlight w:val="none"/>
        </w:rPr>
        <w:t>20</w:t>
      </w:r>
      <w:r>
        <w:rPr>
          <w:sz w:val="24"/>
          <w:highlight w:val="none"/>
        </w:rPr>
        <w:t>，参数值见表</w:t>
      </w:r>
      <w:r>
        <w:rPr>
          <w:rFonts w:hint="eastAsia"/>
          <w:sz w:val="24"/>
          <w:highlight w:val="none"/>
        </w:rPr>
        <w:t>5.2-28</w:t>
      </w:r>
      <w:r>
        <w:rPr>
          <w:sz w:val="24"/>
          <w:highlight w:val="none"/>
        </w:rPr>
        <w:t>。</w:t>
      </w:r>
    </w:p>
    <w:p>
      <w:pPr>
        <w:ind w:firstLine="480"/>
        <w:rPr>
          <w:bCs/>
          <w:sz w:val="24"/>
          <w:highlight w:val="none"/>
        </w:rPr>
      </w:pPr>
      <w:r>
        <w:rPr>
          <w:bCs/>
          <w:sz w:val="24"/>
          <w:highlight w:val="none"/>
        </w:rPr>
        <w:t>通过上述拟合对比，可以说明本次建立的地下水模型基本符合评价区实际水文地质条件，基本反映了地下水系统的流场特征，故利用该模型为基础，对建设区地下水环境影响进行预测评价是合理可信的。</w:t>
      </w:r>
    </w:p>
    <w:p>
      <w:pPr>
        <w:widowControl/>
        <w:ind w:firstLine="0" w:firstLineChars="0"/>
        <w:jc w:val="center"/>
        <w:rPr>
          <w:rFonts w:ascii="宋体" w:hAnsi="宋体" w:cs="宋体"/>
          <w:sz w:val="24"/>
          <w:szCs w:val="24"/>
          <w:highlight w:val="none"/>
        </w:rPr>
      </w:pPr>
      <w:r>
        <w:rPr>
          <w:rFonts w:ascii="宋体" w:hAnsi="宋体" w:cs="宋体"/>
          <w:highlight w:val="none"/>
          <w:lang w:bidi="ar"/>
        </w:rPr>
        <w:drawing>
          <wp:inline distT="0" distB="0" distL="114300" distR="114300">
            <wp:extent cx="5324475" cy="3631565"/>
            <wp:effectExtent l="0" t="0" r="9525" b="6985"/>
            <wp:docPr id="43"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descr="IMG_256"/>
                    <pic:cNvPicPr>
                      <a:picLocks noChangeAspect="1"/>
                    </pic:cNvPicPr>
                  </pic:nvPicPr>
                  <pic:blipFill>
                    <a:blip r:embed="rId91"/>
                    <a:srcRect l="1834" t="2649" r="465"/>
                    <a:stretch>
                      <a:fillRect/>
                    </a:stretch>
                  </pic:blipFill>
                  <pic:spPr>
                    <a:xfrm>
                      <a:off x="0" y="0"/>
                      <a:ext cx="5324475" cy="3631565"/>
                    </a:xfrm>
                    <a:prstGeom prst="rect">
                      <a:avLst/>
                    </a:prstGeom>
                    <a:noFill/>
                    <a:ln>
                      <a:noFill/>
                    </a:ln>
                  </pic:spPr>
                </pic:pic>
              </a:graphicData>
            </a:graphic>
          </wp:inline>
        </w:drawing>
      </w:r>
    </w:p>
    <w:p>
      <w:pPr>
        <w:widowControl/>
        <w:ind w:firstLine="0" w:firstLineChars="0"/>
        <w:jc w:val="center"/>
        <w:rPr>
          <w:rFonts w:eastAsia="黑体"/>
          <w:sz w:val="21"/>
          <w:szCs w:val="21"/>
          <w:highlight w:val="none"/>
          <w:lang w:val="zh-CN"/>
        </w:rPr>
      </w:pPr>
      <w:r>
        <w:rPr>
          <w:rFonts w:eastAsia="黑体"/>
          <w:sz w:val="21"/>
          <w:szCs w:val="21"/>
          <w:highlight w:val="none"/>
          <w:lang w:val="zh-CN"/>
        </w:rPr>
        <w:t>图5.2-</w:t>
      </w:r>
      <w:r>
        <w:rPr>
          <w:rFonts w:hint="eastAsia" w:eastAsia="黑体"/>
          <w:sz w:val="21"/>
          <w:szCs w:val="21"/>
          <w:highlight w:val="none"/>
        </w:rPr>
        <w:t>19</w:t>
      </w:r>
      <w:r>
        <w:rPr>
          <w:rFonts w:eastAsia="黑体"/>
          <w:sz w:val="21"/>
          <w:szCs w:val="21"/>
          <w:highlight w:val="none"/>
          <w:lang w:val="zh-CN"/>
        </w:rPr>
        <w:t xml:space="preserve">  潜水等水位线拟合图</w:t>
      </w:r>
      <w:bookmarkStart w:id="379" w:name="_Toc335353629"/>
      <w:bookmarkStart w:id="380" w:name="_Toc333490281"/>
    </w:p>
    <w:p>
      <w:pPr>
        <w:widowControl/>
        <w:ind w:firstLine="0" w:firstLineChars="0"/>
        <w:jc w:val="center"/>
        <w:rPr>
          <w:sz w:val="24"/>
          <w:szCs w:val="24"/>
          <w:highlight w:val="none"/>
        </w:rPr>
      </w:pPr>
      <w:r>
        <w:rPr>
          <w:rFonts w:ascii="宋体" w:hAnsi="宋体" w:cs="宋体"/>
          <w:highlight w:val="none"/>
          <w:lang w:bidi="ar"/>
        </w:rPr>
        <w:drawing>
          <wp:inline distT="0" distB="0" distL="114300" distR="114300">
            <wp:extent cx="5197475" cy="3753485"/>
            <wp:effectExtent l="0" t="0" r="3175" b="18415"/>
            <wp:docPr id="44"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descr="IMG_256"/>
                    <pic:cNvPicPr>
                      <a:picLocks noChangeAspect="1"/>
                    </pic:cNvPicPr>
                  </pic:nvPicPr>
                  <pic:blipFill>
                    <a:blip r:embed="rId92"/>
                    <a:srcRect l="1877" t="4651" r="2112" b="3720"/>
                    <a:stretch>
                      <a:fillRect/>
                    </a:stretch>
                  </pic:blipFill>
                  <pic:spPr>
                    <a:xfrm>
                      <a:off x="0" y="0"/>
                      <a:ext cx="5197475" cy="3753485"/>
                    </a:xfrm>
                    <a:prstGeom prst="rect">
                      <a:avLst/>
                    </a:prstGeom>
                    <a:noFill/>
                    <a:ln>
                      <a:noFill/>
                    </a:ln>
                  </pic:spPr>
                </pic:pic>
              </a:graphicData>
            </a:graphic>
          </wp:inline>
        </w:drawing>
      </w:r>
    </w:p>
    <w:p>
      <w:pPr>
        <w:widowControl/>
        <w:ind w:firstLine="0" w:firstLineChars="0"/>
        <w:jc w:val="center"/>
        <w:rPr>
          <w:sz w:val="24"/>
          <w:szCs w:val="24"/>
          <w:highlight w:val="none"/>
        </w:rPr>
      </w:pPr>
      <w:r>
        <w:rPr>
          <w:rFonts w:eastAsia="黑体"/>
          <w:sz w:val="21"/>
          <w:szCs w:val="21"/>
          <w:highlight w:val="none"/>
          <w:lang w:val="zh-CN"/>
        </w:rPr>
        <w:t>图5.2-</w:t>
      </w:r>
      <w:bookmarkStart w:id="381" w:name="_Toc306189241"/>
      <w:r>
        <w:rPr>
          <w:rFonts w:hint="eastAsia" w:eastAsia="黑体"/>
          <w:sz w:val="21"/>
          <w:szCs w:val="21"/>
          <w:highlight w:val="none"/>
        </w:rPr>
        <w:t>20</w:t>
      </w:r>
      <w:r>
        <w:rPr>
          <w:rFonts w:eastAsia="黑体"/>
          <w:sz w:val="21"/>
          <w:szCs w:val="21"/>
          <w:highlight w:val="none"/>
          <w:lang w:val="zh-CN"/>
        </w:rPr>
        <w:t xml:space="preserve"> 含水层参数分区图</w:t>
      </w:r>
      <w:bookmarkEnd w:id="381"/>
    </w:p>
    <w:p>
      <w:pPr>
        <w:widowControl/>
        <w:ind w:firstLine="0" w:firstLineChars="0"/>
        <w:jc w:val="center"/>
        <w:rPr>
          <w:rFonts w:eastAsia="黑体"/>
          <w:kern w:val="2"/>
          <w:sz w:val="21"/>
          <w:szCs w:val="21"/>
          <w:highlight w:val="none"/>
        </w:rPr>
      </w:pPr>
      <w:r>
        <w:rPr>
          <w:rFonts w:eastAsia="黑体"/>
          <w:kern w:val="2"/>
          <w:sz w:val="21"/>
          <w:szCs w:val="21"/>
          <w:highlight w:val="none"/>
        </w:rPr>
        <w:t>表5.2-</w:t>
      </w:r>
      <w:r>
        <w:rPr>
          <w:rFonts w:hint="eastAsia" w:eastAsia="黑体"/>
          <w:kern w:val="2"/>
          <w:sz w:val="21"/>
          <w:szCs w:val="21"/>
          <w:highlight w:val="none"/>
        </w:rPr>
        <w:t xml:space="preserve">17   </w:t>
      </w:r>
      <w:r>
        <w:rPr>
          <w:rFonts w:eastAsia="黑体"/>
          <w:kern w:val="2"/>
          <w:sz w:val="21"/>
          <w:szCs w:val="21"/>
          <w:highlight w:val="none"/>
        </w:rPr>
        <w:t>模型识别与验证后参数取值表</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1"/>
        <w:gridCol w:w="2840"/>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841"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分区号</w:t>
            </w:r>
          </w:p>
        </w:tc>
        <w:tc>
          <w:tcPr>
            <w:tcW w:w="2840"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渗透系数 (m/d)</w:t>
            </w:r>
          </w:p>
        </w:tc>
        <w:tc>
          <w:tcPr>
            <w:tcW w:w="2841" w:type="dxa"/>
            <w:tcBorders>
              <w:top w:val="single" w:color="auto" w:sz="4" w:space="0"/>
              <w:bottom w:val="single" w:color="auto" w:sz="4" w:space="0"/>
            </w:tcBorders>
            <w:vAlign w:val="center"/>
          </w:tcPr>
          <w:p>
            <w:pPr>
              <w:spacing w:line="240" w:lineRule="auto"/>
              <w:ind w:firstLine="0" w:firstLineChars="0"/>
              <w:jc w:val="center"/>
              <w:rPr>
                <w:sz w:val="21"/>
                <w:szCs w:val="21"/>
                <w:highlight w:val="none"/>
              </w:rPr>
            </w:pPr>
            <w:r>
              <w:rPr>
                <w:sz w:val="21"/>
                <w:szCs w:val="21"/>
                <w:highlight w:val="none"/>
              </w:rPr>
              <w:t>给水度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841" w:type="dxa"/>
            <w:tcBorders>
              <w:top w:val="single" w:color="auto" w:sz="4" w:space="0"/>
            </w:tcBorders>
            <w:vAlign w:val="center"/>
          </w:tcPr>
          <w:p>
            <w:pPr>
              <w:tabs>
                <w:tab w:val="left" w:pos="0"/>
                <w:tab w:val="left" w:pos="251"/>
              </w:tabs>
              <w:spacing w:line="240" w:lineRule="auto"/>
              <w:ind w:firstLine="0" w:firstLineChars="0"/>
              <w:jc w:val="center"/>
              <w:rPr>
                <w:sz w:val="21"/>
                <w:szCs w:val="21"/>
                <w:highlight w:val="none"/>
              </w:rPr>
            </w:pPr>
            <w:r>
              <w:rPr>
                <w:sz w:val="21"/>
                <w:szCs w:val="21"/>
                <w:highlight w:val="none"/>
              </w:rPr>
              <w:t>1</w:t>
            </w:r>
          </w:p>
        </w:tc>
        <w:tc>
          <w:tcPr>
            <w:tcW w:w="2840" w:type="dxa"/>
            <w:tcBorders>
              <w:top w:val="single" w:color="auto" w:sz="4" w:space="0"/>
            </w:tcBorders>
            <w:vAlign w:val="center"/>
          </w:tcPr>
          <w:p>
            <w:pPr>
              <w:tabs>
                <w:tab w:val="left" w:pos="0"/>
                <w:tab w:val="left" w:pos="251"/>
              </w:tabs>
              <w:spacing w:line="240" w:lineRule="auto"/>
              <w:ind w:firstLine="0" w:firstLineChars="0"/>
              <w:jc w:val="center"/>
              <w:rPr>
                <w:sz w:val="21"/>
                <w:szCs w:val="21"/>
                <w:highlight w:val="none"/>
              </w:rPr>
            </w:pPr>
            <w:r>
              <w:rPr>
                <w:rFonts w:hint="eastAsia"/>
                <w:sz w:val="21"/>
                <w:szCs w:val="21"/>
                <w:highlight w:val="none"/>
              </w:rPr>
              <w:t>29.7</w:t>
            </w:r>
          </w:p>
        </w:tc>
        <w:tc>
          <w:tcPr>
            <w:tcW w:w="2841" w:type="dxa"/>
            <w:tcBorders>
              <w:top w:val="single" w:color="auto" w:sz="4" w:space="0"/>
            </w:tcBorders>
            <w:vAlign w:val="center"/>
          </w:tcPr>
          <w:p>
            <w:pPr>
              <w:tabs>
                <w:tab w:val="left" w:pos="0"/>
                <w:tab w:val="left" w:pos="251"/>
              </w:tabs>
              <w:spacing w:line="240" w:lineRule="auto"/>
              <w:ind w:firstLine="0" w:firstLineChars="0"/>
              <w:jc w:val="center"/>
              <w:rPr>
                <w:sz w:val="21"/>
                <w:szCs w:val="21"/>
                <w:highlight w:val="none"/>
              </w:rPr>
            </w:pPr>
            <w:r>
              <w:rPr>
                <w:rFonts w:hint="eastAsia"/>
                <w:sz w:val="21"/>
                <w:szCs w:val="21"/>
                <w:highlight w:val="none"/>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841" w:type="dxa"/>
            <w:vAlign w:val="center"/>
          </w:tcPr>
          <w:p>
            <w:pPr>
              <w:tabs>
                <w:tab w:val="left" w:pos="0"/>
                <w:tab w:val="left" w:pos="251"/>
              </w:tabs>
              <w:spacing w:line="240" w:lineRule="auto"/>
              <w:ind w:firstLine="0" w:firstLineChars="0"/>
              <w:jc w:val="center"/>
              <w:rPr>
                <w:sz w:val="21"/>
                <w:szCs w:val="21"/>
                <w:highlight w:val="none"/>
              </w:rPr>
            </w:pPr>
            <w:r>
              <w:rPr>
                <w:rFonts w:hint="eastAsia"/>
                <w:sz w:val="21"/>
                <w:szCs w:val="21"/>
                <w:highlight w:val="none"/>
              </w:rPr>
              <w:t>2</w:t>
            </w:r>
          </w:p>
        </w:tc>
        <w:tc>
          <w:tcPr>
            <w:tcW w:w="2840" w:type="dxa"/>
            <w:vAlign w:val="center"/>
          </w:tcPr>
          <w:p>
            <w:pPr>
              <w:tabs>
                <w:tab w:val="left" w:pos="0"/>
                <w:tab w:val="left" w:pos="251"/>
              </w:tabs>
              <w:spacing w:line="240" w:lineRule="auto"/>
              <w:ind w:firstLine="0" w:firstLineChars="0"/>
              <w:jc w:val="center"/>
              <w:rPr>
                <w:sz w:val="21"/>
                <w:szCs w:val="21"/>
                <w:highlight w:val="none"/>
              </w:rPr>
            </w:pPr>
            <w:r>
              <w:rPr>
                <w:rFonts w:hint="eastAsia"/>
                <w:sz w:val="21"/>
                <w:szCs w:val="21"/>
                <w:highlight w:val="none"/>
              </w:rPr>
              <w:t>23.2</w:t>
            </w:r>
          </w:p>
        </w:tc>
        <w:tc>
          <w:tcPr>
            <w:tcW w:w="2841" w:type="dxa"/>
            <w:vAlign w:val="center"/>
          </w:tcPr>
          <w:p>
            <w:pPr>
              <w:tabs>
                <w:tab w:val="left" w:pos="0"/>
                <w:tab w:val="left" w:pos="251"/>
              </w:tabs>
              <w:spacing w:line="240" w:lineRule="auto"/>
              <w:ind w:firstLine="0" w:firstLineChars="0"/>
              <w:jc w:val="center"/>
              <w:rPr>
                <w:sz w:val="21"/>
                <w:szCs w:val="21"/>
                <w:highlight w:val="none"/>
              </w:rPr>
            </w:pPr>
            <w:r>
              <w:rPr>
                <w:rFonts w:hint="eastAsia"/>
                <w:sz w:val="21"/>
                <w:szCs w:val="21"/>
                <w:highlight w:val="none"/>
              </w:rPr>
              <w:t>0.19</w:t>
            </w:r>
          </w:p>
        </w:tc>
      </w:tr>
      <w:bookmarkEnd w:id="379"/>
      <w:bookmarkEnd w:id="380"/>
    </w:tbl>
    <w:p>
      <w:pPr>
        <w:autoSpaceDE w:val="0"/>
        <w:autoSpaceDN w:val="0"/>
        <w:ind w:firstLine="482"/>
        <w:rPr>
          <w:b/>
          <w:bCs/>
          <w:sz w:val="24"/>
          <w:highlight w:val="none"/>
        </w:rPr>
      </w:pPr>
      <w:bookmarkStart w:id="382" w:name="_Toc468693003"/>
      <w:bookmarkStart w:id="383" w:name="_Toc19375"/>
      <w:bookmarkStart w:id="384" w:name="_Toc5983"/>
      <w:bookmarkStart w:id="385" w:name="_Toc23124"/>
      <w:bookmarkStart w:id="386" w:name="_Toc358498106"/>
      <w:bookmarkStart w:id="387" w:name="_Toc361924681"/>
      <w:r>
        <w:rPr>
          <w:rFonts w:hint="eastAsia"/>
          <w:b/>
          <w:bCs/>
          <w:sz w:val="24"/>
          <w:highlight w:val="none"/>
        </w:rPr>
        <w:t>（5）</w:t>
      </w:r>
      <w:r>
        <w:rPr>
          <w:b/>
          <w:bCs/>
          <w:sz w:val="24"/>
          <w:highlight w:val="none"/>
        </w:rPr>
        <w:t>地下水污染模拟预测</w:t>
      </w:r>
      <w:bookmarkEnd w:id="382"/>
      <w:bookmarkEnd w:id="383"/>
      <w:bookmarkEnd w:id="384"/>
      <w:bookmarkEnd w:id="385"/>
      <w:bookmarkEnd w:id="386"/>
      <w:bookmarkEnd w:id="387"/>
    </w:p>
    <w:p>
      <w:pPr>
        <w:ind w:firstLine="480"/>
        <w:rPr>
          <w:sz w:val="24"/>
          <w:highlight w:val="none"/>
        </w:rPr>
      </w:pPr>
      <w:r>
        <w:rPr>
          <w:sz w:val="24"/>
          <w:highlight w:val="none"/>
        </w:rPr>
        <w:t>本次工作已用GMS 7.1中Modflow模块建立了水流模型，在此基础上，可利用GMS7.1中的MT3DMS模块进一步来模拟预测地下水中污染质的运移情况。</w:t>
      </w:r>
    </w:p>
    <w:p>
      <w:pPr>
        <w:ind w:firstLine="480"/>
        <w:rPr>
          <w:sz w:val="24"/>
          <w:highlight w:val="none"/>
        </w:rPr>
      </w:pPr>
      <w:r>
        <w:rPr>
          <w:sz w:val="24"/>
          <w:highlight w:val="none"/>
        </w:rPr>
        <w:t>本次地下水污染模拟过程未考虑污染物在含水层中的吸附、挥发、生物化学反应，模型中各项参数予以保守性考虑。这样选择的理由是：</w:t>
      </w:r>
    </w:p>
    <w:p>
      <w:pPr>
        <w:ind w:firstLine="480"/>
        <w:rPr>
          <w:sz w:val="24"/>
          <w:highlight w:val="none"/>
        </w:rPr>
      </w:pPr>
      <w:r>
        <w:rPr>
          <w:sz w:val="24"/>
          <w:highlight w:val="none"/>
        </w:rPr>
        <w:t>从保守性角度考虑，假设污染质在运移中不与含水层介质发生反应，可以被认为是保守型污染质，只按保守型污染质来计算，即只考虑运移过程中的对流、弥散作用。</w:t>
      </w:r>
    </w:p>
    <w:p>
      <w:pPr>
        <w:ind w:firstLine="480"/>
        <w:rPr>
          <w:sz w:val="24"/>
          <w:highlight w:val="none"/>
        </w:rPr>
      </w:pPr>
      <w:r>
        <w:rPr>
          <w:sz w:val="24"/>
          <w:highlight w:val="none"/>
        </w:rPr>
        <w:t>有机污染物在地下水中的运移非常复杂，影响因素除对流、弥散作用以外，还存在物理、化学、微生物等作用，这些作用常常会使污染质浓度衰减。目前国际上对这些作用参数的准确获取还存在着困难。</w:t>
      </w:r>
    </w:p>
    <w:p>
      <w:pPr>
        <w:ind w:firstLine="480"/>
        <w:rPr>
          <w:sz w:val="24"/>
          <w:highlight w:val="none"/>
        </w:rPr>
      </w:pPr>
      <w:r>
        <w:rPr>
          <w:sz w:val="24"/>
          <w:highlight w:val="none"/>
        </w:rPr>
        <w:t>在国际上有很多用保守型污染物作为模拟因子的环境质量评价的成功实例，保守型考虑符合工程设计的思想。</w:t>
      </w:r>
    </w:p>
    <w:p>
      <w:pPr>
        <w:ind w:firstLine="480"/>
        <w:rPr>
          <w:sz w:val="24"/>
          <w:highlight w:val="none"/>
        </w:rPr>
      </w:pPr>
      <w:bookmarkStart w:id="388" w:name="_Toc339979658"/>
      <w:bookmarkEnd w:id="388"/>
      <w:bookmarkStart w:id="389" w:name="_Toc361924682"/>
      <w:r>
        <w:rPr>
          <w:rFonts w:hint="eastAsia"/>
          <w:sz w:val="24"/>
          <w:highlight w:val="none"/>
        </w:rPr>
        <w:t>①</w:t>
      </w:r>
      <w:r>
        <w:rPr>
          <w:sz w:val="24"/>
          <w:highlight w:val="none"/>
        </w:rPr>
        <w:t>溶质运移数学模型</w:t>
      </w:r>
      <w:bookmarkEnd w:id="389"/>
    </w:p>
    <w:p>
      <w:pPr>
        <w:ind w:firstLine="480"/>
        <w:rPr>
          <w:sz w:val="24"/>
          <w:highlight w:val="none"/>
        </w:rPr>
      </w:pPr>
      <w:r>
        <w:rPr>
          <w:sz w:val="24"/>
          <w:highlight w:val="none"/>
        </w:rPr>
        <w:t>地下水中溶质运移的数学模型可表示为：</w:t>
      </w:r>
    </w:p>
    <w:p>
      <w:pPr>
        <w:ind w:firstLine="480"/>
        <w:jc w:val="right"/>
        <w:rPr>
          <w:sz w:val="24"/>
          <w:highlight w:val="none"/>
        </w:rPr>
      </w:pPr>
      <w:r>
        <w:rPr>
          <w:position w:val="-30"/>
          <w:sz w:val="24"/>
          <w:highlight w:val="none"/>
        </w:rPr>
        <w:object>
          <v:shape id="_x0000_i1040" o:spt="75" type="#_x0000_t75" style="height:36.5pt;width:196pt;" o:ole="t" filled="f" o:preferrelative="t" stroked="f" coordsize="21600,21600">
            <v:path/>
            <v:fill on="f" focussize="0,0"/>
            <v:stroke on="f" joinstyle="miter"/>
            <v:imagedata r:id="rId94" o:title=""/>
            <o:lock v:ext="edit" aspectratio="t"/>
            <w10:wrap type="none"/>
            <w10:anchorlock/>
          </v:shape>
          <o:OLEObject Type="Embed" ProgID="Equation.3" ShapeID="_x0000_i1040" DrawAspect="Content" ObjectID="_1468075740" r:id="rId93">
            <o:LockedField>false</o:LockedField>
          </o:OLEObject>
        </w:object>
      </w:r>
      <w:r>
        <w:rPr>
          <w:sz w:val="24"/>
          <w:highlight w:val="none"/>
        </w:rPr>
        <w:t>（</w:t>
      </w:r>
      <w:r>
        <w:rPr>
          <w:rFonts w:hint="eastAsia"/>
          <w:sz w:val="24"/>
          <w:highlight w:val="none"/>
        </w:rPr>
        <w:t>5.2-11</w:t>
      </w:r>
      <w:r>
        <w:rPr>
          <w:sz w:val="24"/>
          <w:highlight w:val="none"/>
        </w:rPr>
        <w:t>）</w:t>
      </w:r>
    </w:p>
    <w:p>
      <w:pPr>
        <w:widowControl/>
        <w:ind w:firstLine="480"/>
        <w:rPr>
          <w:sz w:val="24"/>
          <w:szCs w:val="24"/>
          <w:highlight w:val="none"/>
        </w:rPr>
      </w:pPr>
      <w:r>
        <w:rPr>
          <w:sz w:val="24"/>
          <w:szCs w:val="24"/>
          <w:highlight w:val="none"/>
        </w:rPr>
        <w:t>式中，</w:t>
      </w:r>
    </w:p>
    <w:p>
      <w:pPr>
        <w:widowControl/>
        <w:ind w:firstLine="480"/>
        <w:rPr>
          <w:sz w:val="24"/>
          <w:szCs w:val="24"/>
          <w:highlight w:val="none"/>
        </w:rPr>
      </w:pPr>
      <w:r>
        <w:rPr>
          <w:position w:val="-6"/>
          <w:sz w:val="24"/>
          <w:szCs w:val="24"/>
          <w:highlight w:val="none"/>
        </w:rPr>
        <w:object>
          <v:shape id="_x0000_i1041" o:spt="75" type="#_x0000_t75" style="height:14.5pt;width:10pt;" o:ole="t" filled="f" o:preferrelative="t" stroked="f" coordsize="21600,21600">
            <v:path/>
            <v:fill on="f" focussize="0,0"/>
            <v:stroke on="f" joinstyle="miter"/>
            <v:imagedata r:id="rId96" o:title=""/>
            <o:lock v:ext="edit" aspectratio="t"/>
            <w10:wrap type="none"/>
            <w10:anchorlock/>
          </v:shape>
          <o:OLEObject Type="Embed" ProgID="Equation.3" ShapeID="_x0000_i1041" DrawAspect="Content" ObjectID="_1468075741" r:id="rId95">
            <o:LockedField>false</o:LockedField>
          </o:OLEObject>
        </w:object>
      </w:r>
      <w:r>
        <w:rPr>
          <w:sz w:val="24"/>
          <w:szCs w:val="24"/>
          <w:highlight w:val="none"/>
        </w:rPr>
        <w:t>—介质孔隙度，无量纲；</w:t>
      </w:r>
    </w:p>
    <w:p>
      <w:pPr>
        <w:widowControl/>
        <w:ind w:firstLine="480"/>
        <w:rPr>
          <w:sz w:val="24"/>
          <w:szCs w:val="24"/>
          <w:highlight w:val="none"/>
        </w:rPr>
      </w:pPr>
      <w:r>
        <w:rPr>
          <w:i/>
          <w:sz w:val="24"/>
          <w:szCs w:val="24"/>
          <w:highlight w:val="none"/>
        </w:rPr>
        <w:t>C</w:t>
      </w:r>
      <w:r>
        <w:rPr>
          <w:sz w:val="24"/>
          <w:szCs w:val="24"/>
          <w:highlight w:val="none"/>
        </w:rPr>
        <w:t>—组分的浓度，mg/L；</w:t>
      </w:r>
    </w:p>
    <w:p>
      <w:pPr>
        <w:widowControl/>
        <w:ind w:firstLine="480"/>
        <w:rPr>
          <w:sz w:val="24"/>
          <w:szCs w:val="24"/>
          <w:highlight w:val="none"/>
        </w:rPr>
      </w:pPr>
      <w:r>
        <w:rPr>
          <w:i/>
          <w:sz w:val="24"/>
          <w:szCs w:val="24"/>
          <w:highlight w:val="none"/>
        </w:rPr>
        <w:t>t</w:t>
      </w:r>
      <w:r>
        <w:rPr>
          <w:sz w:val="24"/>
          <w:szCs w:val="24"/>
          <w:highlight w:val="none"/>
        </w:rPr>
        <w:t xml:space="preserve"> —时间，d；</w:t>
      </w:r>
    </w:p>
    <w:p>
      <w:pPr>
        <w:widowControl/>
        <w:ind w:firstLine="480"/>
        <w:rPr>
          <w:sz w:val="24"/>
          <w:szCs w:val="24"/>
          <w:highlight w:val="none"/>
        </w:rPr>
      </w:pPr>
      <w:r>
        <w:rPr>
          <w:i/>
          <w:sz w:val="24"/>
          <w:szCs w:val="24"/>
          <w:highlight w:val="none"/>
        </w:rPr>
        <w:t>x</w:t>
      </w:r>
      <w:r>
        <w:rPr>
          <w:sz w:val="24"/>
          <w:szCs w:val="24"/>
          <w:highlight w:val="none"/>
        </w:rPr>
        <w:t>，</w:t>
      </w:r>
      <w:r>
        <w:rPr>
          <w:i/>
          <w:sz w:val="24"/>
          <w:szCs w:val="24"/>
          <w:highlight w:val="none"/>
        </w:rPr>
        <w:t>y</w:t>
      </w:r>
      <w:r>
        <w:rPr>
          <w:sz w:val="24"/>
          <w:szCs w:val="24"/>
          <w:highlight w:val="none"/>
        </w:rPr>
        <w:t>，</w:t>
      </w:r>
      <w:r>
        <w:rPr>
          <w:i/>
          <w:sz w:val="24"/>
          <w:szCs w:val="24"/>
          <w:highlight w:val="none"/>
        </w:rPr>
        <w:t>z</w:t>
      </w:r>
      <w:r>
        <w:rPr>
          <w:sz w:val="24"/>
          <w:szCs w:val="24"/>
          <w:highlight w:val="none"/>
        </w:rPr>
        <w:t>—空间位置坐标，m；</w:t>
      </w:r>
    </w:p>
    <w:p>
      <w:pPr>
        <w:widowControl/>
        <w:ind w:firstLine="480"/>
        <w:rPr>
          <w:sz w:val="24"/>
          <w:szCs w:val="24"/>
          <w:highlight w:val="none"/>
        </w:rPr>
      </w:pPr>
      <w:r>
        <w:rPr>
          <w:i/>
          <w:sz w:val="24"/>
          <w:szCs w:val="24"/>
          <w:highlight w:val="none"/>
        </w:rPr>
        <w:t>D</w:t>
      </w:r>
      <w:r>
        <w:rPr>
          <w:i/>
          <w:sz w:val="24"/>
          <w:szCs w:val="24"/>
          <w:highlight w:val="none"/>
          <w:vertAlign w:val="subscript"/>
        </w:rPr>
        <w:t>ij</w:t>
      </w:r>
      <w:r>
        <w:rPr>
          <w:sz w:val="24"/>
          <w:szCs w:val="24"/>
          <w:highlight w:val="none"/>
        </w:rPr>
        <w:t>—水动力弥散系数张量，m</w:t>
      </w:r>
      <w:r>
        <w:rPr>
          <w:sz w:val="24"/>
          <w:szCs w:val="24"/>
          <w:highlight w:val="none"/>
          <w:vertAlign w:val="superscript"/>
        </w:rPr>
        <w:t>2</w:t>
      </w:r>
      <w:r>
        <w:rPr>
          <w:sz w:val="24"/>
          <w:szCs w:val="24"/>
          <w:highlight w:val="none"/>
        </w:rPr>
        <w:t>/d；</w:t>
      </w:r>
    </w:p>
    <w:p>
      <w:pPr>
        <w:widowControl/>
        <w:ind w:firstLine="480"/>
        <w:rPr>
          <w:sz w:val="24"/>
          <w:szCs w:val="24"/>
          <w:highlight w:val="none"/>
        </w:rPr>
      </w:pPr>
      <w:r>
        <w:rPr>
          <w:i/>
          <w:sz w:val="24"/>
          <w:szCs w:val="24"/>
          <w:highlight w:val="none"/>
        </w:rPr>
        <w:t>V</w:t>
      </w:r>
      <w:r>
        <w:rPr>
          <w:i/>
          <w:sz w:val="24"/>
          <w:szCs w:val="24"/>
          <w:highlight w:val="none"/>
          <w:vertAlign w:val="subscript"/>
        </w:rPr>
        <w:t>i</w:t>
      </w:r>
      <w:r>
        <w:rPr>
          <w:sz w:val="24"/>
          <w:szCs w:val="24"/>
          <w:highlight w:val="none"/>
        </w:rPr>
        <w:t>—地下水渗流速度张量，m/d；</w:t>
      </w:r>
    </w:p>
    <w:p>
      <w:pPr>
        <w:widowControl/>
        <w:ind w:firstLine="480"/>
        <w:rPr>
          <w:sz w:val="24"/>
          <w:szCs w:val="24"/>
          <w:highlight w:val="none"/>
        </w:rPr>
      </w:pPr>
      <w:r>
        <w:rPr>
          <w:i/>
          <w:sz w:val="24"/>
          <w:szCs w:val="24"/>
          <w:highlight w:val="none"/>
        </w:rPr>
        <w:t>W</w:t>
      </w:r>
      <w:r>
        <w:rPr>
          <w:sz w:val="24"/>
          <w:szCs w:val="24"/>
          <w:highlight w:val="none"/>
        </w:rPr>
        <w:t>—水流的源和汇，m</w:t>
      </w:r>
      <w:r>
        <w:rPr>
          <w:sz w:val="24"/>
          <w:szCs w:val="24"/>
          <w:highlight w:val="none"/>
          <w:vertAlign w:val="superscript"/>
        </w:rPr>
        <w:t>3</w:t>
      </w:r>
      <w:r>
        <w:rPr>
          <w:sz w:val="24"/>
          <w:szCs w:val="24"/>
          <w:highlight w:val="none"/>
        </w:rPr>
        <w:t>/d；</w:t>
      </w:r>
    </w:p>
    <w:p>
      <w:pPr>
        <w:widowControl/>
        <w:ind w:firstLine="480"/>
        <w:rPr>
          <w:sz w:val="24"/>
          <w:szCs w:val="24"/>
          <w:highlight w:val="none"/>
        </w:rPr>
      </w:pPr>
      <w:r>
        <w:rPr>
          <w:i/>
          <w:sz w:val="24"/>
          <w:szCs w:val="24"/>
          <w:highlight w:val="none"/>
        </w:rPr>
        <w:t>C</w:t>
      </w:r>
      <w:r>
        <w:rPr>
          <w:i/>
          <w:sz w:val="24"/>
          <w:szCs w:val="24"/>
          <w:highlight w:val="none"/>
          <w:vertAlign w:val="subscript"/>
        </w:rPr>
        <w:t>s</w:t>
      </w:r>
      <w:r>
        <w:rPr>
          <w:sz w:val="24"/>
          <w:szCs w:val="24"/>
          <w:highlight w:val="none"/>
        </w:rPr>
        <w:t>—组分的浓度，mg/L；</w:t>
      </w:r>
    </w:p>
    <w:p>
      <w:pPr>
        <w:ind w:firstLine="480"/>
        <w:rPr>
          <w:sz w:val="24"/>
          <w:highlight w:val="none"/>
        </w:rPr>
      </w:pPr>
      <w:r>
        <w:rPr>
          <w:rFonts w:hint="eastAsia"/>
          <w:sz w:val="24"/>
          <w:highlight w:val="none"/>
        </w:rPr>
        <w:t>②</w:t>
      </w:r>
      <w:r>
        <w:rPr>
          <w:sz w:val="24"/>
          <w:highlight w:val="none"/>
        </w:rPr>
        <w:t>弥散度的确定</w:t>
      </w:r>
    </w:p>
    <w:p>
      <w:pPr>
        <w:ind w:firstLine="480"/>
        <w:rPr>
          <w:sz w:val="24"/>
          <w:highlight w:val="none"/>
        </w:rPr>
      </w:pPr>
      <w:r>
        <w:rPr>
          <w:sz w:val="24"/>
          <w:highlight w:val="none"/>
        </w:rPr>
        <w:t>地质介质中溶质运移主要受渗透系数在空间上变化的制约，即地质介质的结构影响。这一空间上变化影响到地下水流速，从而影响到溶质的对流与弥散。通常空隙介质中的弥散度随着溶质运移距离的增加而加大，这种现象称之为水动力弥散尺度效应。其具体表现为：野外弥散试验所求出的弥散度远远大于在实验室所测出的值，相差可达4-5个数量级；即使是同一含水层，溶质运移距离越大，所计算出的弥散度也越大。越来越多的室内外弥散试验不断地证实了空隙介质中水动力弥散尺度效应的存在。</w:t>
      </w:r>
    </w:p>
    <w:p>
      <w:pPr>
        <w:ind w:firstLine="480"/>
        <w:rPr>
          <w:sz w:val="24"/>
          <w:highlight w:val="none"/>
        </w:rPr>
      </w:pPr>
      <w:r>
        <w:rPr>
          <w:sz w:val="24"/>
          <w:highlight w:val="none"/>
        </w:rPr>
        <w:t>据环保部环境工程评估中心在北京组织召开了《环境影响评价技术导则地下水环境》（HJ610-</w:t>
      </w:r>
      <w:r>
        <w:rPr>
          <w:rFonts w:hint="eastAsia"/>
          <w:sz w:val="24"/>
          <w:highlight w:val="none"/>
        </w:rPr>
        <w:t>2016</w:t>
      </w:r>
      <w:r>
        <w:rPr>
          <w:sz w:val="24"/>
          <w:highlight w:val="none"/>
        </w:rPr>
        <w:t>）专家研讨会，与会水文地质专家一致认为弥散试验的结果受试验场地的尺度效应影响明显，其结果应用受到很大的局限性。因此，一般不推荐开展弥散试验工作。</w:t>
      </w:r>
    </w:p>
    <w:p>
      <w:pPr>
        <w:ind w:firstLine="480"/>
        <w:rPr>
          <w:sz w:val="24"/>
          <w:highlight w:val="none"/>
        </w:rPr>
      </w:pPr>
      <w:r>
        <w:rPr>
          <w:sz w:val="24"/>
          <w:highlight w:val="none"/>
        </w:rPr>
        <w:t>许多研究者都曾用类似的图说明水动力弥散的尺度效应。Geihar等（1992）将59个不同现场所获得的弥散度按含水层类型、水力学特征、地下水流动状态、观测网类别、示踪剂类型、数据的获取方法、水质模型的尺度等整理后，对弥散度增大的规律进行了讨论。Neuman（1991）根据前人文献中所记载的130余个纵向弥散度进行了线性回归分析，并综合前人发展的准线性扩散理论，对尺度效应进行了解释与讨论。李国敏等（1995）综合了前人文献中记录的弥散度数值按介质类型（孔隙与非孔隙的裂隙等介质）、模型类别（解析模型与数值模型）等分别作出弥散度与基准尺度的双对数分布，并分别给出了不同介质中使用不同模型所求出参数的分维数。如前述分析，由于水动力弥散尺度效应的存在，难以通过野外或室内弥散试验获得真实的弥散度。因此，由于水动力弥散尺度效应的存在，本次工作参考前人的研究成果，和类似溶质运移模拟的经验，从保守角度考虑，取弥散度参数值取10m。</w:t>
      </w:r>
    </w:p>
    <w:p>
      <w:pPr>
        <w:ind w:firstLine="480"/>
        <w:jc w:val="center"/>
        <w:rPr>
          <w:sz w:val="24"/>
          <w:szCs w:val="24"/>
          <w:highlight w:val="none"/>
        </w:rPr>
      </w:pPr>
      <w:r>
        <w:rPr>
          <w:sz w:val="24"/>
          <w:szCs w:val="24"/>
          <w:highlight w:val="none"/>
        </w:rPr>
        <w:drawing>
          <wp:inline distT="0" distB="0" distL="0" distR="0">
            <wp:extent cx="4152900" cy="259080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97">
                      <a:extLst>
                        <a:ext uri="{28A0092B-C50C-407E-A947-70E740481C1C}">
                          <a14:useLocalDpi xmlns:a14="http://schemas.microsoft.com/office/drawing/2010/main" val="0"/>
                        </a:ext>
                      </a:extLst>
                    </a:blip>
                    <a:srcRect l="17328" t="25539" r="26353" b="12131"/>
                    <a:stretch>
                      <a:fillRect/>
                    </a:stretch>
                  </pic:blipFill>
                  <pic:spPr>
                    <a:xfrm>
                      <a:off x="0" y="0"/>
                      <a:ext cx="4152900" cy="2590800"/>
                    </a:xfrm>
                    <a:prstGeom prst="rect">
                      <a:avLst/>
                    </a:prstGeom>
                    <a:noFill/>
                    <a:ln>
                      <a:noFill/>
                    </a:ln>
                  </pic:spPr>
                </pic:pic>
              </a:graphicData>
            </a:graphic>
          </wp:inline>
        </w:drawing>
      </w:r>
    </w:p>
    <w:p>
      <w:pPr>
        <w:ind w:firstLine="420"/>
        <w:jc w:val="center"/>
        <w:rPr>
          <w:rFonts w:eastAsia="黑体"/>
          <w:sz w:val="21"/>
          <w:szCs w:val="21"/>
          <w:highlight w:val="none"/>
          <w:lang w:val="zh-CN"/>
        </w:rPr>
      </w:pPr>
      <w:r>
        <w:rPr>
          <w:rFonts w:eastAsia="黑体"/>
          <w:sz w:val="21"/>
          <w:szCs w:val="21"/>
          <w:highlight w:val="none"/>
          <w:lang w:val="zh-CN"/>
        </w:rPr>
        <w:t>图5.2-2</w:t>
      </w:r>
      <w:r>
        <w:rPr>
          <w:rFonts w:hint="eastAsia" w:eastAsia="黑体"/>
          <w:sz w:val="21"/>
          <w:szCs w:val="21"/>
          <w:highlight w:val="none"/>
        </w:rPr>
        <w:t>1</w:t>
      </w:r>
      <w:r>
        <w:rPr>
          <w:rFonts w:eastAsia="黑体"/>
          <w:sz w:val="21"/>
          <w:szCs w:val="21"/>
          <w:highlight w:val="none"/>
          <w:lang w:val="zh-CN"/>
        </w:rPr>
        <w:t xml:space="preserve"> </w:t>
      </w:r>
      <w:r>
        <w:rPr>
          <w:rFonts w:hint="eastAsia" w:eastAsia="黑体"/>
          <w:sz w:val="21"/>
          <w:szCs w:val="21"/>
          <w:highlight w:val="none"/>
        </w:rPr>
        <w:t xml:space="preserve">  </w:t>
      </w:r>
      <w:r>
        <w:rPr>
          <w:rFonts w:eastAsia="黑体"/>
          <w:sz w:val="21"/>
          <w:szCs w:val="21"/>
          <w:highlight w:val="none"/>
          <w:lang w:val="zh-CN"/>
        </w:rPr>
        <w:t>孔隙介质2维数值模型的lgaL-lgLs图</w:t>
      </w:r>
    </w:p>
    <w:bookmarkEnd w:id="378"/>
    <w:p>
      <w:pPr>
        <w:ind w:firstLine="480"/>
        <w:rPr>
          <w:sz w:val="24"/>
          <w:highlight w:val="none"/>
        </w:rPr>
      </w:pPr>
      <w:r>
        <w:rPr>
          <w:rFonts w:hint="eastAsia"/>
          <w:sz w:val="24"/>
          <w:highlight w:val="none"/>
        </w:rPr>
        <w:t>③</w:t>
      </w:r>
      <w:r>
        <w:rPr>
          <w:sz w:val="24"/>
          <w:highlight w:val="none"/>
        </w:rPr>
        <w:t>地下水污染预测情景设定</w:t>
      </w:r>
    </w:p>
    <w:p>
      <w:pPr>
        <w:pStyle w:val="338"/>
        <w:spacing w:line="360" w:lineRule="auto"/>
        <w:ind w:firstLine="480"/>
        <w:rPr>
          <w:rFonts w:ascii="Times New Roman" w:hAnsi="Times New Roman"/>
          <w:sz w:val="24"/>
          <w:szCs w:val="24"/>
          <w:highlight w:val="none"/>
        </w:rPr>
      </w:pPr>
      <w:r>
        <w:rPr>
          <w:rFonts w:hint="eastAsia" w:ascii="Times New Roman" w:hAnsi="Times New Roman"/>
          <w:sz w:val="24"/>
          <w:szCs w:val="24"/>
          <w:highlight w:val="none"/>
        </w:rPr>
        <w:t>a.</w:t>
      </w:r>
      <w:r>
        <w:rPr>
          <w:rFonts w:ascii="Times New Roman" w:hAnsi="Times New Roman"/>
          <w:sz w:val="24"/>
          <w:szCs w:val="24"/>
          <w:highlight w:val="none"/>
        </w:rPr>
        <w:t>正常状况</w:t>
      </w:r>
    </w:p>
    <w:p>
      <w:pPr>
        <w:pStyle w:val="338"/>
        <w:spacing w:line="360" w:lineRule="auto"/>
        <w:ind w:firstLine="480"/>
        <w:rPr>
          <w:rFonts w:ascii="Times New Roman" w:hAnsi="Times New Roman"/>
          <w:sz w:val="24"/>
          <w:szCs w:val="24"/>
          <w:highlight w:val="none"/>
        </w:rPr>
      </w:pPr>
      <w:r>
        <w:rPr>
          <w:rFonts w:ascii="Times New Roman" w:hAnsi="Times New Roman"/>
          <w:sz w:val="24"/>
          <w:szCs w:val="24"/>
          <w:highlight w:val="none"/>
        </w:rPr>
        <w:t>本项目对厂区内各地下水重点污染区、一般污染区进行了防渗处理，污染源从源头上可以得到控制：对可能出现的渗漏的池体构筑物，以及</w:t>
      </w:r>
      <w:r>
        <w:rPr>
          <w:rFonts w:hint="eastAsia" w:ascii="Times New Roman" w:hAnsi="Times New Roman"/>
          <w:sz w:val="24"/>
          <w:szCs w:val="24"/>
          <w:highlight w:val="none"/>
        </w:rPr>
        <w:t>库房、车间</w:t>
      </w:r>
      <w:r>
        <w:rPr>
          <w:rFonts w:ascii="Times New Roman" w:hAnsi="Times New Roman"/>
          <w:sz w:val="24"/>
          <w:szCs w:val="24"/>
          <w:highlight w:val="none"/>
        </w:rPr>
        <w:t>等地面进行防渗处理，即使有少量的污染物泄露，也很难通过防渗层渗入包气带。在正常状况下，本项目产生的污染物从源头和末端均得到控制，池体和地面经防渗处理，没有污染地下水的通道，污染物污染地下水的可能性很小。</w:t>
      </w:r>
    </w:p>
    <w:p>
      <w:pPr>
        <w:pStyle w:val="338"/>
        <w:spacing w:line="360" w:lineRule="auto"/>
        <w:ind w:firstLine="480"/>
        <w:rPr>
          <w:rFonts w:ascii="Times New Roman" w:hAnsi="Times New Roman"/>
          <w:sz w:val="24"/>
          <w:szCs w:val="24"/>
          <w:highlight w:val="none"/>
        </w:rPr>
      </w:pPr>
      <w:r>
        <w:rPr>
          <w:rFonts w:hint="eastAsia" w:ascii="Times New Roman" w:hAnsi="Times New Roman"/>
          <w:sz w:val="24"/>
          <w:szCs w:val="24"/>
          <w:highlight w:val="none"/>
        </w:rPr>
        <w:t>b</w:t>
      </w:r>
      <w:r>
        <w:rPr>
          <w:rFonts w:ascii="Times New Roman" w:hAnsi="Times New Roman"/>
          <w:sz w:val="24"/>
          <w:szCs w:val="24"/>
          <w:highlight w:val="none"/>
        </w:rPr>
        <w:t>.非正常状况</w:t>
      </w:r>
    </w:p>
    <w:p>
      <w:pPr>
        <w:pStyle w:val="338"/>
        <w:spacing w:line="360" w:lineRule="auto"/>
        <w:ind w:firstLine="480"/>
        <w:rPr>
          <w:rFonts w:ascii="Times New Roman" w:hAnsi="Times New Roman"/>
          <w:sz w:val="24"/>
          <w:szCs w:val="24"/>
          <w:highlight w:val="none"/>
        </w:rPr>
      </w:pPr>
      <w:r>
        <w:rPr>
          <w:rFonts w:ascii="Times New Roman" w:hAnsi="Times New Roman"/>
          <w:sz w:val="24"/>
          <w:szCs w:val="24"/>
          <w:highlight w:val="none"/>
        </w:rPr>
        <w:t>情景设定：项目区的浓密池发生泄漏，导致泄漏污染物污染地下水。</w:t>
      </w:r>
    </w:p>
    <w:p>
      <w:pPr>
        <w:snapToGrid w:val="0"/>
        <w:ind w:firstLine="480"/>
        <w:rPr>
          <w:sz w:val="24"/>
          <w:highlight w:val="none"/>
        </w:rPr>
      </w:pPr>
      <w:r>
        <w:rPr>
          <w:rFonts w:hint="eastAsia"/>
          <w:sz w:val="24"/>
          <w:highlight w:val="none"/>
        </w:rPr>
        <w:t>预测因子选择：本项目为铁选厂，其特征污染因子只为铁离子，浓密池废水中</w:t>
      </w:r>
      <w:r>
        <w:rPr>
          <w:sz w:val="24"/>
          <w:highlight w:val="none"/>
        </w:rPr>
        <w:t>铁</w:t>
      </w:r>
      <w:r>
        <w:rPr>
          <w:rFonts w:hint="eastAsia"/>
          <w:sz w:val="24"/>
          <w:highlight w:val="none"/>
        </w:rPr>
        <w:t>离子</w:t>
      </w:r>
      <w:r>
        <w:rPr>
          <w:sz w:val="24"/>
          <w:highlight w:val="none"/>
        </w:rPr>
        <w:t>的浓度为0.048mg/L</w:t>
      </w:r>
      <w:r>
        <w:rPr>
          <w:rFonts w:hint="eastAsia"/>
          <w:sz w:val="24"/>
          <w:highlight w:val="none"/>
        </w:rPr>
        <w:t>(标准指数为</w:t>
      </w:r>
      <w:r>
        <w:rPr>
          <w:sz w:val="24"/>
          <w:highlight w:val="none"/>
        </w:rPr>
        <w:t>0.048</w:t>
      </w:r>
      <w:r>
        <w:rPr>
          <w:rFonts w:hint="eastAsia"/>
          <w:sz w:val="24"/>
          <w:highlight w:val="none"/>
        </w:rPr>
        <w:t>/0.3=0.16)</w:t>
      </w:r>
      <w:r>
        <w:rPr>
          <w:rFonts w:hAnsi="宋体"/>
          <w:sz w:val="24"/>
          <w:highlight w:val="none"/>
        </w:rPr>
        <w:t>。</w:t>
      </w:r>
      <w:r>
        <w:rPr>
          <w:rFonts w:hint="eastAsia" w:hAnsi="宋体"/>
          <w:sz w:val="24"/>
          <w:highlight w:val="none"/>
        </w:rPr>
        <w:t>根据《环境影响评价技术导则 地下水》中“9.5预测因子”选择的相关规定，“在识别出特征因子的基础上，对每一类别中的各项因子采用标准指数法进行排序，最终选择标准指数最大的因子作为</w:t>
      </w:r>
      <w:r>
        <w:rPr>
          <w:rFonts w:hAnsi="宋体"/>
          <w:sz w:val="24"/>
          <w:highlight w:val="none"/>
        </w:rPr>
        <w:t>预测因子</w:t>
      </w:r>
      <w:r>
        <w:rPr>
          <w:rFonts w:hint="eastAsia" w:hAnsi="宋体"/>
          <w:sz w:val="24"/>
          <w:highlight w:val="none"/>
        </w:rPr>
        <w:t>”，由于本项目的特征因子只有铁离子，因此此次预测选择铁离子作为预测因子</w:t>
      </w:r>
      <w:r>
        <w:rPr>
          <w:sz w:val="24"/>
          <w:highlight w:val="none"/>
        </w:rPr>
        <w:t>。</w:t>
      </w:r>
    </w:p>
    <w:p>
      <w:pPr>
        <w:pStyle w:val="55"/>
        <w:spacing w:after="0" w:line="360" w:lineRule="auto"/>
        <w:ind w:left="0" w:leftChars="0" w:firstLine="480"/>
        <w:rPr>
          <w:sz w:val="24"/>
          <w:highlight w:val="none"/>
        </w:rPr>
      </w:pPr>
      <w:r>
        <w:rPr>
          <w:sz w:val="24"/>
          <w:highlight w:val="none"/>
        </w:rPr>
        <w:t>源强计算：浓密池</w:t>
      </w:r>
      <w:r>
        <w:rPr>
          <w:rFonts w:hint="eastAsia"/>
          <w:sz w:val="24"/>
          <w:highlight w:val="none"/>
        </w:rPr>
        <w:t>体</w:t>
      </w:r>
      <w:r>
        <w:rPr>
          <w:sz w:val="24"/>
          <w:highlight w:val="none"/>
        </w:rPr>
        <w:t>积为，</w:t>
      </w:r>
      <w:r>
        <w:rPr>
          <w:rFonts w:hint="eastAsia"/>
          <w:sz w:val="24"/>
          <w:highlight w:val="none"/>
        </w:rPr>
        <w:t>3.14×10</w:t>
      </w:r>
      <w:r>
        <w:rPr>
          <w:rFonts w:hint="eastAsia"/>
          <w:sz w:val="24"/>
          <w:highlight w:val="none"/>
          <w:vertAlign w:val="superscript"/>
        </w:rPr>
        <w:t>2</w:t>
      </w:r>
      <w:r>
        <w:rPr>
          <w:rFonts w:hint="eastAsia"/>
          <w:sz w:val="24"/>
          <w:highlight w:val="none"/>
        </w:rPr>
        <w:t>×4+</w:t>
      </w:r>
      <w:r>
        <w:rPr>
          <w:position w:val="-6"/>
          <w:sz w:val="24"/>
          <w:highlight w:val="none"/>
        </w:rPr>
        <w:object>
          <v:shape id="_x0000_i1042" o:spt="75" type="#_x0000_t75" style="height:15.5pt;width:90pt;" o:ole="t" filled="f" o:preferrelative="t" stroked="f" coordsize="21600,21600">
            <v:path/>
            <v:fill on="f" focussize="0,0"/>
            <v:stroke on="f" joinstyle="miter"/>
            <v:imagedata r:id="rId99" o:title=""/>
            <o:lock v:ext="edit" aspectratio="t"/>
            <w10:wrap type="none"/>
            <w10:anchorlock/>
          </v:shape>
          <o:OLEObject Type="Embed" ProgID="Equation.3" ShapeID="_x0000_i1042" DrawAspect="Content" ObjectID="_1468075742" r:id="rId98">
            <o:LockedField>false</o:LockedField>
          </o:OLEObject>
        </w:object>
      </w:r>
      <w:r>
        <w:rPr>
          <w:rFonts w:hint="eastAsia"/>
          <w:sz w:val="24"/>
          <w:highlight w:val="none"/>
        </w:rPr>
        <w:t>=1675m</w:t>
      </w:r>
      <w:r>
        <w:rPr>
          <w:rFonts w:hint="eastAsia"/>
          <w:sz w:val="24"/>
          <w:highlight w:val="none"/>
          <w:vertAlign w:val="superscript"/>
        </w:rPr>
        <w:t>3</w:t>
      </w:r>
      <w:r>
        <w:rPr>
          <w:sz w:val="24"/>
          <w:highlight w:val="none"/>
        </w:rPr>
        <w:t>，主要特征污染物为铁。设定浓密池</w:t>
      </w:r>
      <w:r>
        <w:rPr>
          <w:rFonts w:hint="eastAsia"/>
          <w:sz w:val="24"/>
          <w:highlight w:val="none"/>
        </w:rPr>
        <w:t>非正常状况下</w:t>
      </w:r>
      <w:r>
        <w:rPr>
          <w:sz w:val="24"/>
          <w:highlight w:val="none"/>
        </w:rPr>
        <w:t>，泄漏量为</w:t>
      </w:r>
      <w:r>
        <w:rPr>
          <w:rFonts w:hint="eastAsia"/>
          <w:sz w:val="24"/>
          <w:highlight w:val="none"/>
        </w:rPr>
        <w:t>总容积的1</w:t>
      </w:r>
      <w:r>
        <w:rPr>
          <w:sz w:val="24"/>
          <w:highlight w:val="none"/>
        </w:rPr>
        <w:t>0</w:t>
      </w:r>
      <w:r>
        <w:rPr>
          <w:rFonts w:hint="eastAsia"/>
          <w:sz w:val="24"/>
          <w:highlight w:val="none"/>
        </w:rPr>
        <w:t>%，</w:t>
      </w:r>
      <w:r>
        <w:rPr>
          <w:sz w:val="24"/>
          <w:highlight w:val="none"/>
        </w:rPr>
        <w:t>即</w:t>
      </w:r>
      <w:r>
        <w:rPr>
          <w:rFonts w:hint="eastAsia"/>
          <w:sz w:val="24"/>
          <w:highlight w:val="none"/>
        </w:rPr>
        <w:t>167.5</w:t>
      </w:r>
      <w:r>
        <w:rPr>
          <w:sz w:val="24"/>
          <w:highlight w:val="none"/>
        </w:rPr>
        <w:t>m</w:t>
      </w:r>
      <w:r>
        <w:rPr>
          <w:sz w:val="24"/>
          <w:highlight w:val="none"/>
          <w:vertAlign w:val="superscript"/>
        </w:rPr>
        <w:t>3</w:t>
      </w:r>
      <w:r>
        <w:rPr>
          <w:rFonts w:hint="eastAsia"/>
          <w:sz w:val="24"/>
          <w:highlight w:val="none"/>
        </w:rPr>
        <w:t>，</w:t>
      </w:r>
      <w:r>
        <w:rPr>
          <w:sz w:val="24"/>
          <w:highlight w:val="none"/>
        </w:rPr>
        <w:t>其中铁的浓度为0.0</w:t>
      </w:r>
      <w:r>
        <w:rPr>
          <w:rFonts w:hint="eastAsia"/>
          <w:sz w:val="24"/>
          <w:highlight w:val="none"/>
        </w:rPr>
        <w:t>48</w:t>
      </w:r>
      <w:r>
        <w:rPr>
          <w:sz w:val="24"/>
          <w:highlight w:val="none"/>
        </w:rPr>
        <w:t>mg/L。</w:t>
      </w:r>
    </w:p>
    <w:p>
      <w:pPr>
        <w:pStyle w:val="55"/>
        <w:spacing w:after="0" w:line="360" w:lineRule="auto"/>
        <w:ind w:left="0" w:leftChars="0" w:firstLine="480"/>
        <w:rPr>
          <w:sz w:val="24"/>
          <w:highlight w:val="none"/>
        </w:rPr>
      </w:pPr>
      <w:r>
        <w:rPr>
          <w:rFonts w:hint="eastAsia"/>
          <w:sz w:val="24"/>
          <w:highlight w:val="none"/>
        </w:rPr>
        <w:t>则非正常状况铁的泄露量为：167.5</w:t>
      </w:r>
      <w:r>
        <w:rPr>
          <w:sz w:val="24"/>
          <w:highlight w:val="none"/>
        </w:rPr>
        <w:t>m</w:t>
      </w:r>
      <w:r>
        <w:rPr>
          <w:sz w:val="24"/>
          <w:highlight w:val="none"/>
          <w:vertAlign w:val="superscript"/>
        </w:rPr>
        <w:t>3</w:t>
      </w:r>
      <w:r>
        <w:rPr>
          <w:rFonts w:hint="eastAsia"/>
          <w:sz w:val="24"/>
          <w:highlight w:val="none"/>
        </w:rPr>
        <w:t>×1000×</w:t>
      </w:r>
      <w:r>
        <w:rPr>
          <w:sz w:val="24"/>
          <w:highlight w:val="none"/>
        </w:rPr>
        <w:t>0.0</w:t>
      </w:r>
      <w:r>
        <w:rPr>
          <w:rFonts w:hint="eastAsia"/>
          <w:sz w:val="24"/>
          <w:highlight w:val="none"/>
        </w:rPr>
        <w:t>48</w:t>
      </w:r>
      <w:r>
        <w:rPr>
          <w:sz w:val="24"/>
          <w:highlight w:val="none"/>
        </w:rPr>
        <w:t>mg/L</w:t>
      </w:r>
      <w:r>
        <w:rPr>
          <w:rFonts w:hint="eastAsia"/>
          <w:sz w:val="24"/>
          <w:highlight w:val="none"/>
        </w:rPr>
        <w:t>=8040mg=0.008kg。</w:t>
      </w:r>
    </w:p>
    <w:p>
      <w:pPr>
        <w:pStyle w:val="55"/>
        <w:spacing w:after="0" w:line="360" w:lineRule="auto"/>
        <w:ind w:left="0" w:leftChars="0" w:firstLine="480"/>
        <w:rPr>
          <w:sz w:val="24"/>
          <w:highlight w:val="none"/>
        </w:rPr>
      </w:pPr>
      <w:r>
        <w:rPr>
          <w:rFonts w:hint="eastAsia"/>
          <w:sz w:val="24"/>
          <w:highlight w:val="none"/>
        </w:rPr>
        <w:t>本次模拟预测，铁的超标范围参照《地下水质量标准》（GB/T14848-2017）中Ⅲ类水的要求，铁的检出下限值参照常规仪器检测下限（详见表5.2-18）。</w:t>
      </w:r>
    </w:p>
    <w:p>
      <w:pPr>
        <w:spacing w:line="240" w:lineRule="auto"/>
        <w:ind w:firstLine="0" w:firstLineChars="0"/>
        <w:jc w:val="center"/>
        <w:textAlignment w:val="auto"/>
        <w:rPr>
          <w:rFonts w:eastAsia="黑体"/>
          <w:kern w:val="2"/>
          <w:sz w:val="21"/>
          <w:szCs w:val="21"/>
          <w:highlight w:val="none"/>
        </w:rPr>
      </w:pPr>
      <w:r>
        <w:rPr>
          <w:rFonts w:hint="eastAsia" w:eastAsia="黑体"/>
          <w:kern w:val="2"/>
          <w:sz w:val="21"/>
          <w:szCs w:val="21"/>
          <w:highlight w:val="none"/>
        </w:rPr>
        <w:t>表</w:t>
      </w:r>
      <w:r>
        <w:rPr>
          <w:rFonts w:eastAsia="黑体"/>
          <w:kern w:val="2"/>
          <w:sz w:val="21"/>
          <w:szCs w:val="21"/>
          <w:highlight w:val="none"/>
        </w:rPr>
        <w:t>5.2-</w:t>
      </w:r>
      <w:r>
        <w:rPr>
          <w:rFonts w:hint="eastAsia" w:eastAsia="黑体"/>
          <w:kern w:val="2"/>
          <w:sz w:val="21"/>
          <w:szCs w:val="21"/>
          <w:highlight w:val="none"/>
        </w:rPr>
        <w:t xml:space="preserve">18   </w:t>
      </w:r>
      <w:r>
        <w:rPr>
          <w:rFonts w:eastAsia="黑体"/>
          <w:kern w:val="2"/>
          <w:sz w:val="21"/>
          <w:szCs w:val="21"/>
          <w:highlight w:val="none"/>
        </w:rPr>
        <w:t>评价因子及评价标准一览表</w:t>
      </w:r>
    </w:p>
    <w:tbl>
      <w:tblPr>
        <w:tblStyle w:val="56"/>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183"/>
        <w:gridCol w:w="4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83" w:type="dxa"/>
            <w:vAlign w:val="center"/>
          </w:tcPr>
          <w:p>
            <w:pPr>
              <w:spacing w:line="240" w:lineRule="auto"/>
              <w:ind w:firstLine="420"/>
              <w:jc w:val="center"/>
              <w:rPr>
                <w:sz w:val="21"/>
                <w:szCs w:val="21"/>
                <w:highlight w:val="none"/>
              </w:rPr>
            </w:pPr>
            <w:r>
              <w:rPr>
                <w:sz w:val="21"/>
                <w:szCs w:val="21"/>
                <w:highlight w:val="none"/>
              </w:rPr>
              <w:t>评价因子</w:t>
            </w:r>
          </w:p>
        </w:tc>
        <w:tc>
          <w:tcPr>
            <w:tcW w:w="4179" w:type="dxa"/>
            <w:vAlign w:val="center"/>
          </w:tcPr>
          <w:p>
            <w:pPr>
              <w:spacing w:line="240" w:lineRule="auto"/>
              <w:ind w:firstLine="420"/>
              <w:jc w:val="center"/>
              <w:rPr>
                <w:sz w:val="21"/>
                <w:szCs w:val="21"/>
                <w:highlight w:val="none"/>
              </w:rPr>
            </w:pPr>
            <w:r>
              <w:rPr>
                <w:sz w:val="21"/>
                <w:szCs w:val="21"/>
                <w:highlight w:val="none"/>
              </w:rPr>
              <w:t>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83" w:type="dxa"/>
            <w:vAlign w:val="center"/>
          </w:tcPr>
          <w:p>
            <w:pPr>
              <w:spacing w:line="240" w:lineRule="auto"/>
              <w:ind w:firstLine="420"/>
              <w:jc w:val="center"/>
              <w:rPr>
                <w:sz w:val="21"/>
                <w:szCs w:val="21"/>
                <w:highlight w:val="none"/>
              </w:rPr>
            </w:pPr>
            <w:r>
              <w:rPr>
                <w:sz w:val="21"/>
                <w:szCs w:val="21"/>
                <w:highlight w:val="none"/>
              </w:rPr>
              <w:t>质量标准（mg/L）</w:t>
            </w:r>
          </w:p>
        </w:tc>
        <w:tc>
          <w:tcPr>
            <w:tcW w:w="4179" w:type="dxa"/>
            <w:vAlign w:val="center"/>
          </w:tcPr>
          <w:p>
            <w:pPr>
              <w:spacing w:line="240" w:lineRule="auto"/>
              <w:ind w:firstLine="420"/>
              <w:jc w:val="center"/>
              <w:rPr>
                <w:sz w:val="21"/>
                <w:szCs w:val="21"/>
                <w:highlight w:val="none"/>
              </w:rPr>
            </w:pPr>
            <w:r>
              <w:rPr>
                <w:sz w:val="21"/>
                <w:szCs w:val="21"/>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83" w:type="dxa"/>
            <w:vAlign w:val="center"/>
          </w:tcPr>
          <w:p>
            <w:pPr>
              <w:spacing w:line="240" w:lineRule="auto"/>
              <w:ind w:firstLine="420"/>
              <w:jc w:val="center"/>
              <w:rPr>
                <w:sz w:val="21"/>
                <w:szCs w:val="21"/>
                <w:highlight w:val="none"/>
              </w:rPr>
            </w:pPr>
            <w:r>
              <w:rPr>
                <w:sz w:val="21"/>
                <w:szCs w:val="21"/>
                <w:highlight w:val="none"/>
              </w:rPr>
              <w:t>检出范围(mg/L)</w:t>
            </w:r>
          </w:p>
        </w:tc>
        <w:tc>
          <w:tcPr>
            <w:tcW w:w="4179" w:type="dxa"/>
            <w:vAlign w:val="center"/>
          </w:tcPr>
          <w:p>
            <w:pPr>
              <w:spacing w:line="240" w:lineRule="auto"/>
              <w:ind w:firstLine="420"/>
              <w:jc w:val="center"/>
              <w:rPr>
                <w:sz w:val="21"/>
                <w:szCs w:val="21"/>
                <w:highlight w:val="none"/>
              </w:rPr>
            </w:pPr>
            <w:r>
              <w:rPr>
                <w:sz w:val="21"/>
                <w:szCs w:val="21"/>
                <w:highlight w:val="none"/>
              </w:rPr>
              <w:t>0.01</w:t>
            </w:r>
          </w:p>
        </w:tc>
      </w:tr>
    </w:tbl>
    <w:p>
      <w:pPr>
        <w:widowControl/>
        <w:ind w:firstLine="480"/>
        <w:rPr>
          <w:sz w:val="24"/>
          <w:highlight w:val="none"/>
        </w:rPr>
      </w:pPr>
      <w:r>
        <w:rPr>
          <w:sz w:val="24"/>
          <w:highlight w:val="none"/>
        </w:rPr>
        <w:t>根据设定的污染源位置和源强大小，对厂区非</w:t>
      </w:r>
      <w:r>
        <w:rPr>
          <w:bCs/>
          <w:sz w:val="24"/>
          <w:highlight w:val="none"/>
        </w:rPr>
        <w:t>正常状况</w:t>
      </w:r>
      <w:r>
        <w:rPr>
          <w:sz w:val="24"/>
          <w:highlight w:val="none"/>
        </w:rPr>
        <w:t>情景进行模拟预测，预测结果如下：</w:t>
      </w:r>
    </w:p>
    <w:p>
      <w:pPr>
        <w:widowControl/>
        <w:ind w:firstLine="480"/>
        <w:rPr>
          <w:sz w:val="24"/>
          <w:highlight w:val="none"/>
        </w:rPr>
      </w:pPr>
      <w:r>
        <w:rPr>
          <w:rFonts w:hint="eastAsia"/>
          <w:sz w:val="24"/>
          <w:highlight w:val="none"/>
        </w:rPr>
        <w:t>④</w:t>
      </w:r>
      <w:r>
        <w:rPr>
          <w:sz w:val="24"/>
          <w:highlight w:val="none"/>
        </w:rPr>
        <w:t>铁渗漏地下水污染预测</w:t>
      </w:r>
    </w:p>
    <w:p>
      <w:pPr>
        <w:widowControl/>
        <w:ind w:firstLine="480"/>
        <w:jc w:val="both"/>
        <w:rPr>
          <w:sz w:val="24"/>
          <w:szCs w:val="24"/>
          <w:highlight w:val="none"/>
        </w:rPr>
      </w:pPr>
      <w:r>
        <w:rPr>
          <w:rFonts w:hint="eastAsia"/>
          <w:bCs/>
          <w:sz w:val="24"/>
          <w:szCs w:val="24"/>
          <w:highlight w:val="none"/>
        </w:rPr>
        <w:t>根据《环境影响评价技术导则</w:t>
      </w:r>
      <w:r>
        <w:rPr>
          <w:bCs/>
          <w:sz w:val="24"/>
          <w:szCs w:val="24"/>
          <w:highlight w:val="none"/>
        </w:rPr>
        <w:t xml:space="preserve"> </w:t>
      </w:r>
      <w:r>
        <w:rPr>
          <w:rFonts w:hint="eastAsia"/>
          <w:bCs/>
          <w:sz w:val="24"/>
          <w:szCs w:val="24"/>
          <w:highlight w:val="none"/>
        </w:rPr>
        <w:t>地下水》中</w:t>
      </w:r>
      <w:r>
        <w:rPr>
          <w:bCs/>
          <w:sz w:val="24"/>
          <w:szCs w:val="24"/>
          <w:highlight w:val="none"/>
        </w:rPr>
        <w:t>9.3</w:t>
      </w:r>
      <w:r>
        <w:rPr>
          <w:rFonts w:hint="eastAsia"/>
          <w:bCs/>
          <w:sz w:val="24"/>
          <w:szCs w:val="24"/>
          <w:highlight w:val="none"/>
        </w:rPr>
        <w:t>规定：地下水环境影响预测时段应选取可能产生地下水污染的关键时段，至少包括污染发生后</w:t>
      </w:r>
      <w:r>
        <w:rPr>
          <w:bCs/>
          <w:sz w:val="24"/>
          <w:szCs w:val="24"/>
          <w:highlight w:val="none"/>
        </w:rPr>
        <w:t>100d</w:t>
      </w:r>
      <w:r>
        <w:rPr>
          <w:rFonts w:hint="eastAsia"/>
          <w:bCs/>
          <w:sz w:val="24"/>
          <w:szCs w:val="24"/>
          <w:highlight w:val="none"/>
        </w:rPr>
        <w:t>、</w:t>
      </w:r>
      <w:r>
        <w:rPr>
          <w:bCs/>
          <w:sz w:val="24"/>
          <w:szCs w:val="24"/>
          <w:highlight w:val="none"/>
        </w:rPr>
        <w:t>1000d</w:t>
      </w:r>
      <w:r>
        <w:rPr>
          <w:rFonts w:hint="eastAsia"/>
          <w:bCs/>
          <w:sz w:val="24"/>
          <w:szCs w:val="24"/>
          <w:highlight w:val="none"/>
        </w:rPr>
        <w:t>，服务年限或能反映特征因子迁移规律的其他重要的时间节点。为此本次按照导则要求对污染物泄露后3</w:t>
      </w:r>
      <w:r>
        <w:rPr>
          <w:bCs/>
          <w:sz w:val="24"/>
          <w:szCs w:val="24"/>
          <w:highlight w:val="none"/>
        </w:rPr>
        <w:t>000</w:t>
      </w:r>
      <w:r>
        <w:rPr>
          <w:rFonts w:hint="eastAsia"/>
          <w:bCs/>
          <w:sz w:val="24"/>
          <w:szCs w:val="24"/>
          <w:highlight w:val="none"/>
        </w:rPr>
        <w:t>天内（包括导则要求的</w:t>
      </w:r>
      <w:r>
        <w:rPr>
          <w:bCs/>
          <w:sz w:val="24"/>
          <w:szCs w:val="24"/>
          <w:highlight w:val="none"/>
        </w:rPr>
        <w:t>100d</w:t>
      </w:r>
      <w:r>
        <w:rPr>
          <w:rFonts w:hint="eastAsia"/>
          <w:bCs/>
          <w:sz w:val="24"/>
          <w:szCs w:val="24"/>
          <w:highlight w:val="none"/>
        </w:rPr>
        <w:t>、</w:t>
      </w:r>
      <w:r>
        <w:rPr>
          <w:bCs/>
          <w:sz w:val="24"/>
          <w:szCs w:val="24"/>
          <w:highlight w:val="none"/>
        </w:rPr>
        <w:t>1000d</w:t>
      </w:r>
      <w:r>
        <w:rPr>
          <w:rFonts w:hint="eastAsia"/>
          <w:bCs/>
          <w:sz w:val="24"/>
          <w:szCs w:val="24"/>
          <w:highlight w:val="none"/>
        </w:rPr>
        <w:t>，并反映了特征因子浓度从低到高再到低的整个变化过程）重点位置的污染物浓度变化规律进行了预测。</w:t>
      </w:r>
      <w:r>
        <w:rPr>
          <w:sz w:val="24"/>
          <w:szCs w:val="24"/>
          <w:highlight w:val="none"/>
        </w:rPr>
        <w:t>通过预测结果可知，</w:t>
      </w:r>
      <w:r>
        <w:rPr>
          <w:rFonts w:hint="eastAsia"/>
          <w:sz w:val="24"/>
          <w:szCs w:val="24"/>
          <w:highlight w:val="none"/>
        </w:rPr>
        <w:t>整个模拟期间</w:t>
      </w:r>
      <w:r>
        <w:rPr>
          <w:sz w:val="24"/>
          <w:szCs w:val="24"/>
          <w:highlight w:val="none"/>
        </w:rPr>
        <w:t>含水层中</w:t>
      </w:r>
      <w:r>
        <w:rPr>
          <w:rFonts w:hint="eastAsia" w:hAnsi="宋体"/>
          <w:sz w:val="24"/>
          <w:szCs w:val="24"/>
          <w:highlight w:val="none"/>
        </w:rPr>
        <w:t>铁</w:t>
      </w:r>
      <w:r>
        <w:rPr>
          <w:bCs/>
          <w:sz w:val="24"/>
          <w:szCs w:val="24"/>
          <w:highlight w:val="none"/>
        </w:rPr>
        <w:t>的最大浓度也仅为0.00</w:t>
      </w:r>
      <w:r>
        <w:rPr>
          <w:rFonts w:hint="eastAsia"/>
          <w:bCs/>
          <w:sz w:val="24"/>
          <w:szCs w:val="24"/>
          <w:highlight w:val="none"/>
        </w:rPr>
        <w:t>1</w:t>
      </w:r>
      <w:r>
        <w:rPr>
          <w:bCs/>
          <w:sz w:val="24"/>
          <w:szCs w:val="24"/>
          <w:highlight w:val="none"/>
        </w:rPr>
        <w:t>mg/L,小于</w:t>
      </w:r>
      <w:r>
        <w:rPr>
          <w:rFonts w:hint="eastAsia" w:hAnsi="宋体"/>
          <w:sz w:val="24"/>
          <w:szCs w:val="24"/>
          <w:highlight w:val="none"/>
        </w:rPr>
        <w:t>铁</w:t>
      </w:r>
      <w:r>
        <w:rPr>
          <w:bCs/>
          <w:sz w:val="24"/>
          <w:szCs w:val="24"/>
          <w:highlight w:val="none"/>
        </w:rPr>
        <w:t>的浓度检出限</w:t>
      </w:r>
      <w:r>
        <w:rPr>
          <w:sz w:val="24"/>
          <w:szCs w:val="24"/>
          <w:highlight w:val="none"/>
        </w:rPr>
        <w:t>0.0</w:t>
      </w:r>
      <w:r>
        <w:rPr>
          <w:rFonts w:hint="eastAsia"/>
          <w:sz w:val="24"/>
          <w:szCs w:val="24"/>
          <w:highlight w:val="none"/>
        </w:rPr>
        <w:t>1</w:t>
      </w:r>
      <w:r>
        <w:rPr>
          <w:bCs/>
          <w:sz w:val="24"/>
          <w:szCs w:val="24"/>
          <w:highlight w:val="none"/>
        </w:rPr>
        <w:t>mg/L的标准，</w:t>
      </w:r>
      <w:r>
        <w:rPr>
          <w:rFonts w:hint="eastAsia"/>
          <w:bCs/>
          <w:sz w:val="24"/>
          <w:szCs w:val="24"/>
          <w:highlight w:val="none"/>
        </w:rPr>
        <w:t>因此本项目不会对厂区下游最近的马店子村居民的生活用水水质产生影响，更不会对项目区附近其它居民点的生活用水水质产生影响。</w:t>
      </w:r>
    </w:p>
    <w:p>
      <w:pPr>
        <w:widowControl/>
        <w:ind w:firstLine="480"/>
        <w:rPr>
          <w:sz w:val="24"/>
          <w:szCs w:val="24"/>
          <w:highlight w:val="none"/>
        </w:rPr>
      </w:pPr>
      <w:r>
        <w:rPr>
          <w:bCs/>
          <w:sz w:val="24"/>
          <w:szCs w:val="24"/>
          <w:highlight w:val="none"/>
        </w:rPr>
        <w:t>为了更好地观测泄露污染物</w:t>
      </w:r>
      <w:r>
        <w:rPr>
          <w:rFonts w:hint="eastAsia"/>
          <w:bCs/>
          <w:sz w:val="24"/>
          <w:szCs w:val="24"/>
          <w:highlight w:val="none"/>
        </w:rPr>
        <w:t>铁的</w:t>
      </w:r>
      <w:r>
        <w:rPr>
          <w:bCs/>
          <w:sz w:val="24"/>
          <w:szCs w:val="24"/>
          <w:highlight w:val="none"/>
        </w:rPr>
        <w:t>浓度变化，在</w:t>
      </w:r>
      <w:r>
        <w:rPr>
          <w:rFonts w:hint="eastAsia"/>
          <w:bCs/>
          <w:sz w:val="24"/>
          <w:szCs w:val="24"/>
          <w:highlight w:val="none"/>
        </w:rPr>
        <w:t>厂区</w:t>
      </w:r>
      <w:r>
        <w:rPr>
          <w:bCs/>
          <w:sz w:val="24"/>
          <w:szCs w:val="24"/>
          <w:highlight w:val="none"/>
        </w:rPr>
        <w:t>下游沿着地下水流向布置了</w:t>
      </w:r>
      <w:r>
        <w:rPr>
          <w:rFonts w:hint="eastAsia"/>
          <w:bCs/>
          <w:sz w:val="24"/>
          <w:szCs w:val="24"/>
          <w:highlight w:val="none"/>
        </w:rPr>
        <w:t>4</w:t>
      </w:r>
      <w:r>
        <w:rPr>
          <w:bCs/>
          <w:sz w:val="24"/>
          <w:szCs w:val="24"/>
          <w:highlight w:val="none"/>
        </w:rPr>
        <w:t>个观测点，分别为</w:t>
      </w:r>
      <w:r>
        <w:rPr>
          <w:rFonts w:hint="eastAsia"/>
          <w:bCs/>
          <w:sz w:val="24"/>
          <w:szCs w:val="24"/>
          <w:highlight w:val="none"/>
        </w:rPr>
        <w:t>厂区边界处和</w:t>
      </w:r>
      <w:r>
        <w:rPr>
          <w:bCs/>
          <w:sz w:val="24"/>
          <w:szCs w:val="24"/>
          <w:highlight w:val="none"/>
        </w:rPr>
        <w:t>距离</w:t>
      </w:r>
      <w:r>
        <w:rPr>
          <w:rFonts w:hint="eastAsia"/>
          <w:bCs/>
          <w:sz w:val="24"/>
          <w:szCs w:val="24"/>
          <w:highlight w:val="none"/>
        </w:rPr>
        <w:t>厂区</w:t>
      </w:r>
      <w:r>
        <w:rPr>
          <w:bCs/>
          <w:sz w:val="24"/>
          <w:szCs w:val="24"/>
          <w:highlight w:val="none"/>
        </w:rPr>
        <w:t>100米</w:t>
      </w:r>
      <w:r>
        <w:rPr>
          <w:rFonts w:hint="eastAsia"/>
          <w:bCs/>
          <w:sz w:val="24"/>
          <w:szCs w:val="24"/>
          <w:highlight w:val="none"/>
        </w:rPr>
        <w:t>处</w:t>
      </w:r>
      <w:r>
        <w:rPr>
          <w:bCs/>
          <w:sz w:val="24"/>
          <w:szCs w:val="24"/>
          <w:highlight w:val="none"/>
        </w:rPr>
        <w:t>，200米</w:t>
      </w:r>
      <w:r>
        <w:rPr>
          <w:rFonts w:hint="eastAsia"/>
          <w:bCs/>
          <w:sz w:val="24"/>
          <w:szCs w:val="24"/>
          <w:highlight w:val="none"/>
        </w:rPr>
        <w:t>处和300米处</w:t>
      </w:r>
      <w:r>
        <w:rPr>
          <w:bCs/>
          <w:sz w:val="24"/>
          <w:szCs w:val="24"/>
          <w:highlight w:val="none"/>
        </w:rPr>
        <w:t>。其各个位置</w:t>
      </w:r>
      <w:r>
        <w:rPr>
          <w:rFonts w:hint="eastAsia"/>
          <w:bCs/>
          <w:sz w:val="24"/>
          <w:szCs w:val="24"/>
          <w:highlight w:val="none"/>
        </w:rPr>
        <w:t>铁</w:t>
      </w:r>
      <w:r>
        <w:rPr>
          <w:bCs/>
          <w:sz w:val="24"/>
          <w:szCs w:val="24"/>
          <w:highlight w:val="none"/>
        </w:rPr>
        <w:t>浓度变化曲线如图5.2-2</w:t>
      </w:r>
      <w:r>
        <w:rPr>
          <w:rFonts w:hint="eastAsia"/>
          <w:bCs/>
          <w:sz w:val="24"/>
          <w:szCs w:val="24"/>
          <w:highlight w:val="none"/>
        </w:rPr>
        <w:t>8</w:t>
      </w:r>
      <w:r>
        <w:rPr>
          <w:bCs/>
          <w:sz w:val="24"/>
          <w:szCs w:val="24"/>
          <w:highlight w:val="none"/>
        </w:rPr>
        <w:t>。</w:t>
      </w:r>
      <w:r>
        <w:rPr>
          <w:rFonts w:hint="eastAsia"/>
          <w:sz w:val="24"/>
          <w:szCs w:val="24"/>
          <w:highlight w:val="none"/>
        </w:rPr>
        <w:t>由浓度曲线图可知，</w:t>
      </w:r>
      <w:r>
        <w:rPr>
          <w:rFonts w:hint="eastAsia"/>
          <w:bCs/>
          <w:sz w:val="24"/>
          <w:szCs w:val="24"/>
          <w:highlight w:val="none"/>
        </w:rPr>
        <w:t>厂区边界处和</w:t>
      </w:r>
      <w:r>
        <w:rPr>
          <w:bCs/>
          <w:sz w:val="24"/>
          <w:szCs w:val="24"/>
          <w:highlight w:val="none"/>
        </w:rPr>
        <w:t>距离</w:t>
      </w:r>
      <w:r>
        <w:rPr>
          <w:rFonts w:hint="eastAsia"/>
          <w:bCs/>
          <w:sz w:val="24"/>
          <w:szCs w:val="24"/>
          <w:highlight w:val="none"/>
        </w:rPr>
        <w:t>厂区</w:t>
      </w:r>
      <w:r>
        <w:rPr>
          <w:bCs/>
          <w:sz w:val="24"/>
          <w:szCs w:val="24"/>
          <w:highlight w:val="none"/>
        </w:rPr>
        <w:t>100米</w:t>
      </w:r>
      <w:r>
        <w:rPr>
          <w:rFonts w:hint="eastAsia"/>
          <w:bCs/>
          <w:sz w:val="24"/>
          <w:szCs w:val="24"/>
          <w:highlight w:val="none"/>
        </w:rPr>
        <w:t>处</w:t>
      </w:r>
      <w:r>
        <w:rPr>
          <w:bCs/>
          <w:sz w:val="24"/>
          <w:szCs w:val="24"/>
          <w:highlight w:val="none"/>
        </w:rPr>
        <w:t>，200米</w:t>
      </w:r>
      <w:r>
        <w:rPr>
          <w:rFonts w:hint="eastAsia"/>
          <w:bCs/>
          <w:sz w:val="24"/>
          <w:szCs w:val="24"/>
          <w:highlight w:val="none"/>
        </w:rPr>
        <w:t>处和300米处的最大浓度分别为0.0003</w:t>
      </w:r>
      <w:r>
        <w:rPr>
          <w:bCs/>
          <w:sz w:val="24"/>
          <w:szCs w:val="24"/>
          <w:highlight w:val="none"/>
        </w:rPr>
        <w:t>mg/L</w:t>
      </w:r>
      <w:r>
        <w:rPr>
          <w:rFonts w:hint="eastAsia"/>
          <w:bCs/>
          <w:sz w:val="24"/>
          <w:szCs w:val="24"/>
          <w:highlight w:val="none"/>
        </w:rPr>
        <w:t>，0.0001</w:t>
      </w:r>
      <w:r>
        <w:rPr>
          <w:bCs/>
          <w:sz w:val="24"/>
          <w:szCs w:val="24"/>
          <w:highlight w:val="none"/>
        </w:rPr>
        <w:t>mg/L</w:t>
      </w:r>
      <w:r>
        <w:rPr>
          <w:rFonts w:hint="eastAsia"/>
          <w:bCs/>
          <w:sz w:val="24"/>
          <w:szCs w:val="24"/>
          <w:highlight w:val="none"/>
        </w:rPr>
        <w:t>，4.53</w:t>
      </w:r>
      <w:r>
        <w:rPr>
          <w:rFonts w:ascii="Arial" w:hAnsi="Arial" w:cs="Arial"/>
          <w:bCs/>
          <w:sz w:val="24"/>
          <w:szCs w:val="24"/>
          <w:highlight w:val="none"/>
        </w:rPr>
        <w:t>×</w:t>
      </w:r>
      <w:r>
        <w:rPr>
          <w:rFonts w:hint="eastAsia"/>
          <w:bCs/>
          <w:sz w:val="24"/>
          <w:szCs w:val="24"/>
          <w:highlight w:val="none"/>
        </w:rPr>
        <w:t>10</w:t>
      </w:r>
      <w:r>
        <w:rPr>
          <w:rFonts w:hint="eastAsia"/>
          <w:bCs/>
          <w:sz w:val="24"/>
          <w:szCs w:val="24"/>
          <w:highlight w:val="none"/>
          <w:vertAlign w:val="superscript"/>
        </w:rPr>
        <w:t>-5</w:t>
      </w:r>
      <w:r>
        <w:rPr>
          <w:bCs/>
          <w:sz w:val="24"/>
          <w:szCs w:val="24"/>
          <w:highlight w:val="none"/>
        </w:rPr>
        <w:t>mg/L</w:t>
      </w:r>
      <w:r>
        <w:rPr>
          <w:rFonts w:hint="eastAsia"/>
          <w:bCs/>
          <w:sz w:val="24"/>
          <w:szCs w:val="24"/>
          <w:highlight w:val="none"/>
        </w:rPr>
        <w:t>和2.77</w:t>
      </w:r>
      <w:r>
        <w:rPr>
          <w:rFonts w:ascii="Arial" w:hAnsi="Arial" w:cs="Arial"/>
          <w:bCs/>
          <w:sz w:val="24"/>
          <w:szCs w:val="24"/>
          <w:highlight w:val="none"/>
        </w:rPr>
        <w:t>×</w:t>
      </w:r>
      <w:r>
        <w:rPr>
          <w:rFonts w:hint="eastAsia"/>
          <w:bCs/>
          <w:sz w:val="24"/>
          <w:szCs w:val="24"/>
          <w:highlight w:val="none"/>
        </w:rPr>
        <w:t>10</w:t>
      </w:r>
      <w:r>
        <w:rPr>
          <w:rFonts w:hint="eastAsia"/>
          <w:bCs/>
          <w:sz w:val="24"/>
          <w:szCs w:val="24"/>
          <w:highlight w:val="none"/>
          <w:vertAlign w:val="superscript"/>
        </w:rPr>
        <w:t>-5</w:t>
      </w:r>
      <w:r>
        <w:rPr>
          <w:bCs/>
          <w:sz w:val="24"/>
          <w:szCs w:val="24"/>
          <w:highlight w:val="none"/>
        </w:rPr>
        <w:t>mg/L</w:t>
      </w:r>
      <w:r>
        <w:rPr>
          <w:rFonts w:hint="eastAsia"/>
          <w:bCs/>
          <w:sz w:val="24"/>
          <w:szCs w:val="24"/>
          <w:highlight w:val="none"/>
        </w:rPr>
        <w:t>远</w:t>
      </w:r>
      <w:r>
        <w:rPr>
          <w:bCs/>
          <w:sz w:val="24"/>
          <w:szCs w:val="24"/>
          <w:highlight w:val="none"/>
        </w:rPr>
        <w:t>小于</w:t>
      </w:r>
      <w:r>
        <w:rPr>
          <w:rFonts w:hint="eastAsia" w:hAnsi="宋体"/>
          <w:sz w:val="24"/>
          <w:szCs w:val="24"/>
          <w:highlight w:val="none"/>
        </w:rPr>
        <w:t>铁</w:t>
      </w:r>
      <w:r>
        <w:rPr>
          <w:bCs/>
          <w:sz w:val="24"/>
          <w:szCs w:val="24"/>
          <w:highlight w:val="none"/>
        </w:rPr>
        <w:t>的浓度检出限</w:t>
      </w:r>
      <w:r>
        <w:rPr>
          <w:sz w:val="24"/>
          <w:szCs w:val="24"/>
          <w:highlight w:val="none"/>
        </w:rPr>
        <w:t>0.0</w:t>
      </w:r>
      <w:r>
        <w:rPr>
          <w:rFonts w:hint="eastAsia"/>
          <w:sz w:val="24"/>
          <w:szCs w:val="24"/>
          <w:highlight w:val="none"/>
        </w:rPr>
        <w:t>1</w:t>
      </w:r>
      <w:r>
        <w:rPr>
          <w:bCs/>
          <w:sz w:val="24"/>
          <w:szCs w:val="24"/>
          <w:highlight w:val="none"/>
        </w:rPr>
        <w:t>mg/L的标准</w:t>
      </w:r>
      <w:r>
        <w:rPr>
          <w:rFonts w:hint="eastAsia"/>
          <w:bCs/>
          <w:sz w:val="24"/>
          <w:szCs w:val="24"/>
          <w:highlight w:val="none"/>
        </w:rPr>
        <w:t>，因此本项目不会对厂区下游最近的小安乐庄村居民的生活用水水质产生影响，更不会对项目区附近其它居民点的生活用水水质产生影响。</w:t>
      </w:r>
    </w:p>
    <w:p>
      <w:pPr>
        <w:widowControl/>
        <w:ind w:firstLine="0" w:firstLineChars="0"/>
        <w:jc w:val="center"/>
        <w:rPr>
          <w:highlight w:val="none"/>
        </w:rPr>
      </w:pPr>
      <w:r>
        <w:rPr>
          <w:highlight w:val="none"/>
        </w:rPr>
        <w:drawing>
          <wp:inline distT="0" distB="0" distL="0" distR="0">
            <wp:extent cx="5267325" cy="4324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5267325" cy="4324350"/>
                    </a:xfrm>
                    <a:prstGeom prst="rect">
                      <a:avLst/>
                    </a:prstGeom>
                    <a:noFill/>
                    <a:ln>
                      <a:noFill/>
                    </a:ln>
                  </pic:spPr>
                </pic:pic>
              </a:graphicData>
            </a:graphic>
          </wp:inline>
        </w:drawing>
      </w:r>
    </w:p>
    <w:p>
      <w:pPr>
        <w:ind w:firstLine="0" w:firstLineChars="0"/>
        <w:jc w:val="center"/>
        <w:rPr>
          <w:rFonts w:eastAsia="黑体"/>
          <w:sz w:val="21"/>
          <w:szCs w:val="21"/>
          <w:highlight w:val="none"/>
          <w:lang w:val="zh-CN"/>
        </w:rPr>
      </w:pPr>
      <w:r>
        <w:rPr>
          <w:rFonts w:eastAsia="黑体"/>
          <w:sz w:val="21"/>
          <w:szCs w:val="21"/>
          <w:highlight w:val="none"/>
          <w:lang w:val="zh-CN"/>
        </w:rPr>
        <w:t>图5.2-2</w:t>
      </w:r>
      <w:r>
        <w:rPr>
          <w:rFonts w:hint="eastAsia" w:eastAsia="黑体"/>
          <w:sz w:val="21"/>
          <w:szCs w:val="21"/>
          <w:highlight w:val="none"/>
        </w:rPr>
        <w:t>2</w:t>
      </w:r>
      <w:r>
        <w:rPr>
          <w:rFonts w:eastAsia="黑体"/>
          <w:sz w:val="21"/>
          <w:szCs w:val="21"/>
          <w:highlight w:val="none"/>
          <w:lang w:val="zh-CN"/>
        </w:rPr>
        <w:t xml:space="preserve">  厂界处、距离厂界100，200和300米处铁浓度随时间变化过程线预测</w:t>
      </w:r>
    </w:p>
    <w:p>
      <w:pPr>
        <w:pStyle w:val="221"/>
        <w:spacing w:line="360" w:lineRule="auto"/>
        <w:ind w:firstLine="480" w:firstLineChars="200"/>
        <w:rPr>
          <w:bCs/>
          <w:kern w:val="2"/>
          <w:szCs w:val="24"/>
          <w:highlight w:val="none"/>
        </w:rPr>
      </w:pPr>
      <w:r>
        <w:rPr>
          <w:rFonts w:hint="eastAsia"/>
          <w:bCs/>
          <w:kern w:val="2"/>
          <w:szCs w:val="24"/>
          <w:highlight w:val="none"/>
        </w:rPr>
        <w:t>（6）厂区建设对区域地下水影响评价小结</w:t>
      </w:r>
    </w:p>
    <w:p>
      <w:pPr>
        <w:pStyle w:val="221"/>
        <w:spacing w:line="360" w:lineRule="auto"/>
        <w:ind w:firstLine="480" w:firstLineChars="200"/>
        <w:rPr>
          <w:bCs/>
          <w:kern w:val="2"/>
          <w:szCs w:val="24"/>
          <w:highlight w:val="none"/>
        </w:rPr>
      </w:pPr>
      <w:r>
        <w:rPr>
          <w:bCs/>
          <w:kern w:val="2"/>
          <w:szCs w:val="24"/>
          <w:highlight w:val="none"/>
        </w:rPr>
        <w:t>由预测结果可知，</w:t>
      </w:r>
      <w:r>
        <w:rPr>
          <w:rFonts w:hint="eastAsia"/>
          <w:bCs/>
          <w:kern w:val="2"/>
          <w:szCs w:val="24"/>
          <w:highlight w:val="none"/>
        </w:rPr>
        <w:t>由于泄露</w:t>
      </w:r>
      <w:r>
        <w:rPr>
          <w:bCs/>
          <w:kern w:val="2"/>
          <w:szCs w:val="24"/>
          <w:highlight w:val="none"/>
        </w:rPr>
        <w:t>污</w:t>
      </w:r>
      <w:r>
        <w:rPr>
          <w:rFonts w:hint="eastAsia"/>
          <w:bCs/>
          <w:kern w:val="2"/>
          <w:szCs w:val="24"/>
          <w:highlight w:val="none"/>
        </w:rPr>
        <w:t>水中铁浓度较低，而泄露后在地下水的稀释作用</w:t>
      </w:r>
      <w:r>
        <w:rPr>
          <w:bCs/>
          <w:kern w:val="2"/>
          <w:szCs w:val="24"/>
          <w:highlight w:val="none"/>
        </w:rPr>
        <w:t>下</w:t>
      </w:r>
      <w:r>
        <w:rPr>
          <w:rFonts w:hint="eastAsia"/>
          <w:bCs/>
          <w:kern w:val="2"/>
          <w:szCs w:val="24"/>
          <w:highlight w:val="none"/>
        </w:rPr>
        <w:t>浓度还将进一步降低，因此整个模拟期间</w:t>
      </w:r>
      <w:r>
        <w:rPr>
          <w:bCs/>
          <w:kern w:val="2"/>
          <w:szCs w:val="24"/>
          <w:highlight w:val="none"/>
        </w:rPr>
        <w:t>含水层中</w:t>
      </w:r>
      <w:r>
        <w:rPr>
          <w:rFonts w:hint="eastAsia"/>
          <w:bCs/>
          <w:kern w:val="2"/>
          <w:szCs w:val="24"/>
          <w:highlight w:val="none"/>
        </w:rPr>
        <w:t>铁</w:t>
      </w:r>
      <w:r>
        <w:rPr>
          <w:bCs/>
          <w:kern w:val="2"/>
          <w:szCs w:val="24"/>
          <w:highlight w:val="none"/>
        </w:rPr>
        <w:t>的最大浓度也仅为0.00</w:t>
      </w:r>
      <w:r>
        <w:rPr>
          <w:rFonts w:hint="eastAsia"/>
          <w:bCs/>
          <w:kern w:val="2"/>
          <w:szCs w:val="24"/>
          <w:highlight w:val="none"/>
        </w:rPr>
        <w:t>1</w:t>
      </w:r>
      <w:r>
        <w:rPr>
          <w:bCs/>
          <w:kern w:val="2"/>
          <w:szCs w:val="24"/>
          <w:highlight w:val="none"/>
        </w:rPr>
        <w:t>mg/L</w:t>
      </w:r>
      <w:r>
        <w:rPr>
          <w:rFonts w:hint="eastAsia"/>
          <w:bCs/>
          <w:kern w:val="2"/>
          <w:szCs w:val="24"/>
          <w:highlight w:val="none"/>
        </w:rPr>
        <w:t>，远</w:t>
      </w:r>
      <w:r>
        <w:rPr>
          <w:bCs/>
          <w:kern w:val="2"/>
          <w:szCs w:val="24"/>
          <w:highlight w:val="none"/>
        </w:rPr>
        <w:t>小于</w:t>
      </w:r>
      <w:r>
        <w:rPr>
          <w:rFonts w:hint="eastAsia"/>
          <w:bCs/>
          <w:kern w:val="2"/>
          <w:szCs w:val="24"/>
          <w:highlight w:val="none"/>
        </w:rPr>
        <w:t>铁</w:t>
      </w:r>
      <w:r>
        <w:rPr>
          <w:bCs/>
          <w:kern w:val="2"/>
          <w:szCs w:val="24"/>
          <w:highlight w:val="none"/>
        </w:rPr>
        <w:t>的浓度检出限0.0</w:t>
      </w:r>
      <w:r>
        <w:rPr>
          <w:rFonts w:hint="eastAsia"/>
          <w:bCs/>
          <w:kern w:val="2"/>
          <w:szCs w:val="24"/>
          <w:highlight w:val="none"/>
        </w:rPr>
        <w:t>1</w:t>
      </w:r>
      <w:r>
        <w:rPr>
          <w:bCs/>
          <w:kern w:val="2"/>
          <w:szCs w:val="24"/>
          <w:highlight w:val="none"/>
        </w:rPr>
        <w:t>mg/L的标准，</w:t>
      </w:r>
      <w:r>
        <w:rPr>
          <w:rFonts w:hint="eastAsia"/>
          <w:bCs/>
          <w:kern w:val="2"/>
          <w:szCs w:val="24"/>
          <w:highlight w:val="none"/>
        </w:rPr>
        <w:t>因此浓密池污染物泄露不会对厂区下游最近的小安乐庄村居民的生活用水水质产生影响，更不会对项目区附近其它居民点的生活用水水质产生影响。</w:t>
      </w:r>
    </w:p>
    <w:p>
      <w:pPr>
        <w:pStyle w:val="221"/>
        <w:spacing w:line="360" w:lineRule="auto"/>
        <w:ind w:firstLine="520" w:firstLineChars="200"/>
        <w:rPr>
          <w:spacing w:val="10"/>
          <w:szCs w:val="24"/>
          <w:highlight w:val="none"/>
        </w:rPr>
      </w:pPr>
      <w:r>
        <w:rPr>
          <w:spacing w:val="10"/>
          <w:szCs w:val="24"/>
          <w:highlight w:val="none"/>
        </w:rPr>
        <w:t>考虑最不利状况（项目区</w:t>
      </w:r>
      <w:r>
        <w:rPr>
          <w:rFonts w:hint="eastAsia"/>
          <w:spacing w:val="10"/>
          <w:szCs w:val="24"/>
          <w:highlight w:val="none"/>
        </w:rPr>
        <w:t>浓缩</w:t>
      </w:r>
      <w:r>
        <w:rPr>
          <w:spacing w:val="10"/>
          <w:szCs w:val="24"/>
          <w:highlight w:val="none"/>
        </w:rPr>
        <w:t>池泄露情景下），可以看出</w:t>
      </w:r>
      <w:r>
        <w:rPr>
          <w:rFonts w:hint="eastAsia"/>
          <w:spacing w:val="10"/>
          <w:szCs w:val="24"/>
          <w:highlight w:val="none"/>
        </w:rPr>
        <w:t>地下水中铁浓度在地下水的稀释作用下随着时间浓度在逐渐地变小，在整个模拟期间未出现超标现象</w:t>
      </w:r>
      <w:r>
        <w:rPr>
          <w:spacing w:val="10"/>
          <w:szCs w:val="24"/>
          <w:highlight w:val="none"/>
        </w:rPr>
        <w:t>。</w:t>
      </w:r>
    </w:p>
    <w:p>
      <w:pPr>
        <w:ind w:firstLine="480"/>
        <w:textAlignment w:val="auto"/>
        <w:rPr>
          <w:sz w:val="24"/>
          <w:szCs w:val="24"/>
          <w:highlight w:val="none"/>
        </w:rPr>
      </w:pPr>
      <w:r>
        <w:rPr>
          <w:sz w:val="24"/>
          <w:szCs w:val="24"/>
          <w:highlight w:val="none"/>
        </w:rPr>
        <w:t>从总的评价结果来看，在有效的防渗措施和完善的监测系统条件下，该项目不会对地下水造成很大影响。发生事故立即启动应急预案，只要处理及时其对地下水的污染可控制在厂区范围之内。</w:t>
      </w:r>
    </w:p>
    <w:p>
      <w:pPr>
        <w:pStyle w:val="6"/>
        <w:numPr>
          <w:ilvl w:val="2"/>
          <w:numId w:val="1"/>
        </w:numPr>
        <w:rPr>
          <w:szCs w:val="28"/>
          <w:highlight w:val="none"/>
        </w:rPr>
      </w:pPr>
      <w:r>
        <w:rPr>
          <w:szCs w:val="28"/>
          <w:highlight w:val="none"/>
        </w:rPr>
        <w:t>声环境影响预测与评价</w:t>
      </w:r>
      <w:bookmarkEnd w:id="358"/>
      <w:bookmarkEnd w:id="359"/>
    </w:p>
    <w:p>
      <w:pPr>
        <w:pStyle w:val="3"/>
        <w:numPr>
          <w:ilvl w:val="3"/>
          <w:numId w:val="1"/>
        </w:numPr>
        <w:ind w:left="709" w:hanging="709"/>
        <w:rPr>
          <w:rFonts w:eastAsia="宋体"/>
          <w:b/>
          <w:highlight w:val="none"/>
        </w:rPr>
      </w:pPr>
      <w:bookmarkStart w:id="390" w:name="_Hlk18933194"/>
      <w:r>
        <w:rPr>
          <w:rFonts w:eastAsia="宋体"/>
          <w:b/>
          <w:highlight w:val="none"/>
        </w:rPr>
        <w:t>噪声源分析</w:t>
      </w:r>
    </w:p>
    <w:bookmarkEnd w:id="390"/>
    <w:p>
      <w:pPr>
        <w:autoSpaceDE w:val="0"/>
        <w:autoSpaceDN w:val="0"/>
        <w:ind w:firstLine="480"/>
        <w:textAlignment w:val="auto"/>
        <w:rPr>
          <w:sz w:val="24"/>
          <w:szCs w:val="24"/>
          <w:highlight w:val="none"/>
        </w:rPr>
      </w:pPr>
      <w:r>
        <w:rPr>
          <w:sz w:val="24"/>
          <w:szCs w:val="24"/>
          <w:highlight w:val="none"/>
        </w:rPr>
        <w:t>本项目噪声主要为破碎机、振动筛、</w:t>
      </w:r>
      <w:r>
        <w:rPr>
          <w:rFonts w:hint="eastAsia"/>
          <w:sz w:val="24"/>
          <w:szCs w:val="24"/>
          <w:highlight w:val="none"/>
        </w:rPr>
        <w:t>磁滑轮、</w:t>
      </w:r>
      <w:r>
        <w:rPr>
          <w:kern w:val="2"/>
          <w:sz w:val="24"/>
          <w:szCs w:val="24"/>
          <w:highlight w:val="none"/>
        </w:rPr>
        <w:t>球磨机、磁选机、过滤机及各种水泵等</w:t>
      </w:r>
      <w:r>
        <w:rPr>
          <w:sz w:val="24"/>
          <w:szCs w:val="24"/>
          <w:highlight w:val="none"/>
        </w:rPr>
        <w:t>设备运行时产生的噪声</w:t>
      </w:r>
      <w:r>
        <w:rPr>
          <w:bCs/>
          <w:sz w:val="24"/>
          <w:szCs w:val="24"/>
          <w:highlight w:val="none"/>
        </w:rPr>
        <w:t>。根据类比调查，其源强为70-100dB(A)。</w:t>
      </w:r>
      <w:r>
        <w:rPr>
          <w:sz w:val="24"/>
          <w:szCs w:val="24"/>
          <w:highlight w:val="none"/>
        </w:rPr>
        <w:t>各噪声源经厂房隔声、基础减振等措施后噪声排放源强如表5.2-</w:t>
      </w:r>
      <w:r>
        <w:rPr>
          <w:rFonts w:hint="eastAsia"/>
          <w:sz w:val="24"/>
          <w:szCs w:val="24"/>
          <w:highlight w:val="none"/>
        </w:rPr>
        <w:t>19</w:t>
      </w:r>
      <w:r>
        <w:rPr>
          <w:sz w:val="24"/>
          <w:szCs w:val="24"/>
          <w:highlight w:val="none"/>
        </w:rPr>
        <w:t>所示。</w:t>
      </w:r>
    </w:p>
    <w:p>
      <w:pPr>
        <w:autoSpaceDE w:val="0"/>
        <w:autoSpaceDN w:val="0"/>
        <w:ind w:firstLine="0" w:firstLineChars="0"/>
        <w:jc w:val="center"/>
        <w:textAlignment w:val="auto"/>
        <w:rPr>
          <w:rFonts w:eastAsia="黑体"/>
          <w:kern w:val="2"/>
          <w:sz w:val="21"/>
          <w:szCs w:val="21"/>
          <w:highlight w:val="none"/>
        </w:rPr>
      </w:pPr>
      <w:r>
        <w:rPr>
          <w:rFonts w:eastAsia="黑体"/>
          <w:kern w:val="2"/>
          <w:sz w:val="21"/>
          <w:szCs w:val="21"/>
          <w:highlight w:val="none"/>
        </w:rPr>
        <w:t>表5.2-</w:t>
      </w:r>
      <w:r>
        <w:rPr>
          <w:rFonts w:hint="eastAsia" w:eastAsia="黑体"/>
          <w:kern w:val="2"/>
          <w:sz w:val="21"/>
          <w:szCs w:val="21"/>
          <w:highlight w:val="none"/>
        </w:rPr>
        <w:t xml:space="preserve">19  </w:t>
      </w:r>
      <w:r>
        <w:rPr>
          <w:rFonts w:eastAsia="黑体"/>
          <w:kern w:val="2"/>
          <w:sz w:val="21"/>
          <w:szCs w:val="21"/>
          <w:highlight w:val="none"/>
        </w:rPr>
        <w:t xml:space="preserve"> 项目噪声设备采取降噪措施后的噪声值一览表单位：dB(A)</w:t>
      </w:r>
    </w:p>
    <w:tbl>
      <w:tblPr>
        <w:tblStyle w:val="5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0"/>
        <w:gridCol w:w="690"/>
        <w:gridCol w:w="690"/>
        <w:gridCol w:w="753"/>
        <w:gridCol w:w="690"/>
        <w:gridCol w:w="690"/>
        <w:gridCol w:w="690"/>
        <w:gridCol w:w="796"/>
        <w:gridCol w:w="796"/>
        <w:gridCol w:w="649"/>
        <w:gridCol w:w="690"/>
        <w:gridCol w:w="6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405" w:type="pct"/>
            <w:vMerge w:val="restart"/>
            <w:vAlign w:val="center"/>
          </w:tcPr>
          <w:p>
            <w:pPr>
              <w:spacing w:line="240" w:lineRule="auto"/>
              <w:ind w:left="-70" w:leftChars="-25" w:right="-70" w:rightChars="-25" w:firstLine="0" w:firstLineChars="0"/>
              <w:jc w:val="center"/>
              <w:rPr>
                <w:sz w:val="21"/>
                <w:szCs w:val="21"/>
                <w:highlight w:val="none"/>
              </w:rPr>
            </w:pPr>
            <w:r>
              <w:rPr>
                <w:sz w:val="21"/>
                <w:szCs w:val="21"/>
                <w:highlight w:val="none"/>
              </w:rPr>
              <w:t>序号</w:t>
            </w:r>
          </w:p>
        </w:tc>
        <w:tc>
          <w:tcPr>
            <w:tcW w:w="810" w:type="pct"/>
            <w:gridSpan w:val="2"/>
            <w:vMerge w:val="restar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声源</w:t>
            </w:r>
            <w:r>
              <w:rPr>
                <w:sz w:val="21"/>
                <w:szCs w:val="21"/>
                <w:highlight w:val="none"/>
              </w:rPr>
              <w:t>名称</w:t>
            </w:r>
          </w:p>
        </w:tc>
        <w:tc>
          <w:tcPr>
            <w:tcW w:w="442" w:type="pct"/>
            <w:vMerge w:val="restar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声源源强</w:t>
            </w:r>
            <w:r>
              <w:rPr>
                <w:sz w:val="21"/>
                <w:szCs w:val="21"/>
                <w:highlight w:val="none"/>
              </w:rPr>
              <w:t>/dB(A)</w:t>
            </w:r>
          </w:p>
        </w:tc>
        <w:tc>
          <w:tcPr>
            <w:tcW w:w="405" w:type="pct"/>
            <w:vMerge w:val="restar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距室内边界距离/m</w:t>
            </w:r>
          </w:p>
        </w:tc>
        <w:tc>
          <w:tcPr>
            <w:tcW w:w="405" w:type="pct"/>
            <w:vMerge w:val="restart"/>
            <w:vAlign w:val="center"/>
          </w:tcPr>
          <w:p>
            <w:pPr>
              <w:spacing w:line="240" w:lineRule="auto"/>
              <w:ind w:left="-70" w:leftChars="-25" w:right="-70" w:rightChars="-25" w:firstLine="0" w:firstLineChars="0"/>
              <w:jc w:val="center"/>
              <w:rPr>
                <w:sz w:val="21"/>
                <w:szCs w:val="21"/>
                <w:highlight w:val="none"/>
              </w:rPr>
            </w:pPr>
            <w:r>
              <w:rPr>
                <w:sz w:val="21"/>
                <w:szCs w:val="21"/>
                <w:highlight w:val="none"/>
              </w:rPr>
              <w:t>运行</w:t>
            </w:r>
            <w:r>
              <w:rPr>
                <w:rFonts w:hint="eastAsia"/>
                <w:sz w:val="21"/>
                <w:szCs w:val="21"/>
                <w:highlight w:val="none"/>
              </w:rPr>
              <w:t>时段</w:t>
            </w:r>
          </w:p>
        </w:tc>
        <w:tc>
          <w:tcPr>
            <w:tcW w:w="405" w:type="pct"/>
            <w:vMerge w:val="restart"/>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声源控制</w:t>
            </w:r>
            <w:r>
              <w:rPr>
                <w:sz w:val="21"/>
                <w:szCs w:val="21"/>
                <w:highlight w:val="none"/>
              </w:rPr>
              <w:t>措施</w:t>
            </w:r>
          </w:p>
        </w:tc>
        <w:tc>
          <w:tcPr>
            <w:tcW w:w="1315" w:type="pct"/>
            <w:gridSpan w:val="3"/>
            <w:tcBorders>
              <w:left w:val="single" w:color="auto" w:sz="4" w:space="0"/>
              <w:bottom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空间相对位置</w:t>
            </w:r>
          </w:p>
        </w:tc>
        <w:tc>
          <w:tcPr>
            <w:tcW w:w="405" w:type="pct"/>
            <w:vMerge w:val="restar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建筑物插入损失</w:t>
            </w:r>
            <w:r>
              <w:rPr>
                <w:sz w:val="21"/>
                <w:szCs w:val="21"/>
                <w:highlight w:val="none"/>
              </w:rPr>
              <w:t>/dB(A)</w:t>
            </w:r>
          </w:p>
        </w:tc>
        <w:tc>
          <w:tcPr>
            <w:tcW w:w="405" w:type="pct"/>
            <w:vMerge w:val="restar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建筑物外1m声压级</w:t>
            </w:r>
            <w:r>
              <w:rPr>
                <w:sz w:val="21"/>
                <w:szCs w:val="21"/>
                <w:highlight w:val="none"/>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810" w:type="pct"/>
            <w:gridSpan w:val="2"/>
            <w:vMerge w:val="continue"/>
            <w:vAlign w:val="center"/>
          </w:tcPr>
          <w:p>
            <w:pPr>
              <w:spacing w:line="240" w:lineRule="auto"/>
              <w:ind w:left="-70" w:leftChars="-25" w:right="-70" w:rightChars="-25" w:firstLine="0" w:firstLineChars="0"/>
              <w:jc w:val="center"/>
              <w:rPr>
                <w:sz w:val="21"/>
                <w:szCs w:val="21"/>
                <w:highlight w:val="none"/>
              </w:rPr>
            </w:pPr>
          </w:p>
        </w:tc>
        <w:tc>
          <w:tcPr>
            <w:tcW w:w="442"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top w:val="single" w:color="auto" w:sz="4" w:space="0"/>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X</w:t>
            </w:r>
          </w:p>
        </w:tc>
        <w:tc>
          <w:tcPr>
            <w:tcW w:w="467" w:type="pct"/>
            <w:tcBorders>
              <w:top w:val="single" w:color="auto" w:sz="4" w:space="0"/>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Y</w:t>
            </w:r>
          </w:p>
        </w:tc>
        <w:tc>
          <w:tcPr>
            <w:tcW w:w="381" w:type="pct"/>
            <w:tcBorders>
              <w:top w:val="single" w:color="auto" w:sz="4" w:space="0"/>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Z</w:t>
            </w: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restart"/>
            <w:vAlign w:val="center"/>
          </w:tcPr>
          <w:p>
            <w:pPr>
              <w:spacing w:line="240" w:lineRule="auto"/>
              <w:ind w:left="-70" w:leftChars="-25" w:right="-70" w:rightChars="-25" w:firstLine="0" w:firstLineChars="0"/>
              <w:jc w:val="center"/>
              <w:rPr>
                <w:sz w:val="21"/>
                <w:szCs w:val="21"/>
                <w:highlight w:val="none"/>
              </w:rPr>
            </w:pPr>
            <w:r>
              <w:rPr>
                <w:sz w:val="21"/>
                <w:szCs w:val="21"/>
                <w:highlight w:val="none"/>
              </w:rPr>
              <w:t>1</w:t>
            </w:r>
          </w:p>
        </w:tc>
        <w:tc>
          <w:tcPr>
            <w:tcW w:w="405" w:type="pct"/>
            <w:vMerge w:val="restart"/>
            <w:vAlign w:val="center"/>
          </w:tcPr>
          <w:p>
            <w:pPr>
              <w:spacing w:line="240" w:lineRule="auto"/>
              <w:ind w:left="-70" w:leftChars="-25" w:right="-70" w:rightChars="-25" w:firstLine="0" w:firstLineChars="0"/>
              <w:jc w:val="center"/>
              <w:rPr>
                <w:sz w:val="21"/>
                <w:szCs w:val="21"/>
                <w:highlight w:val="none"/>
              </w:rPr>
            </w:pPr>
            <w:r>
              <w:rPr>
                <w:sz w:val="21"/>
                <w:szCs w:val="21"/>
                <w:highlight w:val="none"/>
              </w:rPr>
              <w:t>破碎车间</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颚式破碎机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100</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restart"/>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r>
              <w:rPr>
                <w:sz w:val="21"/>
                <w:szCs w:val="21"/>
                <w:highlight w:val="none"/>
              </w:rPr>
              <w:t>置于封闭车间内，车间墙体采用单层彩钢，各设备基础加装减震垫</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-63</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14</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锤式破碎机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100</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-49</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lang w:val="zh-CN"/>
              </w:rPr>
            </w:pPr>
            <w:r>
              <w:rPr>
                <w:sz w:val="21"/>
                <w:szCs w:val="21"/>
                <w:highlight w:val="none"/>
                <w:lang w:val="zh-CN"/>
              </w:rPr>
              <w:t>振动筛</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90</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-56</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皮带机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70</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-53</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空压机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90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1</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间断运行</w:t>
            </w:r>
          </w:p>
        </w:tc>
        <w:tc>
          <w:tcPr>
            <w:tcW w:w="405" w:type="pct"/>
            <w:vMerge w:val="continue"/>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-50</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13</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风机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90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1</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bottom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-51</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15</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restart"/>
            <w:vAlign w:val="center"/>
          </w:tcPr>
          <w:p>
            <w:pPr>
              <w:spacing w:line="240" w:lineRule="auto"/>
              <w:ind w:left="-70" w:leftChars="-25" w:right="-70" w:rightChars="-25" w:firstLine="0" w:firstLineChars="0"/>
              <w:jc w:val="center"/>
              <w:rPr>
                <w:sz w:val="21"/>
                <w:szCs w:val="21"/>
                <w:highlight w:val="none"/>
              </w:rPr>
            </w:pPr>
            <w:r>
              <w:rPr>
                <w:sz w:val="21"/>
                <w:szCs w:val="21"/>
                <w:highlight w:val="none"/>
              </w:rPr>
              <w:t>2</w:t>
            </w:r>
          </w:p>
        </w:tc>
        <w:tc>
          <w:tcPr>
            <w:tcW w:w="405" w:type="pct"/>
            <w:vMerge w:val="restar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选矿</w:t>
            </w:r>
            <w:r>
              <w:rPr>
                <w:sz w:val="21"/>
                <w:szCs w:val="21"/>
                <w:highlight w:val="none"/>
              </w:rPr>
              <w:t>车间</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粗选</w:t>
            </w:r>
            <w:r>
              <w:rPr>
                <w:sz w:val="21"/>
                <w:szCs w:val="21"/>
                <w:highlight w:val="none"/>
              </w:rPr>
              <w:t>球磨机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95</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restart"/>
            <w:tcBorders>
              <w:top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r>
              <w:rPr>
                <w:sz w:val="21"/>
                <w:szCs w:val="21"/>
                <w:highlight w:val="none"/>
              </w:rPr>
              <w:t>置于封闭车间内，车间墙体采用单层彩钢，各设备基础加装减震垫</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-12</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-25</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精选球磨机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95</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-32</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23</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精选球磨机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95</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-17</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28</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精选球磨机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95</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22</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43</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高频筛</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90</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3</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top w:val="single" w:color="auto" w:sz="4" w:space="0"/>
              <w:bottom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57</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-164</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磁选机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80</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4</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top w:val="single" w:color="auto" w:sz="4" w:space="0"/>
              <w:bottom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43</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-159</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打捞机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80</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3</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top w:val="single" w:color="auto" w:sz="4" w:space="0"/>
              <w:bottom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42</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-168</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过滤机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75</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top w:val="single" w:color="auto" w:sz="4" w:space="0"/>
              <w:bottom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65</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-167</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皮带机</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70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3</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top w:val="single" w:color="auto" w:sz="4" w:space="0"/>
              <w:bottom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43</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-157</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渣浆泵</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80</w:t>
            </w:r>
          </w:p>
        </w:tc>
        <w:tc>
          <w:tcPr>
            <w:tcW w:w="405" w:type="pct"/>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3</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restart"/>
            <w:tcBorders>
              <w:top w:val="single" w:color="auto" w:sz="4" w:space="0"/>
              <w:bottom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r>
              <w:rPr>
                <w:sz w:val="21"/>
                <w:szCs w:val="21"/>
                <w:highlight w:val="none"/>
              </w:rPr>
              <w:t>置于封闭彩钢车间内，基础减震，设置软连接</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59</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-155</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Merge w:val="continue"/>
            <w:vAlign w:val="center"/>
          </w:tcPr>
          <w:p>
            <w:pPr>
              <w:spacing w:line="240" w:lineRule="auto"/>
              <w:ind w:left="-70" w:leftChars="-25" w:right="-70" w:rightChars="-25" w:firstLine="0" w:firstLineChars="0"/>
              <w:jc w:val="center"/>
              <w:rPr>
                <w:sz w:val="21"/>
                <w:szCs w:val="21"/>
                <w:highlight w:val="none"/>
              </w:rPr>
            </w:pP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水泵</w:t>
            </w:r>
          </w:p>
        </w:tc>
        <w:tc>
          <w:tcPr>
            <w:tcW w:w="442"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80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3</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全运行</w:t>
            </w:r>
          </w:p>
        </w:tc>
        <w:tc>
          <w:tcPr>
            <w:tcW w:w="405" w:type="pct"/>
            <w:vMerge w:val="continue"/>
            <w:tcBorders>
              <w:top w:val="single" w:color="auto" w:sz="4" w:space="0"/>
              <w:bottom w:val="single" w:color="auto" w:sz="4" w:space="0"/>
              <w:right w:val="single" w:color="auto" w:sz="4" w:space="0"/>
            </w:tcBorders>
            <w:vAlign w:val="center"/>
          </w:tcPr>
          <w:p>
            <w:pPr>
              <w:spacing w:line="240" w:lineRule="auto"/>
              <w:ind w:left="-70" w:leftChars="-25" w:right="-70" w:rightChars="-25" w:firstLine="0" w:firstLineChars="0"/>
              <w:jc w:val="center"/>
              <w:rPr>
                <w:sz w:val="21"/>
                <w:szCs w:val="21"/>
                <w:highlight w:val="none"/>
              </w:rPr>
            </w:pP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66</w:t>
            </w:r>
          </w:p>
        </w:tc>
        <w:tc>
          <w:tcPr>
            <w:tcW w:w="467"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-156</w:t>
            </w:r>
          </w:p>
        </w:tc>
        <w:tc>
          <w:tcPr>
            <w:tcW w:w="381" w:type="pct"/>
            <w:tcBorders>
              <w:left w:val="single" w:color="auto" w:sz="4" w:space="0"/>
            </w:tcBorders>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20</w:t>
            </w:r>
          </w:p>
        </w:tc>
        <w:tc>
          <w:tcPr>
            <w:tcW w:w="405" w:type="pct"/>
            <w:vAlign w:val="center"/>
          </w:tcPr>
          <w:p>
            <w:pPr>
              <w:spacing w:line="240" w:lineRule="auto"/>
              <w:ind w:left="-70" w:leftChars="-25" w:right="-70" w:rightChars="-25" w:firstLine="0" w:firstLineChars="0"/>
              <w:jc w:val="center"/>
              <w:rPr>
                <w:sz w:val="21"/>
                <w:szCs w:val="21"/>
                <w:highlight w:val="none"/>
              </w:rPr>
            </w:pPr>
            <w:r>
              <w:rPr>
                <w:sz w:val="21"/>
                <w:szCs w:val="21"/>
                <w:highlight w:val="none"/>
              </w:rPr>
              <w:t>60</w:t>
            </w:r>
          </w:p>
        </w:tc>
      </w:tr>
    </w:tbl>
    <w:p>
      <w:pPr>
        <w:pStyle w:val="3"/>
        <w:numPr>
          <w:ilvl w:val="3"/>
          <w:numId w:val="1"/>
        </w:numPr>
        <w:ind w:left="709" w:hanging="709"/>
        <w:rPr>
          <w:rFonts w:eastAsia="宋体"/>
          <w:b/>
          <w:highlight w:val="none"/>
        </w:rPr>
      </w:pPr>
      <w:r>
        <w:rPr>
          <w:rFonts w:eastAsia="宋体"/>
          <w:b/>
          <w:highlight w:val="none"/>
        </w:rPr>
        <w:t>噪声预测模式</w:t>
      </w:r>
    </w:p>
    <w:p>
      <w:pPr>
        <w:ind w:firstLine="480"/>
        <w:rPr>
          <w:rFonts w:ascii="宋体" w:hAnsi="宋体"/>
          <w:sz w:val="24"/>
          <w:szCs w:val="24"/>
          <w:highlight w:val="none"/>
        </w:rPr>
      </w:pPr>
      <w:r>
        <w:rPr>
          <w:rFonts w:hint="eastAsia" w:ascii="宋体" w:hAnsi="宋体"/>
          <w:sz w:val="24"/>
          <w:szCs w:val="24"/>
          <w:highlight w:val="none"/>
        </w:rPr>
        <w:t>根据本工程对噪声源所采取的隔声、基础减振等措施及效果，按照《环境影响评价技术导则声环境》（</w:t>
      </w:r>
      <w:r>
        <w:rPr>
          <w:rFonts w:hint="eastAsia" w:ascii="TimesNewRomanPSMT" w:hAnsi="TimesNewRomanPSMT" w:eastAsia="TimesNewRomanPSMT"/>
          <w:sz w:val="24"/>
          <w:szCs w:val="24"/>
          <w:highlight w:val="none"/>
        </w:rPr>
        <w:t>HJ2.4-2021</w:t>
      </w:r>
      <w:r>
        <w:rPr>
          <w:rFonts w:hint="eastAsia" w:ascii="宋体" w:hAnsi="宋体"/>
          <w:sz w:val="24"/>
          <w:szCs w:val="24"/>
          <w:highlight w:val="none"/>
        </w:rPr>
        <w:t>）中的模式预测噪声源对各预测点的影响值并进行影响评价。</w:t>
      </w:r>
    </w:p>
    <w:p>
      <w:pPr>
        <w:ind w:firstLine="480"/>
        <w:rPr>
          <w:rFonts w:ascii="宋体" w:hAnsi="宋体"/>
          <w:sz w:val="24"/>
          <w:szCs w:val="24"/>
          <w:highlight w:val="none"/>
        </w:rPr>
      </w:pPr>
      <w:r>
        <w:rPr>
          <w:rFonts w:hint="eastAsia" w:ascii="宋体" w:hAnsi="宋体"/>
          <w:sz w:val="24"/>
          <w:szCs w:val="24"/>
          <w:highlight w:val="none"/>
        </w:rPr>
        <w:t>（</w:t>
      </w:r>
      <w:r>
        <w:rPr>
          <w:rFonts w:hint="eastAsia" w:ascii="TimesNewRomanPSMT" w:hAnsi="TimesNewRomanPSMT" w:eastAsia="TimesNewRomanPSMT"/>
          <w:sz w:val="24"/>
          <w:szCs w:val="24"/>
          <w:highlight w:val="none"/>
        </w:rPr>
        <w:t>1</w:t>
      </w:r>
      <w:r>
        <w:rPr>
          <w:rFonts w:hint="eastAsia" w:ascii="宋体" w:hAnsi="宋体"/>
          <w:sz w:val="24"/>
          <w:szCs w:val="24"/>
          <w:highlight w:val="none"/>
        </w:rPr>
        <w:t>）室外点声源对厂界噪声预测点贡献值预测模式</w:t>
      </w:r>
    </w:p>
    <w:p>
      <w:pPr>
        <w:ind w:firstLine="480"/>
        <w:rPr>
          <w:rFonts w:ascii="宋体" w:hAnsi="宋体"/>
          <w:sz w:val="24"/>
          <w:szCs w:val="24"/>
          <w:highlight w:val="none"/>
        </w:rPr>
      </w:pPr>
      <w:r>
        <w:rPr>
          <w:rFonts w:hint="eastAsia" w:ascii="宋体" w:hAnsi="宋体"/>
          <w:sz w:val="24"/>
          <w:szCs w:val="24"/>
          <w:highlight w:val="none"/>
        </w:rPr>
        <w:t>各声源对预测点的贡献值按下式计算：</w:t>
      </w:r>
    </w:p>
    <w:p>
      <w:pPr>
        <w:ind w:firstLine="560"/>
        <w:textAlignment w:val="auto"/>
        <w:rPr>
          <w:rFonts w:ascii="宋体" w:hAnsi="宋体"/>
          <w:szCs w:val="24"/>
          <w:highlight w:val="none"/>
        </w:rPr>
      </w:pPr>
      <w:r>
        <w:rPr>
          <w:rFonts w:hint="eastAsia" w:ascii="TimesNewRomanPSMT" w:hAnsi="TimesNewRomanPSMT" w:eastAsia="TimesNewRomanPSMT"/>
          <w:szCs w:val="24"/>
          <w:highlight w:val="none"/>
        </w:rPr>
        <w:t>Lp</w:t>
      </w:r>
      <w:r>
        <w:rPr>
          <w:rFonts w:hint="eastAsia" w:ascii="宋体" w:hAnsi="宋体"/>
          <w:szCs w:val="24"/>
          <w:highlight w:val="none"/>
        </w:rPr>
        <w:t>（</w:t>
      </w:r>
      <w:r>
        <w:rPr>
          <w:rFonts w:hint="eastAsia" w:ascii="TimesNewRomanPSMT" w:hAnsi="TimesNewRomanPSMT" w:eastAsia="TimesNewRomanPSMT"/>
          <w:szCs w:val="24"/>
          <w:highlight w:val="none"/>
        </w:rPr>
        <w:t>r</w:t>
      </w:r>
      <w:r>
        <w:rPr>
          <w:rFonts w:hint="eastAsia" w:ascii="宋体" w:hAnsi="宋体"/>
          <w:szCs w:val="24"/>
          <w:highlight w:val="none"/>
        </w:rPr>
        <w:t>）</w:t>
      </w:r>
      <w:r>
        <w:rPr>
          <w:rFonts w:hint="eastAsia" w:ascii="TimesNewRomanPSMT" w:hAnsi="TimesNewRomanPSMT" w:eastAsia="TimesNewRomanPSMT"/>
          <w:szCs w:val="24"/>
          <w:highlight w:val="none"/>
        </w:rPr>
        <w:t>=Lw+Dc-</w:t>
      </w:r>
      <w:r>
        <w:rPr>
          <w:rFonts w:hint="eastAsia" w:ascii="宋体" w:hAnsi="宋体"/>
          <w:szCs w:val="24"/>
          <w:highlight w:val="none"/>
        </w:rPr>
        <w:t>（</w:t>
      </w:r>
      <w:r>
        <w:rPr>
          <w:rFonts w:hint="eastAsia" w:ascii="TimesNewRomanPSMT" w:hAnsi="TimesNewRomanPSMT" w:eastAsia="TimesNewRomanPSMT"/>
          <w:szCs w:val="24"/>
          <w:highlight w:val="none"/>
        </w:rPr>
        <w:t>A</w:t>
      </w:r>
      <w:r>
        <w:rPr>
          <w:rFonts w:hint="eastAsia" w:ascii="TimesNewRomanPSMT" w:hAnsi="TimesNewRomanPSMT" w:eastAsia="TimesNewRomanPSMT"/>
          <w:sz w:val="18"/>
          <w:szCs w:val="24"/>
          <w:highlight w:val="none"/>
        </w:rPr>
        <w:t>div</w:t>
      </w:r>
      <w:r>
        <w:rPr>
          <w:rFonts w:hint="eastAsia" w:ascii="TimesNewRomanPSMT" w:hAnsi="TimesNewRomanPSMT" w:eastAsia="TimesNewRomanPSMT"/>
          <w:szCs w:val="24"/>
          <w:highlight w:val="none"/>
        </w:rPr>
        <w:t>+A</w:t>
      </w:r>
      <w:r>
        <w:rPr>
          <w:rFonts w:hint="eastAsia" w:ascii="TimesNewRomanPSMT" w:hAnsi="TimesNewRomanPSMT" w:eastAsia="TimesNewRomanPSMT"/>
          <w:sz w:val="18"/>
          <w:szCs w:val="24"/>
          <w:highlight w:val="none"/>
        </w:rPr>
        <w:t>atm</w:t>
      </w:r>
      <w:r>
        <w:rPr>
          <w:rFonts w:hint="eastAsia" w:ascii="TimesNewRomanPSMT" w:hAnsi="TimesNewRomanPSMT" w:eastAsia="TimesNewRomanPSMT"/>
          <w:szCs w:val="24"/>
          <w:highlight w:val="none"/>
        </w:rPr>
        <w:t>+A</w:t>
      </w:r>
      <w:r>
        <w:rPr>
          <w:rFonts w:hint="eastAsia" w:ascii="TimesNewRomanPSMT" w:hAnsi="TimesNewRomanPSMT" w:eastAsia="TimesNewRomanPSMT"/>
          <w:sz w:val="18"/>
          <w:szCs w:val="24"/>
          <w:highlight w:val="none"/>
        </w:rPr>
        <w:t>gr</w:t>
      </w:r>
      <w:r>
        <w:rPr>
          <w:rFonts w:hint="eastAsia" w:ascii="TimesNewRomanPSMT" w:hAnsi="TimesNewRomanPSMT" w:eastAsia="TimesNewRomanPSMT"/>
          <w:szCs w:val="24"/>
          <w:highlight w:val="none"/>
        </w:rPr>
        <w:t>+A</w:t>
      </w:r>
      <w:r>
        <w:rPr>
          <w:rFonts w:hint="eastAsia" w:ascii="TimesNewRomanPSMT" w:hAnsi="TimesNewRomanPSMT" w:eastAsia="TimesNewRomanPSMT"/>
          <w:sz w:val="18"/>
          <w:szCs w:val="24"/>
          <w:highlight w:val="none"/>
        </w:rPr>
        <w:t>bar</w:t>
      </w:r>
      <w:r>
        <w:rPr>
          <w:rFonts w:hint="eastAsia" w:ascii="TimesNewRomanPSMT" w:hAnsi="TimesNewRomanPSMT" w:eastAsia="TimesNewRomanPSMT"/>
          <w:szCs w:val="24"/>
          <w:highlight w:val="none"/>
        </w:rPr>
        <w:t>+A</w:t>
      </w:r>
      <w:r>
        <w:rPr>
          <w:rFonts w:hint="eastAsia" w:ascii="TimesNewRomanPSMT" w:hAnsi="TimesNewRomanPSMT" w:eastAsia="TimesNewRomanPSMT"/>
          <w:sz w:val="18"/>
          <w:szCs w:val="24"/>
          <w:highlight w:val="none"/>
        </w:rPr>
        <w:t>misc</w:t>
      </w:r>
      <w:r>
        <w:rPr>
          <w:rFonts w:hint="eastAsia" w:ascii="宋体" w:hAnsi="宋体"/>
          <w:szCs w:val="24"/>
          <w:highlight w:val="none"/>
        </w:rPr>
        <w:t>）</w:t>
      </w:r>
    </w:p>
    <w:p>
      <w:pPr>
        <w:ind w:firstLine="480"/>
        <w:textAlignment w:val="auto"/>
        <w:rPr>
          <w:rFonts w:ascii="宋体" w:hAnsi="宋体"/>
          <w:sz w:val="24"/>
          <w:szCs w:val="24"/>
          <w:highlight w:val="none"/>
        </w:rPr>
      </w:pPr>
      <w:r>
        <w:rPr>
          <w:rFonts w:hint="eastAsia" w:ascii="宋体" w:hAnsi="宋体"/>
          <w:sz w:val="24"/>
          <w:szCs w:val="24"/>
          <w:highlight w:val="none"/>
        </w:rPr>
        <w:t>式中：</w:t>
      </w:r>
      <w:r>
        <w:rPr>
          <w:rFonts w:hint="eastAsia" w:ascii="TimesNewRomanPSMT" w:hAnsi="TimesNewRomanPSMT" w:eastAsia="TimesNewRomanPSMT"/>
          <w:sz w:val="24"/>
          <w:szCs w:val="24"/>
          <w:highlight w:val="none"/>
        </w:rPr>
        <w:t>L</w:t>
      </w:r>
      <w:r>
        <w:rPr>
          <w:rFonts w:hint="eastAsia" w:ascii="宋体" w:hAnsi="宋体"/>
          <w:sz w:val="24"/>
          <w:szCs w:val="24"/>
          <w:highlight w:val="none"/>
        </w:rPr>
        <w:t>（</w:t>
      </w:r>
      <w:r>
        <w:rPr>
          <w:rFonts w:hint="eastAsia" w:ascii="TimesNewRomanPSMT" w:hAnsi="TimesNewRomanPSMT" w:eastAsia="TimesNewRomanPSMT"/>
          <w:sz w:val="24"/>
          <w:szCs w:val="24"/>
          <w:highlight w:val="none"/>
        </w:rPr>
        <w:t>r</w:t>
      </w:r>
      <w:r>
        <w:rPr>
          <w:rFonts w:hint="eastAsia" w:ascii="宋体" w:hAnsi="宋体"/>
          <w:sz w:val="24"/>
          <w:szCs w:val="24"/>
          <w:highlight w:val="none"/>
        </w:rPr>
        <w:t>）</w:t>
      </w:r>
      <w:r>
        <w:rPr>
          <w:rFonts w:hint="eastAsia" w:ascii="TimesNewRomanPSMT" w:hAnsi="TimesNewRomanPSMT" w:eastAsia="TimesNewRomanPSMT"/>
          <w:sz w:val="24"/>
          <w:szCs w:val="24"/>
          <w:highlight w:val="none"/>
        </w:rPr>
        <w:t>p——</w:t>
      </w:r>
      <w:r>
        <w:rPr>
          <w:rFonts w:hint="eastAsia" w:ascii="宋体" w:hAnsi="宋体"/>
          <w:sz w:val="24"/>
          <w:szCs w:val="24"/>
          <w:highlight w:val="none"/>
        </w:rPr>
        <w:t>预测点处声压级，</w:t>
      </w:r>
      <w:r>
        <w:rPr>
          <w:rFonts w:hint="eastAsia" w:ascii="TimesNewRomanPSMT" w:hAnsi="TimesNewRomanPSMT" w:eastAsia="TimesNewRomanPSMT"/>
          <w:sz w:val="24"/>
          <w:szCs w:val="24"/>
          <w:highlight w:val="none"/>
        </w:rPr>
        <w:t>dB</w:t>
      </w:r>
      <w:r>
        <w:rPr>
          <w:rFonts w:hint="eastAsia" w:ascii="宋体" w:hAnsi="宋体"/>
          <w:sz w:val="24"/>
          <w:szCs w:val="24"/>
          <w:highlight w:val="none"/>
        </w:rPr>
        <w:t>；</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Lw——</w:t>
      </w:r>
      <w:r>
        <w:rPr>
          <w:rFonts w:hint="eastAsia" w:ascii="宋体" w:hAnsi="宋体"/>
          <w:sz w:val="24"/>
          <w:szCs w:val="24"/>
          <w:highlight w:val="none"/>
        </w:rPr>
        <w:t>由点声源产生的声功率级（</w:t>
      </w:r>
      <w:r>
        <w:rPr>
          <w:rFonts w:hint="eastAsia" w:ascii="TimesNewRomanPSMT" w:hAnsi="TimesNewRomanPSMT" w:eastAsia="TimesNewRomanPSMT"/>
          <w:sz w:val="24"/>
          <w:szCs w:val="24"/>
          <w:highlight w:val="none"/>
        </w:rPr>
        <w:t xml:space="preserve">A </w:t>
      </w:r>
      <w:r>
        <w:rPr>
          <w:rFonts w:hint="eastAsia" w:ascii="宋体" w:hAnsi="宋体"/>
          <w:sz w:val="24"/>
          <w:szCs w:val="24"/>
          <w:highlight w:val="none"/>
        </w:rPr>
        <w:t>计权或倍频带），</w:t>
      </w:r>
      <w:r>
        <w:rPr>
          <w:rFonts w:hint="eastAsia" w:ascii="TimesNewRomanPSMT" w:hAnsi="TimesNewRomanPSMT" w:eastAsia="TimesNewRomanPSMT"/>
          <w:sz w:val="24"/>
          <w:szCs w:val="24"/>
          <w:highlight w:val="none"/>
        </w:rPr>
        <w:t>dB</w:t>
      </w:r>
      <w:r>
        <w:rPr>
          <w:rFonts w:hint="eastAsia" w:ascii="宋体" w:hAnsi="宋体"/>
          <w:sz w:val="24"/>
          <w:szCs w:val="24"/>
          <w:highlight w:val="none"/>
        </w:rPr>
        <w:t>；</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Dc——</w:t>
      </w:r>
      <w:r>
        <w:rPr>
          <w:rFonts w:hint="eastAsia" w:ascii="宋体" w:hAnsi="宋体"/>
          <w:sz w:val="24"/>
          <w:szCs w:val="24"/>
          <w:highlight w:val="none"/>
        </w:rPr>
        <w:t>指向性校正，</w:t>
      </w:r>
      <w:r>
        <w:rPr>
          <w:rFonts w:hint="eastAsia" w:ascii="TimesNewRomanPSMT" w:hAnsi="TimesNewRomanPSMT" w:eastAsia="TimesNewRomanPSMT"/>
          <w:sz w:val="24"/>
          <w:szCs w:val="24"/>
          <w:highlight w:val="none"/>
        </w:rPr>
        <w:t>dB</w:t>
      </w:r>
      <w:r>
        <w:rPr>
          <w:rFonts w:hint="eastAsia" w:ascii="宋体" w:hAnsi="宋体"/>
          <w:sz w:val="24"/>
          <w:szCs w:val="24"/>
          <w:highlight w:val="none"/>
        </w:rPr>
        <w:t>；</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Adiv—</w:t>
      </w:r>
      <w:r>
        <w:rPr>
          <w:rFonts w:hint="eastAsia" w:ascii="宋体" w:hAnsi="宋体"/>
          <w:sz w:val="24"/>
          <w:szCs w:val="24"/>
          <w:highlight w:val="none"/>
        </w:rPr>
        <w:t>几何发散引起的倍频带衰减；</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Abar—</w:t>
      </w:r>
      <w:r>
        <w:rPr>
          <w:rFonts w:hint="eastAsia" w:ascii="宋体" w:hAnsi="宋体"/>
          <w:sz w:val="24"/>
          <w:szCs w:val="24"/>
          <w:highlight w:val="none"/>
        </w:rPr>
        <w:t>声屏障引起的倍频带衰减；</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Aatm—</w:t>
      </w:r>
      <w:r>
        <w:rPr>
          <w:rFonts w:hint="eastAsia" w:ascii="宋体" w:hAnsi="宋体"/>
          <w:sz w:val="24"/>
          <w:szCs w:val="24"/>
          <w:highlight w:val="none"/>
        </w:rPr>
        <w:t>大气吸收引起的倍频带衰减；</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Agr—</w:t>
      </w:r>
      <w:r>
        <w:rPr>
          <w:rFonts w:hint="eastAsia" w:ascii="宋体" w:hAnsi="宋体"/>
          <w:sz w:val="24"/>
          <w:szCs w:val="24"/>
          <w:highlight w:val="none"/>
        </w:rPr>
        <w:t>地面效应引起的倍频带衰减；</w:t>
      </w:r>
    </w:p>
    <w:p>
      <w:pPr>
        <w:pStyle w:val="2"/>
        <w:ind w:firstLine="480"/>
        <w:rPr>
          <w:highlight w:val="none"/>
        </w:rPr>
      </w:pPr>
      <w:r>
        <w:rPr>
          <w:rFonts w:hint="eastAsia" w:ascii="TimesNewRomanPSMT" w:hAnsi="TimesNewRomanPSMT" w:eastAsia="TimesNewRomanPSMT"/>
          <w:sz w:val="24"/>
          <w:szCs w:val="24"/>
          <w:highlight w:val="none"/>
        </w:rPr>
        <w:t>Amisc—</w:t>
      </w:r>
      <w:r>
        <w:rPr>
          <w:rFonts w:hint="eastAsia" w:ascii="宋体" w:hAnsi="宋体"/>
          <w:sz w:val="24"/>
          <w:szCs w:val="24"/>
          <w:highlight w:val="none"/>
        </w:rPr>
        <w:t>其他多方面效应引起的倍频带衰减。</w:t>
      </w:r>
    </w:p>
    <w:p>
      <w:pPr>
        <w:spacing w:before="120" w:beforeLines="50"/>
        <w:ind w:firstLine="480"/>
        <w:rPr>
          <w:rFonts w:ascii="宋体" w:hAnsi="宋体"/>
          <w:sz w:val="24"/>
          <w:szCs w:val="24"/>
          <w:highlight w:val="none"/>
        </w:rPr>
      </w:pPr>
      <w:r>
        <w:rPr>
          <w:rFonts w:hint="eastAsia" w:ascii="宋体" w:hAnsi="宋体"/>
          <w:sz w:val="24"/>
          <w:szCs w:val="24"/>
          <w:highlight w:val="none"/>
        </w:rPr>
        <w:t>（2）计算总声压级</w:t>
      </w:r>
    </w:p>
    <w:p>
      <w:pPr>
        <w:ind w:firstLine="480"/>
        <w:rPr>
          <w:rFonts w:ascii="宋体" w:hAnsi="宋体"/>
          <w:sz w:val="24"/>
          <w:szCs w:val="24"/>
          <w:highlight w:val="none"/>
        </w:rPr>
      </w:pPr>
      <w:r>
        <w:rPr>
          <w:rFonts w:hint="eastAsia" w:ascii="宋体" w:hAnsi="宋体"/>
          <w:sz w:val="24"/>
          <w:szCs w:val="24"/>
          <w:highlight w:val="none"/>
        </w:rPr>
        <w:t>将第</w:t>
      </w:r>
      <w:r>
        <w:rPr>
          <w:rFonts w:hint="eastAsia" w:ascii="TimesNewRomanPSMT" w:hAnsi="TimesNewRomanPSMT" w:eastAsia="TimesNewRomanPSMT"/>
          <w:sz w:val="24"/>
          <w:szCs w:val="24"/>
          <w:highlight w:val="none"/>
        </w:rPr>
        <w:t xml:space="preserve">i </w:t>
      </w:r>
      <w:r>
        <w:rPr>
          <w:rFonts w:hint="eastAsia" w:ascii="宋体" w:hAnsi="宋体"/>
          <w:sz w:val="24"/>
          <w:szCs w:val="24"/>
          <w:highlight w:val="none"/>
        </w:rPr>
        <w:t>个等效室外声源在预测点产生的</w:t>
      </w:r>
      <w:r>
        <w:rPr>
          <w:rFonts w:hint="eastAsia" w:ascii="TimesNewRomanPSMT" w:hAnsi="TimesNewRomanPSMT" w:eastAsia="TimesNewRomanPSMT"/>
          <w:sz w:val="24"/>
          <w:szCs w:val="24"/>
          <w:highlight w:val="none"/>
        </w:rPr>
        <w:t xml:space="preserve">A </w:t>
      </w:r>
      <w:r>
        <w:rPr>
          <w:rFonts w:hint="eastAsia" w:ascii="宋体" w:hAnsi="宋体"/>
          <w:sz w:val="24"/>
          <w:szCs w:val="24"/>
          <w:highlight w:val="none"/>
        </w:rPr>
        <w:t>声级为</w:t>
      </w:r>
      <w:r>
        <w:rPr>
          <w:rFonts w:hint="eastAsia" w:ascii="TimesNewRomanPSMT" w:hAnsi="TimesNewRomanPSMT" w:eastAsia="TimesNewRomanPSMT"/>
          <w:sz w:val="24"/>
          <w:szCs w:val="24"/>
          <w:highlight w:val="none"/>
        </w:rPr>
        <w:t>LAi</w:t>
      </w:r>
      <w:r>
        <w:rPr>
          <w:rFonts w:hint="eastAsia" w:ascii="宋体" w:hAnsi="宋体"/>
          <w:sz w:val="24"/>
          <w:szCs w:val="24"/>
          <w:highlight w:val="none"/>
        </w:rPr>
        <w:t>，在</w:t>
      </w:r>
      <w:r>
        <w:rPr>
          <w:rFonts w:hint="eastAsia" w:ascii="TimesNewRomanPSMT" w:hAnsi="TimesNewRomanPSMT" w:eastAsia="TimesNewRomanPSMT"/>
          <w:sz w:val="24"/>
          <w:szCs w:val="24"/>
          <w:highlight w:val="none"/>
        </w:rPr>
        <w:t xml:space="preserve">T </w:t>
      </w:r>
      <w:r>
        <w:rPr>
          <w:rFonts w:hint="eastAsia" w:ascii="宋体" w:hAnsi="宋体"/>
          <w:sz w:val="24"/>
          <w:szCs w:val="24"/>
          <w:highlight w:val="none"/>
        </w:rPr>
        <w:t>时间内该声源工作时间为</w:t>
      </w:r>
      <w:r>
        <w:rPr>
          <w:rFonts w:hint="eastAsia" w:ascii="TimesNewRomanPSMT" w:hAnsi="TimesNewRomanPSMT" w:eastAsia="TimesNewRomanPSMT"/>
          <w:sz w:val="24"/>
          <w:szCs w:val="24"/>
          <w:highlight w:val="none"/>
        </w:rPr>
        <w:t>t i</w:t>
      </w:r>
      <w:r>
        <w:rPr>
          <w:rFonts w:hint="eastAsia" w:ascii="宋体" w:hAnsi="宋体"/>
          <w:sz w:val="24"/>
          <w:szCs w:val="24"/>
          <w:highlight w:val="none"/>
        </w:rPr>
        <w:t>，第</w:t>
      </w:r>
      <w:r>
        <w:rPr>
          <w:rFonts w:hint="eastAsia" w:ascii="TimesNewRomanPSMT" w:hAnsi="TimesNewRomanPSMT" w:eastAsia="TimesNewRomanPSMT"/>
          <w:sz w:val="24"/>
          <w:szCs w:val="24"/>
          <w:highlight w:val="none"/>
        </w:rPr>
        <w:t xml:space="preserve">j </w:t>
      </w:r>
      <w:r>
        <w:rPr>
          <w:rFonts w:hint="eastAsia" w:ascii="宋体" w:hAnsi="宋体"/>
          <w:sz w:val="24"/>
          <w:szCs w:val="24"/>
          <w:highlight w:val="none"/>
        </w:rPr>
        <w:t>个等效室外声源在预测点产生的</w:t>
      </w:r>
      <w:r>
        <w:rPr>
          <w:rFonts w:hint="eastAsia" w:ascii="TimesNewRomanPSMT" w:hAnsi="TimesNewRomanPSMT" w:eastAsia="TimesNewRomanPSMT"/>
          <w:sz w:val="24"/>
          <w:szCs w:val="24"/>
          <w:highlight w:val="none"/>
        </w:rPr>
        <w:t xml:space="preserve">A </w:t>
      </w:r>
      <w:r>
        <w:rPr>
          <w:rFonts w:hint="eastAsia" w:ascii="宋体" w:hAnsi="宋体"/>
          <w:sz w:val="24"/>
          <w:szCs w:val="24"/>
          <w:highlight w:val="none"/>
        </w:rPr>
        <w:t>声级为</w:t>
      </w:r>
      <w:r>
        <w:rPr>
          <w:rFonts w:hint="eastAsia" w:ascii="TimesNewRomanPSMT" w:hAnsi="TimesNewRomanPSMT" w:eastAsia="TimesNewRomanPSMT"/>
          <w:sz w:val="24"/>
          <w:szCs w:val="24"/>
          <w:highlight w:val="none"/>
        </w:rPr>
        <w:t>LAj</w:t>
      </w:r>
      <w:r>
        <w:rPr>
          <w:rFonts w:hint="eastAsia" w:ascii="宋体" w:hAnsi="宋体"/>
          <w:sz w:val="24"/>
          <w:szCs w:val="24"/>
          <w:highlight w:val="none"/>
        </w:rPr>
        <w:t>，在</w:t>
      </w:r>
      <w:r>
        <w:rPr>
          <w:rFonts w:hint="eastAsia" w:ascii="TimesNewRomanPSMT" w:hAnsi="TimesNewRomanPSMT" w:eastAsia="TimesNewRomanPSMT"/>
          <w:sz w:val="24"/>
          <w:szCs w:val="24"/>
          <w:highlight w:val="none"/>
        </w:rPr>
        <w:t xml:space="preserve">T </w:t>
      </w:r>
      <w:r>
        <w:rPr>
          <w:rFonts w:hint="eastAsia" w:ascii="宋体" w:hAnsi="宋体"/>
          <w:sz w:val="24"/>
          <w:szCs w:val="24"/>
          <w:highlight w:val="none"/>
        </w:rPr>
        <w:t>时间内该声源工作时间为</w:t>
      </w:r>
      <w:r>
        <w:rPr>
          <w:rFonts w:hint="eastAsia" w:ascii="TimesNewRomanPSMT" w:hAnsi="TimesNewRomanPSMT" w:eastAsia="TimesNewRomanPSMT"/>
          <w:sz w:val="24"/>
          <w:szCs w:val="24"/>
          <w:highlight w:val="none"/>
        </w:rPr>
        <w:t>t j</w:t>
      </w:r>
      <w:r>
        <w:rPr>
          <w:rFonts w:hint="eastAsia" w:ascii="宋体" w:hAnsi="宋体"/>
          <w:sz w:val="24"/>
          <w:szCs w:val="24"/>
          <w:highlight w:val="none"/>
        </w:rPr>
        <w:t>，则建设工程声源对预测点产生的贡献值（</w:t>
      </w:r>
      <w:r>
        <w:rPr>
          <w:rFonts w:hint="eastAsia" w:ascii="TimesNewRomanPSMT" w:hAnsi="TimesNewRomanPSMT" w:eastAsia="TimesNewRomanPSMT"/>
          <w:sz w:val="24"/>
          <w:szCs w:val="24"/>
          <w:highlight w:val="none"/>
        </w:rPr>
        <w:t>Leqg</w:t>
      </w:r>
      <w:r>
        <w:rPr>
          <w:rFonts w:hint="eastAsia" w:ascii="宋体" w:hAnsi="宋体"/>
          <w:sz w:val="24"/>
          <w:szCs w:val="24"/>
          <w:highlight w:val="none"/>
        </w:rPr>
        <w:t>）为：</w:t>
      </w:r>
    </w:p>
    <w:p>
      <w:pPr>
        <w:ind w:firstLine="560"/>
        <w:rPr>
          <w:rFonts w:ascii="宋体" w:hAnsi="宋体"/>
          <w:sz w:val="24"/>
          <w:szCs w:val="24"/>
          <w:highlight w:val="none"/>
        </w:rPr>
      </w:pPr>
      <w:r>
        <w:rPr>
          <w:highlight w:val="none"/>
        </w:rPr>
        <w:drawing>
          <wp:anchor distT="0" distB="0" distL="114300" distR="114300" simplePos="0" relativeHeight="251674624" behindDoc="0" locked="0" layoutInCell="1" allowOverlap="1">
            <wp:simplePos x="0" y="0"/>
            <wp:positionH relativeFrom="column">
              <wp:posOffset>875665</wp:posOffset>
            </wp:positionH>
            <wp:positionV relativeFrom="paragraph">
              <wp:posOffset>30480</wp:posOffset>
            </wp:positionV>
            <wp:extent cx="2762250" cy="561975"/>
            <wp:effectExtent l="0" t="0" r="0" b="952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1"/>
                    <a:stretch>
                      <a:fillRect/>
                    </a:stretch>
                  </pic:blipFill>
                  <pic:spPr>
                    <a:xfrm>
                      <a:off x="0" y="0"/>
                      <a:ext cx="2762250" cy="561975"/>
                    </a:xfrm>
                    <a:prstGeom prst="rect">
                      <a:avLst/>
                    </a:prstGeom>
                    <a:noFill/>
                    <a:ln>
                      <a:noFill/>
                    </a:ln>
                  </pic:spPr>
                </pic:pic>
              </a:graphicData>
            </a:graphic>
          </wp:anchor>
        </w:drawing>
      </w:r>
    </w:p>
    <w:p>
      <w:pPr>
        <w:ind w:firstLine="480"/>
        <w:rPr>
          <w:rFonts w:ascii="宋体" w:hAnsi="宋体"/>
          <w:sz w:val="24"/>
          <w:szCs w:val="24"/>
          <w:highlight w:val="none"/>
        </w:rPr>
      </w:pPr>
    </w:p>
    <w:p>
      <w:pPr>
        <w:ind w:firstLine="480"/>
        <w:textAlignment w:val="auto"/>
        <w:rPr>
          <w:rFonts w:ascii="宋体" w:hAnsi="宋体"/>
          <w:sz w:val="24"/>
          <w:szCs w:val="24"/>
          <w:highlight w:val="none"/>
        </w:rPr>
      </w:pPr>
      <w:r>
        <w:rPr>
          <w:rFonts w:hint="eastAsia" w:ascii="宋体" w:hAnsi="宋体"/>
          <w:sz w:val="24"/>
          <w:szCs w:val="24"/>
          <w:highlight w:val="none"/>
        </w:rPr>
        <w:t xml:space="preserve">式中： </w:t>
      </w:r>
      <w:r>
        <w:rPr>
          <w:rFonts w:hint="eastAsia" w:ascii="TimesNewRomanPSMT" w:hAnsi="TimesNewRomanPSMT" w:eastAsia="TimesNewRomanPSMT"/>
          <w:sz w:val="24"/>
          <w:szCs w:val="24"/>
          <w:highlight w:val="none"/>
        </w:rPr>
        <w:t>L</w:t>
      </w:r>
      <w:r>
        <w:rPr>
          <w:rFonts w:hint="eastAsia" w:ascii="TimesNewRomanPSMT" w:hAnsi="TimesNewRomanPSMT" w:eastAsia="TimesNewRomanPSMT"/>
          <w:sz w:val="16"/>
          <w:szCs w:val="24"/>
          <w:highlight w:val="none"/>
        </w:rPr>
        <w:t>eqg</w:t>
      </w:r>
      <w:r>
        <w:rPr>
          <w:rFonts w:hint="eastAsia" w:ascii="TimesNewRomanPSMT" w:hAnsi="TimesNewRomanPSMT" w:eastAsia="TimesNewRomanPSMT"/>
          <w:sz w:val="24"/>
          <w:szCs w:val="24"/>
          <w:highlight w:val="none"/>
        </w:rPr>
        <w:t>——</w:t>
      </w:r>
      <w:r>
        <w:rPr>
          <w:rFonts w:hint="eastAsia" w:ascii="宋体" w:hAnsi="宋体"/>
          <w:sz w:val="24"/>
          <w:szCs w:val="24"/>
          <w:highlight w:val="none"/>
        </w:rPr>
        <w:t>建设项目声源在预测点的噪声贡献值，</w:t>
      </w:r>
      <w:r>
        <w:rPr>
          <w:rFonts w:hint="eastAsia" w:ascii="TimesNewRomanPSMT" w:hAnsi="TimesNewRomanPSMT" w:eastAsia="TimesNewRomanPSMT"/>
          <w:sz w:val="24"/>
          <w:szCs w:val="24"/>
          <w:highlight w:val="none"/>
        </w:rPr>
        <w:t>dB</w:t>
      </w:r>
      <w:r>
        <w:rPr>
          <w:rFonts w:hint="eastAsia" w:ascii="宋体" w:hAnsi="宋体"/>
          <w:sz w:val="24"/>
          <w:szCs w:val="24"/>
          <w:highlight w:val="none"/>
        </w:rPr>
        <w:t>；</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T——</w:t>
      </w:r>
      <w:r>
        <w:rPr>
          <w:rFonts w:hint="eastAsia" w:ascii="宋体" w:hAnsi="宋体"/>
          <w:sz w:val="24"/>
          <w:szCs w:val="24"/>
          <w:highlight w:val="none"/>
        </w:rPr>
        <w:t>用于计算等效声级的时间，</w:t>
      </w:r>
      <w:r>
        <w:rPr>
          <w:rFonts w:hint="eastAsia" w:ascii="TimesNewRomanPSMT" w:hAnsi="TimesNewRomanPSMT" w:eastAsia="TimesNewRomanPSMT"/>
          <w:sz w:val="24"/>
          <w:szCs w:val="24"/>
          <w:highlight w:val="none"/>
        </w:rPr>
        <w:t>s</w:t>
      </w:r>
      <w:r>
        <w:rPr>
          <w:rFonts w:hint="eastAsia" w:ascii="宋体" w:hAnsi="宋体"/>
          <w:sz w:val="24"/>
          <w:szCs w:val="24"/>
          <w:highlight w:val="none"/>
        </w:rPr>
        <w:t>；</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N——</w:t>
      </w:r>
      <w:r>
        <w:rPr>
          <w:rFonts w:hint="eastAsia" w:ascii="宋体" w:hAnsi="宋体"/>
          <w:sz w:val="24"/>
          <w:szCs w:val="24"/>
          <w:highlight w:val="none"/>
        </w:rPr>
        <w:t>室外声源个数；</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ti——</w:t>
      </w:r>
      <w:r>
        <w:rPr>
          <w:rFonts w:hint="eastAsia" w:ascii="宋体" w:hAnsi="宋体"/>
          <w:sz w:val="24"/>
          <w:szCs w:val="24"/>
          <w:highlight w:val="none"/>
        </w:rPr>
        <w:t>在</w:t>
      </w:r>
      <w:r>
        <w:rPr>
          <w:rFonts w:hint="eastAsia" w:ascii="TimesNewRomanPSMT" w:hAnsi="TimesNewRomanPSMT" w:eastAsia="TimesNewRomanPSMT"/>
          <w:sz w:val="24"/>
          <w:szCs w:val="24"/>
          <w:highlight w:val="none"/>
        </w:rPr>
        <w:t xml:space="preserve">T </w:t>
      </w:r>
      <w:r>
        <w:rPr>
          <w:rFonts w:hint="eastAsia" w:ascii="宋体" w:hAnsi="宋体"/>
          <w:sz w:val="24"/>
          <w:szCs w:val="24"/>
          <w:highlight w:val="none"/>
        </w:rPr>
        <w:t>时间内</w:t>
      </w:r>
      <w:r>
        <w:rPr>
          <w:rFonts w:hint="eastAsia" w:ascii="TimesNewRomanPSMT" w:hAnsi="TimesNewRomanPSMT" w:eastAsia="TimesNewRomanPSMT"/>
          <w:sz w:val="24"/>
          <w:szCs w:val="24"/>
          <w:highlight w:val="none"/>
        </w:rPr>
        <w:t xml:space="preserve">i </w:t>
      </w:r>
      <w:r>
        <w:rPr>
          <w:rFonts w:hint="eastAsia" w:ascii="宋体" w:hAnsi="宋体"/>
          <w:sz w:val="24"/>
          <w:szCs w:val="24"/>
          <w:highlight w:val="none"/>
        </w:rPr>
        <w:t>声源工作时间，</w:t>
      </w:r>
      <w:r>
        <w:rPr>
          <w:rFonts w:hint="eastAsia" w:ascii="TimesNewRomanPSMT" w:hAnsi="TimesNewRomanPSMT" w:eastAsia="TimesNewRomanPSMT"/>
          <w:sz w:val="24"/>
          <w:szCs w:val="24"/>
          <w:highlight w:val="none"/>
        </w:rPr>
        <w:t>s</w:t>
      </w:r>
      <w:r>
        <w:rPr>
          <w:rFonts w:hint="eastAsia" w:ascii="宋体" w:hAnsi="宋体"/>
          <w:sz w:val="24"/>
          <w:szCs w:val="24"/>
          <w:highlight w:val="none"/>
        </w:rPr>
        <w:t>；</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M——</w:t>
      </w:r>
      <w:r>
        <w:rPr>
          <w:rFonts w:hint="eastAsia" w:ascii="宋体" w:hAnsi="宋体"/>
          <w:sz w:val="24"/>
          <w:szCs w:val="24"/>
          <w:highlight w:val="none"/>
        </w:rPr>
        <w:t>等效室外声源个数；</w:t>
      </w:r>
    </w:p>
    <w:p>
      <w:pPr>
        <w:pStyle w:val="269"/>
        <w:adjustRightInd/>
        <w:spacing w:before="60" w:after="60" w:line="480" w:lineRule="exact"/>
        <w:ind w:firstLine="456" w:firstLineChars="200"/>
        <w:textAlignment w:val="auto"/>
        <w:rPr>
          <w:rFonts w:ascii="TimesNewRomanPSMT" w:hAnsi="TimesNewRomanPSMT" w:eastAsia="TimesNewRomanPSMT"/>
          <w:sz w:val="24"/>
          <w:szCs w:val="24"/>
          <w:highlight w:val="none"/>
        </w:rPr>
      </w:pPr>
      <w:r>
        <w:rPr>
          <w:rFonts w:hint="eastAsia" w:ascii="TimesNewRomanPSMT" w:hAnsi="TimesNewRomanPSMT" w:eastAsia="TimesNewRomanPSMT"/>
          <w:sz w:val="24"/>
          <w:szCs w:val="24"/>
          <w:highlight w:val="none"/>
        </w:rPr>
        <w:t>tj——</w:t>
      </w:r>
      <w:r>
        <w:rPr>
          <w:rFonts w:hint="eastAsia" w:ascii="宋体" w:hAnsi="宋体" w:eastAsia="宋体"/>
          <w:sz w:val="24"/>
          <w:szCs w:val="24"/>
          <w:highlight w:val="none"/>
        </w:rPr>
        <w:t>在</w:t>
      </w:r>
      <w:r>
        <w:rPr>
          <w:rFonts w:hint="eastAsia" w:ascii="TimesNewRomanPSMT" w:hAnsi="TimesNewRomanPSMT" w:eastAsia="TimesNewRomanPSMT"/>
          <w:sz w:val="24"/>
          <w:szCs w:val="24"/>
          <w:highlight w:val="none"/>
        </w:rPr>
        <w:t xml:space="preserve">T </w:t>
      </w:r>
      <w:r>
        <w:rPr>
          <w:rFonts w:hint="eastAsia" w:ascii="宋体" w:hAnsi="宋体" w:eastAsia="宋体"/>
          <w:sz w:val="24"/>
          <w:szCs w:val="24"/>
          <w:highlight w:val="none"/>
        </w:rPr>
        <w:t>时间内</w:t>
      </w:r>
      <w:r>
        <w:rPr>
          <w:rFonts w:hint="eastAsia" w:ascii="TimesNewRomanPSMT" w:hAnsi="TimesNewRomanPSMT" w:eastAsia="TimesNewRomanPSMT"/>
          <w:sz w:val="24"/>
          <w:szCs w:val="24"/>
          <w:highlight w:val="none"/>
        </w:rPr>
        <w:t xml:space="preserve">j </w:t>
      </w:r>
      <w:r>
        <w:rPr>
          <w:rFonts w:hint="eastAsia" w:ascii="宋体" w:hAnsi="宋体" w:eastAsia="宋体"/>
          <w:sz w:val="24"/>
          <w:szCs w:val="24"/>
          <w:highlight w:val="none"/>
        </w:rPr>
        <w:t>声源工作时间，</w:t>
      </w:r>
      <w:r>
        <w:rPr>
          <w:rFonts w:hint="eastAsia" w:ascii="TimesNewRomanPSMT" w:hAnsi="TimesNewRomanPSMT" w:eastAsia="TimesNewRomanPSMT"/>
          <w:sz w:val="24"/>
          <w:szCs w:val="24"/>
          <w:highlight w:val="none"/>
        </w:rPr>
        <w:t>s</w:t>
      </w:r>
    </w:p>
    <w:p>
      <w:pPr>
        <w:pStyle w:val="269"/>
        <w:spacing w:before="60" w:after="60" w:line="480" w:lineRule="exact"/>
        <w:ind w:left="560" w:leftChars="200"/>
        <w:rPr>
          <w:rFonts w:ascii="宋体" w:hAnsi="宋体" w:eastAsia="宋体"/>
          <w:sz w:val="24"/>
          <w:szCs w:val="24"/>
          <w:highlight w:val="none"/>
        </w:rPr>
      </w:pPr>
      <w:r>
        <w:rPr>
          <w:rFonts w:hint="eastAsia" w:ascii="宋体" w:hAnsi="宋体" w:eastAsia="宋体"/>
          <w:sz w:val="24"/>
          <w:szCs w:val="24"/>
          <w:highlight w:val="none"/>
        </w:rPr>
        <w:t>（3）预测点的噪声预测值</w:t>
      </w:r>
    </w:p>
    <w:p>
      <w:pPr>
        <w:pStyle w:val="269"/>
        <w:spacing w:before="60" w:after="60" w:line="480" w:lineRule="exact"/>
        <w:ind w:left="560" w:leftChars="200"/>
        <w:rPr>
          <w:rFonts w:ascii="宋体" w:hAnsi="宋体" w:eastAsia="宋体"/>
          <w:sz w:val="24"/>
          <w:szCs w:val="24"/>
          <w:highlight w:val="none"/>
        </w:rPr>
      </w:pPr>
      <w:r>
        <w:rPr>
          <w:rFonts w:hint="eastAsia" w:ascii="宋体" w:hAnsi="宋体" w:eastAsia="宋体"/>
          <w:sz w:val="24"/>
          <w:szCs w:val="24"/>
          <w:highlight w:val="none"/>
        </w:rPr>
        <w:drawing>
          <wp:anchor distT="0" distB="0" distL="114300" distR="114300" simplePos="0" relativeHeight="251675648" behindDoc="0" locked="0" layoutInCell="1" allowOverlap="1">
            <wp:simplePos x="0" y="0"/>
            <wp:positionH relativeFrom="column">
              <wp:posOffset>601345</wp:posOffset>
            </wp:positionH>
            <wp:positionV relativeFrom="paragraph">
              <wp:posOffset>9525</wp:posOffset>
            </wp:positionV>
            <wp:extent cx="2667000" cy="552450"/>
            <wp:effectExtent l="0" t="0" r="0" b="0"/>
            <wp:wrapNone/>
            <wp:docPr id="9" name="图片 4" descr="168508230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1685082308307"/>
                    <pic:cNvPicPr>
                      <a:picLocks noChangeAspect="1"/>
                    </pic:cNvPicPr>
                  </pic:nvPicPr>
                  <pic:blipFill>
                    <a:blip r:embed="rId102"/>
                    <a:stretch>
                      <a:fillRect/>
                    </a:stretch>
                  </pic:blipFill>
                  <pic:spPr>
                    <a:xfrm>
                      <a:off x="0" y="0"/>
                      <a:ext cx="2667000" cy="552450"/>
                    </a:xfrm>
                    <a:prstGeom prst="rect">
                      <a:avLst/>
                    </a:prstGeom>
                    <a:noFill/>
                    <a:ln>
                      <a:noFill/>
                    </a:ln>
                  </pic:spPr>
                </pic:pic>
              </a:graphicData>
            </a:graphic>
          </wp:anchor>
        </w:drawing>
      </w:r>
    </w:p>
    <w:p>
      <w:pPr>
        <w:pStyle w:val="269"/>
        <w:spacing w:before="60" w:after="60" w:line="480" w:lineRule="exact"/>
        <w:ind w:left="560" w:leftChars="200"/>
        <w:rPr>
          <w:rFonts w:ascii="宋体" w:hAnsi="宋体" w:eastAsia="宋体"/>
          <w:sz w:val="24"/>
          <w:szCs w:val="24"/>
          <w:highlight w:val="none"/>
        </w:rPr>
      </w:pPr>
    </w:p>
    <w:p>
      <w:pPr>
        <w:ind w:firstLine="480"/>
        <w:textAlignment w:val="auto"/>
        <w:rPr>
          <w:rFonts w:ascii="宋体" w:hAnsi="宋体"/>
          <w:sz w:val="24"/>
          <w:szCs w:val="24"/>
          <w:highlight w:val="none"/>
        </w:rPr>
      </w:pPr>
      <w:r>
        <w:rPr>
          <w:rFonts w:hint="eastAsia" w:ascii="宋体" w:hAnsi="宋体"/>
          <w:sz w:val="24"/>
          <w:szCs w:val="24"/>
          <w:highlight w:val="none"/>
        </w:rPr>
        <w:t>式中：</w:t>
      </w:r>
      <w:r>
        <w:rPr>
          <w:rFonts w:hint="eastAsia" w:ascii="TimesNewRomanPSMT" w:hAnsi="TimesNewRomanPSMT" w:eastAsia="TimesNewRomanPSMT"/>
          <w:sz w:val="24"/>
          <w:szCs w:val="24"/>
          <w:highlight w:val="none"/>
        </w:rPr>
        <w:t>Leq——</w:t>
      </w:r>
      <w:r>
        <w:rPr>
          <w:rFonts w:hint="eastAsia" w:ascii="宋体" w:hAnsi="宋体"/>
          <w:sz w:val="24"/>
          <w:szCs w:val="24"/>
          <w:highlight w:val="none"/>
        </w:rPr>
        <w:t>预测点的噪声预测值，</w:t>
      </w:r>
      <w:r>
        <w:rPr>
          <w:rFonts w:hint="eastAsia" w:ascii="TimesNewRomanPSMT" w:hAnsi="TimesNewRomanPSMT" w:eastAsia="TimesNewRomanPSMT"/>
          <w:sz w:val="24"/>
          <w:szCs w:val="24"/>
          <w:highlight w:val="none"/>
        </w:rPr>
        <w:t>dB</w:t>
      </w:r>
      <w:r>
        <w:rPr>
          <w:rFonts w:hint="eastAsia" w:ascii="宋体" w:hAnsi="宋体"/>
          <w:sz w:val="24"/>
          <w:szCs w:val="24"/>
          <w:highlight w:val="none"/>
        </w:rPr>
        <w:t>；</w:t>
      </w:r>
    </w:p>
    <w:p>
      <w:pPr>
        <w:ind w:firstLine="480"/>
        <w:textAlignment w:val="auto"/>
        <w:rPr>
          <w:rFonts w:ascii="宋体" w:hAnsi="宋体"/>
          <w:sz w:val="24"/>
          <w:szCs w:val="24"/>
          <w:highlight w:val="none"/>
        </w:rPr>
      </w:pPr>
      <w:r>
        <w:rPr>
          <w:rFonts w:hint="eastAsia" w:ascii="TimesNewRomanPSMT" w:hAnsi="TimesNewRomanPSMT" w:eastAsia="TimesNewRomanPSMT"/>
          <w:sz w:val="24"/>
          <w:szCs w:val="24"/>
          <w:highlight w:val="none"/>
        </w:rPr>
        <w:t>Leqg ——</w:t>
      </w:r>
      <w:r>
        <w:rPr>
          <w:rFonts w:hint="eastAsia" w:ascii="宋体" w:hAnsi="宋体"/>
          <w:sz w:val="24"/>
          <w:szCs w:val="24"/>
          <w:highlight w:val="none"/>
        </w:rPr>
        <w:t>建设项目声源在预测点的噪声贡献值，</w:t>
      </w:r>
      <w:r>
        <w:rPr>
          <w:rFonts w:hint="eastAsia" w:ascii="TimesNewRomanPSMT" w:hAnsi="TimesNewRomanPSMT" w:eastAsia="TimesNewRomanPSMT"/>
          <w:sz w:val="24"/>
          <w:szCs w:val="24"/>
          <w:highlight w:val="none"/>
        </w:rPr>
        <w:t>dB</w:t>
      </w:r>
      <w:r>
        <w:rPr>
          <w:rFonts w:hint="eastAsia" w:ascii="宋体" w:hAnsi="宋体"/>
          <w:sz w:val="24"/>
          <w:szCs w:val="24"/>
          <w:highlight w:val="none"/>
        </w:rPr>
        <w:t>；</w:t>
      </w:r>
    </w:p>
    <w:p>
      <w:pPr>
        <w:pStyle w:val="269"/>
        <w:adjustRightInd/>
        <w:spacing w:before="60" w:after="60" w:line="480" w:lineRule="exact"/>
        <w:ind w:firstLine="456" w:firstLineChars="200"/>
        <w:textAlignment w:val="auto"/>
        <w:rPr>
          <w:rFonts w:ascii="宋体" w:hAnsi="宋体" w:eastAsia="宋体"/>
          <w:sz w:val="24"/>
          <w:szCs w:val="24"/>
          <w:highlight w:val="none"/>
        </w:rPr>
      </w:pPr>
      <w:r>
        <w:rPr>
          <w:rFonts w:hint="eastAsia" w:ascii="TimesNewRomanPSMT" w:hAnsi="TimesNewRomanPSMT" w:eastAsia="TimesNewRomanPSMT"/>
          <w:sz w:val="24"/>
          <w:szCs w:val="24"/>
          <w:highlight w:val="none"/>
        </w:rPr>
        <w:t>Leqb ——</w:t>
      </w:r>
      <w:r>
        <w:rPr>
          <w:rFonts w:hint="eastAsia" w:ascii="宋体" w:hAnsi="宋体" w:eastAsia="宋体"/>
          <w:sz w:val="24"/>
          <w:szCs w:val="24"/>
          <w:highlight w:val="none"/>
        </w:rPr>
        <w:t>预测点的背景噪声值，</w:t>
      </w:r>
      <w:r>
        <w:rPr>
          <w:rFonts w:hint="eastAsia" w:ascii="TimesNewRomanPSMT" w:hAnsi="TimesNewRomanPSMT" w:eastAsia="TimesNewRomanPSMT"/>
          <w:sz w:val="24"/>
          <w:szCs w:val="24"/>
          <w:highlight w:val="none"/>
        </w:rPr>
        <w:t>dB</w:t>
      </w:r>
      <w:r>
        <w:rPr>
          <w:rFonts w:hint="eastAsia" w:ascii="宋体" w:hAnsi="宋体" w:eastAsia="宋体"/>
          <w:sz w:val="24"/>
          <w:szCs w:val="24"/>
          <w:highlight w:val="none"/>
        </w:rPr>
        <w:t>。</w:t>
      </w:r>
    </w:p>
    <w:p>
      <w:pPr>
        <w:pStyle w:val="2"/>
        <w:ind w:firstLine="560"/>
        <w:rPr>
          <w:highlight w:val="none"/>
        </w:rPr>
      </w:pPr>
    </w:p>
    <w:p>
      <w:pPr>
        <w:pStyle w:val="3"/>
        <w:numPr>
          <w:ilvl w:val="3"/>
          <w:numId w:val="1"/>
        </w:numPr>
        <w:ind w:left="709" w:hanging="709"/>
        <w:rPr>
          <w:rFonts w:eastAsia="宋体"/>
          <w:b/>
          <w:highlight w:val="none"/>
        </w:rPr>
      </w:pPr>
      <w:bookmarkStart w:id="391" w:name="_Toc430288863"/>
      <w:bookmarkStart w:id="392" w:name="_Toc395710450"/>
      <w:r>
        <w:rPr>
          <w:rFonts w:eastAsia="宋体"/>
          <w:b/>
          <w:highlight w:val="none"/>
        </w:rPr>
        <w:t>预测范围和内容</w:t>
      </w:r>
      <w:bookmarkEnd w:id="391"/>
      <w:bookmarkEnd w:id="392"/>
    </w:p>
    <w:p>
      <w:pPr>
        <w:autoSpaceDE w:val="0"/>
        <w:autoSpaceDN w:val="0"/>
        <w:ind w:firstLine="480"/>
        <w:textAlignment w:val="auto"/>
        <w:rPr>
          <w:sz w:val="24"/>
          <w:highlight w:val="none"/>
        </w:rPr>
      </w:pPr>
      <w:r>
        <w:rPr>
          <w:sz w:val="24"/>
          <w:highlight w:val="none"/>
        </w:rPr>
        <w:t>本项目预测分析在考虑生产车间及建筑物墙体及其它控制措施等对主要设备声源排放噪声的削减作用情况下，主要噪声源同时运行的厂界噪声值。</w:t>
      </w:r>
    </w:p>
    <w:p>
      <w:pPr>
        <w:autoSpaceDE w:val="0"/>
        <w:autoSpaceDN w:val="0"/>
        <w:ind w:firstLine="480"/>
        <w:textAlignment w:val="auto"/>
        <w:rPr>
          <w:sz w:val="24"/>
          <w:highlight w:val="none"/>
        </w:rPr>
      </w:pPr>
      <w:r>
        <w:rPr>
          <w:sz w:val="24"/>
          <w:highlight w:val="none"/>
        </w:rPr>
        <w:t>本次预测在四侧厂界外1m处设置预测断面，预测厂界最大噪声贡献值，分析其达标性。</w:t>
      </w:r>
    </w:p>
    <w:p>
      <w:pPr>
        <w:pStyle w:val="3"/>
        <w:numPr>
          <w:ilvl w:val="3"/>
          <w:numId w:val="1"/>
        </w:numPr>
        <w:ind w:left="709" w:hanging="709"/>
        <w:rPr>
          <w:rFonts w:eastAsia="宋体"/>
          <w:b/>
          <w:highlight w:val="none"/>
        </w:rPr>
      </w:pPr>
      <w:bookmarkStart w:id="393" w:name="_Hlk18933218"/>
      <w:r>
        <w:rPr>
          <w:rFonts w:eastAsia="宋体"/>
          <w:b/>
          <w:highlight w:val="none"/>
        </w:rPr>
        <w:t>预测结果及分析</w:t>
      </w:r>
    </w:p>
    <w:p>
      <w:pPr>
        <w:autoSpaceDE w:val="0"/>
        <w:autoSpaceDN w:val="0"/>
        <w:ind w:firstLine="480"/>
        <w:textAlignment w:val="auto"/>
        <w:rPr>
          <w:sz w:val="24"/>
          <w:highlight w:val="none"/>
        </w:rPr>
      </w:pPr>
      <w:bookmarkStart w:id="394" w:name="_Hlk522132841"/>
      <w:r>
        <w:rPr>
          <w:sz w:val="24"/>
          <w:highlight w:val="none"/>
        </w:rPr>
        <w:t>根据以上预测模型，结合本项目平面布置图和噪声源，考虑到项目多种设备噪声的叠加影响，厂界处噪声预测结果见表5.2-</w:t>
      </w:r>
      <w:r>
        <w:rPr>
          <w:rFonts w:hint="eastAsia"/>
          <w:sz w:val="24"/>
          <w:highlight w:val="none"/>
        </w:rPr>
        <w:t>20</w:t>
      </w:r>
      <w:r>
        <w:rPr>
          <w:sz w:val="24"/>
          <w:highlight w:val="none"/>
        </w:rPr>
        <w:t>。</w:t>
      </w:r>
    </w:p>
    <w:bookmarkEnd w:id="394"/>
    <w:p>
      <w:pPr>
        <w:pStyle w:val="22"/>
        <w:spacing w:after="0"/>
        <w:ind w:firstLine="420"/>
        <w:jc w:val="center"/>
        <w:rPr>
          <w:highlight w:val="none"/>
        </w:rPr>
      </w:pPr>
      <w:r>
        <w:rPr>
          <w:rFonts w:eastAsia="黑体"/>
          <w:kern w:val="2"/>
          <w:sz w:val="21"/>
          <w:szCs w:val="21"/>
          <w:highlight w:val="none"/>
        </w:rPr>
        <w:t>表5.2-</w:t>
      </w:r>
      <w:r>
        <w:rPr>
          <w:rFonts w:hint="eastAsia" w:eastAsia="黑体"/>
          <w:kern w:val="2"/>
          <w:sz w:val="21"/>
          <w:szCs w:val="21"/>
          <w:highlight w:val="none"/>
        </w:rPr>
        <w:t xml:space="preserve">20   </w:t>
      </w:r>
      <w:r>
        <w:rPr>
          <w:rFonts w:eastAsia="黑体"/>
          <w:kern w:val="2"/>
          <w:sz w:val="21"/>
          <w:szCs w:val="21"/>
          <w:highlight w:val="none"/>
        </w:rPr>
        <w:t>项目厂界噪声预测结果</w:t>
      </w:r>
      <w:r>
        <w:rPr>
          <w:rFonts w:hint="eastAsia" w:eastAsia="黑体"/>
          <w:kern w:val="2"/>
          <w:sz w:val="21"/>
          <w:szCs w:val="21"/>
          <w:highlight w:val="none"/>
        </w:rPr>
        <w:t xml:space="preserve">         </w:t>
      </w:r>
      <w:r>
        <w:rPr>
          <w:rFonts w:eastAsia="黑体"/>
          <w:kern w:val="2"/>
          <w:sz w:val="21"/>
          <w:szCs w:val="21"/>
          <w:highlight w:val="none"/>
        </w:rPr>
        <w:t>单位：dB(A)</w:t>
      </w:r>
    </w:p>
    <w:tbl>
      <w:tblPr>
        <w:tblStyle w:val="56"/>
        <w:tblW w:w="79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025"/>
        <w:gridCol w:w="960"/>
        <w:gridCol w:w="709"/>
        <w:gridCol w:w="708"/>
        <w:gridCol w:w="709"/>
        <w:gridCol w:w="709"/>
        <w:gridCol w:w="709"/>
        <w:gridCol w:w="708"/>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2" w:type="dxa"/>
            <w:vMerge w:val="restart"/>
            <w:vAlign w:val="center"/>
          </w:tcPr>
          <w:p>
            <w:pPr>
              <w:snapToGrid w:val="0"/>
              <w:spacing w:line="240" w:lineRule="auto"/>
              <w:ind w:firstLine="0" w:firstLineChars="0"/>
              <w:jc w:val="center"/>
              <w:rPr>
                <w:sz w:val="21"/>
                <w:szCs w:val="21"/>
                <w:highlight w:val="none"/>
              </w:rPr>
            </w:pPr>
            <w:r>
              <w:rPr>
                <w:sz w:val="21"/>
                <w:szCs w:val="21"/>
                <w:highlight w:val="none"/>
              </w:rPr>
              <w:t>序号</w:t>
            </w:r>
          </w:p>
        </w:tc>
        <w:tc>
          <w:tcPr>
            <w:tcW w:w="1025" w:type="dxa"/>
            <w:vMerge w:val="restart"/>
            <w:noWrap/>
            <w:vAlign w:val="center"/>
          </w:tcPr>
          <w:p>
            <w:pPr>
              <w:snapToGrid w:val="0"/>
              <w:spacing w:line="240" w:lineRule="auto"/>
              <w:ind w:firstLine="0" w:firstLineChars="0"/>
              <w:jc w:val="center"/>
              <w:rPr>
                <w:sz w:val="21"/>
                <w:szCs w:val="21"/>
                <w:highlight w:val="none"/>
              </w:rPr>
            </w:pPr>
            <w:r>
              <w:rPr>
                <w:sz w:val="21"/>
                <w:szCs w:val="21"/>
                <w:highlight w:val="none"/>
              </w:rPr>
              <w:t>预测点</w:t>
            </w:r>
          </w:p>
        </w:tc>
        <w:tc>
          <w:tcPr>
            <w:tcW w:w="3086" w:type="dxa"/>
            <w:gridSpan w:val="4"/>
            <w:noWrap/>
            <w:vAlign w:val="center"/>
          </w:tcPr>
          <w:p>
            <w:pPr>
              <w:snapToGrid w:val="0"/>
              <w:spacing w:line="240" w:lineRule="auto"/>
              <w:ind w:firstLine="0" w:firstLineChars="0"/>
              <w:jc w:val="center"/>
              <w:rPr>
                <w:sz w:val="21"/>
                <w:szCs w:val="21"/>
                <w:highlight w:val="none"/>
              </w:rPr>
            </w:pPr>
            <w:r>
              <w:rPr>
                <w:sz w:val="21"/>
                <w:szCs w:val="21"/>
                <w:highlight w:val="none"/>
              </w:rPr>
              <w:t>昼间</w:t>
            </w:r>
          </w:p>
        </w:tc>
        <w:tc>
          <w:tcPr>
            <w:tcW w:w="3069" w:type="dxa"/>
            <w:gridSpan w:val="4"/>
            <w:noWrap/>
            <w:vAlign w:val="center"/>
          </w:tcPr>
          <w:p>
            <w:pPr>
              <w:snapToGrid w:val="0"/>
              <w:spacing w:line="240" w:lineRule="auto"/>
              <w:ind w:firstLine="0" w:firstLineChars="0"/>
              <w:jc w:val="center"/>
              <w:rPr>
                <w:sz w:val="21"/>
                <w:szCs w:val="21"/>
                <w:highlight w:val="none"/>
              </w:rPr>
            </w:pPr>
            <w:r>
              <w:rPr>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2" w:type="dxa"/>
            <w:vMerge w:val="continue"/>
            <w:vAlign w:val="center"/>
          </w:tcPr>
          <w:p>
            <w:pPr>
              <w:snapToGrid w:val="0"/>
              <w:spacing w:line="240" w:lineRule="auto"/>
              <w:ind w:firstLine="0" w:firstLineChars="0"/>
              <w:jc w:val="center"/>
              <w:rPr>
                <w:sz w:val="21"/>
                <w:szCs w:val="21"/>
                <w:highlight w:val="none"/>
              </w:rPr>
            </w:pPr>
          </w:p>
        </w:tc>
        <w:tc>
          <w:tcPr>
            <w:tcW w:w="1025" w:type="dxa"/>
            <w:vMerge w:val="continue"/>
            <w:noWrap/>
            <w:vAlign w:val="center"/>
          </w:tcPr>
          <w:p>
            <w:pPr>
              <w:snapToGrid w:val="0"/>
              <w:spacing w:line="240" w:lineRule="auto"/>
              <w:ind w:firstLine="0" w:firstLineChars="0"/>
              <w:jc w:val="center"/>
              <w:rPr>
                <w:sz w:val="21"/>
                <w:szCs w:val="21"/>
                <w:highlight w:val="none"/>
              </w:rPr>
            </w:pPr>
          </w:p>
        </w:tc>
        <w:tc>
          <w:tcPr>
            <w:tcW w:w="960" w:type="dxa"/>
            <w:noWrap/>
            <w:vAlign w:val="center"/>
          </w:tcPr>
          <w:p>
            <w:pPr>
              <w:snapToGrid w:val="0"/>
              <w:spacing w:line="240" w:lineRule="auto"/>
              <w:ind w:firstLine="0" w:firstLineChars="0"/>
              <w:jc w:val="center"/>
              <w:rPr>
                <w:sz w:val="21"/>
                <w:szCs w:val="21"/>
                <w:highlight w:val="none"/>
              </w:rPr>
            </w:pPr>
            <w:r>
              <w:rPr>
                <w:sz w:val="21"/>
                <w:szCs w:val="21"/>
                <w:highlight w:val="none"/>
              </w:rPr>
              <w:t>贡献值</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监测值</w:t>
            </w:r>
          </w:p>
        </w:tc>
        <w:tc>
          <w:tcPr>
            <w:tcW w:w="708" w:type="dxa"/>
            <w:vAlign w:val="center"/>
          </w:tcPr>
          <w:p>
            <w:pPr>
              <w:snapToGrid w:val="0"/>
              <w:spacing w:line="240" w:lineRule="auto"/>
              <w:ind w:firstLine="0" w:firstLineChars="0"/>
              <w:jc w:val="center"/>
              <w:rPr>
                <w:sz w:val="21"/>
                <w:szCs w:val="21"/>
                <w:highlight w:val="none"/>
              </w:rPr>
            </w:pPr>
            <w:r>
              <w:rPr>
                <w:sz w:val="21"/>
                <w:szCs w:val="21"/>
                <w:highlight w:val="none"/>
              </w:rPr>
              <w:t>预测值</w:t>
            </w:r>
          </w:p>
        </w:tc>
        <w:tc>
          <w:tcPr>
            <w:tcW w:w="709" w:type="dxa"/>
            <w:vAlign w:val="center"/>
          </w:tcPr>
          <w:p>
            <w:pPr>
              <w:snapToGrid w:val="0"/>
              <w:spacing w:line="240" w:lineRule="auto"/>
              <w:ind w:firstLine="0" w:firstLineChars="0"/>
              <w:jc w:val="center"/>
              <w:rPr>
                <w:sz w:val="21"/>
                <w:szCs w:val="21"/>
                <w:highlight w:val="none"/>
              </w:rPr>
            </w:pPr>
            <w:r>
              <w:rPr>
                <w:sz w:val="21"/>
                <w:szCs w:val="21"/>
                <w:highlight w:val="none"/>
              </w:rPr>
              <w:t>达标情况</w:t>
            </w:r>
          </w:p>
        </w:tc>
        <w:tc>
          <w:tcPr>
            <w:tcW w:w="709" w:type="dxa"/>
            <w:noWrap/>
            <w:vAlign w:val="center"/>
          </w:tcPr>
          <w:p>
            <w:pPr>
              <w:snapToGrid w:val="0"/>
              <w:spacing w:line="240" w:lineRule="auto"/>
              <w:ind w:firstLine="0" w:firstLineChars="0"/>
              <w:jc w:val="center"/>
              <w:rPr>
                <w:sz w:val="21"/>
                <w:szCs w:val="21"/>
                <w:highlight w:val="none"/>
              </w:rPr>
            </w:pPr>
            <w:r>
              <w:rPr>
                <w:sz w:val="21"/>
                <w:szCs w:val="21"/>
                <w:highlight w:val="none"/>
              </w:rPr>
              <w:t>贡献值</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监测值</w:t>
            </w:r>
          </w:p>
        </w:tc>
        <w:tc>
          <w:tcPr>
            <w:tcW w:w="708" w:type="dxa"/>
            <w:vAlign w:val="center"/>
          </w:tcPr>
          <w:p>
            <w:pPr>
              <w:snapToGrid w:val="0"/>
              <w:spacing w:line="240" w:lineRule="auto"/>
              <w:ind w:firstLine="0" w:firstLineChars="0"/>
              <w:jc w:val="center"/>
              <w:rPr>
                <w:sz w:val="21"/>
                <w:szCs w:val="21"/>
                <w:highlight w:val="none"/>
              </w:rPr>
            </w:pPr>
            <w:r>
              <w:rPr>
                <w:sz w:val="21"/>
                <w:szCs w:val="21"/>
                <w:highlight w:val="none"/>
              </w:rPr>
              <w:t>预测值</w:t>
            </w:r>
          </w:p>
        </w:tc>
        <w:tc>
          <w:tcPr>
            <w:tcW w:w="943" w:type="dxa"/>
            <w:vAlign w:val="center"/>
          </w:tcPr>
          <w:p>
            <w:pPr>
              <w:snapToGrid w:val="0"/>
              <w:spacing w:line="240" w:lineRule="auto"/>
              <w:ind w:firstLine="0" w:firstLineChars="0"/>
              <w:jc w:val="center"/>
              <w:rPr>
                <w:sz w:val="21"/>
                <w:szCs w:val="21"/>
                <w:highlight w:val="none"/>
              </w:rPr>
            </w:pPr>
            <w:r>
              <w:rPr>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2" w:type="dxa"/>
            <w:vAlign w:val="center"/>
          </w:tcPr>
          <w:p>
            <w:pPr>
              <w:snapToGrid w:val="0"/>
              <w:spacing w:line="240" w:lineRule="auto"/>
              <w:ind w:firstLine="0" w:firstLineChars="0"/>
              <w:jc w:val="center"/>
              <w:rPr>
                <w:sz w:val="21"/>
                <w:szCs w:val="21"/>
                <w:highlight w:val="none"/>
              </w:rPr>
            </w:pPr>
            <w:r>
              <w:rPr>
                <w:sz w:val="21"/>
                <w:szCs w:val="21"/>
                <w:highlight w:val="none"/>
              </w:rPr>
              <w:t>1#</w:t>
            </w:r>
          </w:p>
        </w:tc>
        <w:tc>
          <w:tcPr>
            <w:tcW w:w="1025" w:type="dxa"/>
            <w:noWrap/>
            <w:vAlign w:val="center"/>
          </w:tcPr>
          <w:p>
            <w:pPr>
              <w:snapToGrid w:val="0"/>
              <w:spacing w:line="240" w:lineRule="auto"/>
              <w:ind w:firstLine="0" w:firstLineChars="0"/>
              <w:jc w:val="center"/>
              <w:rPr>
                <w:sz w:val="21"/>
                <w:szCs w:val="21"/>
                <w:highlight w:val="none"/>
              </w:rPr>
            </w:pPr>
            <w:r>
              <w:rPr>
                <w:sz w:val="21"/>
                <w:szCs w:val="21"/>
                <w:highlight w:val="none"/>
              </w:rPr>
              <w:t>东厂界</w:t>
            </w:r>
          </w:p>
        </w:tc>
        <w:tc>
          <w:tcPr>
            <w:tcW w:w="960" w:type="dxa"/>
            <w:noWrap/>
            <w:vAlign w:val="center"/>
          </w:tcPr>
          <w:p>
            <w:pPr>
              <w:autoSpaceDE w:val="0"/>
              <w:autoSpaceDN w:val="0"/>
              <w:spacing w:line="240" w:lineRule="auto"/>
              <w:ind w:firstLine="0" w:firstLineChars="0"/>
              <w:jc w:val="center"/>
              <w:textAlignment w:val="auto"/>
              <w:rPr>
                <w:sz w:val="21"/>
                <w:szCs w:val="21"/>
                <w:highlight w:val="none"/>
              </w:rPr>
            </w:pPr>
            <w:r>
              <w:rPr>
                <w:sz w:val="21"/>
                <w:szCs w:val="21"/>
                <w:highlight w:val="none"/>
              </w:rPr>
              <w:t>44.26</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54.5</w:t>
            </w:r>
          </w:p>
        </w:tc>
        <w:tc>
          <w:tcPr>
            <w:tcW w:w="70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54.89</w:t>
            </w:r>
          </w:p>
        </w:tc>
        <w:tc>
          <w:tcPr>
            <w:tcW w:w="709" w:type="dxa"/>
            <w:vAlign w:val="center"/>
          </w:tcPr>
          <w:p>
            <w:pPr>
              <w:snapToGrid w:val="0"/>
              <w:spacing w:line="240" w:lineRule="auto"/>
              <w:ind w:firstLine="0" w:firstLineChars="0"/>
              <w:jc w:val="center"/>
              <w:rPr>
                <w:sz w:val="21"/>
                <w:szCs w:val="21"/>
                <w:highlight w:val="none"/>
              </w:rPr>
            </w:pPr>
            <w:r>
              <w:rPr>
                <w:sz w:val="21"/>
                <w:szCs w:val="21"/>
                <w:highlight w:val="none"/>
              </w:rPr>
              <w:t>达标</w:t>
            </w:r>
          </w:p>
        </w:tc>
        <w:tc>
          <w:tcPr>
            <w:tcW w:w="709" w:type="dxa"/>
            <w:noWrap/>
            <w:vAlign w:val="center"/>
          </w:tcPr>
          <w:p>
            <w:pPr>
              <w:autoSpaceDE w:val="0"/>
              <w:autoSpaceDN w:val="0"/>
              <w:spacing w:line="240" w:lineRule="auto"/>
              <w:ind w:firstLine="0" w:firstLineChars="0"/>
              <w:jc w:val="center"/>
              <w:textAlignment w:val="auto"/>
              <w:rPr>
                <w:sz w:val="21"/>
                <w:szCs w:val="21"/>
                <w:highlight w:val="none"/>
              </w:rPr>
            </w:pPr>
            <w:r>
              <w:rPr>
                <w:sz w:val="21"/>
                <w:szCs w:val="21"/>
                <w:highlight w:val="none"/>
              </w:rPr>
              <w:t>44.26</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48.1</w:t>
            </w:r>
          </w:p>
        </w:tc>
        <w:tc>
          <w:tcPr>
            <w:tcW w:w="70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49.6</w:t>
            </w:r>
          </w:p>
        </w:tc>
        <w:tc>
          <w:tcPr>
            <w:tcW w:w="943" w:type="dxa"/>
            <w:vAlign w:val="center"/>
          </w:tcPr>
          <w:p>
            <w:pPr>
              <w:snapToGrid w:val="0"/>
              <w:spacing w:line="240" w:lineRule="auto"/>
              <w:ind w:firstLine="0" w:firstLineChars="0"/>
              <w:jc w:val="center"/>
              <w:rPr>
                <w:sz w:val="21"/>
                <w:szCs w:val="21"/>
                <w:highlight w:val="none"/>
              </w:rPr>
            </w:pPr>
            <w:r>
              <w:rPr>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2" w:type="dxa"/>
            <w:vAlign w:val="center"/>
          </w:tcPr>
          <w:p>
            <w:pPr>
              <w:snapToGrid w:val="0"/>
              <w:spacing w:line="240" w:lineRule="auto"/>
              <w:ind w:firstLine="0" w:firstLineChars="0"/>
              <w:jc w:val="center"/>
              <w:rPr>
                <w:sz w:val="21"/>
                <w:szCs w:val="21"/>
                <w:highlight w:val="none"/>
              </w:rPr>
            </w:pPr>
            <w:r>
              <w:rPr>
                <w:sz w:val="21"/>
                <w:szCs w:val="21"/>
                <w:highlight w:val="none"/>
              </w:rPr>
              <w:t>2#</w:t>
            </w:r>
          </w:p>
        </w:tc>
        <w:tc>
          <w:tcPr>
            <w:tcW w:w="1025" w:type="dxa"/>
            <w:noWrap/>
            <w:vAlign w:val="center"/>
          </w:tcPr>
          <w:p>
            <w:pPr>
              <w:snapToGrid w:val="0"/>
              <w:spacing w:line="240" w:lineRule="auto"/>
              <w:ind w:firstLine="0" w:firstLineChars="0"/>
              <w:jc w:val="center"/>
              <w:rPr>
                <w:sz w:val="21"/>
                <w:szCs w:val="21"/>
                <w:highlight w:val="none"/>
              </w:rPr>
            </w:pPr>
            <w:r>
              <w:rPr>
                <w:sz w:val="21"/>
                <w:szCs w:val="21"/>
                <w:highlight w:val="none"/>
              </w:rPr>
              <w:t>南厂界</w:t>
            </w:r>
          </w:p>
        </w:tc>
        <w:tc>
          <w:tcPr>
            <w:tcW w:w="960" w:type="dxa"/>
            <w:noWrap/>
            <w:vAlign w:val="center"/>
          </w:tcPr>
          <w:p>
            <w:pPr>
              <w:autoSpaceDE w:val="0"/>
              <w:autoSpaceDN w:val="0"/>
              <w:spacing w:line="240" w:lineRule="auto"/>
              <w:ind w:firstLine="0" w:firstLineChars="0"/>
              <w:jc w:val="center"/>
              <w:textAlignment w:val="auto"/>
              <w:rPr>
                <w:sz w:val="21"/>
                <w:szCs w:val="21"/>
                <w:highlight w:val="none"/>
              </w:rPr>
            </w:pPr>
            <w:r>
              <w:rPr>
                <w:sz w:val="21"/>
                <w:szCs w:val="21"/>
                <w:highlight w:val="none"/>
              </w:rPr>
              <w:t>41.28</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54.8</w:t>
            </w:r>
          </w:p>
        </w:tc>
        <w:tc>
          <w:tcPr>
            <w:tcW w:w="70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54.99</w:t>
            </w:r>
          </w:p>
        </w:tc>
        <w:tc>
          <w:tcPr>
            <w:tcW w:w="709" w:type="dxa"/>
            <w:vAlign w:val="center"/>
          </w:tcPr>
          <w:p>
            <w:pPr>
              <w:snapToGrid w:val="0"/>
              <w:spacing w:line="240" w:lineRule="auto"/>
              <w:ind w:firstLine="0" w:firstLineChars="0"/>
              <w:jc w:val="center"/>
              <w:rPr>
                <w:sz w:val="21"/>
                <w:szCs w:val="21"/>
                <w:highlight w:val="none"/>
              </w:rPr>
            </w:pPr>
            <w:r>
              <w:rPr>
                <w:sz w:val="21"/>
                <w:szCs w:val="21"/>
                <w:highlight w:val="none"/>
              </w:rPr>
              <w:t>达标</w:t>
            </w:r>
          </w:p>
        </w:tc>
        <w:tc>
          <w:tcPr>
            <w:tcW w:w="709" w:type="dxa"/>
            <w:noWrap/>
            <w:vAlign w:val="center"/>
          </w:tcPr>
          <w:p>
            <w:pPr>
              <w:autoSpaceDE w:val="0"/>
              <w:autoSpaceDN w:val="0"/>
              <w:spacing w:line="240" w:lineRule="auto"/>
              <w:ind w:firstLine="0" w:firstLineChars="0"/>
              <w:jc w:val="center"/>
              <w:textAlignment w:val="auto"/>
              <w:rPr>
                <w:sz w:val="21"/>
                <w:szCs w:val="21"/>
                <w:highlight w:val="none"/>
              </w:rPr>
            </w:pPr>
            <w:r>
              <w:rPr>
                <w:sz w:val="21"/>
                <w:szCs w:val="21"/>
                <w:highlight w:val="none"/>
              </w:rPr>
              <w:t>41.28</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46.8</w:t>
            </w:r>
          </w:p>
        </w:tc>
        <w:tc>
          <w:tcPr>
            <w:tcW w:w="70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47.87</w:t>
            </w:r>
          </w:p>
        </w:tc>
        <w:tc>
          <w:tcPr>
            <w:tcW w:w="943" w:type="dxa"/>
            <w:vAlign w:val="center"/>
          </w:tcPr>
          <w:p>
            <w:pPr>
              <w:snapToGrid w:val="0"/>
              <w:spacing w:line="240" w:lineRule="auto"/>
              <w:ind w:firstLine="0" w:firstLineChars="0"/>
              <w:jc w:val="center"/>
              <w:rPr>
                <w:sz w:val="21"/>
                <w:szCs w:val="21"/>
                <w:highlight w:val="none"/>
              </w:rPr>
            </w:pPr>
            <w:r>
              <w:rPr>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2" w:type="dxa"/>
            <w:vAlign w:val="center"/>
          </w:tcPr>
          <w:p>
            <w:pPr>
              <w:snapToGrid w:val="0"/>
              <w:spacing w:line="240" w:lineRule="auto"/>
              <w:ind w:firstLine="0" w:firstLineChars="0"/>
              <w:jc w:val="center"/>
              <w:rPr>
                <w:sz w:val="21"/>
                <w:szCs w:val="21"/>
                <w:highlight w:val="none"/>
              </w:rPr>
            </w:pPr>
            <w:r>
              <w:rPr>
                <w:sz w:val="21"/>
                <w:szCs w:val="21"/>
                <w:highlight w:val="none"/>
              </w:rPr>
              <w:t>3#</w:t>
            </w:r>
          </w:p>
        </w:tc>
        <w:tc>
          <w:tcPr>
            <w:tcW w:w="1025" w:type="dxa"/>
            <w:noWrap/>
            <w:vAlign w:val="center"/>
          </w:tcPr>
          <w:p>
            <w:pPr>
              <w:snapToGrid w:val="0"/>
              <w:spacing w:line="240" w:lineRule="auto"/>
              <w:ind w:firstLine="0" w:firstLineChars="0"/>
              <w:jc w:val="center"/>
              <w:rPr>
                <w:sz w:val="21"/>
                <w:szCs w:val="21"/>
                <w:highlight w:val="none"/>
              </w:rPr>
            </w:pPr>
            <w:r>
              <w:rPr>
                <w:sz w:val="21"/>
                <w:szCs w:val="21"/>
                <w:highlight w:val="none"/>
              </w:rPr>
              <w:t>西厂界</w:t>
            </w:r>
          </w:p>
        </w:tc>
        <w:tc>
          <w:tcPr>
            <w:tcW w:w="960" w:type="dxa"/>
            <w:noWrap/>
            <w:vAlign w:val="center"/>
          </w:tcPr>
          <w:p>
            <w:pPr>
              <w:autoSpaceDE w:val="0"/>
              <w:autoSpaceDN w:val="0"/>
              <w:spacing w:line="240" w:lineRule="auto"/>
              <w:ind w:firstLine="0" w:firstLineChars="0"/>
              <w:jc w:val="center"/>
              <w:textAlignment w:val="auto"/>
              <w:rPr>
                <w:sz w:val="21"/>
                <w:szCs w:val="21"/>
                <w:highlight w:val="none"/>
              </w:rPr>
            </w:pPr>
            <w:r>
              <w:rPr>
                <w:sz w:val="21"/>
                <w:szCs w:val="21"/>
                <w:highlight w:val="none"/>
              </w:rPr>
              <w:t>32.71</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54.2</w:t>
            </w:r>
          </w:p>
        </w:tc>
        <w:tc>
          <w:tcPr>
            <w:tcW w:w="70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54.23</w:t>
            </w:r>
          </w:p>
        </w:tc>
        <w:tc>
          <w:tcPr>
            <w:tcW w:w="709" w:type="dxa"/>
            <w:vAlign w:val="center"/>
          </w:tcPr>
          <w:p>
            <w:pPr>
              <w:snapToGrid w:val="0"/>
              <w:spacing w:line="240" w:lineRule="auto"/>
              <w:ind w:firstLine="0" w:firstLineChars="0"/>
              <w:jc w:val="center"/>
              <w:rPr>
                <w:sz w:val="21"/>
                <w:szCs w:val="21"/>
                <w:highlight w:val="none"/>
              </w:rPr>
            </w:pPr>
            <w:r>
              <w:rPr>
                <w:sz w:val="21"/>
                <w:szCs w:val="21"/>
                <w:highlight w:val="none"/>
              </w:rPr>
              <w:t>达标</w:t>
            </w:r>
          </w:p>
        </w:tc>
        <w:tc>
          <w:tcPr>
            <w:tcW w:w="709" w:type="dxa"/>
            <w:noWrap/>
            <w:vAlign w:val="center"/>
          </w:tcPr>
          <w:p>
            <w:pPr>
              <w:autoSpaceDE w:val="0"/>
              <w:autoSpaceDN w:val="0"/>
              <w:spacing w:line="240" w:lineRule="auto"/>
              <w:ind w:firstLine="0" w:firstLineChars="0"/>
              <w:jc w:val="center"/>
              <w:textAlignment w:val="auto"/>
              <w:rPr>
                <w:sz w:val="21"/>
                <w:szCs w:val="21"/>
                <w:highlight w:val="none"/>
              </w:rPr>
            </w:pPr>
            <w:r>
              <w:rPr>
                <w:sz w:val="21"/>
                <w:szCs w:val="21"/>
                <w:highlight w:val="none"/>
              </w:rPr>
              <w:t>32.71</w:t>
            </w:r>
          </w:p>
        </w:tc>
        <w:tc>
          <w:tcPr>
            <w:tcW w:w="709" w:type="dxa"/>
            <w:vAlign w:val="center"/>
          </w:tcPr>
          <w:p>
            <w:pPr>
              <w:snapToGrid w:val="0"/>
              <w:spacing w:line="240" w:lineRule="auto"/>
              <w:ind w:firstLine="0" w:firstLineChars="0"/>
              <w:rPr>
                <w:sz w:val="21"/>
                <w:szCs w:val="21"/>
                <w:highlight w:val="none"/>
              </w:rPr>
            </w:pPr>
            <w:r>
              <w:rPr>
                <w:rFonts w:hint="eastAsia"/>
                <w:sz w:val="21"/>
                <w:szCs w:val="21"/>
                <w:highlight w:val="none"/>
              </w:rPr>
              <w:t>48.8</w:t>
            </w:r>
          </w:p>
        </w:tc>
        <w:tc>
          <w:tcPr>
            <w:tcW w:w="70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48.91</w:t>
            </w:r>
          </w:p>
        </w:tc>
        <w:tc>
          <w:tcPr>
            <w:tcW w:w="943" w:type="dxa"/>
            <w:vAlign w:val="center"/>
          </w:tcPr>
          <w:p>
            <w:pPr>
              <w:snapToGrid w:val="0"/>
              <w:spacing w:line="240" w:lineRule="auto"/>
              <w:ind w:firstLine="0" w:firstLineChars="0"/>
              <w:jc w:val="center"/>
              <w:rPr>
                <w:sz w:val="21"/>
                <w:szCs w:val="21"/>
                <w:highlight w:val="none"/>
              </w:rPr>
            </w:pPr>
            <w:r>
              <w:rPr>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2" w:type="dxa"/>
            <w:vAlign w:val="center"/>
          </w:tcPr>
          <w:p>
            <w:pPr>
              <w:snapToGrid w:val="0"/>
              <w:spacing w:line="240" w:lineRule="auto"/>
              <w:ind w:firstLine="0" w:firstLineChars="0"/>
              <w:jc w:val="center"/>
              <w:rPr>
                <w:sz w:val="21"/>
                <w:szCs w:val="21"/>
                <w:highlight w:val="none"/>
              </w:rPr>
            </w:pPr>
            <w:r>
              <w:rPr>
                <w:sz w:val="21"/>
                <w:szCs w:val="21"/>
                <w:highlight w:val="none"/>
              </w:rPr>
              <w:t>4#</w:t>
            </w:r>
          </w:p>
        </w:tc>
        <w:tc>
          <w:tcPr>
            <w:tcW w:w="1025" w:type="dxa"/>
            <w:noWrap/>
            <w:vAlign w:val="center"/>
          </w:tcPr>
          <w:p>
            <w:pPr>
              <w:snapToGrid w:val="0"/>
              <w:spacing w:line="240" w:lineRule="auto"/>
              <w:ind w:firstLine="0" w:firstLineChars="0"/>
              <w:jc w:val="center"/>
              <w:rPr>
                <w:sz w:val="21"/>
                <w:szCs w:val="21"/>
                <w:highlight w:val="none"/>
              </w:rPr>
            </w:pPr>
            <w:r>
              <w:rPr>
                <w:sz w:val="21"/>
                <w:szCs w:val="21"/>
                <w:highlight w:val="none"/>
              </w:rPr>
              <w:t>北厂界</w:t>
            </w:r>
          </w:p>
        </w:tc>
        <w:tc>
          <w:tcPr>
            <w:tcW w:w="960" w:type="dxa"/>
            <w:noWrap/>
            <w:vAlign w:val="center"/>
          </w:tcPr>
          <w:p>
            <w:pPr>
              <w:autoSpaceDE w:val="0"/>
              <w:autoSpaceDN w:val="0"/>
              <w:spacing w:line="240" w:lineRule="auto"/>
              <w:ind w:firstLine="0" w:firstLineChars="0"/>
              <w:jc w:val="center"/>
              <w:textAlignment w:val="auto"/>
              <w:rPr>
                <w:sz w:val="21"/>
                <w:szCs w:val="21"/>
                <w:highlight w:val="none"/>
              </w:rPr>
            </w:pPr>
            <w:r>
              <w:rPr>
                <w:sz w:val="21"/>
                <w:szCs w:val="21"/>
                <w:highlight w:val="none"/>
              </w:rPr>
              <w:t>42.25</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55.2</w:t>
            </w:r>
          </w:p>
        </w:tc>
        <w:tc>
          <w:tcPr>
            <w:tcW w:w="70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55.41</w:t>
            </w:r>
          </w:p>
        </w:tc>
        <w:tc>
          <w:tcPr>
            <w:tcW w:w="709" w:type="dxa"/>
            <w:vAlign w:val="center"/>
          </w:tcPr>
          <w:p>
            <w:pPr>
              <w:snapToGrid w:val="0"/>
              <w:spacing w:line="240" w:lineRule="auto"/>
              <w:ind w:firstLine="0" w:firstLineChars="0"/>
              <w:jc w:val="center"/>
              <w:rPr>
                <w:sz w:val="21"/>
                <w:szCs w:val="21"/>
                <w:highlight w:val="none"/>
              </w:rPr>
            </w:pPr>
            <w:r>
              <w:rPr>
                <w:sz w:val="21"/>
                <w:szCs w:val="21"/>
                <w:highlight w:val="none"/>
              </w:rPr>
              <w:t>达标</w:t>
            </w:r>
          </w:p>
        </w:tc>
        <w:tc>
          <w:tcPr>
            <w:tcW w:w="709" w:type="dxa"/>
            <w:noWrap/>
            <w:vAlign w:val="center"/>
          </w:tcPr>
          <w:p>
            <w:pPr>
              <w:autoSpaceDE w:val="0"/>
              <w:autoSpaceDN w:val="0"/>
              <w:spacing w:line="240" w:lineRule="auto"/>
              <w:ind w:firstLine="0" w:firstLineChars="0"/>
              <w:jc w:val="center"/>
              <w:textAlignment w:val="auto"/>
              <w:rPr>
                <w:sz w:val="21"/>
                <w:szCs w:val="21"/>
                <w:highlight w:val="none"/>
              </w:rPr>
            </w:pPr>
            <w:r>
              <w:rPr>
                <w:sz w:val="21"/>
                <w:szCs w:val="21"/>
                <w:highlight w:val="none"/>
              </w:rPr>
              <w:t>42.25</w:t>
            </w:r>
          </w:p>
        </w:tc>
        <w:tc>
          <w:tcPr>
            <w:tcW w:w="709"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47.6</w:t>
            </w:r>
          </w:p>
        </w:tc>
        <w:tc>
          <w:tcPr>
            <w:tcW w:w="708" w:type="dxa"/>
            <w:vAlign w:val="center"/>
          </w:tcPr>
          <w:p>
            <w:pPr>
              <w:snapToGrid w:val="0"/>
              <w:spacing w:line="240" w:lineRule="auto"/>
              <w:ind w:firstLine="0" w:firstLineChars="0"/>
              <w:jc w:val="center"/>
              <w:rPr>
                <w:sz w:val="21"/>
                <w:szCs w:val="21"/>
                <w:highlight w:val="none"/>
              </w:rPr>
            </w:pPr>
            <w:r>
              <w:rPr>
                <w:rFonts w:hint="eastAsia"/>
                <w:sz w:val="21"/>
                <w:szCs w:val="21"/>
                <w:highlight w:val="none"/>
              </w:rPr>
              <w:t>48.71</w:t>
            </w:r>
          </w:p>
        </w:tc>
        <w:tc>
          <w:tcPr>
            <w:tcW w:w="943" w:type="dxa"/>
            <w:vAlign w:val="center"/>
          </w:tcPr>
          <w:p>
            <w:pPr>
              <w:snapToGrid w:val="0"/>
              <w:spacing w:line="240" w:lineRule="auto"/>
              <w:ind w:firstLine="0" w:firstLineChars="0"/>
              <w:jc w:val="center"/>
              <w:rPr>
                <w:sz w:val="21"/>
                <w:szCs w:val="21"/>
                <w:highlight w:val="none"/>
              </w:rPr>
            </w:pPr>
            <w:r>
              <w:rPr>
                <w:sz w:val="21"/>
                <w:szCs w:val="21"/>
                <w:highlight w:val="none"/>
              </w:rPr>
              <w:t>达标</w:t>
            </w:r>
          </w:p>
        </w:tc>
      </w:tr>
      <w:bookmarkEnd w:id="393"/>
    </w:tbl>
    <w:p>
      <w:pPr>
        <w:autoSpaceDE w:val="0"/>
        <w:autoSpaceDN w:val="0"/>
        <w:spacing w:before="120" w:beforeLines="50"/>
        <w:ind w:firstLine="420"/>
        <w:jc w:val="both"/>
        <w:textAlignment w:val="auto"/>
        <w:rPr>
          <w:sz w:val="24"/>
          <w:szCs w:val="24"/>
          <w:highlight w:val="none"/>
        </w:rPr>
      </w:pPr>
      <w:r>
        <w:rPr>
          <w:rFonts w:eastAsia="黑体"/>
          <w:bCs/>
          <w:kern w:val="2"/>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1640205</wp:posOffset>
                </wp:positionH>
                <wp:positionV relativeFrom="paragraph">
                  <wp:posOffset>6567805</wp:posOffset>
                </wp:positionV>
                <wp:extent cx="2628900" cy="433070"/>
                <wp:effectExtent l="0" t="0" r="0" b="0"/>
                <wp:wrapNone/>
                <wp:docPr id="22" name="文本框 167"/>
                <wp:cNvGraphicFramePr/>
                <a:graphic xmlns:a="http://schemas.openxmlformats.org/drawingml/2006/main">
                  <a:graphicData uri="http://schemas.microsoft.com/office/word/2010/wordprocessingShape">
                    <wps:wsp>
                      <wps:cNvSpPr txBox="1"/>
                      <wps:spPr>
                        <a:xfrm>
                          <a:off x="0" y="0"/>
                          <a:ext cx="2628900" cy="433070"/>
                        </a:xfrm>
                        <a:prstGeom prst="rect">
                          <a:avLst/>
                        </a:prstGeom>
                        <a:noFill/>
                        <a:ln w="9525">
                          <a:noFill/>
                        </a:ln>
                      </wps:spPr>
                      <wps:txbx>
                        <w:txbxContent>
                          <w:p>
                            <w:pPr>
                              <w:spacing w:line="240" w:lineRule="auto"/>
                              <w:ind w:firstLine="0" w:firstLineChars="0"/>
                              <w:jc w:val="center"/>
                              <w:textAlignment w:val="auto"/>
                              <w:rPr>
                                <w:rFonts w:ascii="黑体" w:hAnsi="黑体" w:eastAsia="黑体"/>
                                <w:kern w:val="2"/>
                                <w:sz w:val="21"/>
                                <w:szCs w:val="21"/>
                              </w:rPr>
                            </w:pPr>
                          </w:p>
                        </w:txbxContent>
                      </wps:txbx>
                      <wps:bodyPr upright="1"/>
                    </wps:wsp>
                  </a:graphicData>
                </a:graphic>
              </wp:anchor>
            </w:drawing>
          </mc:Choice>
          <mc:Fallback>
            <w:pict>
              <v:shape id="文本框 167" o:spid="_x0000_s1026" o:spt="202" type="#_x0000_t202" style="position:absolute;left:0pt;margin-left:129.15pt;margin-top:517.15pt;height:34.1pt;width:207pt;z-index:251661312;mso-width-relative:page;mso-height-relative:page;" filled="f" stroked="f" coordsize="21600,21600" o:gfxdata="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rDRKzZAAAADQEAAA8AAAAAAAAAAQAgAAAAIgAAAGRycy9kb3ducmV2LnhtbFBLAQIU&#10;ABQAAAAIAIdO4kCVc1jSuQEAAFoDAAAOAAAAAAAAAAEAIAAAACgBAABkcnMvZTJvRG9jLnhtbFBL&#10;BQYAAAAABgAGAFkBAABTBQAAAAA=&#10;">
                <v:fill on="f" focussize="0,0"/>
                <v:stroke on="f"/>
                <v:imagedata o:title=""/>
                <o:lock v:ext="edit" aspectratio="f"/>
                <v:textbox>
                  <w:txbxContent>
                    <w:p>
                      <w:pPr>
                        <w:spacing w:line="240" w:lineRule="auto"/>
                        <w:ind w:firstLine="0" w:firstLineChars="0"/>
                        <w:jc w:val="center"/>
                        <w:textAlignment w:val="auto"/>
                        <w:rPr>
                          <w:rFonts w:ascii="黑体" w:hAnsi="黑体" w:eastAsia="黑体"/>
                          <w:kern w:val="2"/>
                          <w:sz w:val="21"/>
                          <w:szCs w:val="21"/>
                        </w:rPr>
                      </w:pPr>
                    </w:p>
                  </w:txbxContent>
                </v:textbox>
              </v:shape>
            </w:pict>
          </mc:Fallback>
        </mc:AlternateContent>
      </w:r>
      <w:r>
        <w:rPr>
          <w:sz w:val="24"/>
          <w:szCs w:val="24"/>
          <w:highlight w:val="none"/>
        </w:rPr>
        <w:t>由以上预测分析知：项目主要噪声源经采取基础减振、吸声材料等降噪措施，并经一定距离衰减后，噪声贡献值较小，项目各厂界噪声均能够满足《工业企业厂界环境噪声排放标准》（GB12348-2008）2类标准要求</w:t>
      </w:r>
      <w:r>
        <w:rPr>
          <w:rFonts w:hint="eastAsia"/>
          <w:sz w:val="24"/>
          <w:szCs w:val="24"/>
          <w:highlight w:val="none"/>
        </w:rPr>
        <w:t>，叠加背景值之后满足</w:t>
      </w:r>
      <w:r>
        <w:rPr>
          <w:sz w:val="24"/>
          <w:szCs w:val="24"/>
          <w:highlight w:val="none"/>
        </w:rPr>
        <w:t>《声环境质量标准》（GB3096—2008）2类标准。距离本项目的最近敏感点为厂界</w:t>
      </w:r>
      <w:r>
        <w:rPr>
          <w:rFonts w:hint="eastAsia"/>
          <w:sz w:val="24"/>
          <w:szCs w:val="24"/>
          <w:highlight w:val="none"/>
        </w:rPr>
        <w:t>南</w:t>
      </w:r>
      <w:r>
        <w:rPr>
          <w:sz w:val="24"/>
          <w:szCs w:val="24"/>
          <w:highlight w:val="none"/>
        </w:rPr>
        <w:t>侧的</w:t>
      </w:r>
      <w:r>
        <w:rPr>
          <w:rFonts w:hint="eastAsia"/>
          <w:sz w:val="24"/>
          <w:szCs w:val="24"/>
          <w:highlight w:val="none"/>
        </w:rPr>
        <w:t>马庄子</w:t>
      </w:r>
      <w:r>
        <w:rPr>
          <w:sz w:val="24"/>
          <w:szCs w:val="24"/>
          <w:highlight w:val="none"/>
        </w:rPr>
        <w:t>村，最近距离约为</w:t>
      </w:r>
      <w:r>
        <w:rPr>
          <w:rFonts w:hint="eastAsia"/>
          <w:sz w:val="24"/>
          <w:szCs w:val="24"/>
          <w:highlight w:val="none"/>
        </w:rPr>
        <w:t>27</w:t>
      </w:r>
      <w:r>
        <w:rPr>
          <w:sz w:val="24"/>
          <w:szCs w:val="24"/>
          <w:highlight w:val="none"/>
        </w:rPr>
        <w:t>0m，本项目排放的噪声不会改变其声环境现状。</w:t>
      </w:r>
    </w:p>
    <w:p>
      <w:pPr>
        <w:pStyle w:val="3"/>
        <w:numPr>
          <w:ilvl w:val="3"/>
          <w:numId w:val="1"/>
        </w:numPr>
        <w:ind w:left="709" w:hanging="709"/>
        <w:rPr>
          <w:rFonts w:eastAsiaTheme="minorEastAsia"/>
          <w:b/>
          <w:highlight w:val="none"/>
        </w:rPr>
      </w:pPr>
      <w:r>
        <w:rPr>
          <w:rFonts w:eastAsiaTheme="minorEastAsia"/>
          <w:b/>
          <w:highlight w:val="none"/>
        </w:rPr>
        <w:t>声环境影响评价结论</w:t>
      </w:r>
    </w:p>
    <w:p>
      <w:pPr>
        <w:ind w:firstLine="480"/>
        <w:rPr>
          <w:sz w:val="24"/>
          <w:szCs w:val="24"/>
          <w:highlight w:val="none"/>
        </w:rPr>
      </w:pPr>
      <w:bookmarkStart w:id="395" w:name="_Hlk522133038"/>
      <w:r>
        <w:rPr>
          <w:sz w:val="24"/>
          <w:szCs w:val="24"/>
          <w:highlight w:val="none"/>
        </w:rPr>
        <w:t>本项目噪声源主要来自生产过程中各种设备运行噪声，在采取本报告提出的噪声防治措施，再经墙体阻隔、距离衰减后，项目各种设备运转噪声对厂界处的噪声贡献值不大，经预测，项目厂界四周噪声贡献值均能达到《工业企业厂界环境噪声排放标准》（GB12348-2008）中的2类标准限值</w:t>
      </w:r>
      <w:r>
        <w:rPr>
          <w:rFonts w:hint="eastAsia"/>
          <w:sz w:val="24"/>
          <w:szCs w:val="24"/>
          <w:highlight w:val="none"/>
        </w:rPr>
        <w:t>，叠加背景值之后满足</w:t>
      </w:r>
      <w:r>
        <w:rPr>
          <w:sz w:val="24"/>
          <w:szCs w:val="24"/>
          <w:highlight w:val="none"/>
        </w:rPr>
        <w:t>《声环境质量标准》（GB3096—2008）2类标准。本项目周边200m范围内无敏感点。因此，本项目的建设对项目所在地声环境影响较小。</w:t>
      </w:r>
      <w:bookmarkEnd w:id="395"/>
    </w:p>
    <w:p>
      <w:pPr>
        <w:pStyle w:val="6"/>
        <w:numPr>
          <w:ilvl w:val="2"/>
          <w:numId w:val="1"/>
        </w:numPr>
        <w:rPr>
          <w:szCs w:val="28"/>
          <w:highlight w:val="none"/>
        </w:rPr>
      </w:pPr>
      <w:bookmarkStart w:id="396" w:name="_Toc29381"/>
      <w:bookmarkStart w:id="397" w:name="_Toc521591801"/>
      <w:r>
        <w:rPr>
          <w:szCs w:val="28"/>
          <w:highlight w:val="none"/>
        </w:rPr>
        <w:t>固体废物环境的影响分析</w:t>
      </w:r>
      <w:bookmarkEnd w:id="396"/>
      <w:bookmarkEnd w:id="397"/>
    </w:p>
    <w:p>
      <w:pPr>
        <w:pStyle w:val="3"/>
        <w:numPr>
          <w:ilvl w:val="3"/>
          <w:numId w:val="1"/>
        </w:numPr>
        <w:ind w:left="709" w:hanging="709"/>
        <w:rPr>
          <w:rFonts w:eastAsia="宋体"/>
          <w:b/>
          <w:highlight w:val="none"/>
        </w:rPr>
      </w:pPr>
      <w:r>
        <w:rPr>
          <w:rFonts w:eastAsia="宋体"/>
          <w:b/>
          <w:highlight w:val="none"/>
        </w:rPr>
        <w:t>固体废物产排情况</w:t>
      </w:r>
    </w:p>
    <w:p>
      <w:pPr>
        <w:autoSpaceDE w:val="0"/>
        <w:autoSpaceDN w:val="0"/>
        <w:ind w:firstLine="480"/>
        <w:jc w:val="both"/>
        <w:textAlignment w:val="auto"/>
        <w:rPr>
          <w:sz w:val="24"/>
          <w:highlight w:val="none"/>
        </w:rPr>
      </w:pPr>
      <w:r>
        <w:rPr>
          <w:sz w:val="24"/>
          <w:highlight w:val="none"/>
        </w:rPr>
        <w:t>根据工程分析可知，本项目产生一般固体废物主要为生产过程中产生的</w:t>
      </w:r>
      <w:bookmarkStart w:id="398" w:name="_Hlk522135292"/>
      <w:r>
        <w:rPr>
          <w:sz w:val="24"/>
          <w:highlight w:val="none"/>
        </w:rPr>
        <w:t>尾矿砂</w:t>
      </w:r>
      <w:r>
        <w:rPr>
          <w:rFonts w:hint="eastAsia"/>
          <w:sz w:val="24"/>
          <w:highlight w:val="none"/>
        </w:rPr>
        <w:t>、泥饼、砂石料、</w:t>
      </w:r>
      <w:r>
        <w:rPr>
          <w:sz w:val="24"/>
          <w:highlight w:val="none"/>
        </w:rPr>
        <w:t>除尘器收集的粉尘、废钢球</w:t>
      </w:r>
      <w:bookmarkEnd w:id="398"/>
      <w:r>
        <w:rPr>
          <w:sz w:val="24"/>
          <w:highlight w:val="none"/>
        </w:rPr>
        <w:t>，危险废物主要是废</w:t>
      </w:r>
      <w:r>
        <w:rPr>
          <w:rFonts w:hint="eastAsia"/>
          <w:sz w:val="24"/>
          <w:highlight w:val="none"/>
        </w:rPr>
        <w:t>矿物</w:t>
      </w:r>
      <w:r>
        <w:rPr>
          <w:sz w:val="24"/>
          <w:highlight w:val="none"/>
        </w:rPr>
        <w:t>油、废油桶。项目营运期固体废物产生情况及处置措施见表5.2-</w:t>
      </w:r>
      <w:r>
        <w:rPr>
          <w:rFonts w:hint="eastAsia"/>
          <w:sz w:val="24"/>
          <w:highlight w:val="none"/>
        </w:rPr>
        <w:t>21</w:t>
      </w:r>
      <w:r>
        <w:rPr>
          <w:sz w:val="24"/>
          <w:highlight w:val="none"/>
        </w:rPr>
        <w:t>。</w:t>
      </w:r>
    </w:p>
    <w:p>
      <w:pPr>
        <w:autoSpaceDE w:val="0"/>
        <w:autoSpaceDN w:val="0"/>
        <w:spacing w:line="240" w:lineRule="auto"/>
        <w:ind w:firstLine="0" w:firstLineChars="0"/>
        <w:jc w:val="center"/>
        <w:textAlignment w:val="auto"/>
        <w:rPr>
          <w:rFonts w:eastAsia="黑体"/>
          <w:bCs/>
          <w:kern w:val="2"/>
          <w:sz w:val="21"/>
          <w:szCs w:val="21"/>
          <w:highlight w:val="none"/>
        </w:rPr>
      </w:pPr>
      <w:r>
        <w:rPr>
          <w:rFonts w:eastAsia="黑体"/>
          <w:bCs/>
          <w:kern w:val="2"/>
          <w:sz w:val="21"/>
          <w:szCs w:val="21"/>
          <w:highlight w:val="none"/>
        </w:rPr>
        <w:t>表5.2-</w:t>
      </w:r>
      <w:r>
        <w:rPr>
          <w:rFonts w:hint="eastAsia" w:eastAsia="黑体"/>
          <w:bCs/>
          <w:kern w:val="2"/>
          <w:sz w:val="21"/>
          <w:szCs w:val="21"/>
          <w:highlight w:val="none"/>
        </w:rPr>
        <w:t xml:space="preserve">21   </w:t>
      </w:r>
      <w:r>
        <w:rPr>
          <w:rFonts w:eastAsia="黑体"/>
          <w:bCs/>
          <w:kern w:val="2"/>
          <w:sz w:val="21"/>
          <w:szCs w:val="21"/>
          <w:highlight w:val="none"/>
        </w:rPr>
        <w:t>固体废物产生情况及处置措施一览表</w:t>
      </w:r>
    </w:p>
    <w:tbl>
      <w:tblPr>
        <w:tblStyle w:val="56"/>
        <w:tblW w:w="8429"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1493"/>
        <w:gridCol w:w="1828"/>
        <w:gridCol w:w="1214"/>
        <w:gridCol w:w="2970"/>
        <w:gridCol w:w="924"/>
      </w:tblGrid>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60" w:hRule="atLeast"/>
          <w:tblHeader/>
        </w:trPr>
        <w:tc>
          <w:tcPr>
            <w:tcW w:w="1493"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产生环节</w:t>
            </w:r>
          </w:p>
        </w:tc>
        <w:tc>
          <w:tcPr>
            <w:tcW w:w="1828" w:type="dxa"/>
            <w:vAlign w:val="center"/>
          </w:tcPr>
          <w:p>
            <w:pPr>
              <w:spacing w:line="240" w:lineRule="auto"/>
              <w:ind w:firstLine="0" w:firstLineChars="0"/>
              <w:jc w:val="center"/>
              <w:rPr>
                <w:sz w:val="21"/>
                <w:szCs w:val="21"/>
                <w:highlight w:val="none"/>
              </w:rPr>
            </w:pPr>
            <w:r>
              <w:rPr>
                <w:sz w:val="21"/>
                <w:szCs w:val="21"/>
                <w:highlight w:val="none"/>
              </w:rPr>
              <w:t>名称</w:t>
            </w:r>
          </w:p>
        </w:tc>
        <w:tc>
          <w:tcPr>
            <w:tcW w:w="1214" w:type="dxa"/>
            <w:vAlign w:val="center"/>
          </w:tcPr>
          <w:p>
            <w:pPr>
              <w:spacing w:line="240" w:lineRule="auto"/>
              <w:ind w:firstLine="0" w:firstLineChars="0"/>
              <w:jc w:val="center"/>
              <w:rPr>
                <w:sz w:val="21"/>
                <w:szCs w:val="21"/>
                <w:highlight w:val="none"/>
              </w:rPr>
            </w:pPr>
            <w:r>
              <w:rPr>
                <w:sz w:val="21"/>
                <w:szCs w:val="21"/>
                <w:highlight w:val="none"/>
              </w:rPr>
              <w:t>产生量</w:t>
            </w:r>
          </w:p>
          <w:p>
            <w:pPr>
              <w:spacing w:line="240" w:lineRule="auto"/>
              <w:ind w:firstLine="0" w:firstLineChars="0"/>
              <w:jc w:val="center"/>
              <w:rPr>
                <w:sz w:val="21"/>
                <w:szCs w:val="21"/>
                <w:highlight w:val="none"/>
              </w:rPr>
            </w:pPr>
            <w:r>
              <w:rPr>
                <w:sz w:val="21"/>
                <w:szCs w:val="21"/>
                <w:highlight w:val="none"/>
              </w:rPr>
              <w:t>（t/a）</w:t>
            </w:r>
          </w:p>
        </w:tc>
        <w:tc>
          <w:tcPr>
            <w:tcW w:w="2970" w:type="dxa"/>
            <w:vAlign w:val="center"/>
          </w:tcPr>
          <w:p>
            <w:pPr>
              <w:spacing w:line="240" w:lineRule="auto"/>
              <w:ind w:firstLine="0" w:firstLineChars="0"/>
              <w:jc w:val="center"/>
              <w:rPr>
                <w:sz w:val="21"/>
                <w:szCs w:val="21"/>
                <w:highlight w:val="none"/>
              </w:rPr>
            </w:pPr>
            <w:r>
              <w:rPr>
                <w:sz w:val="21"/>
                <w:szCs w:val="21"/>
                <w:highlight w:val="none"/>
              </w:rPr>
              <w:t>处置措施</w:t>
            </w:r>
          </w:p>
        </w:tc>
        <w:tc>
          <w:tcPr>
            <w:tcW w:w="924"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排放量（t/a）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812" w:hRule="atLeast"/>
        </w:trPr>
        <w:tc>
          <w:tcPr>
            <w:tcW w:w="1493" w:type="dxa"/>
            <w:vMerge w:val="restart"/>
            <w:tcBorders>
              <w:left w:val="single" w:color="auto" w:sz="4" w:space="0"/>
            </w:tcBorders>
            <w:vAlign w:val="center"/>
          </w:tcPr>
          <w:p>
            <w:pPr>
              <w:spacing w:line="240" w:lineRule="auto"/>
              <w:ind w:firstLine="0" w:firstLineChars="0"/>
              <w:jc w:val="center"/>
              <w:rPr>
                <w:bCs/>
                <w:sz w:val="21"/>
                <w:szCs w:val="21"/>
                <w:highlight w:val="none"/>
              </w:rPr>
            </w:pPr>
            <w:r>
              <w:rPr>
                <w:bCs/>
                <w:sz w:val="21"/>
                <w:szCs w:val="21"/>
                <w:highlight w:val="none"/>
              </w:rPr>
              <w:t>选矿</w:t>
            </w:r>
          </w:p>
        </w:tc>
        <w:tc>
          <w:tcPr>
            <w:tcW w:w="1828" w:type="dxa"/>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尾矿砂</w:t>
            </w:r>
          </w:p>
        </w:tc>
        <w:tc>
          <w:tcPr>
            <w:tcW w:w="1214" w:type="dxa"/>
            <w:vAlign w:val="center"/>
          </w:tcPr>
          <w:p>
            <w:pPr>
              <w:widowControl/>
              <w:spacing w:line="240" w:lineRule="auto"/>
              <w:ind w:firstLine="0" w:firstLineChars="0"/>
              <w:jc w:val="center"/>
              <w:textAlignment w:val="auto"/>
              <w:rPr>
                <w:bCs/>
                <w:sz w:val="21"/>
                <w:szCs w:val="21"/>
                <w:highlight w:val="none"/>
              </w:rPr>
            </w:pPr>
            <w:r>
              <w:rPr>
                <w:rFonts w:hint="eastAsia"/>
                <w:sz w:val="21"/>
                <w:szCs w:val="21"/>
                <w:highlight w:val="none"/>
              </w:rPr>
              <w:t>207594</w:t>
            </w:r>
          </w:p>
        </w:tc>
        <w:tc>
          <w:tcPr>
            <w:tcW w:w="2970" w:type="dxa"/>
            <w:vAlign w:val="center"/>
          </w:tcPr>
          <w:p>
            <w:pPr>
              <w:spacing w:line="240" w:lineRule="auto"/>
              <w:ind w:firstLine="0" w:firstLineChars="0"/>
              <w:jc w:val="center"/>
              <w:rPr>
                <w:bCs/>
                <w:sz w:val="21"/>
                <w:szCs w:val="21"/>
                <w:highlight w:val="none"/>
              </w:rPr>
            </w:pPr>
            <w:r>
              <w:rPr>
                <w:bCs/>
                <w:sz w:val="21"/>
                <w:szCs w:val="21"/>
                <w:highlight w:val="none"/>
              </w:rPr>
              <w:t>作为建筑材料外售综合利用</w:t>
            </w:r>
          </w:p>
        </w:tc>
        <w:tc>
          <w:tcPr>
            <w:tcW w:w="924"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76" w:hRule="atLeast"/>
        </w:trPr>
        <w:tc>
          <w:tcPr>
            <w:tcW w:w="1493" w:type="dxa"/>
            <w:vMerge w:val="continue"/>
            <w:tcBorders>
              <w:left w:val="single" w:color="auto" w:sz="4" w:space="0"/>
            </w:tcBorders>
            <w:vAlign w:val="center"/>
          </w:tcPr>
          <w:p>
            <w:pPr>
              <w:spacing w:line="240" w:lineRule="auto"/>
              <w:ind w:firstLine="0" w:firstLineChars="0"/>
              <w:jc w:val="center"/>
              <w:rPr>
                <w:bCs/>
                <w:sz w:val="21"/>
                <w:szCs w:val="21"/>
                <w:highlight w:val="none"/>
              </w:rPr>
            </w:pPr>
          </w:p>
        </w:tc>
        <w:tc>
          <w:tcPr>
            <w:tcW w:w="1828" w:type="dxa"/>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砂石料</w:t>
            </w:r>
          </w:p>
        </w:tc>
        <w:tc>
          <w:tcPr>
            <w:tcW w:w="1214"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290093.552</w:t>
            </w:r>
          </w:p>
        </w:tc>
        <w:tc>
          <w:tcPr>
            <w:tcW w:w="2970" w:type="dxa"/>
            <w:vAlign w:val="center"/>
          </w:tcPr>
          <w:p>
            <w:pPr>
              <w:spacing w:line="240" w:lineRule="auto"/>
              <w:ind w:firstLine="0" w:firstLineChars="0"/>
              <w:jc w:val="center"/>
              <w:rPr>
                <w:bCs/>
                <w:sz w:val="21"/>
                <w:szCs w:val="21"/>
                <w:highlight w:val="none"/>
              </w:rPr>
            </w:pPr>
            <w:r>
              <w:rPr>
                <w:bCs/>
                <w:sz w:val="21"/>
                <w:szCs w:val="21"/>
                <w:highlight w:val="none"/>
              </w:rPr>
              <w:t>作为建筑材料外售综合利用</w:t>
            </w:r>
          </w:p>
        </w:tc>
        <w:tc>
          <w:tcPr>
            <w:tcW w:w="924"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2" w:hRule="atLeast"/>
        </w:trPr>
        <w:tc>
          <w:tcPr>
            <w:tcW w:w="1493" w:type="dxa"/>
            <w:vMerge w:val="continue"/>
            <w:tcBorders>
              <w:left w:val="single" w:color="auto" w:sz="4" w:space="0"/>
            </w:tcBorders>
            <w:vAlign w:val="center"/>
          </w:tcPr>
          <w:p>
            <w:pPr>
              <w:spacing w:line="240" w:lineRule="auto"/>
              <w:ind w:firstLine="0" w:firstLineChars="0"/>
              <w:jc w:val="center"/>
              <w:rPr>
                <w:bCs/>
                <w:sz w:val="21"/>
                <w:szCs w:val="21"/>
                <w:highlight w:val="none"/>
              </w:rPr>
            </w:pPr>
          </w:p>
        </w:tc>
        <w:tc>
          <w:tcPr>
            <w:tcW w:w="1828" w:type="dxa"/>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泥饼</w:t>
            </w:r>
          </w:p>
        </w:tc>
        <w:tc>
          <w:tcPr>
            <w:tcW w:w="1214" w:type="dxa"/>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42500</w:t>
            </w:r>
          </w:p>
        </w:tc>
        <w:tc>
          <w:tcPr>
            <w:tcW w:w="2970" w:type="dxa"/>
            <w:vAlign w:val="center"/>
          </w:tcPr>
          <w:p>
            <w:pPr>
              <w:spacing w:line="240" w:lineRule="auto"/>
              <w:ind w:firstLine="0" w:firstLineChars="0"/>
              <w:jc w:val="center"/>
              <w:rPr>
                <w:bCs/>
                <w:sz w:val="21"/>
                <w:szCs w:val="21"/>
                <w:highlight w:val="none"/>
              </w:rPr>
            </w:pPr>
            <w:r>
              <w:rPr>
                <w:bCs/>
                <w:sz w:val="21"/>
                <w:szCs w:val="21"/>
                <w:highlight w:val="none"/>
              </w:rPr>
              <w:t>作为建筑材料外售综合利用</w:t>
            </w:r>
          </w:p>
        </w:tc>
        <w:tc>
          <w:tcPr>
            <w:tcW w:w="924"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70" w:hRule="atLeast"/>
        </w:trPr>
        <w:tc>
          <w:tcPr>
            <w:tcW w:w="1493" w:type="dxa"/>
            <w:vMerge w:val="continue"/>
            <w:tcBorders>
              <w:left w:val="single" w:color="auto" w:sz="4" w:space="0"/>
            </w:tcBorders>
            <w:vAlign w:val="center"/>
          </w:tcPr>
          <w:p>
            <w:pPr>
              <w:spacing w:line="240" w:lineRule="auto"/>
              <w:ind w:firstLine="0" w:firstLineChars="0"/>
              <w:jc w:val="center"/>
              <w:rPr>
                <w:bCs/>
                <w:sz w:val="21"/>
                <w:szCs w:val="21"/>
                <w:highlight w:val="none"/>
              </w:rPr>
            </w:pPr>
          </w:p>
        </w:tc>
        <w:tc>
          <w:tcPr>
            <w:tcW w:w="1828" w:type="dxa"/>
            <w:vAlign w:val="center"/>
          </w:tcPr>
          <w:p>
            <w:pPr>
              <w:spacing w:line="240" w:lineRule="auto"/>
              <w:ind w:left="-70" w:leftChars="-25" w:right="-70" w:rightChars="-25" w:firstLine="0" w:firstLineChars="0"/>
              <w:jc w:val="center"/>
              <w:rPr>
                <w:sz w:val="21"/>
                <w:szCs w:val="21"/>
                <w:highlight w:val="none"/>
              </w:rPr>
            </w:pPr>
            <w:r>
              <w:rPr>
                <w:rFonts w:hint="eastAsia"/>
                <w:sz w:val="21"/>
                <w:szCs w:val="21"/>
                <w:highlight w:val="none"/>
              </w:rPr>
              <w:t>废钢球</w:t>
            </w:r>
          </w:p>
        </w:tc>
        <w:tc>
          <w:tcPr>
            <w:tcW w:w="1214" w:type="dxa"/>
            <w:vAlign w:val="center"/>
          </w:tcPr>
          <w:p>
            <w:pPr>
              <w:spacing w:line="240" w:lineRule="auto"/>
              <w:ind w:firstLine="0" w:firstLineChars="0"/>
              <w:jc w:val="center"/>
              <w:rPr>
                <w:bCs/>
                <w:sz w:val="21"/>
                <w:szCs w:val="21"/>
                <w:highlight w:val="none"/>
              </w:rPr>
            </w:pPr>
            <w:r>
              <w:rPr>
                <w:rFonts w:hint="eastAsia"/>
                <w:bCs/>
                <w:sz w:val="21"/>
                <w:szCs w:val="21"/>
                <w:highlight w:val="none"/>
              </w:rPr>
              <w:t>21</w:t>
            </w:r>
          </w:p>
        </w:tc>
        <w:tc>
          <w:tcPr>
            <w:tcW w:w="2970" w:type="dxa"/>
            <w:vAlign w:val="center"/>
          </w:tcPr>
          <w:p>
            <w:pPr>
              <w:spacing w:line="240" w:lineRule="auto"/>
              <w:ind w:firstLine="0" w:firstLineChars="0"/>
              <w:jc w:val="center"/>
              <w:rPr>
                <w:bCs/>
                <w:sz w:val="21"/>
                <w:szCs w:val="21"/>
                <w:highlight w:val="none"/>
              </w:rPr>
            </w:pPr>
            <w:r>
              <w:rPr>
                <w:bCs/>
                <w:sz w:val="21"/>
                <w:szCs w:val="21"/>
                <w:highlight w:val="none"/>
              </w:rPr>
              <w:t>厂家回收利用</w:t>
            </w:r>
          </w:p>
        </w:tc>
        <w:tc>
          <w:tcPr>
            <w:tcW w:w="924"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70" w:hRule="atLeast"/>
        </w:trPr>
        <w:tc>
          <w:tcPr>
            <w:tcW w:w="1493" w:type="dxa"/>
            <w:vMerge w:val="continue"/>
            <w:tcBorders>
              <w:left w:val="single" w:color="auto" w:sz="4" w:space="0"/>
            </w:tcBorders>
            <w:vAlign w:val="center"/>
          </w:tcPr>
          <w:p>
            <w:pPr>
              <w:spacing w:line="240" w:lineRule="auto"/>
              <w:ind w:firstLine="0" w:firstLineChars="0"/>
              <w:jc w:val="center"/>
              <w:rPr>
                <w:bCs/>
                <w:sz w:val="21"/>
                <w:szCs w:val="21"/>
                <w:highlight w:val="none"/>
              </w:rPr>
            </w:pPr>
          </w:p>
        </w:tc>
        <w:tc>
          <w:tcPr>
            <w:tcW w:w="1828" w:type="dxa"/>
            <w:vAlign w:val="center"/>
          </w:tcPr>
          <w:p>
            <w:pPr>
              <w:spacing w:line="240" w:lineRule="auto"/>
              <w:ind w:firstLine="0" w:firstLineChars="0"/>
              <w:jc w:val="center"/>
              <w:rPr>
                <w:bCs/>
                <w:sz w:val="21"/>
                <w:szCs w:val="21"/>
                <w:highlight w:val="none"/>
              </w:rPr>
            </w:pPr>
            <w:r>
              <w:rPr>
                <w:bCs/>
                <w:sz w:val="21"/>
                <w:szCs w:val="21"/>
                <w:highlight w:val="none"/>
              </w:rPr>
              <w:t>除尘器收集的粉尘</w:t>
            </w:r>
          </w:p>
        </w:tc>
        <w:tc>
          <w:tcPr>
            <w:tcW w:w="1214" w:type="dxa"/>
            <w:vAlign w:val="center"/>
          </w:tcPr>
          <w:p>
            <w:pPr>
              <w:spacing w:line="240" w:lineRule="auto"/>
              <w:ind w:firstLine="0" w:firstLineChars="0"/>
              <w:jc w:val="center"/>
              <w:rPr>
                <w:bCs/>
                <w:sz w:val="21"/>
                <w:szCs w:val="21"/>
                <w:highlight w:val="none"/>
              </w:rPr>
            </w:pPr>
            <w:r>
              <w:rPr>
                <w:rFonts w:hint="eastAsia"/>
                <w:sz w:val="21"/>
                <w:szCs w:val="21"/>
                <w:highlight w:val="none"/>
              </w:rPr>
              <w:t>774.4</w:t>
            </w:r>
          </w:p>
        </w:tc>
        <w:tc>
          <w:tcPr>
            <w:tcW w:w="2970" w:type="dxa"/>
            <w:vAlign w:val="center"/>
          </w:tcPr>
          <w:p>
            <w:pPr>
              <w:spacing w:line="240" w:lineRule="auto"/>
              <w:ind w:firstLine="0" w:firstLineChars="0"/>
              <w:jc w:val="center"/>
              <w:rPr>
                <w:bCs/>
                <w:sz w:val="21"/>
                <w:szCs w:val="21"/>
                <w:highlight w:val="none"/>
              </w:rPr>
            </w:pPr>
            <w:r>
              <w:rPr>
                <w:bCs/>
                <w:sz w:val="21"/>
                <w:szCs w:val="21"/>
                <w:highlight w:val="none"/>
              </w:rPr>
              <w:t>进行球磨工序，回用于生产</w:t>
            </w:r>
          </w:p>
        </w:tc>
        <w:tc>
          <w:tcPr>
            <w:tcW w:w="924"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70" w:hRule="atLeast"/>
        </w:trPr>
        <w:tc>
          <w:tcPr>
            <w:tcW w:w="1493" w:type="dxa"/>
            <w:tcBorders>
              <w:lef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设备维护保养</w:t>
            </w:r>
          </w:p>
        </w:tc>
        <w:tc>
          <w:tcPr>
            <w:tcW w:w="1828" w:type="dxa"/>
            <w:vAlign w:val="center"/>
          </w:tcPr>
          <w:p>
            <w:pPr>
              <w:spacing w:line="240" w:lineRule="auto"/>
              <w:ind w:left="-70" w:leftChars="-25" w:right="-70" w:rightChars="-25" w:firstLine="0" w:firstLineChars="0"/>
              <w:jc w:val="center"/>
              <w:rPr>
                <w:sz w:val="21"/>
                <w:szCs w:val="21"/>
                <w:highlight w:val="none"/>
              </w:rPr>
            </w:pPr>
            <w:r>
              <w:rPr>
                <w:sz w:val="21"/>
                <w:szCs w:val="21"/>
                <w:highlight w:val="none"/>
              </w:rPr>
              <w:t>废</w:t>
            </w:r>
            <w:r>
              <w:rPr>
                <w:rFonts w:hint="eastAsia"/>
                <w:sz w:val="21"/>
                <w:szCs w:val="21"/>
                <w:highlight w:val="none"/>
              </w:rPr>
              <w:t>矿物</w:t>
            </w:r>
            <w:r>
              <w:rPr>
                <w:sz w:val="21"/>
                <w:szCs w:val="21"/>
                <w:highlight w:val="none"/>
              </w:rPr>
              <w:t>油、废油桶</w:t>
            </w:r>
          </w:p>
        </w:tc>
        <w:tc>
          <w:tcPr>
            <w:tcW w:w="1214" w:type="dxa"/>
            <w:vAlign w:val="center"/>
          </w:tcPr>
          <w:p>
            <w:pPr>
              <w:spacing w:line="240" w:lineRule="auto"/>
              <w:ind w:firstLine="0" w:firstLineChars="0"/>
              <w:jc w:val="center"/>
              <w:rPr>
                <w:bCs/>
                <w:sz w:val="21"/>
                <w:szCs w:val="21"/>
                <w:highlight w:val="none"/>
              </w:rPr>
            </w:pPr>
            <w:r>
              <w:rPr>
                <w:bCs/>
                <w:sz w:val="21"/>
                <w:szCs w:val="21"/>
                <w:highlight w:val="none"/>
              </w:rPr>
              <w:t>0.3</w:t>
            </w:r>
          </w:p>
        </w:tc>
        <w:tc>
          <w:tcPr>
            <w:tcW w:w="2970" w:type="dxa"/>
            <w:vAlign w:val="center"/>
          </w:tcPr>
          <w:p>
            <w:pPr>
              <w:spacing w:line="240" w:lineRule="auto"/>
              <w:ind w:firstLine="0" w:firstLineChars="0"/>
              <w:jc w:val="center"/>
              <w:rPr>
                <w:bCs/>
                <w:sz w:val="21"/>
                <w:szCs w:val="21"/>
                <w:highlight w:val="none"/>
              </w:rPr>
            </w:pPr>
            <w:r>
              <w:rPr>
                <w:bCs/>
                <w:sz w:val="21"/>
                <w:szCs w:val="21"/>
                <w:highlight w:val="none"/>
              </w:rPr>
              <w:t>收集于危废暂存间后，交由有资质的单位进行处理</w:t>
            </w:r>
          </w:p>
        </w:tc>
        <w:tc>
          <w:tcPr>
            <w:tcW w:w="924" w:type="dxa"/>
            <w:tcBorders>
              <w:right w:val="single" w:color="auto" w:sz="4" w:space="0"/>
            </w:tcBorders>
            <w:vAlign w:val="center"/>
          </w:tcPr>
          <w:p>
            <w:pPr>
              <w:spacing w:line="240" w:lineRule="auto"/>
              <w:ind w:firstLine="0" w:firstLineChars="0"/>
              <w:jc w:val="center"/>
              <w:rPr>
                <w:sz w:val="21"/>
                <w:szCs w:val="21"/>
                <w:highlight w:val="none"/>
              </w:rPr>
            </w:pPr>
            <w:r>
              <w:rPr>
                <w:sz w:val="21"/>
                <w:szCs w:val="21"/>
                <w:highlight w:val="none"/>
              </w:rPr>
              <w:t>0</w:t>
            </w:r>
          </w:p>
        </w:tc>
      </w:tr>
    </w:tbl>
    <w:p>
      <w:pPr>
        <w:pStyle w:val="3"/>
        <w:numPr>
          <w:ilvl w:val="3"/>
          <w:numId w:val="1"/>
        </w:numPr>
        <w:ind w:left="709" w:hanging="709"/>
        <w:rPr>
          <w:rFonts w:eastAsia="宋体"/>
          <w:b/>
          <w:highlight w:val="none"/>
        </w:rPr>
      </w:pPr>
      <w:r>
        <w:rPr>
          <w:rFonts w:eastAsia="宋体"/>
          <w:b/>
          <w:highlight w:val="none"/>
        </w:rPr>
        <w:t>固体废物成分分析</w:t>
      </w:r>
    </w:p>
    <w:p>
      <w:pPr>
        <w:ind w:firstLine="480"/>
        <w:jc w:val="both"/>
        <w:textAlignment w:val="auto"/>
        <w:rPr>
          <w:sz w:val="24"/>
          <w:szCs w:val="24"/>
          <w:highlight w:val="none"/>
        </w:rPr>
      </w:pPr>
      <w:r>
        <w:rPr>
          <w:sz w:val="24"/>
          <w:szCs w:val="24"/>
          <w:highlight w:val="none"/>
        </w:rPr>
        <w:t>（1）尾矿砂</w:t>
      </w:r>
      <w:r>
        <w:rPr>
          <w:rFonts w:hint="eastAsia"/>
          <w:sz w:val="24"/>
          <w:szCs w:val="24"/>
          <w:highlight w:val="none"/>
        </w:rPr>
        <w:t>、泥饼</w:t>
      </w:r>
    </w:p>
    <w:p>
      <w:pPr>
        <w:ind w:firstLine="480"/>
        <w:jc w:val="both"/>
        <w:rPr>
          <w:sz w:val="24"/>
          <w:szCs w:val="24"/>
          <w:highlight w:val="none"/>
        </w:rPr>
      </w:pPr>
      <w:r>
        <w:rPr>
          <w:sz w:val="24"/>
          <w:szCs w:val="24"/>
          <w:highlight w:val="none"/>
        </w:rPr>
        <w:t>本项目尾矿砂产生量约为</w:t>
      </w:r>
      <w:r>
        <w:rPr>
          <w:rFonts w:hint="eastAsia"/>
          <w:bCs/>
          <w:sz w:val="24"/>
          <w:szCs w:val="24"/>
          <w:highlight w:val="none"/>
        </w:rPr>
        <w:t>207594</w:t>
      </w:r>
      <w:r>
        <w:rPr>
          <w:sz w:val="24"/>
          <w:szCs w:val="24"/>
          <w:highlight w:val="none"/>
        </w:rPr>
        <w:t>t/a，</w:t>
      </w:r>
      <w:r>
        <w:rPr>
          <w:bCs/>
          <w:sz w:val="24"/>
          <w:szCs w:val="24"/>
          <w:highlight w:val="none"/>
        </w:rPr>
        <w:t>作为建筑材料外售综合利用，</w:t>
      </w:r>
      <w:r>
        <w:rPr>
          <w:rFonts w:hint="eastAsia"/>
          <w:bCs/>
          <w:sz w:val="24"/>
          <w:szCs w:val="24"/>
          <w:highlight w:val="none"/>
        </w:rPr>
        <w:t>压滤后的泥饼42500t/a，作为建筑材料外售</w:t>
      </w:r>
      <w:r>
        <w:rPr>
          <w:sz w:val="24"/>
          <w:szCs w:val="24"/>
          <w:highlight w:val="none"/>
        </w:rPr>
        <w:t>。</w:t>
      </w:r>
    </w:p>
    <w:p>
      <w:pPr>
        <w:ind w:firstLine="480"/>
        <w:jc w:val="both"/>
        <w:rPr>
          <w:sz w:val="24"/>
          <w:highlight w:val="none"/>
        </w:rPr>
      </w:pPr>
      <w:r>
        <w:rPr>
          <w:sz w:val="24"/>
          <w:highlight w:val="none"/>
        </w:rPr>
        <w:t>尾矿砂是在磁选过程中排出的尾矿浆经沉淀、压滤后的排出物，主要含有脉石（如石英、方解石等）和硫、磷、锰、铁等元素。</w:t>
      </w:r>
    </w:p>
    <w:p>
      <w:pPr>
        <w:ind w:firstLine="480"/>
        <w:jc w:val="both"/>
        <w:textAlignment w:val="auto"/>
        <w:rPr>
          <w:sz w:val="24"/>
          <w:szCs w:val="24"/>
          <w:highlight w:val="none"/>
        </w:rPr>
      </w:pPr>
      <w:r>
        <w:rPr>
          <w:sz w:val="24"/>
          <w:highlight w:val="none"/>
        </w:rPr>
        <w:t>本报告类比</w:t>
      </w:r>
      <w:r>
        <w:rPr>
          <w:rFonts w:hint="eastAsia"/>
          <w:sz w:val="24"/>
          <w:highlight w:val="none"/>
        </w:rPr>
        <w:t>迁西复兴</w:t>
      </w:r>
      <w:r>
        <w:rPr>
          <w:sz w:val="24"/>
          <w:highlight w:val="none"/>
        </w:rPr>
        <w:t>铁矿尾矿砂腐蚀性与浸出毒性鉴别结果，对尾矿砂的腐蚀性、浸出毒性及鉴别结果进行评价。本项目原料使用的矿山与</w:t>
      </w:r>
      <w:r>
        <w:rPr>
          <w:rFonts w:hint="eastAsia"/>
          <w:sz w:val="24"/>
          <w:highlight w:val="none"/>
        </w:rPr>
        <w:t>其</w:t>
      </w:r>
      <w:r>
        <w:rPr>
          <w:sz w:val="24"/>
          <w:highlight w:val="none"/>
        </w:rPr>
        <w:t>矿床成因条件相同，同处迁西群—三屯营组—卷天麻岩，矿石性质相似，本项目选场采用铁选工艺与其相同，因此本项目尾矿砂与</w:t>
      </w:r>
      <w:r>
        <w:rPr>
          <w:rFonts w:hint="eastAsia"/>
          <w:sz w:val="24"/>
          <w:highlight w:val="none"/>
        </w:rPr>
        <w:t>迁西复兴铁矿</w:t>
      </w:r>
      <w:r>
        <w:rPr>
          <w:sz w:val="24"/>
          <w:highlight w:val="none"/>
        </w:rPr>
        <w:t>尾矿砂具有可比性。</w:t>
      </w:r>
    </w:p>
    <w:p>
      <w:pPr>
        <w:ind w:firstLine="480"/>
        <w:jc w:val="both"/>
        <w:textAlignment w:val="auto"/>
        <w:rPr>
          <w:kern w:val="2"/>
          <w:sz w:val="24"/>
          <w:szCs w:val="24"/>
          <w:highlight w:val="none"/>
        </w:rPr>
      </w:pPr>
      <w:r>
        <w:rPr>
          <w:sz w:val="24"/>
          <w:szCs w:val="24"/>
          <w:highlight w:val="none"/>
        </w:rPr>
        <w:t>尾矿砂的腐蚀性、浸出毒性及鉴别结果分别见表5.2-</w:t>
      </w:r>
      <w:r>
        <w:rPr>
          <w:rFonts w:hint="eastAsia"/>
          <w:sz w:val="24"/>
          <w:szCs w:val="24"/>
          <w:highlight w:val="none"/>
        </w:rPr>
        <w:t>22</w:t>
      </w:r>
      <w:r>
        <w:rPr>
          <w:sz w:val="24"/>
          <w:szCs w:val="24"/>
          <w:highlight w:val="none"/>
        </w:rPr>
        <w:t>。</w:t>
      </w:r>
    </w:p>
    <w:p>
      <w:pPr>
        <w:autoSpaceDE w:val="0"/>
        <w:autoSpaceDN w:val="0"/>
        <w:spacing w:line="240" w:lineRule="auto"/>
        <w:ind w:firstLine="0" w:firstLineChars="0"/>
        <w:jc w:val="center"/>
        <w:textAlignment w:val="auto"/>
        <w:rPr>
          <w:rFonts w:eastAsia="黑体"/>
          <w:bCs/>
          <w:kern w:val="2"/>
          <w:sz w:val="21"/>
          <w:szCs w:val="21"/>
          <w:highlight w:val="none"/>
        </w:rPr>
      </w:pPr>
      <w:r>
        <w:rPr>
          <w:rFonts w:eastAsia="黑体"/>
          <w:bCs/>
          <w:kern w:val="2"/>
          <w:sz w:val="21"/>
          <w:szCs w:val="21"/>
          <w:highlight w:val="none"/>
        </w:rPr>
        <w:t>表5.2-</w:t>
      </w:r>
      <w:r>
        <w:rPr>
          <w:rFonts w:hint="eastAsia" w:eastAsia="黑体"/>
          <w:bCs/>
          <w:kern w:val="2"/>
          <w:sz w:val="21"/>
          <w:szCs w:val="21"/>
          <w:highlight w:val="none"/>
        </w:rPr>
        <w:t xml:space="preserve">22   </w:t>
      </w:r>
      <w:r>
        <w:rPr>
          <w:rFonts w:eastAsia="黑体"/>
          <w:bCs/>
          <w:kern w:val="2"/>
          <w:sz w:val="21"/>
          <w:szCs w:val="21"/>
          <w:highlight w:val="none"/>
        </w:rPr>
        <w:t>尾矿砂腐蚀性鉴别结果表</w:t>
      </w:r>
      <w:r>
        <w:rPr>
          <w:rFonts w:hint="eastAsia" w:eastAsia="黑体"/>
          <w:bCs/>
          <w:kern w:val="2"/>
          <w:sz w:val="21"/>
          <w:szCs w:val="21"/>
          <w:highlight w:val="none"/>
        </w:rPr>
        <w:t xml:space="preserve">    </w:t>
      </w:r>
      <w:r>
        <w:rPr>
          <w:rFonts w:eastAsia="黑体"/>
          <w:bCs/>
          <w:kern w:val="2"/>
          <w:sz w:val="21"/>
          <w:szCs w:val="21"/>
          <w:highlight w:val="none"/>
        </w:rPr>
        <w:t>单位： mg/L</w:t>
      </w:r>
    </w:p>
    <w:tbl>
      <w:tblPr>
        <w:tblStyle w:val="56"/>
        <w:tblW w:w="852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4"/>
        <w:gridCol w:w="1216"/>
        <w:gridCol w:w="1186"/>
        <w:gridCol w:w="1736"/>
        <w:gridCol w:w="989"/>
        <w:gridCol w:w="1636"/>
        <w:gridCol w:w="98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vMerge w:val="restart"/>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序号</w:t>
            </w:r>
          </w:p>
        </w:tc>
        <w:tc>
          <w:tcPr>
            <w:tcW w:w="1216" w:type="dxa"/>
            <w:vMerge w:val="restart"/>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项目</w:t>
            </w:r>
          </w:p>
        </w:tc>
        <w:tc>
          <w:tcPr>
            <w:tcW w:w="1186" w:type="dxa"/>
            <w:vMerge w:val="restart"/>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浸出毒性试验分析结果含量（</w:t>
            </w:r>
            <w:r>
              <w:rPr>
                <w:rFonts w:eastAsia="Times New Roman"/>
                <w:kern w:val="2"/>
                <w:sz w:val="21"/>
                <w:szCs w:val="21"/>
                <w:highlight w:val="none"/>
              </w:rPr>
              <w:t>mg/L</w:t>
            </w:r>
            <w:r>
              <w:rPr>
                <w:kern w:val="2"/>
                <w:sz w:val="21"/>
                <w:szCs w:val="21"/>
                <w:highlight w:val="none"/>
              </w:rPr>
              <w:t>）</w:t>
            </w:r>
          </w:p>
        </w:tc>
        <w:tc>
          <w:tcPr>
            <w:tcW w:w="2725" w:type="dxa"/>
            <w:gridSpan w:val="2"/>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浸出液标准</w:t>
            </w:r>
          </w:p>
        </w:tc>
        <w:tc>
          <w:tcPr>
            <w:tcW w:w="2625" w:type="dxa"/>
            <w:gridSpan w:val="2"/>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水质标准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216"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186"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736" w:type="dxa"/>
            <w:tcBorders>
              <w:tl2br w:val="nil"/>
              <w:tr2bl w:val="nil"/>
            </w:tcBorders>
            <w:vAlign w:val="center"/>
          </w:tcPr>
          <w:p>
            <w:pPr>
              <w:autoSpaceDE w:val="0"/>
              <w:autoSpaceDN w:val="0"/>
              <w:adjustRightInd w:val="0"/>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 xml:space="preserve">GB5085.3-2007 </w:t>
            </w:r>
            <w:r>
              <w:rPr>
                <w:kern w:val="2"/>
                <w:sz w:val="21"/>
                <w:szCs w:val="21"/>
                <w:highlight w:val="none"/>
              </w:rPr>
              <w:t>浸出液最高允许浓度标准</w:t>
            </w:r>
          </w:p>
        </w:tc>
        <w:tc>
          <w:tcPr>
            <w:tcW w:w="989" w:type="dxa"/>
            <w:tcBorders>
              <w:tl2br w:val="nil"/>
              <w:tr2bl w:val="nil"/>
            </w:tcBorders>
            <w:vAlign w:val="center"/>
          </w:tcPr>
          <w:p>
            <w:pPr>
              <w:autoSpaceDE w:val="0"/>
              <w:autoSpaceDN w:val="0"/>
              <w:adjustRightInd w:val="0"/>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符合性</w:t>
            </w:r>
          </w:p>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分析</w:t>
            </w:r>
          </w:p>
        </w:tc>
        <w:tc>
          <w:tcPr>
            <w:tcW w:w="1636" w:type="dxa"/>
            <w:tcBorders>
              <w:tl2br w:val="nil"/>
              <w:tr2bl w:val="nil"/>
            </w:tcBorders>
            <w:vAlign w:val="center"/>
          </w:tcPr>
          <w:p>
            <w:pPr>
              <w:autoSpaceDE w:val="0"/>
              <w:autoSpaceDN w:val="0"/>
              <w:adjustRightInd w:val="0"/>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《污水综合排放标准》</w:t>
            </w:r>
            <w:r>
              <w:rPr>
                <w:rFonts w:hint="eastAsia"/>
                <w:kern w:val="2"/>
                <w:sz w:val="21"/>
                <w:szCs w:val="21"/>
                <w:highlight w:val="none"/>
              </w:rPr>
              <w:t>（</w:t>
            </w:r>
            <w:r>
              <w:rPr>
                <w:kern w:val="2"/>
                <w:sz w:val="21"/>
                <w:szCs w:val="21"/>
                <w:highlight w:val="none"/>
              </w:rPr>
              <w:t>GB8978－1996</w:t>
            </w:r>
            <w:r>
              <w:rPr>
                <w:rFonts w:hint="eastAsia"/>
                <w:kern w:val="2"/>
                <w:sz w:val="21"/>
                <w:szCs w:val="21"/>
                <w:highlight w:val="none"/>
              </w:rPr>
              <w:t>）</w:t>
            </w:r>
            <w:r>
              <w:rPr>
                <w:kern w:val="2"/>
                <w:sz w:val="21"/>
                <w:szCs w:val="21"/>
                <w:highlight w:val="none"/>
              </w:rPr>
              <w:t>一级</w:t>
            </w:r>
            <w:r>
              <w:rPr>
                <w:rFonts w:hint="eastAsia"/>
                <w:sz w:val="21"/>
                <w:szCs w:val="21"/>
                <w:highlight w:val="none"/>
              </w:rPr>
              <w:t>标准</w:t>
            </w:r>
          </w:p>
        </w:tc>
        <w:tc>
          <w:tcPr>
            <w:tcW w:w="989" w:type="dxa"/>
            <w:tcBorders>
              <w:tl2br w:val="nil"/>
              <w:tr2bl w:val="nil"/>
            </w:tcBorders>
            <w:vAlign w:val="center"/>
          </w:tcPr>
          <w:p>
            <w:pPr>
              <w:autoSpaceDE w:val="0"/>
              <w:autoSpaceDN w:val="0"/>
              <w:adjustRightInd w:val="0"/>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分析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铜</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0.0026</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100</w:t>
            </w:r>
          </w:p>
        </w:tc>
        <w:tc>
          <w:tcPr>
            <w:tcW w:w="989" w:type="dxa"/>
            <w:vMerge w:val="restart"/>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符合</w:t>
            </w: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2</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锌</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0.001</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100</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≤2.0</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3</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hint="eastAsia"/>
                <w:kern w:val="2"/>
                <w:sz w:val="21"/>
                <w:szCs w:val="21"/>
                <w:highlight w:val="none"/>
              </w:rPr>
              <w:t>镉</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w:t>
            </w:r>
            <w:r>
              <w:rPr>
                <w:rFonts w:eastAsia="Times New Roman"/>
                <w:kern w:val="2"/>
                <w:sz w:val="21"/>
                <w:szCs w:val="21"/>
                <w:highlight w:val="none"/>
              </w:rPr>
              <w:t>0.00006</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≤0.1</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4</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铅</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0.0002</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总铬</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0.0005</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6</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六价铬</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w:t>
            </w:r>
            <w:r>
              <w:rPr>
                <w:rFonts w:eastAsia="Times New Roman"/>
                <w:kern w:val="2"/>
                <w:sz w:val="21"/>
                <w:szCs w:val="21"/>
                <w:highlight w:val="none"/>
              </w:rPr>
              <w:t>0.005</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7</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烷基汞</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未检出</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不得检出</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8</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汞</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w:t>
            </w:r>
            <w:r>
              <w:rPr>
                <w:rFonts w:eastAsia="Times New Roman"/>
                <w:kern w:val="2"/>
                <w:sz w:val="21"/>
                <w:szCs w:val="21"/>
                <w:highlight w:val="none"/>
              </w:rPr>
              <w:t>0.0001</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0.1</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9</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铍</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0.00003</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0.02</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钡</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0.42</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100</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c>
          <w:tcPr>
            <w:tcW w:w="989" w:type="dxa"/>
            <w:tcBorders>
              <w:tl2br w:val="nil"/>
              <w:tr2bl w:val="nil"/>
            </w:tcBorders>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11</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镍</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0.0007</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12</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总银</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0.0020</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13</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砷</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0.0012</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14</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硒</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0.0003</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≤0.1</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15</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无机氟化物</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0.20</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100</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16</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氰化物</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w:t>
            </w:r>
            <w:r>
              <w:rPr>
                <w:rFonts w:eastAsia="Times New Roman"/>
                <w:kern w:val="2"/>
                <w:sz w:val="21"/>
                <w:szCs w:val="21"/>
                <w:highlight w:val="none"/>
              </w:rPr>
              <w:t>0.005</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17</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pH</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8.5</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≤2</w:t>
            </w:r>
            <w:r>
              <w:rPr>
                <w:kern w:val="2"/>
                <w:sz w:val="21"/>
                <w:szCs w:val="21"/>
                <w:highlight w:val="none"/>
              </w:rPr>
              <w:t>；</w:t>
            </w:r>
            <w:r>
              <w:rPr>
                <w:rFonts w:eastAsia="Times New Roman"/>
                <w:kern w:val="2"/>
                <w:sz w:val="21"/>
                <w:szCs w:val="21"/>
                <w:highlight w:val="none"/>
              </w:rPr>
              <w:t>≥12.5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6-9</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bl>
    <w:p>
      <w:pPr>
        <w:ind w:firstLine="480"/>
        <w:jc w:val="both"/>
        <w:textAlignment w:val="auto"/>
        <w:rPr>
          <w:kern w:val="2"/>
          <w:sz w:val="24"/>
          <w:szCs w:val="24"/>
          <w:highlight w:val="none"/>
        </w:rPr>
      </w:pPr>
      <w:r>
        <w:rPr>
          <w:kern w:val="2"/>
          <w:sz w:val="24"/>
          <w:szCs w:val="24"/>
          <w:highlight w:val="none"/>
        </w:rPr>
        <w:t>由上表可见：</w:t>
      </w:r>
      <w:r>
        <w:rPr>
          <w:rFonts w:hint="eastAsia" w:ascii="宋体" w:hAnsi="宋体" w:cs="宋体"/>
          <w:kern w:val="2"/>
          <w:sz w:val="24"/>
          <w:szCs w:val="24"/>
          <w:highlight w:val="none"/>
        </w:rPr>
        <w:t>①</w:t>
      </w:r>
      <w:r>
        <w:rPr>
          <w:kern w:val="2"/>
          <w:sz w:val="24"/>
          <w:szCs w:val="24"/>
          <w:highlight w:val="none"/>
        </w:rPr>
        <w:t>腐蚀性鉴别结果表明：尾矿砂浸出液的pH值7.9-8.0，不在pH≥12.5或pH≤2.0范围内。</w:t>
      </w:r>
      <w:r>
        <w:rPr>
          <w:rFonts w:hint="eastAsia" w:ascii="宋体" w:hAnsi="宋体" w:cs="宋体"/>
          <w:kern w:val="2"/>
          <w:sz w:val="24"/>
          <w:szCs w:val="24"/>
          <w:highlight w:val="none"/>
        </w:rPr>
        <w:t>②</w:t>
      </w:r>
      <w:r>
        <w:rPr>
          <w:kern w:val="2"/>
          <w:sz w:val="24"/>
          <w:szCs w:val="24"/>
          <w:highlight w:val="none"/>
        </w:rPr>
        <w:t>浸出毒性鉴别结果表明：尾矿砂浸出液中各污染物均低于《危险物鉴别标准浸出毒性鉴别》（GB5085.3-2007）中规定的浸出液最高允许浓度，因此本企业尾砂不属于具有浸出毒性的危险废物。</w:t>
      </w:r>
      <w:r>
        <w:rPr>
          <w:rFonts w:hint="eastAsia" w:ascii="宋体" w:hAnsi="宋体" w:cs="宋体"/>
          <w:kern w:val="2"/>
          <w:sz w:val="24"/>
          <w:szCs w:val="24"/>
          <w:highlight w:val="none"/>
        </w:rPr>
        <w:t>③</w:t>
      </w:r>
      <w:r>
        <w:rPr>
          <w:kern w:val="2"/>
          <w:sz w:val="24"/>
          <w:szCs w:val="24"/>
          <w:highlight w:val="none"/>
        </w:rPr>
        <w:t>尾砂浸出液中任何一种污染物浓度均未超过《污水综合排放标准》</w:t>
      </w:r>
      <w:r>
        <w:rPr>
          <w:rFonts w:hint="eastAsia"/>
          <w:kern w:val="2"/>
          <w:sz w:val="24"/>
          <w:szCs w:val="24"/>
          <w:highlight w:val="none"/>
        </w:rPr>
        <w:t>（</w:t>
      </w:r>
      <w:r>
        <w:rPr>
          <w:kern w:val="2"/>
          <w:sz w:val="24"/>
          <w:szCs w:val="24"/>
          <w:highlight w:val="none"/>
        </w:rPr>
        <w:t>GB8978－1996</w:t>
      </w:r>
      <w:r>
        <w:rPr>
          <w:rFonts w:hint="eastAsia"/>
          <w:kern w:val="2"/>
          <w:sz w:val="24"/>
          <w:szCs w:val="24"/>
          <w:highlight w:val="none"/>
        </w:rPr>
        <w:t>）</w:t>
      </w:r>
      <w:r>
        <w:rPr>
          <w:kern w:val="2"/>
          <w:sz w:val="24"/>
          <w:szCs w:val="24"/>
          <w:highlight w:val="none"/>
        </w:rPr>
        <w:t>一级</w:t>
      </w:r>
      <w:r>
        <w:rPr>
          <w:rFonts w:hint="eastAsia"/>
          <w:sz w:val="24"/>
          <w:szCs w:val="24"/>
          <w:highlight w:val="none"/>
        </w:rPr>
        <w:t>标准要求，且pH值在6-9</w:t>
      </w:r>
      <w:r>
        <w:rPr>
          <w:kern w:val="2"/>
          <w:sz w:val="24"/>
          <w:szCs w:val="24"/>
          <w:highlight w:val="none"/>
        </w:rPr>
        <w:t>，为第Ⅰ类一般工业固体废物。</w:t>
      </w:r>
    </w:p>
    <w:p>
      <w:pPr>
        <w:ind w:firstLine="480"/>
        <w:jc w:val="both"/>
        <w:textAlignment w:val="auto"/>
        <w:rPr>
          <w:kern w:val="2"/>
          <w:sz w:val="24"/>
          <w:szCs w:val="24"/>
          <w:highlight w:val="none"/>
        </w:rPr>
      </w:pPr>
      <w:r>
        <w:rPr>
          <w:kern w:val="2"/>
          <w:sz w:val="24"/>
          <w:szCs w:val="24"/>
          <w:highlight w:val="none"/>
        </w:rPr>
        <w:t>由此判断，本项目产生的尾矿砂不属于具有腐蚀性的危险废物，属于一般工业固体废物。</w:t>
      </w:r>
    </w:p>
    <w:p>
      <w:pPr>
        <w:ind w:firstLine="480"/>
        <w:rPr>
          <w:sz w:val="24"/>
          <w:szCs w:val="24"/>
          <w:highlight w:val="none"/>
        </w:rPr>
      </w:pPr>
      <w:r>
        <w:rPr>
          <w:sz w:val="24"/>
          <w:szCs w:val="24"/>
          <w:highlight w:val="none"/>
        </w:rPr>
        <w:t>（</w:t>
      </w:r>
      <w:r>
        <w:rPr>
          <w:rFonts w:hint="eastAsia"/>
          <w:sz w:val="24"/>
          <w:szCs w:val="24"/>
          <w:highlight w:val="none"/>
        </w:rPr>
        <w:t>2</w:t>
      </w:r>
      <w:r>
        <w:rPr>
          <w:sz w:val="24"/>
          <w:szCs w:val="24"/>
          <w:highlight w:val="none"/>
        </w:rPr>
        <w:t>）</w:t>
      </w:r>
      <w:r>
        <w:rPr>
          <w:rFonts w:hint="eastAsia"/>
          <w:sz w:val="24"/>
          <w:szCs w:val="24"/>
          <w:highlight w:val="none"/>
        </w:rPr>
        <w:t>砂石料</w:t>
      </w:r>
    </w:p>
    <w:p>
      <w:pPr>
        <w:ind w:firstLine="480"/>
        <w:rPr>
          <w:sz w:val="24"/>
          <w:szCs w:val="24"/>
          <w:highlight w:val="none"/>
        </w:rPr>
      </w:pPr>
      <w:r>
        <w:rPr>
          <w:rFonts w:hint="eastAsia"/>
          <w:sz w:val="24"/>
          <w:szCs w:val="24"/>
          <w:highlight w:val="none"/>
        </w:rPr>
        <w:t>干选废石加工砂石料290093.552t/a，</w:t>
      </w:r>
      <w:r>
        <w:rPr>
          <w:rFonts w:hint="eastAsia"/>
          <w:bCs/>
          <w:sz w:val="24"/>
          <w:szCs w:val="24"/>
          <w:highlight w:val="none"/>
        </w:rPr>
        <w:t>作为建筑材料外售</w:t>
      </w:r>
      <w:r>
        <w:rPr>
          <w:sz w:val="24"/>
          <w:szCs w:val="24"/>
          <w:highlight w:val="none"/>
        </w:rPr>
        <w:t>。</w:t>
      </w:r>
    </w:p>
    <w:p>
      <w:pPr>
        <w:ind w:firstLine="480"/>
        <w:rPr>
          <w:sz w:val="24"/>
          <w:szCs w:val="24"/>
          <w:highlight w:val="none"/>
        </w:rPr>
      </w:pPr>
      <w:bookmarkStart w:id="399" w:name="_Hlk535526526"/>
      <w:r>
        <w:rPr>
          <w:sz w:val="24"/>
          <w:szCs w:val="24"/>
          <w:highlight w:val="none"/>
        </w:rPr>
        <w:t>（</w:t>
      </w:r>
      <w:r>
        <w:rPr>
          <w:rFonts w:hint="eastAsia"/>
          <w:sz w:val="24"/>
          <w:szCs w:val="24"/>
          <w:highlight w:val="none"/>
        </w:rPr>
        <w:t>3</w:t>
      </w:r>
      <w:r>
        <w:rPr>
          <w:sz w:val="24"/>
          <w:szCs w:val="24"/>
          <w:highlight w:val="none"/>
        </w:rPr>
        <w:t>）废钢球</w:t>
      </w:r>
    </w:p>
    <w:p>
      <w:pPr>
        <w:ind w:firstLine="480"/>
        <w:rPr>
          <w:sz w:val="24"/>
          <w:szCs w:val="24"/>
          <w:highlight w:val="none"/>
        </w:rPr>
      </w:pPr>
      <w:r>
        <w:rPr>
          <w:sz w:val="24"/>
          <w:szCs w:val="24"/>
          <w:highlight w:val="none"/>
        </w:rPr>
        <w:t>废钢球产生于球磨工段，矿石在球磨机中利用矿石相互之间及矿石与钢球之间的碰撞、摩擦将矿石磨成粉状物料，钢球磨损后从球磨机中取出，补充新的钢球，取出的废钢球定期由厂家回收处理。废钢球主要成分为钢铁。</w:t>
      </w:r>
    </w:p>
    <w:bookmarkEnd w:id="399"/>
    <w:p>
      <w:pPr>
        <w:ind w:firstLine="480"/>
        <w:jc w:val="both"/>
        <w:textAlignment w:val="auto"/>
        <w:rPr>
          <w:kern w:val="2"/>
          <w:sz w:val="24"/>
          <w:szCs w:val="24"/>
          <w:highlight w:val="none"/>
        </w:rPr>
      </w:pPr>
      <w:r>
        <w:rPr>
          <w:kern w:val="2"/>
          <w:sz w:val="24"/>
          <w:szCs w:val="24"/>
          <w:highlight w:val="none"/>
        </w:rPr>
        <w:t>（</w:t>
      </w:r>
      <w:r>
        <w:rPr>
          <w:rFonts w:hint="eastAsia"/>
          <w:kern w:val="2"/>
          <w:sz w:val="24"/>
          <w:szCs w:val="24"/>
          <w:highlight w:val="none"/>
        </w:rPr>
        <w:t>4</w:t>
      </w:r>
      <w:r>
        <w:rPr>
          <w:kern w:val="2"/>
          <w:sz w:val="24"/>
          <w:szCs w:val="24"/>
          <w:highlight w:val="none"/>
        </w:rPr>
        <w:t>）危险废物</w:t>
      </w:r>
    </w:p>
    <w:p>
      <w:pPr>
        <w:ind w:firstLine="480"/>
        <w:jc w:val="both"/>
        <w:textAlignment w:val="auto"/>
        <w:rPr>
          <w:kern w:val="2"/>
          <w:sz w:val="24"/>
          <w:szCs w:val="24"/>
          <w:highlight w:val="none"/>
        </w:rPr>
      </w:pPr>
      <w:r>
        <w:rPr>
          <w:kern w:val="2"/>
          <w:sz w:val="24"/>
          <w:szCs w:val="24"/>
          <w:highlight w:val="none"/>
        </w:rPr>
        <w:t>本项目所产危险废物主要为设备维护、检修过程中产生的废</w:t>
      </w:r>
      <w:r>
        <w:rPr>
          <w:rFonts w:hint="eastAsia"/>
          <w:kern w:val="2"/>
          <w:sz w:val="24"/>
          <w:szCs w:val="24"/>
          <w:highlight w:val="none"/>
        </w:rPr>
        <w:t>矿物油</w:t>
      </w:r>
      <w:r>
        <w:rPr>
          <w:kern w:val="2"/>
          <w:sz w:val="24"/>
          <w:szCs w:val="24"/>
          <w:highlight w:val="none"/>
        </w:rPr>
        <w:t>、废油桶，其分析结果见下表5.2-</w:t>
      </w:r>
      <w:r>
        <w:rPr>
          <w:rFonts w:hint="eastAsia"/>
          <w:kern w:val="2"/>
          <w:sz w:val="24"/>
          <w:szCs w:val="24"/>
          <w:highlight w:val="none"/>
        </w:rPr>
        <w:t>23</w:t>
      </w:r>
      <w:r>
        <w:rPr>
          <w:kern w:val="2"/>
          <w:sz w:val="24"/>
          <w:szCs w:val="24"/>
          <w:highlight w:val="none"/>
        </w:rPr>
        <w:t>。</w:t>
      </w:r>
    </w:p>
    <w:p>
      <w:pPr>
        <w:autoSpaceDE w:val="0"/>
        <w:autoSpaceDN w:val="0"/>
        <w:spacing w:line="240" w:lineRule="auto"/>
        <w:ind w:firstLine="0" w:firstLineChars="0"/>
        <w:jc w:val="center"/>
        <w:textAlignment w:val="auto"/>
        <w:rPr>
          <w:rFonts w:eastAsia="黑体"/>
          <w:bCs/>
          <w:kern w:val="2"/>
          <w:sz w:val="21"/>
          <w:szCs w:val="21"/>
          <w:highlight w:val="none"/>
        </w:rPr>
      </w:pPr>
      <w:r>
        <w:rPr>
          <w:rFonts w:eastAsia="黑体"/>
          <w:bCs/>
          <w:kern w:val="2"/>
          <w:sz w:val="21"/>
          <w:szCs w:val="21"/>
          <w:highlight w:val="none"/>
        </w:rPr>
        <w:t>表5.2-</w:t>
      </w:r>
      <w:r>
        <w:rPr>
          <w:rFonts w:hint="eastAsia" w:eastAsia="黑体"/>
          <w:bCs/>
          <w:kern w:val="2"/>
          <w:sz w:val="21"/>
          <w:szCs w:val="21"/>
          <w:highlight w:val="none"/>
        </w:rPr>
        <w:t xml:space="preserve">23   </w:t>
      </w:r>
      <w:r>
        <w:rPr>
          <w:rFonts w:eastAsia="黑体"/>
          <w:bCs/>
          <w:kern w:val="2"/>
          <w:sz w:val="21"/>
          <w:szCs w:val="21"/>
          <w:highlight w:val="none"/>
        </w:rPr>
        <w:t>本项目危险废物分析结果一览表</w:t>
      </w:r>
    </w:p>
    <w:tbl>
      <w:tblPr>
        <w:tblStyle w:val="56"/>
        <w:tblW w:w="8528"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2"/>
        <w:gridCol w:w="1244"/>
        <w:gridCol w:w="741"/>
        <w:gridCol w:w="1038"/>
        <w:gridCol w:w="536"/>
        <w:gridCol w:w="1179"/>
        <w:gridCol w:w="676"/>
        <w:gridCol w:w="775"/>
        <w:gridCol w:w="929"/>
        <w:gridCol w:w="988"/>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0" w:hRule="atLeast"/>
          <w:tblHeader/>
          <w:jc w:val="center"/>
        </w:trPr>
        <w:tc>
          <w:tcPr>
            <w:tcW w:w="422" w:type="dxa"/>
            <w:tcBorders>
              <w:lef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序号</w:t>
            </w:r>
          </w:p>
        </w:tc>
        <w:tc>
          <w:tcPr>
            <w:tcW w:w="1244" w:type="dxa"/>
            <w:vAlign w:val="center"/>
          </w:tcPr>
          <w:p>
            <w:pPr>
              <w:widowControl/>
              <w:spacing w:line="240" w:lineRule="auto"/>
              <w:ind w:firstLine="0" w:firstLineChars="0"/>
              <w:jc w:val="center"/>
              <w:rPr>
                <w:sz w:val="21"/>
                <w:szCs w:val="21"/>
                <w:highlight w:val="none"/>
              </w:rPr>
            </w:pPr>
            <w:r>
              <w:rPr>
                <w:sz w:val="21"/>
                <w:szCs w:val="21"/>
                <w:highlight w:val="none"/>
              </w:rPr>
              <w:t>固废名称</w:t>
            </w:r>
          </w:p>
        </w:tc>
        <w:tc>
          <w:tcPr>
            <w:tcW w:w="741" w:type="dxa"/>
            <w:vAlign w:val="center"/>
          </w:tcPr>
          <w:p>
            <w:pPr>
              <w:widowControl/>
              <w:spacing w:line="240" w:lineRule="auto"/>
              <w:ind w:firstLine="0" w:firstLineChars="0"/>
              <w:jc w:val="center"/>
              <w:rPr>
                <w:sz w:val="21"/>
                <w:szCs w:val="21"/>
                <w:highlight w:val="none"/>
              </w:rPr>
            </w:pPr>
            <w:r>
              <w:rPr>
                <w:sz w:val="21"/>
                <w:szCs w:val="21"/>
                <w:highlight w:val="none"/>
              </w:rPr>
              <w:t>属性</w:t>
            </w:r>
          </w:p>
        </w:tc>
        <w:tc>
          <w:tcPr>
            <w:tcW w:w="1038" w:type="dxa"/>
            <w:vAlign w:val="center"/>
          </w:tcPr>
          <w:p>
            <w:pPr>
              <w:widowControl/>
              <w:spacing w:line="240" w:lineRule="auto"/>
              <w:ind w:firstLine="0" w:firstLineChars="0"/>
              <w:jc w:val="center"/>
              <w:rPr>
                <w:sz w:val="21"/>
                <w:szCs w:val="21"/>
                <w:highlight w:val="none"/>
              </w:rPr>
            </w:pPr>
            <w:r>
              <w:rPr>
                <w:sz w:val="21"/>
                <w:szCs w:val="21"/>
                <w:highlight w:val="none"/>
              </w:rPr>
              <w:t>产生</w:t>
            </w:r>
          </w:p>
          <w:p>
            <w:pPr>
              <w:widowControl/>
              <w:spacing w:line="240" w:lineRule="auto"/>
              <w:ind w:firstLine="0" w:firstLineChars="0"/>
              <w:jc w:val="center"/>
              <w:rPr>
                <w:sz w:val="21"/>
                <w:szCs w:val="21"/>
                <w:highlight w:val="none"/>
              </w:rPr>
            </w:pPr>
            <w:r>
              <w:rPr>
                <w:sz w:val="21"/>
                <w:szCs w:val="21"/>
                <w:highlight w:val="none"/>
              </w:rPr>
              <w:t>工序</w:t>
            </w:r>
          </w:p>
        </w:tc>
        <w:tc>
          <w:tcPr>
            <w:tcW w:w="536" w:type="dxa"/>
            <w:vAlign w:val="center"/>
          </w:tcPr>
          <w:p>
            <w:pPr>
              <w:widowControl/>
              <w:spacing w:line="240" w:lineRule="auto"/>
              <w:ind w:firstLine="0" w:firstLineChars="0"/>
              <w:jc w:val="center"/>
              <w:rPr>
                <w:sz w:val="21"/>
                <w:szCs w:val="21"/>
                <w:highlight w:val="none"/>
              </w:rPr>
            </w:pPr>
            <w:r>
              <w:rPr>
                <w:sz w:val="21"/>
                <w:szCs w:val="21"/>
                <w:highlight w:val="none"/>
              </w:rPr>
              <w:t>形</w:t>
            </w:r>
          </w:p>
          <w:p>
            <w:pPr>
              <w:widowControl/>
              <w:spacing w:line="240" w:lineRule="auto"/>
              <w:ind w:firstLine="0" w:firstLineChars="0"/>
              <w:jc w:val="center"/>
              <w:rPr>
                <w:sz w:val="21"/>
                <w:szCs w:val="21"/>
                <w:highlight w:val="none"/>
              </w:rPr>
            </w:pPr>
            <w:r>
              <w:rPr>
                <w:sz w:val="21"/>
                <w:szCs w:val="21"/>
                <w:highlight w:val="none"/>
              </w:rPr>
              <w:t>态</w:t>
            </w:r>
          </w:p>
        </w:tc>
        <w:tc>
          <w:tcPr>
            <w:tcW w:w="1179" w:type="dxa"/>
            <w:vAlign w:val="center"/>
          </w:tcPr>
          <w:p>
            <w:pPr>
              <w:widowControl/>
              <w:spacing w:line="240" w:lineRule="auto"/>
              <w:ind w:firstLine="0" w:firstLineChars="0"/>
              <w:jc w:val="center"/>
              <w:rPr>
                <w:sz w:val="21"/>
                <w:szCs w:val="21"/>
                <w:highlight w:val="none"/>
              </w:rPr>
            </w:pPr>
            <w:r>
              <w:rPr>
                <w:sz w:val="21"/>
                <w:szCs w:val="21"/>
                <w:highlight w:val="none"/>
              </w:rPr>
              <w:t>主要成份</w:t>
            </w:r>
          </w:p>
        </w:tc>
        <w:tc>
          <w:tcPr>
            <w:tcW w:w="676" w:type="dxa"/>
            <w:vAlign w:val="center"/>
          </w:tcPr>
          <w:p>
            <w:pPr>
              <w:widowControl/>
              <w:spacing w:line="240" w:lineRule="auto"/>
              <w:ind w:firstLine="0" w:firstLineChars="0"/>
              <w:jc w:val="center"/>
              <w:rPr>
                <w:sz w:val="21"/>
                <w:szCs w:val="21"/>
                <w:highlight w:val="none"/>
              </w:rPr>
            </w:pPr>
            <w:r>
              <w:rPr>
                <w:sz w:val="21"/>
                <w:szCs w:val="21"/>
                <w:highlight w:val="none"/>
              </w:rPr>
              <w:t>危险特性</w:t>
            </w:r>
          </w:p>
        </w:tc>
        <w:tc>
          <w:tcPr>
            <w:tcW w:w="775" w:type="dxa"/>
            <w:vAlign w:val="center"/>
          </w:tcPr>
          <w:p>
            <w:pPr>
              <w:widowControl/>
              <w:spacing w:line="240" w:lineRule="auto"/>
              <w:ind w:firstLine="0" w:firstLineChars="0"/>
              <w:jc w:val="center"/>
              <w:rPr>
                <w:sz w:val="21"/>
                <w:szCs w:val="21"/>
                <w:highlight w:val="none"/>
              </w:rPr>
            </w:pPr>
            <w:r>
              <w:rPr>
                <w:sz w:val="21"/>
                <w:szCs w:val="21"/>
                <w:highlight w:val="none"/>
              </w:rPr>
              <w:t>废物类别</w:t>
            </w:r>
          </w:p>
        </w:tc>
        <w:tc>
          <w:tcPr>
            <w:tcW w:w="929" w:type="dxa"/>
            <w:vAlign w:val="center"/>
          </w:tcPr>
          <w:p>
            <w:pPr>
              <w:widowControl/>
              <w:spacing w:line="240" w:lineRule="auto"/>
              <w:ind w:firstLine="0" w:firstLineChars="0"/>
              <w:jc w:val="center"/>
              <w:rPr>
                <w:sz w:val="21"/>
                <w:szCs w:val="21"/>
                <w:highlight w:val="none"/>
              </w:rPr>
            </w:pPr>
            <w:r>
              <w:rPr>
                <w:sz w:val="21"/>
                <w:szCs w:val="21"/>
                <w:highlight w:val="none"/>
              </w:rPr>
              <w:t>废物</w:t>
            </w:r>
          </w:p>
          <w:p>
            <w:pPr>
              <w:widowControl/>
              <w:spacing w:line="240" w:lineRule="auto"/>
              <w:ind w:firstLine="0" w:firstLineChars="0"/>
              <w:jc w:val="center"/>
              <w:rPr>
                <w:sz w:val="21"/>
                <w:szCs w:val="21"/>
                <w:highlight w:val="none"/>
              </w:rPr>
            </w:pPr>
            <w:r>
              <w:rPr>
                <w:sz w:val="21"/>
                <w:szCs w:val="21"/>
                <w:highlight w:val="none"/>
              </w:rPr>
              <w:t>代码</w:t>
            </w:r>
          </w:p>
        </w:tc>
        <w:tc>
          <w:tcPr>
            <w:tcW w:w="988" w:type="dxa"/>
            <w:tcBorders>
              <w:righ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估算年</w:t>
            </w:r>
          </w:p>
          <w:p>
            <w:pPr>
              <w:widowControl/>
              <w:spacing w:line="240" w:lineRule="auto"/>
              <w:ind w:firstLine="0" w:firstLineChars="0"/>
              <w:jc w:val="center"/>
              <w:rPr>
                <w:sz w:val="21"/>
                <w:szCs w:val="21"/>
                <w:highlight w:val="none"/>
              </w:rPr>
            </w:pPr>
            <w:r>
              <w:rPr>
                <w:sz w:val="21"/>
                <w:szCs w:val="21"/>
                <w:highlight w:val="none"/>
              </w:rPr>
              <w:t>产生量</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2" w:type="dxa"/>
            <w:tcBorders>
              <w:lef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1</w:t>
            </w:r>
          </w:p>
        </w:tc>
        <w:tc>
          <w:tcPr>
            <w:tcW w:w="1244" w:type="dxa"/>
            <w:vAlign w:val="center"/>
          </w:tcPr>
          <w:p>
            <w:pPr>
              <w:widowControl/>
              <w:spacing w:line="240" w:lineRule="auto"/>
              <w:ind w:firstLine="0" w:firstLineChars="0"/>
              <w:jc w:val="center"/>
              <w:rPr>
                <w:sz w:val="21"/>
                <w:szCs w:val="21"/>
                <w:highlight w:val="none"/>
              </w:rPr>
            </w:pPr>
            <w:r>
              <w:rPr>
                <w:sz w:val="21"/>
                <w:szCs w:val="21"/>
                <w:highlight w:val="none"/>
              </w:rPr>
              <w:t>废</w:t>
            </w:r>
            <w:r>
              <w:rPr>
                <w:rFonts w:hint="eastAsia"/>
                <w:sz w:val="21"/>
                <w:szCs w:val="21"/>
                <w:highlight w:val="none"/>
              </w:rPr>
              <w:t>矿物油</w:t>
            </w:r>
          </w:p>
        </w:tc>
        <w:tc>
          <w:tcPr>
            <w:tcW w:w="741" w:type="dxa"/>
            <w:vAlign w:val="center"/>
          </w:tcPr>
          <w:p>
            <w:pPr>
              <w:widowControl/>
              <w:spacing w:line="240" w:lineRule="auto"/>
              <w:ind w:firstLine="0" w:firstLineChars="0"/>
              <w:jc w:val="center"/>
              <w:rPr>
                <w:sz w:val="21"/>
                <w:szCs w:val="21"/>
                <w:highlight w:val="none"/>
              </w:rPr>
            </w:pPr>
            <w:r>
              <w:rPr>
                <w:sz w:val="21"/>
                <w:szCs w:val="21"/>
                <w:highlight w:val="none"/>
              </w:rPr>
              <w:t>危险废物</w:t>
            </w:r>
          </w:p>
        </w:tc>
        <w:tc>
          <w:tcPr>
            <w:tcW w:w="1038" w:type="dxa"/>
            <w:vAlign w:val="center"/>
          </w:tcPr>
          <w:p>
            <w:pPr>
              <w:widowControl/>
              <w:spacing w:line="240" w:lineRule="auto"/>
              <w:ind w:firstLine="0" w:firstLineChars="0"/>
              <w:jc w:val="center"/>
              <w:rPr>
                <w:sz w:val="21"/>
                <w:szCs w:val="21"/>
                <w:highlight w:val="none"/>
              </w:rPr>
            </w:pPr>
            <w:r>
              <w:rPr>
                <w:sz w:val="21"/>
                <w:szCs w:val="21"/>
                <w:highlight w:val="none"/>
              </w:rPr>
              <w:t>设备检修、维护</w:t>
            </w:r>
          </w:p>
        </w:tc>
        <w:tc>
          <w:tcPr>
            <w:tcW w:w="536" w:type="dxa"/>
            <w:vAlign w:val="center"/>
          </w:tcPr>
          <w:p>
            <w:pPr>
              <w:widowControl/>
              <w:spacing w:line="240" w:lineRule="auto"/>
              <w:ind w:firstLine="0" w:firstLineChars="0"/>
              <w:jc w:val="center"/>
              <w:rPr>
                <w:sz w:val="21"/>
                <w:szCs w:val="21"/>
                <w:highlight w:val="none"/>
              </w:rPr>
            </w:pPr>
            <w:r>
              <w:rPr>
                <w:sz w:val="21"/>
                <w:szCs w:val="21"/>
                <w:highlight w:val="none"/>
              </w:rPr>
              <w:t>液态</w:t>
            </w:r>
          </w:p>
        </w:tc>
        <w:tc>
          <w:tcPr>
            <w:tcW w:w="1179" w:type="dxa"/>
            <w:vAlign w:val="center"/>
          </w:tcPr>
          <w:p>
            <w:pPr>
              <w:widowControl/>
              <w:spacing w:line="240" w:lineRule="auto"/>
              <w:ind w:firstLine="0" w:firstLineChars="0"/>
              <w:jc w:val="center"/>
              <w:rPr>
                <w:sz w:val="21"/>
                <w:szCs w:val="21"/>
                <w:highlight w:val="none"/>
              </w:rPr>
            </w:pPr>
            <w:r>
              <w:rPr>
                <w:sz w:val="21"/>
                <w:szCs w:val="21"/>
                <w:highlight w:val="none"/>
              </w:rPr>
              <w:t>矿物油</w:t>
            </w:r>
          </w:p>
        </w:tc>
        <w:tc>
          <w:tcPr>
            <w:tcW w:w="676" w:type="dxa"/>
            <w:vAlign w:val="center"/>
          </w:tcPr>
          <w:p>
            <w:pPr>
              <w:widowControl/>
              <w:spacing w:line="240" w:lineRule="auto"/>
              <w:ind w:firstLine="0" w:firstLineChars="0"/>
              <w:jc w:val="center"/>
              <w:rPr>
                <w:sz w:val="21"/>
                <w:szCs w:val="21"/>
                <w:highlight w:val="none"/>
              </w:rPr>
            </w:pPr>
            <w:r>
              <w:rPr>
                <w:sz w:val="21"/>
                <w:szCs w:val="21"/>
                <w:highlight w:val="none"/>
              </w:rPr>
              <w:t>T，I</w:t>
            </w:r>
          </w:p>
        </w:tc>
        <w:tc>
          <w:tcPr>
            <w:tcW w:w="775" w:type="dxa"/>
            <w:vAlign w:val="center"/>
          </w:tcPr>
          <w:p>
            <w:pPr>
              <w:widowControl/>
              <w:spacing w:line="240" w:lineRule="auto"/>
              <w:ind w:firstLine="0" w:firstLineChars="0"/>
              <w:jc w:val="center"/>
              <w:rPr>
                <w:sz w:val="21"/>
                <w:szCs w:val="21"/>
                <w:highlight w:val="none"/>
              </w:rPr>
            </w:pPr>
            <w:r>
              <w:rPr>
                <w:sz w:val="21"/>
                <w:szCs w:val="21"/>
                <w:highlight w:val="none"/>
              </w:rPr>
              <w:t>HW</w:t>
            </w:r>
          </w:p>
          <w:p>
            <w:pPr>
              <w:widowControl/>
              <w:spacing w:line="240" w:lineRule="auto"/>
              <w:ind w:firstLine="0" w:firstLineChars="0"/>
              <w:jc w:val="center"/>
              <w:rPr>
                <w:sz w:val="21"/>
                <w:szCs w:val="21"/>
                <w:highlight w:val="none"/>
              </w:rPr>
            </w:pPr>
            <w:r>
              <w:rPr>
                <w:sz w:val="21"/>
                <w:szCs w:val="21"/>
                <w:highlight w:val="none"/>
              </w:rPr>
              <w:t>08</w:t>
            </w:r>
          </w:p>
        </w:tc>
        <w:tc>
          <w:tcPr>
            <w:tcW w:w="929" w:type="dxa"/>
            <w:vAlign w:val="center"/>
          </w:tcPr>
          <w:p>
            <w:pPr>
              <w:widowControl/>
              <w:spacing w:line="240" w:lineRule="auto"/>
              <w:ind w:firstLine="0" w:firstLineChars="0"/>
              <w:jc w:val="center"/>
              <w:rPr>
                <w:sz w:val="21"/>
                <w:szCs w:val="21"/>
                <w:highlight w:val="none"/>
              </w:rPr>
            </w:pPr>
            <w:r>
              <w:rPr>
                <w:sz w:val="21"/>
                <w:szCs w:val="21"/>
                <w:highlight w:val="none"/>
              </w:rPr>
              <w:t>900-2</w:t>
            </w:r>
            <w:r>
              <w:rPr>
                <w:rFonts w:hint="eastAsia"/>
                <w:sz w:val="21"/>
                <w:szCs w:val="21"/>
                <w:highlight w:val="none"/>
              </w:rPr>
              <w:t>17</w:t>
            </w:r>
            <w:r>
              <w:rPr>
                <w:sz w:val="21"/>
                <w:szCs w:val="21"/>
                <w:highlight w:val="none"/>
              </w:rPr>
              <w:t>-08</w:t>
            </w:r>
          </w:p>
        </w:tc>
        <w:tc>
          <w:tcPr>
            <w:tcW w:w="988" w:type="dxa"/>
            <w:tcBorders>
              <w:righ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0.15t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2" w:type="dxa"/>
            <w:tcBorders>
              <w:lef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2</w:t>
            </w:r>
          </w:p>
        </w:tc>
        <w:tc>
          <w:tcPr>
            <w:tcW w:w="1244" w:type="dxa"/>
            <w:vAlign w:val="center"/>
          </w:tcPr>
          <w:p>
            <w:pPr>
              <w:widowControl/>
              <w:spacing w:line="240" w:lineRule="auto"/>
              <w:ind w:firstLine="0" w:firstLineChars="0"/>
              <w:jc w:val="center"/>
              <w:rPr>
                <w:sz w:val="21"/>
                <w:szCs w:val="21"/>
                <w:highlight w:val="none"/>
              </w:rPr>
            </w:pPr>
            <w:r>
              <w:rPr>
                <w:sz w:val="21"/>
                <w:szCs w:val="21"/>
                <w:highlight w:val="none"/>
              </w:rPr>
              <w:t>废油桶</w:t>
            </w:r>
          </w:p>
        </w:tc>
        <w:tc>
          <w:tcPr>
            <w:tcW w:w="741" w:type="dxa"/>
            <w:vAlign w:val="center"/>
          </w:tcPr>
          <w:p>
            <w:pPr>
              <w:widowControl/>
              <w:spacing w:line="240" w:lineRule="auto"/>
              <w:ind w:firstLine="0" w:firstLineChars="0"/>
              <w:jc w:val="center"/>
              <w:rPr>
                <w:sz w:val="21"/>
                <w:szCs w:val="21"/>
                <w:highlight w:val="none"/>
              </w:rPr>
            </w:pPr>
            <w:r>
              <w:rPr>
                <w:sz w:val="21"/>
                <w:szCs w:val="21"/>
                <w:highlight w:val="none"/>
              </w:rPr>
              <w:t>危险废物</w:t>
            </w:r>
          </w:p>
        </w:tc>
        <w:tc>
          <w:tcPr>
            <w:tcW w:w="1038" w:type="dxa"/>
            <w:vAlign w:val="center"/>
          </w:tcPr>
          <w:p>
            <w:pPr>
              <w:widowControl/>
              <w:spacing w:line="240" w:lineRule="auto"/>
              <w:ind w:firstLine="0" w:firstLineChars="0"/>
              <w:jc w:val="center"/>
              <w:rPr>
                <w:sz w:val="21"/>
                <w:szCs w:val="21"/>
                <w:highlight w:val="none"/>
              </w:rPr>
            </w:pPr>
            <w:r>
              <w:rPr>
                <w:sz w:val="21"/>
                <w:szCs w:val="21"/>
                <w:highlight w:val="none"/>
              </w:rPr>
              <w:t>设备检修、维护</w:t>
            </w:r>
          </w:p>
        </w:tc>
        <w:tc>
          <w:tcPr>
            <w:tcW w:w="536" w:type="dxa"/>
            <w:vAlign w:val="center"/>
          </w:tcPr>
          <w:p>
            <w:pPr>
              <w:widowControl/>
              <w:spacing w:line="240" w:lineRule="auto"/>
              <w:ind w:firstLine="0" w:firstLineChars="0"/>
              <w:jc w:val="center"/>
              <w:rPr>
                <w:sz w:val="21"/>
                <w:szCs w:val="21"/>
                <w:highlight w:val="none"/>
              </w:rPr>
            </w:pPr>
            <w:r>
              <w:rPr>
                <w:sz w:val="21"/>
                <w:szCs w:val="21"/>
                <w:highlight w:val="none"/>
              </w:rPr>
              <w:t>固态</w:t>
            </w:r>
          </w:p>
        </w:tc>
        <w:tc>
          <w:tcPr>
            <w:tcW w:w="1179" w:type="dxa"/>
            <w:vAlign w:val="center"/>
          </w:tcPr>
          <w:p>
            <w:pPr>
              <w:widowControl/>
              <w:spacing w:line="240" w:lineRule="auto"/>
              <w:ind w:firstLine="0" w:firstLineChars="0"/>
              <w:jc w:val="center"/>
              <w:rPr>
                <w:sz w:val="21"/>
                <w:szCs w:val="21"/>
                <w:highlight w:val="none"/>
              </w:rPr>
            </w:pPr>
            <w:r>
              <w:rPr>
                <w:sz w:val="21"/>
                <w:szCs w:val="21"/>
                <w:highlight w:val="none"/>
              </w:rPr>
              <w:t>矿物油</w:t>
            </w:r>
          </w:p>
        </w:tc>
        <w:tc>
          <w:tcPr>
            <w:tcW w:w="676" w:type="dxa"/>
            <w:vAlign w:val="center"/>
          </w:tcPr>
          <w:p>
            <w:pPr>
              <w:widowControl/>
              <w:spacing w:line="240" w:lineRule="auto"/>
              <w:ind w:firstLine="0" w:firstLineChars="0"/>
              <w:jc w:val="center"/>
              <w:rPr>
                <w:sz w:val="21"/>
                <w:szCs w:val="21"/>
                <w:highlight w:val="none"/>
              </w:rPr>
            </w:pPr>
            <w:r>
              <w:rPr>
                <w:sz w:val="21"/>
                <w:szCs w:val="21"/>
                <w:highlight w:val="none"/>
              </w:rPr>
              <w:t>T/In</w:t>
            </w:r>
          </w:p>
        </w:tc>
        <w:tc>
          <w:tcPr>
            <w:tcW w:w="775" w:type="dxa"/>
            <w:vAlign w:val="center"/>
          </w:tcPr>
          <w:p>
            <w:pPr>
              <w:widowControl/>
              <w:spacing w:line="240" w:lineRule="auto"/>
              <w:ind w:firstLine="0" w:firstLineChars="0"/>
              <w:jc w:val="center"/>
              <w:rPr>
                <w:sz w:val="21"/>
                <w:szCs w:val="21"/>
                <w:highlight w:val="none"/>
              </w:rPr>
            </w:pPr>
            <w:r>
              <w:rPr>
                <w:sz w:val="21"/>
                <w:szCs w:val="21"/>
                <w:highlight w:val="none"/>
              </w:rPr>
              <w:t>HW</w:t>
            </w:r>
          </w:p>
          <w:p>
            <w:pPr>
              <w:widowControl/>
              <w:spacing w:line="240" w:lineRule="auto"/>
              <w:ind w:firstLine="0" w:firstLineChars="0"/>
              <w:jc w:val="center"/>
              <w:rPr>
                <w:sz w:val="21"/>
                <w:szCs w:val="21"/>
                <w:highlight w:val="none"/>
              </w:rPr>
            </w:pPr>
            <w:r>
              <w:rPr>
                <w:rFonts w:hint="eastAsia"/>
                <w:sz w:val="21"/>
                <w:szCs w:val="21"/>
                <w:highlight w:val="none"/>
              </w:rPr>
              <w:t>08</w:t>
            </w:r>
          </w:p>
        </w:tc>
        <w:tc>
          <w:tcPr>
            <w:tcW w:w="929" w:type="dxa"/>
            <w:vAlign w:val="center"/>
          </w:tcPr>
          <w:p>
            <w:pPr>
              <w:widowControl/>
              <w:spacing w:line="240" w:lineRule="auto"/>
              <w:ind w:firstLine="0" w:firstLineChars="0"/>
              <w:jc w:val="center"/>
              <w:rPr>
                <w:sz w:val="21"/>
                <w:szCs w:val="21"/>
                <w:highlight w:val="none"/>
              </w:rPr>
            </w:pPr>
            <w:r>
              <w:rPr>
                <w:sz w:val="21"/>
                <w:szCs w:val="21"/>
                <w:highlight w:val="none"/>
              </w:rPr>
              <w:t>900-24</w:t>
            </w:r>
            <w:r>
              <w:rPr>
                <w:rFonts w:hint="eastAsia"/>
                <w:sz w:val="21"/>
                <w:szCs w:val="21"/>
                <w:highlight w:val="none"/>
              </w:rPr>
              <w:t>9</w:t>
            </w:r>
            <w:r>
              <w:rPr>
                <w:sz w:val="21"/>
                <w:szCs w:val="21"/>
                <w:highlight w:val="none"/>
              </w:rPr>
              <w:t>-</w:t>
            </w:r>
            <w:r>
              <w:rPr>
                <w:rFonts w:hint="eastAsia"/>
                <w:sz w:val="21"/>
                <w:szCs w:val="21"/>
                <w:highlight w:val="none"/>
              </w:rPr>
              <w:t>08</w:t>
            </w:r>
          </w:p>
        </w:tc>
        <w:tc>
          <w:tcPr>
            <w:tcW w:w="988" w:type="dxa"/>
            <w:tcBorders>
              <w:righ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0.15t</w:t>
            </w:r>
          </w:p>
        </w:tc>
      </w:tr>
    </w:tbl>
    <w:p>
      <w:pPr>
        <w:pStyle w:val="3"/>
        <w:numPr>
          <w:ilvl w:val="3"/>
          <w:numId w:val="1"/>
        </w:numPr>
        <w:ind w:left="709" w:hanging="709"/>
        <w:rPr>
          <w:rFonts w:eastAsia="宋体"/>
          <w:b/>
          <w:highlight w:val="none"/>
        </w:rPr>
      </w:pPr>
      <w:r>
        <w:rPr>
          <w:rFonts w:eastAsia="宋体"/>
          <w:b/>
          <w:highlight w:val="none"/>
        </w:rPr>
        <w:t>固体废物处置措施</w:t>
      </w:r>
    </w:p>
    <w:p>
      <w:pPr>
        <w:ind w:firstLine="480"/>
        <w:jc w:val="both"/>
        <w:textAlignment w:val="auto"/>
        <w:rPr>
          <w:kern w:val="2"/>
          <w:sz w:val="24"/>
          <w:szCs w:val="24"/>
          <w:highlight w:val="none"/>
        </w:rPr>
      </w:pPr>
      <w:bookmarkStart w:id="400" w:name="_Toc368058146"/>
      <w:bookmarkStart w:id="401" w:name="_Toc319940910"/>
      <w:bookmarkStart w:id="402" w:name="_Toc319654913"/>
      <w:bookmarkStart w:id="403" w:name="_Toc356290298"/>
      <w:bookmarkStart w:id="404" w:name="_Toc323717376"/>
      <w:bookmarkStart w:id="405" w:name="_Toc323716557"/>
      <w:bookmarkStart w:id="406" w:name="_Toc319052873"/>
      <w:bookmarkStart w:id="407" w:name="_Toc357061630"/>
      <w:bookmarkStart w:id="408" w:name="_Toc319941233"/>
      <w:bookmarkStart w:id="409" w:name="_Toc454814862"/>
      <w:bookmarkStart w:id="410" w:name="_Toc319051638"/>
      <w:bookmarkStart w:id="411" w:name="_Toc404609483"/>
      <w:bookmarkStart w:id="412" w:name="_Toc319053444"/>
      <w:r>
        <w:rPr>
          <w:kern w:val="2"/>
          <w:sz w:val="24"/>
          <w:szCs w:val="24"/>
          <w:highlight w:val="none"/>
        </w:rPr>
        <w:t>（1）尾矿砂、</w:t>
      </w:r>
      <w:r>
        <w:rPr>
          <w:rFonts w:hint="eastAsia"/>
          <w:kern w:val="2"/>
          <w:sz w:val="24"/>
          <w:szCs w:val="24"/>
          <w:highlight w:val="none"/>
        </w:rPr>
        <w:t>泥饼、砂石料、</w:t>
      </w:r>
      <w:r>
        <w:rPr>
          <w:kern w:val="2"/>
          <w:sz w:val="24"/>
          <w:szCs w:val="24"/>
          <w:highlight w:val="none"/>
        </w:rPr>
        <w:t>除尘器收尘、废钢球处置</w:t>
      </w:r>
      <w:bookmarkEnd w:id="400"/>
      <w:bookmarkEnd w:id="401"/>
      <w:bookmarkEnd w:id="402"/>
      <w:bookmarkEnd w:id="403"/>
      <w:bookmarkEnd w:id="404"/>
      <w:bookmarkEnd w:id="405"/>
      <w:bookmarkEnd w:id="406"/>
      <w:bookmarkEnd w:id="407"/>
      <w:bookmarkEnd w:id="408"/>
      <w:bookmarkEnd w:id="409"/>
      <w:bookmarkEnd w:id="410"/>
      <w:bookmarkEnd w:id="411"/>
      <w:bookmarkEnd w:id="412"/>
      <w:r>
        <w:rPr>
          <w:kern w:val="2"/>
          <w:sz w:val="24"/>
          <w:szCs w:val="24"/>
          <w:highlight w:val="none"/>
        </w:rPr>
        <w:t>措施</w:t>
      </w:r>
    </w:p>
    <w:p>
      <w:pPr>
        <w:ind w:firstLine="480"/>
        <w:jc w:val="both"/>
        <w:textAlignment w:val="auto"/>
        <w:rPr>
          <w:kern w:val="2"/>
          <w:sz w:val="24"/>
          <w:szCs w:val="24"/>
          <w:highlight w:val="none"/>
        </w:rPr>
      </w:pPr>
      <w:r>
        <w:rPr>
          <w:kern w:val="2"/>
          <w:sz w:val="24"/>
          <w:szCs w:val="24"/>
          <w:highlight w:val="none"/>
        </w:rPr>
        <w:t>本项目产生的尾矿砂</w:t>
      </w:r>
      <w:r>
        <w:rPr>
          <w:rFonts w:hint="eastAsia"/>
          <w:kern w:val="2"/>
          <w:sz w:val="24"/>
          <w:szCs w:val="24"/>
          <w:highlight w:val="none"/>
        </w:rPr>
        <w:t>、泥饼、砂石料</w:t>
      </w:r>
      <w:r>
        <w:rPr>
          <w:kern w:val="2"/>
          <w:sz w:val="24"/>
          <w:szCs w:val="24"/>
          <w:highlight w:val="none"/>
        </w:rPr>
        <w:t>全部外售当地建材厂作为生产原料进行综合利用；除尘器收集的粉尘</w:t>
      </w:r>
      <w:r>
        <w:rPr>
          <w:rFonts w:hint="eastAsia"/>
          <w:kern w:val="2"/>
          <w:sz w:val="24"/>
          <w:szCs w:val="24"/>
          <w:highlight w:val="none"/>
        </w:rPr>
        <w:t>，灰仓底部设水箱，卸灰至水箱内，由渣浆泵打入球磨机回用于生产</w:t>
      </w:r>
      <w:r>
        <w:rPr>
          <w:kern w:val="2"/>
          <w:sz w:val="24"/>
          <w:szCs w:val="24"/>
          <w:highlight w:val="none"/>
        </w:rPr>
        <w:t>，不外排；废钢球由供应厂家回收处理。</w:t>
      </w:r>
    </w:p>
    <w:p>
      <w:pPr>
        <w:ind w:firstLine="480"/>
        <w:jc w:val="both"/>
        <w:textAlignment w:val="auto"/>
        <w:rPr>
          <w:kern w:val="2"/>
          <w:sz w:val="24"/>
          <w:szCs w:val="24"/>
          <w:highlight w:val="none"/>
        </w:rPr>
      </w:pPr>
      <w:r>
        <w:rPr>
          <w:kern w:val="2"/>
          <w:sz w:val="24"/>
          <w:szCs w:val="24"/>
          <w:highlight w:val="none"/>
        </w:rPr>
        <w:t>尾矿粗砂粒度分析结果见表5.2-</w:t>
      </w:r>
      <w:r>
        <w:rPr>
          <w:rFonts w:hint="eastAsia"/>
          <w:kern w:val="2"/>
          <w:sz w:val="24"/>
          <w:szCs w:val="24"/>
          <w:highlight w:val="none"/>
        </w:rPr>
        <w:t>24</w:t>
      </w:r>
      <w:r>
        <w:rPr>
          <w:kern w:val="2"/>
          <w:sz w:val="24"/>
          <w:szCs w:val="24"/>
          <w:highlight w:val="none"/>
        </w:rPr>
        <w:t>。</w:t>
      </w:r>
    </w:p>
    <w:p>
      <w:pPr>
        <w:autoSpaceDE w:val="0"/>
        <w:autoSpaceDN w:val="0"/>
        <w:spacing w:line="240" w:lineRule="auto"/>
        <w:ind w:firstLine="0" w:firstLineChars="0"/>
        <w:jc w:val="center"/>
        <w:textAlignment w:val="auto"/>
        <w:rPr>
          <w:rFonts w:eastAsia="黑体"/>
          <w:bCs/>
          <w:kern w:val="2"/>
          <w:sz w:val="21"/>
          <w:szCs w:val="21"/>
          <w:highlight w:val="none"/>
        </w:rPr>
      </w:pPr>
      <w:r>
        <w:rPr>
          <w:rFonts w:eastAsia="黑体"/>
          <w:bCs/>
          <w:kern w:val="2"/>
          <w:sz w:val="21"/>
          <w:szCs w:val="21"/>
          <w:highlight w:val="none"/>
        </w:rPr>
        <w:t>表5.2-</w:t>
      </w:r>
      <w:r>
        <w:rPr>
          <w:rFonts w:hint="eastAsia" w:eastAsia="黑体"/>
          <w:bCs/>
          <w:kern w:val="2"/>
          <w:sz w:val="21"/>
          <w:szCs w:val="21"/>
          <w:highlight w:val="none"/>
        </w:rPr>
        <w:t xml:space="preserve">24 </w:t>
      </w:r>
      <w:r>
        <w:rPr>
          <w:rFonts w:eastAsia="黑体"/>
          <w:bCs/>
          <w:kern w:val="2"/>
          <w:sz w:val="21"/>
          <w:szCs w:val="21"/>
          <w:highlight w:val="none"/>
        </w:rPr>
        <w:t xml:space="preserve">  铁矿尾矿的粒度分析结果</w:t>
      </w:r>
    </w:p>
    <w:tbl>
      <w:tblPr>
        <w:tblStyle w:val="56"/>
        <w:tblW w:w="8528"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13"/>
        <w:gridCol w:w="1455"/>
        <w:gridCol w:w="1448"/>
        <w:gridCol w:w="1177"/>
        <w:gridCol w:w="1399"/>
        <w:gridCol w:w="1436"/>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1613" w:type="dxa"/>
            <w:tcBorders>
              <w:lef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粒级/mm</w:t>
            </w:r>
          </w:p>
        </w:tc>
        <w:tc>
          <w:tcPr>
            <w:tcW w:w="1455" w:type="dxa"/>
            <w:vAlign w:val="center"/>
          </w:tcPr>
          <w:p>
            <w:pPr>
              <w:widowControl/>
              <w:spacing w:line="240" w:lineRule="auto"/>
              <w:ind w:firstLine="0" w:firstLineChars="0"/>
              <w:jc w:val="center"/>
              <w:rPr>
                <w:sz w:val="21"/>
                <w:szCs w:val="21"/>
                <w:highlight w:val="none"/>
              </w:rPr>
            </w:pPr>
            <w:r>
              <w:rPr>
                <w:sz w:val="21"/>
                <w:szCs w:val="21"/>
                <w:highlight w:val="none"/>
              </w:rPr>
              <w:t>+1.40</w:t>
            </w:r>
          </w:p>
        </w:tc>
        <w:tc>
          <w:tcPr>
            <w:tcW w:w="1448" w:type="dxa"/>
            <w:vAlign w:val="center"/>
          </w:tcPr>
          <w:p>
            <w:pPr>
              <w:widowControl/>
              <w:spacing w:line="240" w:lineRule="auto"/>
              <w:ind w:firstLine="0" w:firstLineChars="0"/>
              <w:jc w:val="center"/>
              <w:rPr>
                <w:sz w:val="21"/>
                <w:szCs w:val="21"/>
                <w:highlight w:val="none"/>
              </w:rPr>
            </w:pPr>
            <w:r>
              <w:rPr>
                <w:sz w:val="21"/>
                <w:szCs w:val="21"/>
                <w:highlight w:val="none"/>
              </w:rPr>
              <w:t>-1.40</w:t>
            </w:r>
          </w:p>
        </w:tc>
        <w:tc>
          <w:tcPr>
            <w:tcW w:w="1177" w:type="dxa"/>
            <w:vAlign w:val="center"/>
          </w:tcPr>
          <w:p>
            <w:pPr>
              <w:widowControl/>
              <w:spacing w:line="240" w:lineRule="auto"/>
              <w:ind w:firstLine="0" w:firstLineChars="0"/>
              <w:jc w:val="center"/>
              <w:rPr>
                <w:sz w:val="21"/>
                <w:szCs w:val="21"/>
                <w:highlight w:val="none"/>
              </w:rPr>
            </w:pPr>
            <w:r>
              <w:rPr>
                <w:sz w:val="21"/>
                <w:szCs w:val="21"/>
                <w:highlight w:val="none"/>
              </w:rPr>
              <w:t>-0.85</w:t>
            </w:r>
          </w:p>
        </w:tc>
        <w:tc>
          <w:tcPr>
            <w:tcW w:w="1399" w:type="dxa"/>
            <w:vAlign w:val="center"/>
          </w:tcPr>
          <w:p>
            <w:pPr>
              <w:widowControl/>
              <w:spacing w:line="240" w:lineRule="auto"/>
              <w:ind w:firstLine="0" w:firstLineChars="0"/>
              <w:jc w:val="center"/>
              <w:rPr>
                <w:sz w:val="21"/>
                <w:szCs w:val="21"/>
                <w:highlight w:val="none"/>
              </w:rPr>
            </w:pPr>
            <w:r>
              <w:rPr>
                <w:sz w:val="21"/>
                <w:szCs w:val="21"/>
                <w:highlight w:val="none"/>
              </w:rPr>
              <w:t>-0.30</w:t>
            </w:r>
          </w:p>
        </w:tc>
        <w:tc>
          <w:tcPr>
            <w:tcW w:w="1436" w:type="dxa"/>
            <w:tcBorders>
              <w:righ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-0.15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13" w:type="dxa"/>
            <w:tcBorders>
              <w:lef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百分比/%</w:t>
            </w:r>
          </w:p>
        </w:tc>
        <w:tc>
          <w:tcPr>
            <w:tcW w:w="1455" w:type="dxa"/>
            <w:vAlign w:val="center"/>
          </w:tcPr>
          <w:p>
            <w:pPr>
              <w:widowControl/>
              <w:spacing w:line="240" w:lineRule="auto"/>
              <w:ind w:firstLine="0" w:firstLineChars="0"/>
              <w:jc w:val="center"/>
              <w:rPr>
                <w:sz w:val="21"/>
                <w:szCs w:val="21"/>
                <w:highlight w:val="none"/>
              </w:rPr>
            </w:pPr>
            <w:r>
              <w:rPr>
                <w:sz w:val="21"/>
                <w:szCs w:val="21"/>
                <w:highlight w:val="none"/>
              </w:rPr>
              <w:t>1.15</w:t>
            </w:r>
          </w:p>
        </w:tc>
        <w:tc>
          <w:tcPr>
            <w:tcW w:w="1448" w:type="dxa"/>
            <w:vAlign w:val="center"/>
          </w:tcPr>
          <w:p>
            <w:pPr>
              <w:widowControl/>
              <w:spacing w:line="240" w:lineRule="auto"/>
              <w:ind w:firstLine="0" w:firstLineChars="0"/>
              <w:jc w:val="center"/>
              <w:rPr>
                <w:sz w:val="21"/>
                <w:szCs w:val="21"/>
                <w:highlight w:val="none"/>
              </w:rPr>
            </w:pPr>
            <w:r>
              <w:rPr>
                <w:sz w:val="21"/>
                <w:szCs w:val="21"/>
                <w:highlight w:val="none"/>
              </w:rPr>
              <w:t>98.85</w:t>
            </w:r>
          </w:p>
        </w:tc>
        <w:tc>
          <w:tcPr>
            <w:tcW w:w="1177" w:type="dxa"/>
            <w:vAlign w:val="center"/>
          </w:tcPr>
          <w:p>
            <w:pPr>
              <w:widowControl/>
              <w:spacing w:line="240" w:lineRule="auto"/>
              <w:ind w:firstLine="0" w:firstLineChars="0"/>
              <w:jc w:val="center"/>
              <w:rPr>
                <w:sz w:val="21"/>
                <w:szCs w:val="21"/>
                <w:highlight w:val="none"/>
              </w:rPr>
            </w:pPr>
            <w:r>
              <w:rPr>
                <w:sz w:val="21"/>
                <w:szCs w:val="21"/>
                <w:highlight w:val="none"/>
              </w:rPr>
              <w:t>97.18</w:t>
            </w:r>
          </w:p>
        </w:tc>
        <w:tc>
          <w:tcPr>
            <w:tcW w:w="1399" w:type="dxa"/>
            <w:vAlign w:val="center"/>
          </w:tcPr>
          <w:p>
            <w:pPr>
              <w:widowControl/>
              <w:spacing w:line="240" w:lineRule="auto"/>
              <w:ind w:firstLine="0" w:firstLineChars="0"/>
              <w:jc w:val="center"/>
              <w:rPr>
                <w:sz w:val="21"/>
                <w:szCs w:val="21"/>
                <w:highlight w:val="none"/>
              </w:rPr>
            </w:pPr>
            <w:r>
              <w:rPr>
                <w:sz w:val="21"/>
                <w:szCs w:val="21"/>
                <w:highlight w:val="none"/>
              </w:rPr>
              <w:t>55.27</w:t>
            </w:r>
          </w:p>
        </w:tc>
        <w:tc>
          <w:tcPr>
            <w:tcW w:w="1436" w:type="dxa"/>
            <w:tcBorders>
              <w:right w:val="single" w:color="auto" w:sz="4" w:space="0"/>
            </w:tcBorders>
            <w:vAlign w:val="center"/>
          </w:tcPr>
          <w:p>
            <w:pPr>
              <w:widowControl/>
              <w:spacing w:line="240" w:lineRule="auto"/>
              <w:ind w:firstLine="0" w:firstLineChars="0"/>
              <w:jc w:val="center"/>
              <w:rPr>
                <w:sz w:val="21"/>
                <w:szCs w:val="21"/>
                <w:highlight w:val="none"/>
              </w:rPr>
            </w:pPr>
            <w:r>
              <w:rPr>
                <w:sz w:val="21"/>
                <w:szCs w:val="21"/>
                <w:highlight w:val="none"/>
              </w:rPr>
              <w:t>26.77</w:t>
            </w:r>
          </w:p>
        </w:tc>
      </w:tr>
    </w:tbl>
    <w:p>
      <w:pPr>
        <w:ind w:firstLine="480"/>
        <w:jc w:val="both"/>
        <w:textAlignment w:val="auto"/>
        <w:rPr>
          <w:kern w:val="2"/>
          <w:sz w:val="24"/>
          <w:szCs w:val="24"/>
          <w:highlight w:val="none"/>
        </w:rPr>
      </w:pPr>
      <w:r>
        <w:rPr>
          <w:kern w:val="2"/>
          <w:sz w:val="24"/>
          <w:szCs w:val="24"/>
          <w:highlight w:val="none"/>
        </w:rPr>
        <w:t>在制备</w:t>
      </w:r>
      <w:r>
        <w:rPr>
          <w:rFonts w:hint="eastAsia"/>
          <w:kern w:val="2"/>
          <w:sz w:val="24"/>
          <w:szCs w:val="24"/>
          <w:highlight w:val="none"/>
        </w:rPr>
        <w:t>建材</w:t>
      </w:r>
      <w:r>
        <w:rPr>
          <w:kern w:val="2"/>
          <w:sz w:val="24"/>
          <w:szCs w:val="24"/>
          <w:highlight w:val="none"/>
        </w:rPr>
        <w:t>砖时，一般要求原料最大粒径不超过10mm，且5-10mm含量不超过15%，-0.15mm含量应小于30%。根据表5.2-</w:t>
      </w:r>
      <w:r>
        <w:rPr>
          <w:rFonts w:hint="eastAsia"/>
          <w:kern w:val="2"/>
          <w:sz w:val="24"/>
          <w:szCs w:val="24"/>
          <w:highlight w:val="none"/>
        </w:rPr>
        <w:t>24</w:t>
      </w:r>
      <w:r>
        <w:rPr>
          <w:kern w:val="2"/>
          <w:sz w:val="24"/>
          <w:szCs w:val="24"/>
          <w:highlight w:val="none"/>
        </w:rPr>
        <w:t>的粒度分布，+1.4mm粒径含量为1.15%，符合5-10mm含量不超过15%的要求，-0.15mm粒级含量为26.77，小于30%，符合</w:t>
      </w:r>
      <w:r>
        <w:rPr>
          <w:rFonts w:hint="eastAsia"/>
          <w:kern w:val="2"/>
          <w:sz w:val="24"/>
          <w:szCs w:val="24"/>
          <w:highlight w:val="none"/>
        </w:rPr>
        <w:t>建材</w:t>
      </w:r>
      <w:r>
        <w:rPr>
          <w:kern w:val="2"/>
          <w:sz w:val="24"/>
          <w:szCs w:val="24"/>
          <w:highlight w:val="none"/>
        </w:rPr>
        <w:t>砖原料粒级要求。</w:t>
      </w:r>
    </w:p>
    <w:p>
      <w:pPr>
        <w:ind w:firstLine="480"/>
        <w:jc w:val="both"/>
        <w:rPr>
          <w:bCs/>
          <w:sz w:val="24"/>
          <w:szCs w:val="24"/>
          <w:highlight w:val="none"/>
        </w:rPr>
      </w:pPr>
      <w:r>
        <w:rPr>
          <w:bCs/>
          <w:sz w:val="24"/>
          <w:szCs w:val="24"/>
          <w:highlight w:val="none"/>
        </w:rPr>
        <w:t>（</w:t>
      </w:r>
      <w:r>
        <w:rPr>
          <w:rFonts w:hint="eastAsia"/>
          <w:bCs/>
          <w:sz w:val="24"/>
          <w:szCs w:val="24"/>
          <w:highlight w:val="none"/>
        </w:rPr>
        <w:t>2</w:t>
      </w:r>
      <w:r>
        <w:rPr>
          <w:bCs/>
          <w:sz w:val="24"/>
          <w:szCs w:val="24"/>
          <w:highlight w:val="none"/>
        </w:rPr>
        <w:t>）危险废物</w:t>
      </w:r>
    </w:p>
    <w:p>
      <w:pPr>
        <w:ind w:firstLine="480"/>
        <w:jc w:val="both"/>
        <w:rPr>
          <w:bCs/>
          <w:sz w:val="24"/>
          <w:szCs w:val="24"/>
          <w:highlight w:val="none"/>
        </w:rPr>
      </w:pPr>
      <w:r>
        <w:rPr>
          <w:bCs/>
          <w:sz w:val="24"/>
          <w:szCs w:val="24"/>
          <w:highlight w:val="none"/>
        </w:rPr>
        <w:t>本项目选矿过程中使用设备的运行维护保养过程中会产生废</w:t>
      </w:r>
      <w:r>
        <w:rPr>
          <w:rFonts w:hint="eastAsia"/>
          <w:bCs/>
          <w:sz w:val="24"/>
          <w:szCs w:val="24"/>
          <w:highlight w:val="none"/>
        </w:rPr>
        <w:t>矿物油</w:t>
      </w:r>
      <w:r>
        <w:rPr>
          <w:bCs/>
          <w:sz w:val="24"/>
          <w:szCs w:val="24"/>
          <w:highlight w:val="none"/>
        </w:rPr>
        <w:t>、废油桶，产生量约为0.3t/a，收集于危废暂存间后，交由有资质的单位进行处理。</w:t>
      </w:r>
    </w:p>
    <w:p>
      <w:pPr>
        <w:ind w:firstLine="480"/>
        <w:rPr>
          <w:sz w:val="24"/>
          <w:highlight w:val="none"/>
        </w:rPr>
      </w:pPr>
      <w:r>
        <w:rPr>
          <w:sz w:val="24"/>
          <w:highlight w:val="none"/>
        </w:rPr>
        <w:t>综上，项目营运过程中产生的固体废物均得到妥善处理，处理率达到100%，并充分回收利用有价值的物质，做到减量化、无害化，对环境无影响。</w:t>
      </w:r>
    </w:p>
    <w:p>
      <w:pPr>
        <w:pStyle w:val="6"/>
        <w:numPr>
          <w:ilvl w:val="2"/>
          <w:numId w:val="1"/>
        </w:numPr>
        <w:rPr>
          <w:szCs w:val="28"/>
          <w:highlight w:val="none"/>
        </w:rPr>
      </w:pPr>
      <w:bookmarkStart w:id="413" w:name="_Toc27469"/>
      <w:bookmarkStart w:id="414" w:name="_Toc521591802"/>
      <w:r>
        <w:rPr>
          <w:szCs w:val="28"/>
          <w:highlight w:val="none"/>
        </w:rPr>
        <w:t>生态环境影响分析</w:t>
      </w:r>
      <w:bookmarkEnd w:id="413"/>
      <w:bookmarkEnd w:id="414"/>
    </w:p>
    <w:p>
      <w:pPr>
        <w:ind w:firstLine="480"/>
        <w:jc w:val="both"/>
        <w:rPr>
          <w:bCs/>
          <w:sz w:val="24"/>
          <w:szCs w:val="24"/>
          <w:highlight w:val="none"/>
        </w:rPr>
      </w:pPr>
      <w:bookmarkStart w:id="415" w:name="_Hlk7569677"/>
      <w:bookmarkStart w:id="416" w:name="_Hlk535600763"/>
      <w:r>
        <w:rPr>
          <w:rFonts w:hint="eastAsia"/>
          <w:bCs/>
          <w:sz w:val="24"/>
          <w:szCs w:val="24"/>
          <w:highlight w:val="none"/>
        </w:rPr>
        <w:t>建设项目占地范围内没有植被分布，评价区植物资源主要为广布种和常见种，无国家和地区要求特别保护的种类，且分布较为均匀。因此，项目的建设不会改变项目所在地的植物群落的种类组成，也不会造成某一物种的消失。评级区现有野生动物多为一些常见的鸟类、啮齿类及昆虫等，没有国家和地方保护的珍稀濒危的野生动物。项目运营使人类活动更加趋于频繁，从而引起厂区附近动物的局部迁移，不会使评价区野生动物物种和种群数量发生明显变化。</w:t>
      </w:r>
      <w:bookmarkEnd w:id="415"/>
    </w:p>
    <w:p>
      <w:pPr>
        <w:ind w:firstLine="480"/>
        <w:jc w:val="both"/>
        <w:rPr>
          <w:bCs/>
          <w:sz w:val="24"/>
          <w:szCs w:val="24"/>
          <w:highlight w:val="none"/>
        </w:rPr>
      </w:pPr>
      <w:r>
        <w:rPr>
          <w:rFonts w:hint="eastAsia"/>
          <w:bCs/>
          <w:sz w:val="24"/>
          <w:szCs w:val="24"/>
          <w:highlight w:val="none"/>
        </w:rPr>
        <w:t>（1）地貌景观变化及植被影响分析</w:t>
      </w:r>
    </w:p>
    <w:p>
      <w:pPr>
        <w:ind w:firstLine="480"/>
        <w:jc w:val="both"/>
        <w:rPr>
          <w:bCs/>
          <w:sz w:val="24"/>
          <w:szCs w:val="24"/>
          <w:highlight w:val="none"/>
        </w:rPr>
      </w:pPr>
      <w:r>
        <w:rPr>
          <w:bCs/>
          <w:sz w:val="24"/>
          <w:szCs w:val="24"/>
          <w:highlight w:val="none"/>
        </w:rPr>
        <w:t>本项目</w:t>
      </w:r>
      <w:r>
        <w:rPr>
          <w:rFonts w:hint="eastAsia"/>
          <w:bCs/>
          <w:sz w:val="24"/>
          <w:szCs w:val="24"/>
          <w:highlight w:val="none"/>
        </w:rPr>
        <w:t>在现有厂区内进行建设</w:t>
      </w:r>
      <w:r>
        <w:rPr>
          <w:bCs/>
          <w:sz w:val="24"/>
          <w:szCs w:val="24"/>
          <w:highlight w:val="none"/>
        </w:rPr>
        <w:t>，铁选厂将在建设用地上建成新的工业建筑，并对厂区道路外进行硬化，不能硬化的地面进行绿化。建成后裸露地面减少，相比建成前，绿化面积有所增加。</w:t>
      </w:r>
    </w:p>
    <w:p>
      <w:pPr>
        <w:ind w:firstLine="480"/>
        <w:jc w:val="both"/>
        <w:rPr>
          <w:bCs/>
          <w:sz w:val="24"/>
          <w:szCs w:val="24"/>
          <w:highlight w:val="none"/>
        </w:rPr>
      </w:pPr>
      <w:r>
        <w:rPr>
          <w:rFonts w:hint="eastAsia"/>
          <w:bCs/>
          <w:sz w:val="24"/>
          <w:szCs w:val="24"/>
          <w:highlight w:val="none"/>
        </w:rPr>
        <w:t>（2）土地利用类型变化分析</w:t>
      </w:r>
    </w:p>
    <w:p>
      <w:pPr>
        <w:ind w:firstLine="480"/>
        <w:jc w:val="both"/>
        <w:rPr>
          <w:bCs/>
          <w:sz w:val="24"/>
          <w:szCs w:val="24"/>
          <w:highlight w:val="none"/>
        </w:rPr>
      </w:pPr>
      <w:r>
        <w:rPr>
          <w:rFonts w:hint="eastAsia"/>
          <w:bCs/>
          <w:sz w:val="24"/>
          <w:szCs w:val="24"/>
          <w:highlight w:val="none"/>
        </w:rPr>
        <w:t>项目建设前为工矿用地，建成后用地性质不变，占地仍以工矿用地为主，闲置区将进行硬化或绿化，故土地总利用率有所提高，植被覆盖率略有增加，局部生态环境将有所改善。</w:t>
      </w:r>
    </w:p>
    <w:p>
      <w:pPr>
        <w:ind w:firstLine="480"/>
        <w:jc w:val="both"/>
        <w:rPr>
          <w:bCs/>
          <w:sz w:val="24"/>
          <w:szCs w:val="24"/>
          <w:highlight w:val="none"/>
        </w:rPr>
      </w:pPr>
      <w:r>
        <w:rPr>
          <w:rFonts w:hint="eastAsia"/>
          <w:bCs/>
          <w:sz w:val="24"/>
          <w:szCs w:val="24"/>
          <w:highlight w:val="none"/>
        </w:rPr>
        <w:t>（3）水土流失影响分析</w:t>
      </w:r>
    </w:p>
    <w:p>
      <w:pPr>
        <w:ind w:firstLine="480"/>
        <w:jc w:val="both"/>
        <w:rPr>
          <w:bCs/>
          <w:sz w:val="24"/>
          <w:szCs w:val="24"/>
          <w:highlight w:val="none"/>
        </w:rPr>
      </w:pPr>
      <w:r>
        <w:rPr>
          <w:rFonts w:hint="eastAsia"/>
          <w:bCs/>
          <w:sz w:val="24"/>
          <w:szCs w:val="24"/>
          <w:highlight w:val="none"/>
        </w:rPr>
        <w:t>针对项目所在区域特点，提出本项目水土保持防护措施，防治措施主要包括工程措施和植物措施：</w:t>
      </w:r>
    </w:p>
    <w:p>
      <w:pPr>
        <w:ind w:firstLine="480"/>
        <w:jc w:val="both"/>
        <w:rPr>
          <w:bCs/>
          <w:sz w:val="24"/>
          <w:szCs w:val="24"/>
          <w:highlight w:val="none"/>
        </w:rPr>
      </w:pPr>
      <w:r>
        <w:rPr>
          <w:rFonts w:hint="eastAsia"/>
          <w:bCs/>
          <w:sz w:val="24"/>
          <w:szCs w:val="24"/>
          <w:highlight w:val="none"/>
        </w:rPr>
        <w:t>A、工程措施</w:t>
      </w:r>
    </w:p>
    <w:p>
      <w:pPr>
        <w:ind w:firstLine="480"/>
        <w:jc w:val="both"/>
        <w:rPr>
          <w:bCs/>
          <w:sz w:val="24"/>
          <w:szCs w:val="24"/>
          <w:highlight w:val="none"/>
        </w:rPr>
      </w:pPr>
      <w:r>
        <w:rPr>
          <w:rFonts w:hint="eastAsia"/>
          <w:bCs/>
          <w:sz w:val="24"/>
          <w:szCs w:val="24"/>
          <w:highlight w:val="none"/>
        </w:rPr>
        <w:t>在选厂厂内运输道路做水泥结合碎石路面，设计纵坡为场地自然坡度，梯形截面。防止运输车辆碾压造成颗粒物和雨水冲刷路面造成水土流失。</w:t>
      </w:r>
    </w:p>
    <w:p>
      <w:pPr>
        <w:ind w:firstLine="480"/>
        <w:jc w:val="both"/>
        <w:rPr>
          <w:bCs/>
          <w:sz w:val="24"/>
          <w:szCs w:val="24"/>
          <w:highlight w:val="none"/>
        </w:rPr>
      </w:pPr>
      <w:r>
        <w:rPr>
          <w:rFonts w:hint="eastAsia"/>
          <w:bCs/>
          <w:sz w:val="24"/>
          <w:szCs w:val="24"/>
          <w:highlight w:val="none"/>
        </w:rPr>
        <w:t>B、植物措施</w:t>
      </w:r>
    </w:p>
    <w:p>
      <w:pPr>
        <w:ind w:firstLine="480"/>
        <w:jc w:val="both"/>
        <w:rPr>
          <w:bCs/>
          <w:sz w:val="24"/>
          <w:szCs w:val="24"/>
          <w:highlight w:val="none"/>
        </w:rPr>
      </w:pPr>
      <w:r>
        <w:rPr>
          <w:rFonts w:hint="eastAsia"/>
          <w:bCs/>
          <w:sz w:val="24"/>
          <w:szCs w:val="24"/>
          <w:highlight w:val="none"/>
        </w:rPr>
        <w:t>在生产区、入料棚、成品库四周围栽植灌木，株距1m，每坑2株，小穴整地，穴径0.3m，深0.3m。</w:t>
      </w:r>
    </w:p>
    <w:p>
      <w:pPr>
        <w:ind w:firstLine="480"/>
        <w:jc w:val="both"/>
        <w:rPr>
          <w:bCs/>
          <w:sz w:val="24"/>
          <w:szCs w:val="24"/>
          <w:highlight w:val="none"/>
        </w:rPr>
      </w:pPr>
      <w:r>
        <w:rPr>
          <w:rFonts w:hint="eastAsia"/>
          <w:bCs/>
          <w:sz w:val="24"/>
          <w:szCs w:val="24"/>
          <w:highlight w:val="none"/>
        </w:rPr>
        <w:t>综上，本项目建成后对生态环境将有较大改善。</w:t>
      </w:r>
    </w:p>
    <w:p>
      <w:pPr>
        <w:pStyle w:val="6"/>
        <w:numPr>
          <w:ilvl w:val="2"/>
          <w:numId w:val="1"/>
        </w:numPr>
        <w:rPr>
          <w:szCs w:val="28"/>
          <w:highlight w:val="none"/>
        </w:rPr>
      </w:pPr>
      <w:r>
        <w:rPr>
          <w:rFonts w:hint="eastAsia"/>
          <w:szCs w:val="28"/>
          <w:highlight w:val="none"/>
        </w:rPr>
        <w:t>土壤环境影响评价</w:t>
      </w:r>
    </w:p>
    <w:p>
      <w:pPr>
        <w:pStyle w:val="3"/>
        <w:numPr>
          <w:ilvl w:val="3"/>
          <w:numId w:val="1"/>
        </w:numPr>
        <w:ind w:left="709" w:hanging="709"/>
        <w:rPr>
          <w:rFonts w:eastAsia="宋体"/>
          <w:b/>
          <w:highlight w:val="none"/>
        </w:rPr>
      </w:pPr>
      <w:r>
        <w:rPr>
          <w:rFonts w:hint="eastAsia" w:eastAsia="宋体"/>
          <w:b/>
          <w:highlight w:val="none"/>
        </w:rPr>
        <w:t>土壤环境影响识别</w:t>
      </w:r>
    </w:p>
    <w:p>
      <w:pPr>
        <w:ind w:firstLine="480"/>
        <w:jc w:val="both"/>
        <w:rPr>
          <w:bCs/>
          <w:sz w:val="24"/>
          <w:szCs w:val="24"/>
          <w:highlight w:val="none"/>
        </w:rPr>
      </w:pPr>
      <w:r>
        <w:rPr>
          <w:rFonts w:hint="eastAsia"/>
          <w:bCs/>
          <w:sz w:val="24"/>
          <w:szCs w:val="24"/>
          <w:highlight w:val="none"/>
        </w:rPr>
        <w:t>在工程分析的结果上，根据项目在建设期、运营期和服务期满后的具体特征，由于项目在建设期和服务期满后对土壤环境影响很小，本次评价主要对本项目运营期阶段对土壤环境影响进行识别，土壤环境影响类型与影响途径情况见表5.2-25，土壤环境影响源及影响因子识别情况见表5.2-26。</w:t>
      </w:r>
    </w:p>
    <w:p>
      <w:pPr>
        <w:autoSpaceDE w:val="0"/>
        <w:autoSpaceDN w:val="0"/>
        <w:spacing w:line="240" w:lineRule="auto"/>
        <w:ind w:firstLine="0" w:firstLineChars="0"/>
        <w:jc w:val="center"/>
        <w:textAlignment w:val="auto"/>
        <w:rPr>
          <w:rFonts w:eastAsia="黑体"/>
          <w:bCs/>
          <w:kern w:val="2"/>
          <w:sz w:val="21"/>
          <w:szCs w:val="21"/>
          <w:highlight w:val="none"/>
        </w:rPr>
      </w:pPr>
      <w:bookmarkStart w:id="417" w:name="_Ref14769838"/>
      <w:r>
        <w:rPr>
          <w:rFonts w:hint="eastAsia" w:eastAsia="黑体"/>
          <w:bCs/>
          <w:kern w:val="2"/>
          <w:sz w:val="21"/>
          <w:szCs w:val="21"/>
          <w:highlight w:val="none"/>
        </w:rPr>
        <w:t xml:space="preserve">表5.2-25 </w:t>
      </w:r>
      <w:bookmarkEnd w:id="417"/>
      <w:r>
        <w:rPr>
          <w:rFonts w:eastAsia="黑体"/>
          <w:bCs/>
          <w:kern w:val="2"/>
          <w:sz w:val="21"/>
          <w:szCs w:val="21"/>
          <w:highlight w:val="none"/>
        </w:rPr>
        <w:t xml:space="preserve">   </w:t>
      </w:r>
      <w:r>
        <w:rPr>
          <w:rFonts w:hint="eastAsia" w:eastAsia="黑体"/>
          <w:bCs/>
          <w:kern w:val="2"/>
          <w:sz w:val="21"/>
          <w:szCs w:val="21"/>
          <w:highlight w:val="none"/>
        </w:rPr>
        <w:t>项目土壤环境影响类型与影响途径一览表</w:t>
      </w:r>
    </w:p>
    <w:tbl>
      <w:tblPr>
        <w:tblStyle w:val="56"/>
        <w:tblW w:w="8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739"/>
        <w:gridCol w:w="1739"/>
        <w:gridCol w:w="1739"/>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740" w:type="dxa"/>
            <w:vMerge w:val="restart"/>
            <w:shd w:val="clear" w:color="auto" w:fill="auto"/>
            <w:vAlign w:val="center"/>
          </w:tcPr>
          <w:p>
            <w:pPr>
              <w:pStyle w:val="417"/>
              <w:spacing w:line="240" w:lineRule="auto"/>
              <w:rPr>
                <w:highlight w:val="none"/>
              </w:rPr>
            </w:pPr>
            <w:r>
              <w:rPr>
                <w:rFonts w:hint="eastAsia"/>
                <w:highlight w:val="none"/>
              </w:rPr>
              <w:t>不同时段</w:t>
            </w:r>
          </w:p>
        </w:tc>
        <w:tc>
          <w:tcPr>
            <w:tcW w:w="6956" w:type="dxa"/>
            <w:gridSpan w:val="4"/>
            <w:shd w:val="clear" w:color="auto" w:fill="auto"/>
            <w:vAlign w:val="center"/>
          </w:tcPr>
          <w:p>
            <w:pPr>
              <w:pStyle w:val="417"/>
              <w:spacing w:line="240" w:lineRule="auto"/>
              <w:rPr>
                <w:highlight w:val="none"/>
              </w:rPr>
            </w:pPr>
            <w:r>
              <w:rPr>
                <w:rFonts w:hint="eastAsia"/>
                <w:highlight w:val="none"/>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740" w:type="dxa"/>
            <w:vMerge w:val="continue"/>
            <w:shd w:val="clear" w:color="auto" w:fill="auto"/>
            <w:vAlign w:val="center"/>
          </w:tcPr>
          <w:p>
            <w:pPr>
              <w:pStyle w:val="417"/>
              <w:spacing w:line="240" w:lineRule="auto"/>
              <w:rPr>
                <w:highlight w:val="none"/>
              </w:rPr>
            </w:pPr>
          </w:p>
        </w:tc>
        <w:tc>
          <w:tcPr>
            <w:tcW w:w="1739" w:type="dxa"/>
            <w:shd w:val="clear" w:color="auto" w:fill="auto"/>
            <w:vAlign w:val="center"/>
          </w:tcPr>
          <w:p>
            <w:pPr>
              <w:pStyle w:val="417"/>
              <w:spacing w:line="240" w:lineRule="auto"/>
              <w:rPr>
                <w:highlight w:val="none"/>
              </w:rPr>
            </w:pPr>
            <w:r>
              <w:rPr>
                <w:rFonts w:hint="eastAsia"/>
                <w:highlight w:val="none"/>
              </w:rPr>
              <w:t>大气沉降</w:t>
            </w:r>
          </w:p>
        </w:tc>
        <w:tc>
          <w:tcPr>
            <w:tcW w:w="1739" w:type="dxa"/>
            <w:shd w:val="clear" w:color="auto" w:fill="auto"/>
            <w:vAlign w:val="center"/>
          </w:tcPr>
          <w:p>
            <w:pPr>
              <w:pStyle w:val="417"/>
              <w:spacing w:line="240" w:lineRule="auto"/>
              <w:rPr>
                <w:highlight w:val="none"/>
              </w:rPr>
            </w:pPr>
            <w:r>
              <w:rPr>
                <w:rFonts w:hint="eastAsia"/>
                <w:highlight w:val="none"/>
              </w:rPr>
              <w:t>地面漫流</w:t>
            </w:r>
          </w:p>
        </w:tc>
        <w:tc>
          <w:tcPr>
            <w:tcW w:w="1739" w:type="dxa"/>
            <w:shd w:val="clear" w:color="auto" w:fill="auto"/>
            <w:vAlign w:val="center"/>
          </w:tcPr>
          <w:p>
            <w:pPr>
              <w:pStyle w:val="417"/>
              <w:spacing w:line="240" w:lineRule="auto"/>
              <w:rPr>
                <w:highlight w:val="none"/>
              </w:rPr>
            </w:pPr>
            <w:r>
              <w:rPr>
                <w:rFonts w:hint="eastAsia"/>
                <w:highlight w:val="none"/>
              </w:rPr>
              <w:t>垂直入渗</w:t>
            </w:r>
          </w:p>
        </w:tc>
        <w:tc>
          <w:tcPr>
            <w:tcW w:w="1739" w:type="dxa"/>
            <w:shd w:val="clear" w:color="auto" w:fill="auto"/>
            <w:vAlign w:val="center"/>
          </w:tcPr>
          <w:p>
            <w:pPr>
              <w:pStyle w:val="417"/>
              <w:spacing w:line="240" w:lineRule="auto"/>
              <w:rPr>
                <w:highlight w:val="none"/>
              </w:rPr>
            </w:pPr>
            <w:r>
              <w:rPr>
                <w:rFonts w:hint="eastAsia"/>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40" w:type="dxa"/>
            <w:shd w:val="clear" w:color="auto" w:fill="auto"/>
            <w:vAlign w:val="center"/>
          </w:tcPr>
          <w:p>
            <w:pPr>
              <w:pStyle w:val="417"/>
              <w:spacing w:line="240" w:lineRule="auto"/>
              <w:rPr>
                <w:highlight w:val="none"/>
              </w:rPr>
            </w:pPr>
            <w:r>
              <w:rPr>
                <w:rFonts w:hint="eastAsia"/>
                <w:highlight w:val="none"/>
              </w:rPr>
              <w:t>运营期</w:t>
            </w:r>
          </w:p>
        </w:tc>
        <w:tc>
          <w:tcPr>
            <w:tcW w:w="1739" w:type="dxa"/>
            <w:shd w:val="clear" w:color="auto" w:fill="auto"/>
            <w:vAlign w:val="center"/>
          </w:tcPr>
          <w:p>
            <w:pPr>
              <w:pStyle w:val="417"/>
              <w:spacing w:line="240" w:lineRule="auto"/>
              <w:rPr>
                <w:highlight w:val="none"/>
              </w:rPr>
            </w:pPr>
            <w:r>
              <w:rPr>
                <w:rFonts w:hint="eastAsia"/>
                <w:highlight w:val="none"/>
              </w:rPr>
              <w:t>√</w:t>
            </w:r>
          </w:p>
        </w:tc>
        <w:tc>
          <w:tcPr>
            <w:tcW w:w="1739" w:type="dxa"/>
            <w:shd w:val="clear" w:color="auto" w:fill="auto"/>
            <w:vAlign w:val="center"/>
          </w:tcPr>
          <w:p>
            <w:pPr>
              <w:pStyle w:val="417"/>
              <w:spacing w:line="240" w:lineRule="auto"/>
              <w:rPr>
                <w:highlight w:val="none"/>
              </w:rPr>
            </w:pPr>
            <w:r>
              <w:rPr>
                <w:rFonts w:hint="eastAsia"/>
                <w:highlight w:val="none"/>
              </w:rPr>
              <w:t>-</w:t>
            </w:r>
            <w:r>
              <w:rPr>
                <w:highlight w:val="none"/>
              </w:rPr>
              <w:t>-</w:t>
            </w:r>
          </w:p>
        </w:tc>
        <w:tc>
          <w:tcPr>
            <w:tcW w:w="1739" w:type="dxa"/>
            <w:shd w:val="clear" w:color="auto" w:fill="auto"/>
            <w:vAlign w:val="center"/>
          </w:tcPr>
          <w:p>
            <w:pPr>
              <w:pStyle w:val="417"/>
              <w:spacing w:line="240" w:lineRule="auto"/>
              <w:rPr>
                <w:highlight w:val="none"/>
              </w:rPr>
            </w:pPr>
            <w:r>
              <w:rPr>
                <w:rFonts w:hint="eastAsia"/>
                <w:highlight w:val="none"/>
              </w:rPr>
              <w:t>√</w:t>
            </w:r>
          </w:p>
        </w:tc>
        <w:tc>
          <w:tcPr>
            <w:tcW w:w="1739" w:type="dxa"/>
            <w:shd w:val="clear" w:color="auto" w:fill="auto"/>
            <w:vAlign w:val="center"/>
          </w:tcPr>
          <w:p>
            <w:pPr>
              <w:pStyle w:val="417"/>
              <w:spacing w:line="240" w:lineRule="auto"/>
              <w:rPr>
                <w:highlight w:val="none"/>
              </w:rPr>
            </w:pPr>
            <w:r>
              <w:rPr>
                <w:rFonts w:hint="eastAsia"/>
                <w:highlight w:val="none"/>
              </w:rPr>
              <w:t>-</w:t>
            </w:r>
            <w:r>
              <w:rPr>
                <w:highlight w:val="none"/>
              </w:rPr>
              <w:t>-</w:t>
            </w:r>
          </w:p>
        </w:tc>
      </w:tr>
    </w:tbl>
    <w:p>
      <w:pPr>
        <w:autoSpaceDE w:val="0"/>
        <w:autoSpaceDN w:val="0"/>
        <w:spacing w:line="240" w:lineRule="auto"/>
        <w:ind w:firstLine="0" w:firstLineChars="0"/>
        <w:jc w:val="center"/>
        <w:textAlignment w:val="auto"/>
        <w:rPr>
          <w:rFonts w:eastAsia="黑体"/>
          <w:bCs/>
          <w:kern w:val="2"/>
          <w:sz w:val="21"/>
          <w:szCs w:val="21"/>
          <w:highlight w:val="none"/>
        </w:rPr>
      </w:pPr>
      <w:bookmarkStart w:id="418" w:name="_Ref14769843"/>
      <w:r>
        <w:rPr>
          <w:rFonts w:hint="eastAsia" w:eastAsia="黑体"/>
          <w:bCs/>
          <w:kern w:val="2"/>
          <w:sz w:val="21"/>
          <w:szCs w:val="21"/>
          <w:highlight w:val="none"/>
        </w:rPr>
        <w:t>表5.2-</w:t>
      </w:r>
      <w:bookmarkEnd w:id="418"/>
      <w:r>
        <w:rPr>
          <w:rFonts w:hint="eastAsia" w:eastAsia="黑体"/>
          <w:bCs/>
          <w:kern w:val="2"/>
          <w:sz w:val="21"/>
          <w:szCs w:val="21"/>
          <w:highlight w:val="none"/>
        </w:rPr>
        <w:t>26   项目土壤环境影响源及影响因子识别一览表</w:t>
      </w:r>
    </w:p>
    <w:tbl>
      <w:tblPr>
        <w:tblStyle w:val="56"/>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453"/>
        <w:gridCol w:w="1453"/>
        <w:gridCol w:w="1453"/>
        <w:gridCol w:w="1453"/>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shd w:val="clear" w:color="auto" w:fill="auto"/>
            <w:vAlign w:val="center"/>
          </w:tcPr>
          <w:p>
            <w:pPr>
              <w:pStyle w:val="417"/>
              <w:spacing w:line="240" w:lineRule="auto"/>
              <w:rPr>
                <w:highlight w:val="none"/>
              </w:rPr>
            </w:pPr>
            <w:r>
              <w:rPr>
                <w:rFonts w:hint="eastAsia"/>
                <w:highlight w:val="none"/>
              </w:rPr>
              <w:t>污染源</w:t>
            </w:r>
          </w:p>
        </w:tc>
        <w:tc>
          <w:tcPr>
            <w:tcW w:w="1453" w:type="dxa"/>
            <w:shd w:val="clear" w:color="auto" w:fill="auto"/>
            <w:vAlign w:val="center"/>
          </w:tcPr>
          <w:p>
            <w:pPr>
              <w:pStyle w:val="417"/>
              <w:spacing w:line="240" w:lineRule="auto"/>
              <w:rPr>
                <w:highlight w:val="none"/>
              </w:rPr>
            </w:pPr>
            <w:r>
              <w:rPr>
                <w:rFonts w:hint="eastAsia"/>
                <w:highlight w:val="none"/>
              </w:rPr>
              <w:t>工艺流程/节点</w:t>
            </w:r>
          </w:p>
        </w:tc>
        <w:tc>
          <w:tcPr>
            <w:tcW w:w="1453" w:type="dxa"/>
            <w:shd w:val="clear" w:color="auto" w:fill="auto"/>
            <w:vAlign w:val="center"/>
          </w:tcPr>
          <w:p>
            <w:pPr>
              <w:pStyle w:val="417"/>
              <w:spacing w:line="240" w:lineRule="auto"/>
              <w:rPr>
                <w:highlight w:val="none"/>
              </w:rPr>
            </w:pPr>
            <w:r>
              <w:rPr>
                <w:rFonts w:hint="eastAsia"/>
                <w:highlight w:val="none"/>
              </w:rPr>
              <w:t>污染途径</w:t>
            </w:r>
          </w:p>
        </w:tc>
        <w:tc>
          <w:tcPr>
            <w:tcW w:w="1453" w:type="dxa"/>
            <w:shd w:val="clear" w:color="auto" w:fill="auto"/>
            <w:vAlign w:val="center"/>
          </w:tcPr>
          <w:p>
            <w:pPr>
              <w:pStyle w:val="417"/>
              <w:spacing w:line="240" w:lineRule="auto"/>
              <w:rPr>
                <w:highlight w:val="none"/>
              </w:rPr>
            </w:pPr>
            <w:r>
              <w:rPr>
                <w:rFonts w:hint="eastAsia"/>
                <w:highlight w:val="none"/>
              </w:rPr>
              <w:t>全部污染物指标</w:t>
            </w:r>
          </w:p>
        </w:tc>
        <w:tc>
          <w:tcPr>
            <w:tcW w:w="1453" w:type="dxa"/>
            <w:shd w:val="clear" w:color="auto" w:fill="auto"/>
            <w:vAlign w:val="center"/>
          </w:tcPr>
          <w:p>
            <w:pPr>
              <w:pStyle w:val="417"/>
              <w:spacing w:line="240" w:lineRule="auto"/>
              <w:rPr>
                <w:highlight w:val="none"/>
              </w:rPr>
            </w:pPr>
            <w:r>
              <w:rPr>
                <w:rFonts w:hint="eastAsia"/>
                <w:highlight w:val="none"/>
              </w:rPr>
              <w:t>特征因子</w:t>
            </w:r>
          </w:p>
        </w:tc>
        <w:tc>
          <w:tcPr>
            <w:tcW w:w="1456" w:type="dxa"/>
            <w:shd w:val="clear" w:color="auto" w:fill="auto"/>
            <w:vAlign w:val="center"/>
          </w:tcPr>
          <w:p>
            <w:pPr>
              <w:pStyle w:val="417"/>
              <w:spacing w:line="240" w:lineRule="auto"/>
              <w:rPr>
                <w:highlight w:val="none"/>
              </w:rPr>
            </w:pPr>
            <w:r>
              <w:rPr>
                <w:rFonts w:hint="eastAsia"/>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shd w:val="clear" w:color="auto" w:fill="auto"/>
            <w:vAlign w:val="center"/>
          </w:tcPr>
          <w:p>
            <w:pPr>
              <w:pStyle w:val="417"/>
              <w:spacing w:line="240" w:lineRule="auto"/>
              <w:rPr>
                <w:highlight w:val="none"/>
              </w:rPr>
            </w:pPr>
            <w:r>
              <w:rPr>
                <w:rFonts w:hint="eastAsia"/>
                <w:highlight w:val="none"/>
              </w:rPr>
              <w:t>破碎筛分生产线</w:t>
            </w:r>
          </w:p>
        </w:tc>
        <w:tc>
          <w:tcPr>
            <w:tcW w:w="1453" w:type="dxa"/>
            <w:shd w:val="clear" w:color="auto" w:fill="auto"/>
            <w:vAlign w:val="center"/>
          </w:tcPr>
          <w:p>
            <w:pPr>
              <w:pStyle w:val="417"/>
              <w:spacing w:line="240" w:lineRule="auto"/>
              <w:rPr>
                <w:highlight w:val="none"/>
              </w:rPr>
            </w:pPr>
            <w:r>
              <w:rPr>
                <w:rFonts w:hint="eastAsia"/>
                <w:highlight w:val="none"/>
              </w:rPr>
              <w:t>破碎粉尘</w:t>
            </w:r>
          </w:p>
        </w:tc>
        <w:tc>
          <w:tcPr>
            <w:tcW w:w="1453" w:type="dxa"/>
            <w:shd w:val="clear" w:color="auto" w:fill="auto"/>
            <w:vAlign w:val="center"/>
          </w:tcPr>
          <w:p>
            <w:pPr>
              <w:pStyle w:val="417"/>
              <w:spacing w:line="240" w:lineRule="auto"/>
              <w:rPr>
                <w:highlight w:val="none"/>
              </w:rPr>
            </w:pPr>
            <w:r>
              <w:rPr>
                <w:rFonts w:hint="eastAsia"/>
                <w:highlight w:val="none"/>
              </w:rPr>
              <w:t>大气沉降</w:t>
            </w:r>
          </w:p>
        </w:tc>
        <w:tc>
          <w:tcPr>
            <w:tcW w:w="1453" w:type="dxa"/>
            <w:shd w:val="clear" w:color="auto" w:fill="auto"/>
            <w:vAlign w:val="center"/>
          </w:tcPr>
          <w:p>
            <w:pPr>
              <w:pStyle w:val="417"/>
              <w:spacing w:line="240" w:lineRule="auto"/>
              <w:rPr>
                <w:highlight w:val="none"/>
              </w:rPr>
            </w:pPr>
            <w:r>
              <w:rPr>
                <w:rFonts w:hint="eastAsia"/>
                <w:highlight w:val="none"/>
              </w:rPr>
              <w:t>铁</w:t>
            </w:r>
          </w:p>
        </w:tc>
        <w:tc>
          <w:tcPr>
            <w:tcW w:w="1453" w:type="dxa"/>
            <w:shd w:val="clear" w:color="auto" w:fill="auto"/>
            <w:vAlign w:val="center"/>
          </w:tcPr>
          <w:p>
            <w:pPr>
              <w:pStyle w:val="417"/>
              <w:spacing w:line="240" w:lineRule="auto"/>
              <w:rPr>
                <w:highlight w:val="none"/>
              </w:rPr>
            </w:pPr>
            <w:r>
              <w:rPr>
                <w:rFonts w:hint="eastAsia"/>
                <w:highlight w:val="none"/>
              </w:rPr>
              <w:t>-</w:t>
            </w:r>
            <w:r>
              <w:rPr>
                <w:highlight w:val="none"/>
              </w:rPr>
              <w:t>-</w:t>
            </w:r>
          </w:p>
        </w:tc>
        <w:tc>
          <w:tcPr>
            <w:tcW w:w="1456" w:type="dxa"/>
            <w:shd w:val="clear" w:color="auto" w:fill="auto"/>
            <w:vAlign w:val="center"/>
          </w:tcPr>
          <w:p>
            <w:pPr>
              <w:pStyle w:val="417"/>
              <w:spacing w:line="240" w:lineRule="auto"/>
              <w:rPr>
                <w:highlight w:val="none"/>
              </w:rPr>
            </w:pPr>
            <w:r>
              <w:rPr>
                <w:rFonts w:hint="eastAsia"/>
                <w:highlight w:val="none"/>
              </w:rPr>
              <w:t>周围敏感目标主要耕地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shd w:val="clear" w:color="auto" w:fill="auto"/>
            <w:vAlign w:val="center"/>
          </w:tcPr>
          <w:p>
            <w:pPr>
              <w:pStyle w:val="417"/>
              <w:spacing w:line="240" w:lineRule="auto"/>
              <w:rPr>
                <w:highlight w:val="none"/>
              </w:rPr>
            </w:pPr>
            <w:r>
              <w:rPr>
                <w:rFonts w:hint="eastAsia"/>
                <w:highlight w:val="none"/>
              </w:rPr>
              <w:t>浓密池</w:t>
            </w:r>
          </w:p>
        </w:tc>
        <w:tc>
          <w:tcPr>
            <w:tcW w:w="1453" w:type="dxa"/>
            <w:shd w:val="clear" w:color="auto" w:fill="auto"/>
            <w:vAlign w:val="center"/>
          </w:tcPr>
          <w:p>
            <w:pPr>
              <w:pStyle w:val="417"/>
              <w:spacing w:line="240" w:lineRule="auto"/>
              <w:rPr>
                <w:highlight w:val="none"/>
              </w:rPr>
            </w:pPr>
            <w:r>
              <w:rPr>
                <w:rFonts w:hint="eastAsia"/>
                <w:highlight w:val="none"/>
              </w:rPr>
              <w:t>水处理</w:t>
            </w:r>
          </w:p>
        </w:tc>
        <w:tc>
          <w:tcPr>
            <w:tcW w:w="1453" w:type="dxa"/>
            <w:shd w:val="clear" w:color="auto" w:fill="auto"/>
            <w:vAlign w:val="center"/>
          </w:tcPr>
          <w:p>
            <w:pPr>
              <w:pStyle w:val="417"/>
              <w:spacing w:line="240" w:lineRule="auto"/>
              <w:rPr>
                <w:highlight w:val="none"/>
              </w:rPr>
            </w:pPr>
            <w:r>
              <w:rPr>
                <w:rFonts w:hint="eastAsia"/>
                <w:highlight w:val="none"/>
              </w:rPr>
              <w:t>垂直入渗</w:t>
            </w:r>
          </w:p>
        </w:tc>
        <w:tc>
          <w:tcPr>
            <w:tcW w:w="1453" w:type="dxa"/>
            <w:shd w:val="clear" w:color="auto" w:fill="auto"/>
            <w:vAlign w:val="center"/>
          </w:tcPr>
          <w:p>
            <w:pPr>
              <w:pStyle w:val="417"/>
              <w:spacing w:line="240" w:lineRule="auto"/>
              <w:rPr>
                <w:highlight w:val="none"/>
              </w:rPr>
            </w:pPr>
            <w:r>
              <w:rPr>
                <w:rFonts w:hint="eastAsia"/>
                <w:highlight w:val="none"/>
              </w:rPr>
              <w:t>铁</w:t>
            </w:r>
          </w:p>
        </w:tc>
        <w:tc>
          <w:tcPr>
            <w:tcW w:w="1453" w:type="dxa"/>
            <w:shd w:val="clear" w:color="auto" w:fill="auto"/>
            <w:vAlign w:val="center"/>
          </w:tcPr>
          <w:p>
            <w:pPr>
              <w:pStyle w:val="417"/>
              <w:spacing w:line="240" w:lineRule="auto"/>
              <w:rPr>
                <w:highlight w:val="none"/>
              </w:rPr>
            </w:pPr>
            <w:r>
              <w:rPr>
                <w:rFonts w:hint="eastAsia"/>
                <w:highlight w:val="none"/>
              </w:rPr>
              <w:t>铁</w:t>
            </w:r>
          </w:p>
        </w:tc>
        <w:tc>
          <w:tcPr>
            <w:tcW w:w="1456" w:type="dxa"/>
            <w:shd w:val="clear" w:color="auto" w:fill="auto"/>
            <w:vAlign w:val="center"/>
          </w:tcPr>
          <w:p>
            <w:pPr>
              <w:pStyle w:val="417"/>
              <w:spacing w:line="240" w:lineRule="auto"/>
              <w:rPr>
                <w:highlight w:val="none"/>
              </w:rPr>
            </w:pPr>
            <w:r>
              <w:rPr>
                <w:rFonts w:hint="eastAsia"/>
                <w:highlight w:val="none"/>
              </w:rPr>
              <w:t>间断、事故</w:t>
            </w:r>
          </w:p>
        </w:tc>
      </w:tr>
    </w:tbl>
    <w:p>
      <w:pPr>
        <w:pStyle w:val="3"/>
        <w:numPr>
          <w:ilvl w:val="3"/>
          <w:numId w:val="1"/>
        </w:numPr>
        <w:ind w:left="709" w:hanging="709"/>
        <w:rPr>
          <w:rFonts w:eastAsia="宋体"/>
          <w:b/>
          <w:highlight w:val="none"/>
        </w:rPr>
      </w:pPr>
      <w:r>
        <w:rPr>
          <w:rFonts w:hint="eastAsia" w:eastAsia="宋体"/>
          <w:b/>
          <w:highlight w:val="none"/>
        </w:rPr>
        <w:t>评价范围、评价时段、情景设置</w:t>
      </w:r>
    </w:p>
    <w:p>
      <w:pPr>
        <w:ind w:firstLine="480"/>
        <w:jc w:val="both"/>
        <w:rPr>
          <w:bCs/>
          <w:sz w:val="24"/>
          <w:szCs w:val="24"/>
          <w:highlight w:val="none"/>
        </w:rPr>
      </w:pPr>
      <w:r>
        <w:rPr>
          <w:rFonts w:hint="eastAsia"/>
          <w:bCs/>
          <w:sz w:val="24"/>
          <w:szCs w:val="24"/>
          <w:highlight w:val="none"/>
        </w:rPr>
        <w:t>(1)预测范围</w:t>
      </w:r>
    </w:p>
    <w:p>
      <w:pPr>
        <w:ind w:firstLine="480"/>
        <w:jc w:val="both"/>
        <w:rPr>
          <w:bCs/>
          <w:sz w:val="24"/>
          <w:szCs w:val="24"/>
          <w:highlight w:val="none"/>
        </w:rPr>
      </w:pPr>
      <w:r>
        <w:rPr>
          <w:rFonts w:hint="eastAsia"/>
          <w:bCs/>
          <w:sz w:val="24"/>
          <w:szCs w:val="24"/>
          <w:highlight w:val="none"/>
        </w:rPr>
        <w:t>本次预测范围与现状调查范围一致，以项目厂址为中心区域，自厂界外延0.05km。</w:t>
      </w:r>
    </w:p>
    <w:p>
      <w:pPr>
        <w:ind w:firstLine="480"/>
        <w:jc w:val="both"/>
        <w:rPr>
          <w:bCs/>
          <w:sz w:val="24"/>
          <w:szCs w:val="24"/>
          <w:highlight w:val="none"/>
        </w:rPr>
      </w:pPr>
      <w:r>
        <w:rPr>
          <w:rFonts w:hint="eastAsia"/>
          <w:bCs/>
          <w:sz w:val="24"/>
          <w:szCs w:val="24"/>
          <w:highlight w:val="none"/>
        </w:rPr>
        <w:t>(2)评价时段</w:t>
      </w:r>
    </w:p>
    <w:p>
      <w:pPr>
        <w:ind w:firstLine="480"/>
        <w:jc w:val="both"/>
        <w:rPr>
          <w:bCs/>
          <w:sz w:val="24"/>
          <w:szCs w:val="24"/>
          <w:highlight w:val="none"/>
        </w:rPr>
      </w:pPr>
      <w:r>
        <w:rPr>
          <w:rFonts w:hint="eastAsia"/>
          <w:bCs/>
          <w:sz w:val="24"/>
          <w:szCs w:val="24"/>
          <w:highlight w:val="none"/>
        </w:rPr>
        <w:t>根据本项目土壤环境影响识别结果，本项目对土壤环境的影响类型主要为大气沉降，确定重点评价时段为项目运营期。</w:t>
      </w:r>
    </w:p>
    <w:p>
      <w:pPr>
        <w:ind w:firstLine="480"/>
        <w:jc w:val="both"/>
        <w:rPr>
          <w:bCs/>
          <w:sz w:val="24"/>
          <w:szCs w:val="24"/>
          <w:highlight w:val="none"/>
        </w:rPr>
      </w:pPr>
      <w:r>
        <w:rPr>
          <w:rFonts w:hint="eastAsia"/>
          <w:bCs/>
          <w:sz w:val="24"/>
          <w:szCs w:val="24"/>
          <w:highlight w:val="none"/>
        </w:rPr>
        <w:t>(3)情景设置</w:t>
      </w:r>
    </w:p>
    <w:p>
      <w:pPr>
        <w:ind w:firstLine="480"/>
        <w:jc w:val="both"/>
        <w:rPr>
          <w:bCs/>
          <w:sz w:val="24"/>
          <w:szCs w:val="24"/>
          <w:highlight w:val="none"/>
        </w:rPr>
      </w:pPr>
      <w:r>
        <w:rPr>
          <w:rFonts w:hint="eastAsia"/>
          <w:bCs/>
          <w:sz w:val="24"/>
          <w:szCs w:val="24"/>
          <w:highlight w:val="none"/>
        </w:rPr>
        <w:t>根据同类企业的实际情况分析，如果浓密池、事故池、环保设施防渗地面和生产污水明沟等可视场所发生破损，容易及时发现，可以及时采取修复措施，即使有物料或污水等泄漏，建设单位及时采取措施，不会任由物料或污水漫流渗漏，任其渗入土壤。</w:t>
      </w:r>
    </w:p>
    <w:p>
      <w:pPr>
        <w:ind w:firstLine="480"/>
        <w:jc w:val="both"/>
        <w:rPr>
          <w:bCs/>
          <w:sz w:val="24"/>
          <w:szCs w:val="24"/>
          <w:highlight w:val="none"/>
        </w:rPr>
      </w:pPr>
      <w:r>
        <w:rPr>
          <w:rFonts w:hint="eastAsia"/>
          <w:bCs/>
          <w:sz w:val="24"/>
          <w:szCs w:val="24"/>
          <w:highlight w:val="none"/>
        </w:rPr>
        <w:t>本次评价土壤影响情景是影响识别的基础上，根据项目的工程特点，设定情景为破碎粉尘对周围耕地及村庄大气沉降影响。</w:t>
      </w:r>
    </w:p>
    <w:p>
      <w:pPr>
        <w:pStyle w:val="3"/>
        <w:numPr>
          <w:ilvl w:val="3"/>
          <w:numId w:val="1"/>
        </w:numPr>
        <w:ind w:left="709" w:hanging="709"/>
        <w:rPr>
          <w:rFonts w:eastAsia="宋体"/>
          <w:b/>
          <w:highlight w:val="none"/>
        </w:rPr>
      </w:pPr>
      <w:r>
        <w:rPr>
          <w:rFonts w:hint="eastAsia" w:eastAsia="宋体"/>
          <w:b/>
          <w:highlight w:val="none"/>
        </w:rPr>
        <w:t>项目对土壤环境的影响</w:t>
      </w:r>
    </w:p>
    <w:p>
      <w:pPr>
        <w:ind w:firstLine="480"/>
        <w:jc w:val="both"/>
        <w:rPr>
          <w:bCs/>
          <w:sz w:val="24"/>
          <w:szCs w:val="24"/>
          <w:highlight w:val="none"/>
        </w:rPr>
      </w:pPr>
      <w:r>
        <w:rPr>
          <w:rFonts w:hint="eastAsia"/>
          <w:bCs/>
          <w:sz w:val="24"/>
          <w:szCs w:val="24"/>
          <w:highlight w:val="none"/>
        </w:rPr>
        <w:t>通过工程分析可知，本项目使用的原料为铁矿石，根据铁矿石全成分分析结果，原料未检出含砷、铜、铅等重金属。因铁矿石不含重金属，且铁矿石选矿过程为物理过程，不添加化学药剂，因此本项目原料不含重金属等有害元素。</w:t>
      </w:r>
    </w:p>
    <w:p>
      <w:pPr>
        <w:ind w:firstLine="480"/>
        <w:jc w:val="both"/>
        <w:rPr>
          <w:bCs/>
          <w:sz w:val="24"/>
          <w:szCs w:val="24"/>
          <w:highlight w:val="none"/>
        </w:rPr>
      </w:pPr>
      <w:r>
        <w:rPr>
          <w:rFonts w:hint="eastAsia"/>
          <w:bCs/>
          <w:sz w:val="24"/>
          <w:szCs w:val="24"/>
          <w:highlight w:val="none"/>
        </w:rPr>
        <w:t>本项目除尘系统选用的是高效、先进的布袋除尘器，有效去除废气中的粉尘，废气中颗粒物的最高排放浓度能满足《铁矿采选工业污染物排放标准》(GB28661-2012)表6大气污染物特别排放限值10mg/m³的要求。</w:t>
      </w:r>
    </w:p>
    <w:p>
      <w:pPr>
        <w:ind w:firstLine="480"/>
        <w:jc w:val="both"/>
        <w:rPr>
          <w:bCs/>
          <w:sz w:val="24"/>
          <w:szCs w:val="24"/>
          <w:highlight w:val="none"/>
        </w:rPr>
      </w:pPr>
      <w:r>
        <w:rPr>
          <w:rFonts w:hint="eastAsia"/>
          <w:bCs/>
          <w:sz w:val="24"/>
          <w:szCs w:val="24"/>
          <w:highlight w:val="none"/>
        </w:rPr>
        <w:t>因此，本项目排放污染物粉尘中无重金属颗粒，不会有重金属污染物沉降至厂址四周地表，随雨水及农灌水渗入地下，污染土壤。</w:t>
      </w:r>
    </w:p>
    <w:p>
      <w:pPr>
        <w:ind w:firstLine="480"/>
        <w:jc w:val="both"/>
        <w:rPr>
          <w:bCs/>
          <w:sz w:val="24"/>
          <w:szCs w:val="24"/>
          <w:highlight w:val="none"/>
        </w:rPr>
      </w:pPr>
      <w:r>
        <w:rPr>
          <w:rFonts w:hint="eastAsia"/>
          <w:bCs/>
          <w:sz w:val="24"/>
          <w:szCs w:val="24"/>
          <w:highlight w:val="none"/>
        </w:rPr>
        <w:t>项目场地土壤分布连续稳定，其渗透系数较小，具有较强的隔水作用，有利于阻止污染物向下运移，且具有良好的吸附性能。项目按防渗技术规范要求做好分区防渗，可进一步保护项目场地的土壤环境。</w:t>
      </w:r>
    </w:p>
    <w:p>
      <w:pPr>
        <w:pStyle w:val="3"/>
        <w:numPr>
          <w:ilvl w:val="3"/>
          <w:numId w:val="1"/>
        </w:numPr>
        <w:ind w:left="709" w:hanging="709"/>
        <w:rPr>
          <w:rFonts w:eastAsia="宋体"/>
          <w:b/>
          <w:highlight w:val="none"/>
        </w:rPr>
      </w:pPr>
      <w:r>
        <w:rPr>
          <w:rFonts w:hint="eastAsia" w:eastAsia="宋体"/>
          <w:b/>
          <w:highlight w:val="none"/>
        </w:rPr>
        <w:t>保护措施与对策</w:t>
      </w:r>
    </w:p>
    <w:p>
      <w:pPr>
        <w:ind w:firstLine="480"/>
        <w:jc w:val="both"/>
        <w:rPr>
          <w:bCs/>
          <w:sz w:val="24"/>
          <w:szCs w:val="24"/>
          <w:highlight w:val="none"/>
        </w:rPr>
      </w:pPr>
      <w:r>
        <w:rPr>
          <w:rFonts w:hint="eastAsia"/>
          <w:bCs/>
          <w:sz w:val="24"/>
          <w:szCs w:val="24"/>
          <w:highlight w:val="none"/>
        </w:rPr>
        <w:t>(1)土壤环境质量现状保障措施</w:t>
      </w:r>
    </w:p>
    <w:p>
      <w:pPr>
        <w:ind w:firstLine="480"/>
        <w:jc w:val="both"/>
        <w:rPr>
          <w:bCs/>
          <w:sz w:val="24"/>
          <w:szCs w:val="24"/>
          <w:highlight w:val="none"/>
        </w:rPr>
      </w:pPr>
      <w:r>
        <w:rPr>
          <w:rFonts w:hint="eastAsia"/>
          <w:bCs/>
          <w:sz w:val="24"/>
          <w:szCs w:val="24"/>
          <w:highlight w:val="none"/>
        </w:rPr>
        <w:t>根据土壤现状监测，建设用地采样区监测点监测值均小于《土壤环境质量 建设用地土壤污染风险管控标准（试行）》(GB36600-2018)中筛选值。</w:t>
      </w:r>
    </w:p>
    <w:p>
      <w:pPr>
        <w:ind w:firstLine="480"/>
        <w:jc w:val="both"/>
        <w:rPr>
          <w:bCs/>
          <w:sz w:val="24"/>
          <w:szCs w:val="24"/>
          <w:highlight w:val="none"/>
        </w:rPr>
      </w:pPr>
      <w:r>
        <w:rPr>
          <w:rFonts w:hint="eastAsia"/>
          <w:bCs/>
          <w:sz w:val="24"/>
          <w:szCs w:val="24"/>
          <w:highlight w:val="none"/>
        </w:rPr>
        <w:t>(2)源头控制措施</w:t>
      </w:r>
    </w:p>
    <w:p>
      <w:pPr>
        <w:ind w:firstLine="480"/>
        <w:jc w:val="both"/>
        <w:rPr>
          <w:bCs/>
          <w:sz w:val="24"/>
          <w:szCs w:val="24"/>
          <w:highlight w:val="none"/>
        </w:rPr>
      </w:pPr>
      <w:r>
        <w:rPr>
          <w:rFonts w:hint="eastAsia"/>
          <w:bCs/>
          <w:sz w:val="24"/>
          <w:szCs w:val="24"/>
          <w:highlight w:val="none"/>
        </w:rPr>
        <w:t>本项目采取了粗选工段破碎筛分工序均在封闭的车间内，在各破碎机、振动筛进料、出料口、入料口分别设置集气罩，粉尘经集气管收集进入脉冲布袋收尘器处理后，经18m高排气筒排放；原料、中间产品、最终产品以及尾砂均堆存在封闭厂房内，同时设有喷淋装置，从源头减少颗粒物的产生。</w:t>
      </w:r>
    </w:p>
    <w:p>
      <w:pPr>
        <w:ind w:firstLine="480"/>
        <w:jc w:val="both"/>
        <w:rPr>
          <w:bCs/>
          <w:sz w:val="24"/>
          <w:szCs w:val="24"/>
          <w:highlight w:val="none"/>
        </w:rPr>
      </w:pPr>
      <w:r>
        <w:rPr>
          <w:rFonts w:hint="eastAsia"/>
          <w:bCs/>
          <w:sz w:val="24"/>
          <w:szCs w:val="24"/>
          <w:highlight w:val="none"/>
        </w:rPr>
        <w:t>(3)过程控制措施</w:t>
      </w:r>
    </w:p>
    <w:p>
      <w:pPr>
        <w:ind w:firstLine="480"/>
        <w:jc w:val="both"/>
        <w:rPr>
          <w:bCs/>
          <w:sz w:val="24"/>
          <w:szCs w:val="24"/>
          <w:highlight w:val="none"/>
        </w:rPr>
      </w:pPr>
      <w:r>
        <w:rPr>
          <w:rFonts w:hint="eastAsia"/>
          <w:bCs/>
          <w:sz w:val="24"/>
          <w:szCs w:val="24"/>
          <w:highlight w:val="none"/>
        </w:rPr>
        <w:t>本项目已将危废间、浓密池等区域采取相应的防渗措施，有效控制污染物的跑、冒、滴、漏，将污染物泄漏至土壤中的环境风险事故降至最低限度。</w:t>
      </w:r>
    </w:p>
    <w:p>
      <w:pPr>
        <w:ind w:firstLine="480"/>
        <w:jc w:val="both"/>
        <w:rPr>
          <w:bCs/>
          <w:sz w:val="24"/>
          <w:szCs w:val="24"/>
          <w:highlight w:val="none"/>
        </w:rPr>
      </w:pPr>
      <w:r>
        <w:rPr>
          <w:rFonts w:hint="eastAsia"/>
          <w:bCs/>
          <w:sz w:val="24"/>
          <w:szCs w:val="24"/>
          <w:highlight w:val="none"/>
        </w:rPr>
        <w:t>项目在项目占地区充分利用道路两侧、地下管道通廊上方以及零散地块种植草皮、灌木等绿化措施，吸附大气沉降至土壤中的污染物，减轻对土壤环境的影响。</w:t>
      </w:r>
    </w:p>
    <w:p>
      <w:pPr>
        <w:pStyle w:val="3"/>
        <w:numPr>
          <w:ilvl w:val="3"/>
          <w:numId w:val="1"/>
        </w:numPr>
        <w:ind w:left="709" w:hanging="709"/>
        <w:rPr>
          <w:rFonts w:eastAsia="宋体"/>
          <w:b/>
          <w:highlight w:val="none"/>
        </w:rPr>
      </w:pPr>
      <w:r>
        <w:rPr>
          <w:rFonts w:hint="eastAsia" w:eastAsia="宋体"/>
          <w:b/>
          <w:highlight w:val="none"/>
        </w:rPr>
        <w:t>评价结论</w:t>
      </w:r>
    </w:p>
    <w:p>
      <w:pPr>
        <w:ind w:firstLine="480"/>
        <w:jc w:val="both"/>
        <w:rPr>
          <w:bCs/>
          <w:sz w:val="24"/>
          <w:szCs w:val="24"/>
          <w:highlight w:val="none"/>
        </w:rPr>
      </w:pPr>
      <w:r>
        <w:rPr>
          <w:rFonts w:hint="eastAsia"/>
          <w:bCs/>
          <w:sz w:val="24"/>
          <w:szCs w:val="24"/>
          <w:highlight w:val="none"/>
        </w:rPr>
        <w:t>(1)土壤环境现状</w:t>
      </w:r>
    </w:p>
    <w:p>
      <w:pPr>
        <w:ind w:firstLine="480"/>
        <w:jc w:val="both"/>
        <w:rPr>
          <w:bCs/>
          <w:sz w:val="24"/>
          <w:szCs w:val="24"/>
          <w:highlight w:val="none"/>
        </w:rPr>
      </w:pPr>
      <w:r>
        <w:rPr>
          <w:rFonts w:hint="eastAsia"/>
          <w:bCs/>
          <w:sz w:val="24"/>
          <w:szCs w:val="24"/>
          <w:highlight w:val="none"/>
        </w:rPr>
        <w:t>土壤现状调查评价区内的建设用地采样区监测点监测值均小于《土壤环境质量 建设用地土壤污染风险管控标准（试行）》(GB36600-2018)中筛选值。</w:t>
      </w:r>
    </w:p>
    <w:p>
      <w:pPr>
        <w:ind w:firstLine="480"/>
        <w:jc w:val="both"/>
        <w:rPr>
          <w:bCs/>
          <w:sz w:val="24"/>
          <w:szCs w:val="24"/>
          <w:highlight w:val="none"/>
        </w:rPr>
      </w:pPr>
      <w:r>
        <w:rPr>
          <w:rFonts w:hint="eastAsia"/>
          <w:bCs/>
          <w:sz w:val="24"/>
          <w:szCs w:val="24"/>
          <w:highlight w:val="none"/>
        </w:rPr>
        <w:t>(2)土壤环境影响</w:t>
      </w:r>
    </w:p>
    <w:p>
      <w:pPr>
        <w:ind w:firstLine="480"/>
        <w:jc w:val="both"/>
        <w:rPr>
          <w:bCs/>
          <w:sz w:val="24"/>
          <w:szCs w:val="24"/>
          <w:highlight w:val="none"/>
        </w:rPr>
      </w:pPr>
      <w:r>
        <w:rPr>
          <w:rFonts w:hint="eastAsia"/>
          <w:bCs/>
          <w:sz w:val="24"/>
          <w:szCs w:val="24"/>
          <w:highlight w:val="none"/>
        </w:rPr>
        <w:t>本次土壤环境影响评价等级为三级，采用定性描述的方法进行预测与评价。本项目排放污染物粉尘中无重金属颗粒，不会有重金属污染物沉降至厂址四周地表，随雨水及农灌水渗入地下，污染土壤。</w:t>
      </w:r>
    </w:p>
    <w:p>
      <w:pPr>
        <w:ind w:firstLine="480"/>
        <w:jc w:val="both"/>
        <w:rPr>
          <w:bCs/>
          <w:sz w:val="24"/>
          <w:szCs w:val="24"/>
          <w:highlight w:val="none"/>
        </w:rPr>
      </w:pPr>
      <w:r>
        <w:rPr>
          <w:rFonts w:hint="eastAsia"/>
          <w:bCs/>
          <w:sz w:val="24"/>
          <w:szCs w:val="24"/>
          <w:highlight w:val="none"/>
        </w:rPr>
        <w:t>(3)土壤环境污染防控措施</w:t>
      </w:r>
    </w:p>
    <w:p>
      <w:pPr>
        <w:ind w:firstLine="480"/>
        <w:jc w:val="both"/>
        <w:rPr>
          <w:bCs/>
          <w:sz w:val="24"/>
          <w:szCs w:val="24"/>
          <w:highlight w:val="none"/>
        </w:rPr>
      </w:pPr>
      <w:r>
        <w:rPr>
          <w:rFonts w:hint="eastAsia"/>
          <w:bCs/>
          <w:sz w:val="24"/>
          <w:szCs w:val="24"/>
          <w:highlight w:val="none"/>
        </w:rPr>
        <w:t>本项目采取了源头控制措施和分区防控措施，从源头上减少了污染物的排放量，同时通过采取严格的防渗措施，切断了垂向入渗进入土壤的途径。</w:t>
      </w:r>
    </w:p>
    <w:p>
      <w:pPr>
        <w:ind w:firstLine="480"/>
        <w:jc w:val="both"/>
        <w:rPr>
          <w:bCs/>
          <w:sz w:val="24"/>
          <w:szCs w:val="24"/>
          <w:highlight w:val="none"/>
        </w:rPr>
      </w:pPr>
      <w:r>
        <w:rPr>
          <w:rFonts w:hint="eastAsia"/>
          <w:bCs/>
          <w:sz w:val="24"/>
          <w:szCs w:val="24"/>
          <w:highlight w:val="none"/>
        </w:rPr>
        <w:t>综合以上分析，本项目对土壤环境的影响可以接受，从土壤环境影响的角度分析，项目的建设是可行的。</w:t>
      </w:r>
    </w:p>
    <w:p>
      <w:pPr>
        <w:pStyle w:val="15"/>
        <w:rPr>
          <w:rFonts w:ascii="Times New Roman" w:hAnsi="Times New Roman" w:eastAsia="黑体" w:cs="Times New Roman"/>
          <w:b w:val="0"/>
          <w:bCs/>
          <w:snapToGrid/>
          <w:kern w:val="2"/>
          <w:sz w:val="21"/>
          <w:szCs w:val="21"/>
          <w:highlight w:val="none"/>
        </w:rPr>
      </w:pPr>
      <w:r>
        <w:rPr>
          <w:rFonts w:hint="eastAsia" w:ascii="Times New Roman" w:hAnsi="Times New Roman" w:eastAsia="黑体" w:cs="Times New Roman"/>
          <w:b w:val="0"/>
          <w:bCs/>
          <w:snapToGrid/>
          <w:kern w:val="2"/>
          <w:sz w:val="21"/>
          <w:szCs w:val="21"/>
          <w:highlight w:val="none"/>
        </w:rPr>
        <w:t>表5.2-27     土壤环境影响评价自查表</w:t>
      </w:r>
    </w:p>
    <w:tbl>
      <w:tblPr>
        <w:tblStyle w:val="56"/>
        <w:tblW w:w="85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1851"/>
        <w:gridCol w:w="1698"/>
        <w:gridCol w:w="487"/>
        <w:gridCol w:w="617"/>
        <w:gridCol w:w="617"/>
        <w:gridCol w:w="1096"/>
        <w:gridCol w:w="976"/>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5"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工作内容</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完成情况</w:t>
            </w:r>
          </w:p>
        </w:tc>
        <w:tc>
          <w:tcPr>
            <w:tcW w:w="699"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restart"/>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影响识别</w:t>
            </w: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影响类型</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污染影响型√；生态影响型□；两种兼有□</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土地利用类型</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建设用地√；农用地□；未利用地□</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占地规模</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（0.66）h㎡</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敏感目标信息</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敏感目标（耕地、林地）、方位（四周）、距离（50m内）</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影响途径</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大气沉降√；地面漫流□；垂直入渗√；地下水位□；其他（ ）</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全部污染物</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颗粒物、铁</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特征因子</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所属土壤环境影响评价项目类别</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Ⅰ类□；Ⅱ类□；Ⅲ类√；Ⅳ类□</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敏感程度</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敏感√；较敏感□；不敏感□</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5"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评价工作等级</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一级□；二级□；三级√</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restart"/>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现</w:t>
            </w:r>
          </w:p>
          <w:p>
            <w:pPr>
              <w:pStyle w:val="417"/>
              <w:spacing w:line="240" w:lineRule="auto"/>
              <w:rPr>
                <w:sz w:val="20"/>
                <w:szCs w:val="20"/>
                <w:highlight w:val="none"/>
              </w:rPr>
            </w:pPr>
            <w:r>
              <w:rPr>
                <w:sz w:val="20"/>
                <w:szCs w:val="20"/>
                <w:highlight w:val="none"/>
              </w:rPr>
              <w:t>状</w:t>
            </w:r>
          </w:p>
          <w:p>
            <w:pPr>
              <w:pStyle w:val="417"/>
              <w:spacing w:line="240" w:lineRule="auto"/>
              <w:rPr>
                <w:sz w:val="20"/>
                <w:szCs w:val="20"/>
                <w:highlight w:val="none"/>
              </w:rPr>
            </w:pPr>
            <w:r>
              <w:rPr>
                <w:sz w:val="20"/>
                <w:szCs w:val="20"/>
                <w:highlight w:val="none"/>
              </w:rPr>
              <w:t>调</w:t>
            </w:r>
          </w:p>
          <w:p>
            <w:pPr>
              <w:pStyle w:val="417"/>
              <w:spacing w:line="240" w:lineRule="auto"/>
              <w:rPr>
                <w:sz w:val="20"/>
                <w:szCs w:val="20"/>
                <w:highlight w:val="none"/>
              </w:rPr>
            </w:pPr>
            <w:r>
              <w:rPr>
                <w:sz w:val="20"/>
                <w:szCs w:val="20"/>
                <w:highlight w:val="none"/>
              </w:rPr>
              <w:t>查</w:t>
            </w:r>
          </w:p>
          <w:p>
            <w:pPr>
              <w:pStyle w:val="417"/>
              <w:spacing w:line="240" w:lineRule="auto"/>
              <w:rPr>
                <w:sz w:val="20"/>
                <w:szCs w:val="20"/>
                <w:highlight w:val="none"/>
              </w:rPr>
            </w:pPr>
            <w:r>
              <w:rPr>
                <w:sz w:val="20"/>
                <w:szCs w:val="20"/>
                <w:highlight w:val="none"/>
              </w:rPr>
              <w:t>内</w:t>
            </w:r>
          </w:p>
          <w:p>
            <w:pPr>
              <w:pStyle w:val="417"/>
              <w:spacing w:line="240" w:lineRule="auto"/>
              <w:rPr>
                <w:sz w:val="20"/>
                <w:szCs w:val="20"/>
                <w:highlight w:val="none"/>
              </w:rPr>
            </w:pPr>
            <w:r>
              <w:rPr>
                <w:sz w:val="20"/>
                <w:szCs w:val="20"/>
                <w:highlight w:val="none"/>
              </w:rPr>
              <w:t>容</w:t>
            </w:r>
          </w:p>
          <w:p>
            <w:pPr>
              <w:pStyle w:val="417"/>
              <w:spacing w:line="240" w:lineRule="auto"/>
              <w:rPr>
                <w:sz w:val="20"/>
                <w:szCs w:val="20"/>
                <w:highlight w:val="none"/>
              </w:rPr>
            </w:pPr>
            <w:r>
              <w:rPr>
                <w:sz w:val="20"/>
                <w:szCs w:val="20"/>
                <w:highlight w:val="none"/>
              </w:rPr>
              <w:t>.</w:t>
            </w: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资料收集</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a）□；b）√；c）√；d）□</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理化特性</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见环境质量现状监测报告（附件6）</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vMerge w:val="restart"/>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现状监测点位</w:t>
            </w:r>
          </w:p>
        </w:tc>
        <w:tc>
          <w:tcPr>
            <w:tcW w:w="2185" w:type="dxa"/>
            <w:gridSpan w:val="2"/>
            <w:shd w:val="clear" w:color="auto" w:fill="auto"/>
            <w:tcMar>
              <w:left w:w="0" w:type="dxa"/>
              <w:right w:w="0" w:type="dxa"/>
            </w:tcMar>
            <w:vAlign w:val="center"/>
          </w:tcPr>
          <w:p>
            <w:pPr>
              <w:pStyle w:val="417"/>
              <w:spacing w:line="240" w:lineRule="auto"/>
              <w:rPr>
                <w:sz w:val="20"/>
                <w:szCs w:val="20"/>
                <w:highlight w:val="none"/>
              </w:rPr>
            </w:pPr>
          </w:p>
        </w:tc>
        <w:tc>
          <w:tcPr>
            <w:tcW w:w="1234"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占地范围内</w:t>
            </w:r>
          </w:p>
        </w:tc>
        <w:tc>
          <w:tcPr>
            <w:tcW w:w="1096"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占地范围外</w:t>
            </w:r>
          </w:p>
        </w:tc>
        <w:tc>
          <w:tcPr>
            <w:tcW w:w="976"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深度</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2185"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表层样点数</w:t>
            </w:r>
          </w:p>
        </w:tc>
        <w:tc>
          <w:tcPr>
            <w:tcW w:w="1234"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3</w:t>
            </w:r>
          </w:p>
        </w:tc>
        <w:tc>
          <w:tcPr>
            <w:tcW w:w="1096"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976"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0-0.2m</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2185"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柱状样点数</w:t>
            </w:r>
          </w:p>
        </w:tc>
        <w:tc>
          <w:tcPr>
            <w:tcW w:w="1234"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1096"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976"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现状监测因子</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砷、镉、铬(六价)、铜、铅、汞、镍、四氯化碳、氯仿、氯甲烷、1,1-二氯乙烷、1,2-二氯乙烷、1,1-二氯乙烯、顺1,2-二氯乙烯、反1,2-二氯乙烯、二氯甲烷、1,2-二氯丙烷、1,1,1,2-四氯乙烷、1,1,2,2-四氯乙烷、四氯乙烯、1,1,1-三氯乙烷、1,1,2-三氯乙烷、三氯乙烯、1,1,3-三氯丙烷、氯乙烯、苯、氯苯、1,2-二氯苯、1,4-二氯苯、乙苯、苯乙烯、甲苯、间二甲苯+对二甲苯、邻二甲苯、硝基苯、苯胺、2-氯酚、苯并[a]蒽、苯并[a]芘、苯并[b]荧蒽、苯并[k]荧蒽、䓛、二苯并[a,h]蒽、茚并[1,2,3-cd]芘、萘</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restart"/>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现</w:t>
            </w:r>
          </w:p>
          <w:p>
            <w:pPr>
              <w:pStyle w:val="417"/>
              <w:spacing w:line="240" w:lineRule="auto"/>
              <w:rPr>
                <w:sz w:val="20"/>
                <w:szCs w:val="20"/>
                <w:highlight w:val="none"/>
              </w:rPr>
            </w:pPr>
            <w:r>
              <w:rPr>
                <w:sz w:val="20"/>
                <w:szCs w:val="20"/>
                <w:highlight w:val="none"/>
              </w:rPr>
              <w:t>状</w:t>
            </w:r>
          </w:p>
          <w:p>
            <w:pPr>
              <w:pStyle w:val="417"/>
              <w:spacing w:line="240" w:lineRule="auto"/>
              <w:rPr>
                <w:sz w:val="20"/>
                <w:szCs w:val="20"/>
                <w:highlight w:val="none"/>
              </w:rPr>
            </w:pPr>
            <w:r>
              <w:rPr>
                <w:sz w:val="20"/>
                <w:szCs w:val="20"/>
                <w:highlight w:val="none"/>
              </w:rPr>
              <w:t>评</w:t>
            </w:r>
          </w:p>
          <w:p>
            <w:pPr>
              <w:pStyle w:val="417"/>
              <w:spacing w:line="240" w:lineRule="auto"/>
              <w:rPr>
                <w:sz w:val="20"/>
                <w:szCs w:val="20"/>
                <w:highlight w:val="none"/>
              </w:rPr>
            </w:pPr>
            <w:r>
              <w:rPr>
                <w:sz w:val="20"/>
                <w:szCs w:val="20"/>
                <w:highlight w:val="none"/>
              </w:rPr>
              <w:t>价</w:t>
            </w:r>
          </w:p>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评价因子</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同现状监测因子</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评价标准</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GB 15618□；GB 36600√；表D.1□；表 D.2□；其他（ ）</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现状评价结论</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土壤污染风险可以忽略</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restart"/>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影</w:t>
            </w:r>
          </w:p>
          <w:p>
            <w:pPr>
              <w:pStyle w:val="417"/>
              <w:spacing w:line="240" w:lineRule="auto"/>
              <w:rPr>
                <w:sz w:val="20"/>
                <w:szCs w:val="20"/>
                <w:highlight w:val="none"/>
              </w:rPr>
            </w:pPr>
            <w:r>
              <w:rPr>
                <w:sz w:val="20"/>
                <w:szCs w:val="20"/>
                <w:highlight w:val="none"/>
              </w:rPr>
              <w:t>响</w:t>
            </w:r>
          </w:p>
          <w:p>
            <w:pPr>
              <w:pStyle w:val="417"/>
              <w:spacing w:line="240" w:lineRule="auto"/>
              <w:rPr>
                <w:sz w:val="20"/>
                <w:szCs w:val="20"/>
                <w:highlight w:val="none"/>
              </w:rPr>
            </w:pPr>
            <w:r>
              <w:rPr>
                <w:sz w:val="20"/>
                <w:szCs w:val="20"/>
                <w:highlight w:val="none"/>
              </w:rPr>
              <w:t>预</w:t>
            </w:r>
          </w:p>
          <w:p>
            <w:pPr>
              <w:pStyle w:val="417"/>
              <w:spacing w:line="240" w:lineRule="auto"/>
              <w:rPr>
                <w:sz w:val="20"/>
                <w:szCs w:val="20"/>
                <w:highlight w:val="none"/>
              </w:rPr>
            </w:pPr>
            <w:r>
              <w:rPr>
                <w:sz w:val="20"/>
                <w:szCs w:val="20"/>
                <w:highlight w:val="none"/>
              </w:rPr>
              <w:t>测</w:t>
            </w: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预测因子</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颗粒物</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预测方法</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附录 E□；附录 F□；其他（定性描述）</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预测分析内容</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影响范围（以项目厂址为中心区域，自厂界外延0.05km）</w:t>
            </w:r>
          </w:p>
          <w:p>
            <w:pPr>
              <w:pStyle w:val="417"/>
              <w:spacing w:line="240" w:lineRule="auto"/>
              <w:rPr>
                <w:sz w:val="20"/>
                <w:szCs w:val="20"/>
                <w:highlight w:val="none"/>
              </w:rPr>
            </w:pPr>
            <w:r>
              <w:rPr>
                <w:sz w:val="20"/>
                <w:szCs w:val="20"/>
                <w:highlight w:val="none"/>
              </w:rPr>
              <w:t>影响程度（无影响）</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预测结论</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达标结论：a）√；b）□；c）□</w:t>
            </w:r>
          </w:p>
          <w:p>
            <w:pPr>
              <w:pStyle w:val="417"/>
              <w:spacing w:line="240" w:lineRule="auto"/>
              <w:rPr>
                <w:sz w:val="20"/>
                <w:szCs w:val="20"/>
                <w:highlight w:val="none"/>
              </w:rPr>
            </w:pPr>
            <w:r>
              <w:rPr>
                <w:sz w:val="20"/>
                <w:szCs w:val="20"/>
                <w:highlight w:val="none"/>
              </w:rPr>
              <w:t>不达标结论：a）□；b）□</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restart"/>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防</w:t>
            </w:r>
          </w:p>
          <w:p>
            <w:pPr>
              <w:pStyle w:val="417"/>
              <w:spacing w:line="240" w:lineRule="auto"/>
              <w:rPr>
                <w:sz w:val="20"/>
                <w:szCs w:val="20"/>
                <w:highlight w:val="none"/>
              </w:rPr>
            </w:pPr>
            <w:r>
              <w:rPr>
                <w:sz w:val="20"/>
                <w:szCs w:val="20"/>
                <w:highlight w:val="none"/>
              </w:rPr>
              <w:t>治</w:t>
            </w:r>
          </w:p>
          <w:p>
            <w:pPr>
              <w:pStyle w:val="417"/>
              <w:spacing w:line="240" w:lineRule="auto"/>
              <w:rPr>
                <w:sz w:val="20"/>
                <w:szCs w:val="20"/>
                <w:highlight w:val="none"/>
              </w:rPr>
            </w:pPr>
            <w:r>
              <w:rPr>
                <w:sz w:val="20"/>
                <w:szCs w:val="20"/>
                <w:highlight w:val="none"/>
              </w:rPr>
              <w:t>措</w:t>
            </w:r>
          </w:p>
          <w:p>
            <w:pPr>
              <w:pStyle w:val="417"/>
              <w:spacing w:line="240" w:lineRule="auto"/>
              <w:rPr>
                <w:sz w:val="20"/>
                <w:szCs w:val="20"/>
                <w:highlight w:val="none"/>
              </w:rPr>
            </w:pPr>
            <w:r>
              <w:rPr>
                <w:sz w:val="20"/>
                <w:szCs w:val="20"/>
                <w:highlight w:val="none"/>
              </w:rPr>
              <w:t>施</w:t>
            </w:r>
          </w:p>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防控措施</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土壤环境质量现状保障√；源头控制√；过程防控√；其他（ ）</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跟踪监测</w:t>
            </w:r>
          </w:p>
        </w:tc>
        <w:tc>
          <w:tcPr>
            <w:tcW w:w="1698"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监测点数</w:t>
            </w:r>
          </w:p>
        </w:tc>
        <w:tc>
          <w:tcPr>
            <w:tcW w:w="1104"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监测指标</w:t>
            </w:r>
          </w:p>
        </w:tc>
        <w:tc>
          <w:tcPr>
            <w:tcW w:w="2689" w:type="dxa"/>
            <w:gridSpan w:val="3"/>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监测频次</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p>
        </w:tc>
        <w:tc>
          <w:tcPr>
            <w:tcW w:w="1698"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1104"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2689" w:type="dxa"/>
            <w:gridSpan w:val="3"/>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tcMar>
              <w:left w:w="0" w:type="dxa"/>
              <w:right w:w="0" w:type="dxa"/>
            </w:tcMar>
            <w:vAlign w:val="center"/>
          </w:tcPr>
          <w:p>
            <w:pPr>
              <w:pStyle w:val="417"/>
              <w:spacing w:line="240" w:lineRule="auto"/>
              <w:rPr>
                <w:sz w:val="20"/>
                <w:szCs w:val="20"/>
                <w:highlight w:val="none"/>
              </w:rPr>
            </w:pPr>
          </w:p>
        </w:tc>
        <w:tc>
          <w:tcPr>
            <w:tcW w:w="1851" w:type="dxa"/>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信息公开指标</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5" w:type="dxa"/>
            <w:gridSpan w:val="2"/>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评价结论</w:t>
            </w:r>
          </w:p>
        </w:tc>
        <w:tc>
          <w:tcPr>
            <w:tcW w:w="5491" w:type="dxa"/>
            <w:gridSpan w:val="6"/>
            <w:shd w:val="clear" w:color="auto" w:fill="auto"/>
            <w:tcMar>
              <w:left w:w="0" w:type="dxa"/>
              <w:right w:w="0" w:type="dxa"/>
            </w:tcMar>
            <w:vAlign w:val="center"/>
          </w:tcPr>
          <w:p>
            <w:pPr>
              <w:pStyle w:val="417"/>
              <w:spacing w:line="240" w:lineRule="auto"/>
              <w:rPr>
                <w:sz w:val="20"/>
                <w:szCs w:val="20"/>
                <w:highlight w:val="none"/>
              </w:rPr>
            </w:pPr>
            <w:r>
              <w:rPr>
                <w:sz w:val="20"/>
                <w:szCs w:val="20"/>
                <w:highlight w:val="none"/>
              </w:rPr>
              <w:t>本项目对土壤环境的影响可以接受，从土壤环境影响的角度分析，项目的建设是可行的</w:t>
            </w:r>
          </w:p>
        </w:tc>
        <w:tc>
          <w:tcPr>
            <w:tcW w:w="699" w:type="dxa"/>
            <w:shd w:val="clear" w:color="auto" w:fill="auto"/>
            <w:tcMar>
              <w:left w:w="0" w:type="dxa"/>
              <w:right w:w="0" w:type="dxa"/>
            </w:tcMar>
            <w:vAlign w:val="center"/>
          </w:tcPr>
          <w:p>
            <w:pPr>
              <w:pStyle w:val="417"/>
              <w:spacing w:line="240" w:lineRule="auto"/>
              <w:rPr>
                <w:sz w:val="20"/>
                <w:szCs w:val="20"/>
                <w:highlight w:val="none"/>
              </w:rPr>
            </w:pPr>
          </w:p>
        </w:tc>
      </w:tr>
    </w:tbl>
    <w:p>
      <w:pPr>
        <w:ind w:firstLine="420"/>
        <w:jc w:val="both"/>
        <w:rPr>
          <w:bCs/>
          <w:sz w:val="21"/>
          <w:szCs w:val="21"/>
          <w:highlight w:val="none"/>
        </w:rPr>
      </w:pPr>
      <w:r>
        <w:rPr>
          <w:rFonts w:hint="eastAsia"/>
          <w:bCs/>
          <w:sz w:val="21"/>
          <w:szCs w:val="21"/>
          <w:highlight w:val="none"/>
        </w:rPr>
        <w:t>注 1：“□”为勾选项，可√；“（ ）”为内容填写项；“备注”为其他补充内容。</w:t>
      </w:r>
    </w:p>
    <w:p>
      <w:pPr>
        <w:ind w:firstLine="420"/>
        <w:jc w:val="both"/>
        <w:rPr>
          <w:sz w:val="24"/>
          <w:highlight w:val="none"/>
        </w:rPr>
      </w:pPr>
      <w:r>
        <w:rPr>
          <w:rFonts w:hint="eastAsia"/>
          <w:bCs/>
          <w:sz w:val="21"/>
          <w:szCs w:val="21"/>
          <w:highlight w:val="none"/>
        </w:rPr>
        <w:t>注 2：需要分别开展土壤环境影响评级工作的，分别填写自查表。</w:t>
      </w:r>
      <w:bookmarkEnd w:id="416"/>
      <w:bookmarkStart w:id="419" w:name="_Hlk522137230"/>
    </w:p>
    <w:p>
      <w:pPr>
        <w:pStyle w:val="6"/>
        <w:numPr>
          <w:ilvl w:val="2"/>
          <w:numId w:val="1"/>
        </w:numPr>
        <w:rPr>
          <w:szCs w:val="28"/>
          <w:highlight w:val="none"/>
        </w:rPr>
      </w:pPr>
      <w:bookmarkStart w:id="420" w:name="_Toc503218116"/>
      <w:bookmarkStart w:id="421" w:name="_Toc521426317"/>
      <w:bookmarkStart w:id="422" w:name="_Toc28561"/>
      <w:r>
        <w:rPr>
          <w:szCs w:val="28"/>
          <w:highlight w:val="none"/>
        </w:rPr>
        <w:t>环境风险</w:t>
      </w:r>
      <w:bookmarkEnd w:id="420"/>
      <w:r>
        <w:rPr>
          <w:szCs w:val="28"/>
          <w:highlight w:val="none"/>
        </w:rPr>
        <w:t>影响分析</w:t>
      </w:r>
      <w:bookmarkEnd w:id="421"/>
      <w:bookmarkEnd w:id="422"/>
    </w:p>
    <w:p>
      <w:pPr>
        <w:ind w:firstLine="480"/>
        <w:jc w:val="both"/>
        <w:rPr>
          <w:bCs/>
          <w:sz w:val="24"/>
          <w:szCs w:val="24"/>
          <w:highlight w:val="none"/>
        </w:rPr>
      </w:pPr>
      <w:r>
        <w:rPr>
          <w:rFonts w:hint="eastAsia"/>
          <w:bCs/>
          <w:sz w:val="24"/>
          <w:szCs w:val="24"/>
          <w:highlight w:val="none"/>
        </w:rPr>
        <w:t>环境风险评价是分析和预测建设项目对环境存在的潜在危险、有害因素，针对建设项目建设和运行期间可能发生的突发性事件或事故，引起有毒有害和易燃易爆等物质泄漏所造成的对环境影响和损害程度，提出合理可行的防范、应急与减缓措施，以使建设项目环境风险达到可接受水平。</w:t>
      </w:r>
    </w:p>
    <w:p>
      <w:pPr>
        <w:ind w:firstLine="480"/>
        <w:jc w:val="both"/>
        <w:rPr>
          <w:bCs/>
          <w:sz w:val="24"/>
          <w:szCs w:val="24"/>
          <w:highlight w:val="none"/>
        </w:rPr>
      </w:pPr>
      <w:r>
        <w:rPr>
          <w:rFonts w:hint="eastAsia"/>
          <w:bCs/>
          <w:sz w:val="24"/>
          <w:szCs w:val="24"/>
          <w:highlight w:val="none"/>
        </w:rPr>
        <w:t>本项目废矿物油在储存过程中当发生火灾、爆炸或泄露时导致有毒有害物质的放散，对环境产生一定的危害。本次环境风险评价的目的在于分析、识别生产装置运行过程中及物料储存运输中的风险因素及可能诱发的环境问题，并针对潜在的环境风险，按照《关于进一步加强环境影响评价管理防范环境风险的通知》(环发[2012]77号)和《关于切实加强风险防范严格环境影响评价管理的通知》(环发[2012]98号)等文件的相关要求，提出相应的预防措施，力求在建设中将潜在的风险危害程度降至最低。</w:t>
      </w:r>
    </w:p>
    <w:p>
      <w:pPr>
        <w:pStyle w:val="3"/>
        <w:numPr>
          <w:ilvl w:val="3"/>
          <w:numId w:val="1"/>
        </w:numPr>
        <w:ind w:left="709" w:hanging="709"/>
        <w:jc w:val="both"/>
        <w:textAlignment w:val="auto"/>
        <w:rPr>
          <w:rFonts w:eastAsia="宋体"/>
          <w:b/>
          <w:highlight w:val="none"/>
        </w:rPr>
      </w:pPr>
      <w:r>
        <w:rPr>
          <w:rFonts w:eastAsia="宋体"/>
          <w:b/>
          <w:highlight w:val="none"/>
        </w:rPr>
        <w:t>评价依据</w:t>
      </w:r>
    </w:p>
    <w:p>
      <w:pPr>
        <w:ind w:firstLine="480"/>
        <w:jc w:val="both"/>
        <w:rPr>
          <w:bCs/>
          <w:sz w:val="24"/>
          <w:szCs w:val="24"/>
          <w:highlight w:val="none"/>
        </w:rPr>
      </w:pPr>
      <w:r>
        <w:rPr>
          <w:rFonts w:hint="eastAsia"/>
          <w:bCs/>
          <w:sz w:val="24"/>
          <w:szCs w:val="24"/>
          <w:highlight w:val="none"/>
        </w:rPr>
        <w:t>（1）风险调查</w:t>
      </w:r>
    </w:p>
    <w:p>
      <w:pPr>
        <w:ind w:firstLine="480"/>
        <w:jc w:val="both"/>
        <w:rPr>
          <w:bCs/>
          <w:sz w:val="24"/>
          <w:szCs w:val="24"/>
          <w:highlight w:val="none"/>
        </w:rPr>
      </w:pPr>
      <w:r>
        <w:rPr>
          <w:rFonts w:hint="eastAsia"/>
          <w:bCs/>
          <w:sz w:val="24"/>
          <w:szCs w:val="24"/>
          <w:highlight w:val="none"/>
        </w:rPr>
        <w:t>风险识别范围包括生产设施风险识别和生产过程所涉及的物质风险识别。</w:t>
      </w:r>
    </w:p>
    <w:p>
      <w:pPr>
        <w:ind w:firstLine="480"/>
        <w:jc w:val="both"/>
        <w:rPr>
          <w:bCs/>
          <w:sz w:val="24"/>
          <w:szCs w:val="24"/>
          <w:highlight w:val="none"/>
        </w:rPr>
      </w:pPr>
      <w:r>
        <w:rPr>
          <w:rFonts w:hint="eastAsia"/>
          <w:bCs/>
          <w:sz w:val="24"/>
          <w:szCs w:val="24"/>
          <w:highlight w:val="none"/>
        </w:rPr>
        <w:t>生产设施风险识别范围：主要生产装置、贮运系统、公用工程系统、工程环保设施及辅助生产设施等。</w:t>
      </w:r>
    </w:p>
    <w:p>
      <w:pPr>
        <w:ind w:firstLine="480"/>
        <w:jc w:val="both"/>
        <w:rPr>
          <w:bCs/>
          <w:sz w:val="24"/>
          <w:szCs w:val="24"/>
          <w:highlight w:val="none"/>
        </w:rPr>
      </w:pPr>
      <w:r>
        <w:rPr>
          <w:rFonts w:hint="eastAsia"/>
          <w:bCs/>
          <w:sz w:val="24"/>
          <w:szCs w:val="24"/>
          <w:highlight w:val="none"/>
        </w:rPr>
        <w:t>物质风险识别范围：主要原材料及辅助材料、中间产品、最终产品以及生产过程排放的“三废”污染物等。</w:t>
      </w:r>
    </w:p>
    <w:p>
      <w:pPr>
        <w:ind w:firstLine="480"/>
        <w:jc w:val="both"/>
        <w:rPr>
          <w:bCs/>
          <w:sz w:val="24"/>
          <w:szCs w:val="24"/>
          <w:highlight w:val="none"/>
        </w:rPr>
      </w:pPr>
      <w:r>
        <w:rPr>
          <w:rFonts w:hint="eastAsia"/>
          <w:bCs/>
          <w:sz w:val="24"/>
          <w:szCs w:val="24"/>
          <w:highlight w:val="none"/>
        </w:rPr>
        <w:t>风险物质：</w:t>
      </w:r>
    </w:p>
    <w:p>
      <w:pPr>
        <w:ind w:firstLine="480"/>
        <w:jc w:val="both"/>
        <w:rPr>
          <w:bCs/>
          <w:sz w:val="24"/>
          <w:szCs w:val="24"/>
          <w:highlight w:val="none"/>
        </w:rPr>
      </w:pPr>
      <w:r>
        <w:rPr>
          <w:rFonts w:hint="eastAsia"/>
          <w:bCs/>
          <w:sz w:val="24"/>
          <w:szCs w:val="24"/>
          <w:highlight w:val="none"/>
        </w:rPr>
        <w:t>本项目主要涉及的风险物质主要为危险废物—废矿物油，危废暂存危废间委托有资质单位处置。</w:t>
      </w:r>
    </w:p>
    <w:p>
      <w:pPr>
        <w:ind w:firstLine="480"/>
        <w:jc w:val="both"/>
        <w:rPr>
          <w:bCs/>
          <w:sz w:val="24"/>
          <w:szCs w:val="24"/>
          <w:highlight w:val="none"/>
        </w:rPr>
      </w:pPr>
      <w:r>
        <w:rPr>
          <w:rFonts w:hint="eastAsia"/>
          <w:bCs/>
          <w:sz w:val="24"/>
          <w:szCs w:val="24"/>
          <w:highlight w:val="none"/>
        </w:rPr>
        <w:t>（2）风险潜势初判</w:t>
      </w:r>
    </w:p>
    <w:p>
      <w:pPr>
        <w:ind w:firstLine="482"/>
        <w:jc w:val="both"/>
        <w:rPr>
          <w:b/>
          <w:sz w:val="24"/>
          <w:szCs w:val="24"/>
          <w:highlight w:val="none"/>
        </w:rPr>
      </w:pPr>
      <w:r>
        <w:rPr>
          <w:rFonts w:hint="eastAsia"/>
          <w:b/>
          <w:sz w:val="24"/>
          <w:szCs w:val="24"/>
          <w:highlight w:val="none"/>
        </w:rPr>
        <w:t>项目危险物质数量与临界量比值Q值的确定</w:t>
      </w:r>
    </w:p>
    <w:p>
      <w:pPr>
        <w:ind w:firstLine="480"/>
        <w:jc w:val="both"/>
        <w:rPr>
          <w:bCs/>
          <w:sz w:val="24"/>
          <w:szCs w:val="24"/>
          <w:highlight w:val="none"/>
        </w:rPr>
      </w:pPr>
      <w:r>
        <w:rPr>
          <w:rFonts w:hint="eastAsia"/>
          <w:bCs/>
          <w:sz w:val="24"/>
          <w:szCs w:val="24"/>
          <w:highlight w:val="none"/>
        </w:rPr>
        <w:t>按照《建设项目环境风险评价技术导则》（HJ169-2018）附录C对本项目涉及的危险物质进行风险识别，并确定其Q值。</w:t>
      </w:r>
    </w:p>
    <w:p>
      <w:pPr>
        <w:ind w:firstLine="480"/>
        <w:jc w:val="both"/>
        <w:rPr>
          <w:bCs/>
          <w:sz w:val="24"/>
          <w:szCs w:val="24"/>
          <w:highlight w:val="none"/>
        </w:rPr>
      </w:pPr>
      <w:r>
        <w:rPr>
          <w:rFonts w:hint="eastAsia"/>
          <w:bCs/>
          <w:sz w:val="24"/>
          <w:szCs w:val="24"/>
          <w:highlight w:val="none"/>
        </w:rPr>
        <w:t>计算所涉及的每种危险物质在厂界内的最大存在总量与其在附录B中对应临界量的比值Q。在不同厂区的同一种物质，按其在厂界内的最大存在总量计算。</w:t>
      </w:r>
    </w:p>
    <w:p>
      <w:pPr>
        <w:ind w:firstLine="480"/>
        <w:jc w:val="both"/>
        <w:rPr>
          <w:bCs/>
          <w:sz w:val="24"/>
          <w:szCs w:val="24"/>
          <w:highlight w:val="none"/>
        </w:rPr>
      </w:pPr>
      <w:r>
        <w:rPr>
          <w:rFonts w:hint="eastAsia"/>
          <w:bCs/>
          <w:sz w:val="24"/>
          <w:szCs w:val="24"/>
          <w:highlight w:val="none"/>
        </w:rPr>
        <w:t>当存在多种危险物质时，则按下式计算Q值：</w:t>
      </w:r>
    </w:p>
    <w:p>
      <w:pPr>
        <w:ind w:firstLine="560"/>
        <w:rPr>
          <w:highlight w:val="none"/>
        </w:rPr>
      </w:pPr>
      <w:r>
        <w:rPr>
          <w:highlight w:val="none"/>
        </w:rPr>
        <w:drawing>
          <wp:inline distT="0" distB="0" distL="114300" distR="114300">
            <wp:extent cx="1807210" cy="479425"/>
            <wp:effectExtent l="0" t="0" r="2540" b="15875"/>
            <wp:docPr id="13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1"/>
                    <pic:cNvPicPr>
                      <a:picLocks noChangeAspect="1"/>
                    </pic:cNvPicPr>
                  </pic:nvPicPr>
                  <pic:blipFill>
                    <a:blip r:embed="rId27" cstate="print"/>
                    <a:stretch>
                      <a:fillRect/>
                    </a:stretch>
                  </pic:blipFill>
                  <pic:spPr>
                    <a:xfrm>
                      <a:off x="0" y="0"/>
                      <a:ext cx="1807210" cy="479425"/>
                    </a:xfrm>
                    <a:prstGeom prst="rect">
                      <a:avLst/>
                    </a:prstGeom>
                    <a:noFill/>
                    <a:ln>
                      <a:noFill/>
                    </a:ln>
                  </pic:spPr>
                </pic:pic>
              </a:graphicData>
            </a:graphic>
          </wp:inline>
        </w:drawing>
      </w:r>
    </w:p>
    <w:p>
      <w:pPr>
        <w:ind w:firstLine="480"/>
        <w:jc w:val="both"/>
        <w:rPr>
          <w:bCs/>
          <w:sz w:val="24"/>
          <w:szCs w:val="24"/>
          <w:highlight w:val="none"/>
        </w:rPr>
      </w:pPr>
      <w:r>
        <w:rPr>
          <w:rFonts w:hint="eastAsia"/>
          <w:bCs/>
          <w:sz w:val="24"/>
          <w:szCs w:val="24"/>
          <w:highlight w:val="none"/>
        </w:rPr>
        <w:t>式中：q</w:t>
      </w:r>
      <w:r>
        <w:rPr>
          <w:rFonts w:hint="eastAsia"/>
          <w:bCs/>
          <w:sz w:val="24"/>
          <w:szCs w:val="24"/>
          <w:highlight w:val="none"/>
          <w:vertAlign w:val="subscript"/>
        </w:rPr>
        <w:t>1</w:t>
      </w:r>
      <w:r>
        <w:rPr>
          <w:rFonts w:hint="eastAsia"/>
          <w:bCs/>
          <w:sz w:val="24"/>
          <w:szCs w:val="24"/>
          <w:highlight w:val="none"/>
        </w:rPr>
        <w:t>，q</w:t>
      </w:r>
      <w:r>
        <w:rPr>
          <w:rFonts w:hint="eastAsia"/>
          <w:bCs/>
          <w:sz w:val="24"/>
          <w:szCs w:val="24"/>
          <w:highlight w:val="none"/>
          <w:vertAlign w:val="subscript"/>
        </w:rPr>
        <w:t>2</w:t>
      </w:r>
      <w:r>
        <w:rPr>
          <w:rFonts w:hint="eastAsia"/>
          <w:bCs/>
          <w:sz w:val="24"/>
          <w:szCs w:val="24"/>
          <w:highlight w:val="none"/>
        </w:rPr>
        <w:t>，...，q</w:t>
      </w:r>
      <w:r>
        <w:rPr>
          <w:rFonts w:hint="eastAsia"/>
          <w:bCs/>
          <w:sz w:val="24"/>
          <w:szCs w:val="24"/>
          <w:highlight w:val="none"/>
          <w:vertAlign w:val="subscript"/>
        </w:rPr>
        <w:t>n</w:t>
      </w:r>
      <w:r>
        <w:rPr>
          <w:rFonts w:hint="eastAsia"/>
          <w:bCs/>
          <w:sz w:val="24"/>
          <w:szCs w:val="24"/>
          <w:highlight w:val="none"/>
        </w:rPr>
        <w:t>——每种危险物质的最大存在总量，t；</w:t>
      </w:r>
    </w:p>
    <w:p>
      <w:pPr>
        <w:ind w:firstLine="480"/>
        <w:jc w:val="both"/>
        <w:rPr>
          <w:bCs/>
          <w:sz w:val="24"/>
          <w:szCs w:val="24"/>
          <w:highlight w:val="none"/>
        </w:rPr>
      </w:pPr>
      <w:r>
        <w:rPr>
          <w:rFonts w:hint="eastAsia"/>
          <w:bCs/>
          <w:sz w:val="24"/>
          <w:szCs w:val="24"/>
          <w:highlight w:val="none"/>
        </w:rPr>
        <w:t>Q</w:t>
      </w:r>
      <w:r>
        <w:rPr>
          <w:rFonts w:hint="eastAsia"/>
          <w:bCs/>
          <w:sz w:val="24"/>
          <w:szCs w:val="24"/>
          <w:highlight w:val="none"/>
          <w:vertAlign w:val="subscript"/>
        </w:rPr>
        <w:t>1</w:t>
      </w:r>
      <w:r>
        <w:rPr>
          <w:rFonts w:hint="eastAsia"/>
          <w:bCs/>
          <w:sz w:val="24"/>
          <w:szCs w:val="24"/>
          <w:highlight w:val="none"/>
        </w:rPr>
        <w:t>，Q</w:t>
      </w:r>
      <w:r>
        <w:rPr>
          <w:rFonts w:hint="eastAsia"/>
          <w:bCs/>
          <w:sz w:val="24"/>
          <w:szCs w:val="24"/>
          <w:highlight w:val="none"/>
          <w:vertAlign w:val="subscript"/>
        </w:rPr>
        <w:t>2</w:t>
      </w:r>
      <w:r>
        <w:rPr>
          <w:rFonts w:hint="eastAsia"/>
          <w:bCs/>
          <w:sz w:val="24"/>
          <w:szCs w:val="24"/>
          <w:highlight w:val="none"/>
        </w:rPr>
        <w:t>，...，Q</w:t>
      </w:r>
      <w:r>
        <w:rPr>
          <w:rFonts w:hint="eastAsia"/>
          <w:bCs/>
          <w:sz w:val="24"/>
          <w:szCs w:val="24"/>
          <w:highlight w:val="none"/>
          <w:vertAlign w:val="subscript"/>
        </w:rPr>
        <w:t>n</w:t>
      </w:r>
      <w:r>
        <w:rPr>
          <w:rFonts w:hint="eastAsia"/>
          <w:bCs/>
          <w:sz w:val="24"/>
          <w:szCs w:val="24"/>
          <w:highlight w:val="none"/>
        </w:rPr>
        <w:t>——每种危险物质的临界量，t。</w:t>
      </w:r>
    </w:p>
    <w:p>
      <w:pPr>
        <w:ind w:firstLine="480"/>
        <w:jc w:val="both"/>
        <w:rPr>
          <w:bCs/>
          <w:sz w:val="24"/>
          <w:szCs w:val="24"/>
          <w:highlight w:val="none"/>
        </w:rPr>
      </w:pPr>
      <w:r>
        <w:rPr>
          <w:rFonts w:hint="eastAsia"/>
          <w:bCs/>
          <w:sz w:val="24"/>
          <w:szCs w:val="24"/>
          <w:highlight w:val="none"/>
        </w:rPr>
        <w:t>当Q＜1时，该项目环境风险潜势为Ⅰ。</w:t>
      </w:r>
    </w:p>
    <w:p>
      <w:pPr>
        <w:ind w:firstLine="480"/>
        <w:jc w:val="both"/>
        <w:rPr>
          <w:bCs/>
          <w:sz w:val="24"/>
          <w:szCs w:val="24"/>
          <w:highlight w:val="none"/>
        </w:rPr>
      </w:pPr>
      <w:r>
        <w:rPr>
          <w:rFonts w:hint="eastAsia"/>
          <w:bCs/>
          <w:sz w:val="24"/>
          <w:szCs w:val="24"/>
          <w:highlight w:val="none"/>
        </w:rPr>
        <w:t>当Q≥1时，将Q值划分为：（1）1≤Q＜10；（2）10≤Q＜100；（3）Q≥100。</w:t>
      </w:r>
    </w:p>
    <w:p>
      <w:pPr>
        <w:pStyle w:val="15"/>
        <w:ind w:firstLine="480"/>
        <w:rPr>
          <w:rFonts w:ascii="Times New Roman" w:hAnsi="Times New Roman" w:eastAsia="黑体" w:cs="Times New Roman"/>
          <w:b w:val="0"/>
          <w:bCs/>
          <w:snapToGrid/>
          <w:kern w:val="2"/>
          <w:sz w:val="21"/>
          <w:szCs w:val="21"/>
          <w:highlight w:val="none"/>
        </w:rPr>
      </w:pPr>
      <w:r>
        <w:rPr>
          <w:rFonts w:hint="eastAsia" w:ascii="Times New Roman" w:hAnsi="Times New Roman" w:eastAsia="黑体" w:cs="Times New Roman"/>
          <w:b w:val="0"/>
          <w:bCs/>
          <w:snapToGrid/>
          <w:kern w:val="2"/>
          <w:sz w:val="21"/>
          <w:szCs w:val="21"/>
          <w:highlight w:val="none"/>
        </w:rPr>
        <w:t xml:space="preserve">表5.2-28 </w:t>
      </w:r>
      <w:r>
        <w:rPr>
          <w:rFonts w:ascii="Times New Roman" w:hAnsi="Times New Roman" w:eastAsia="黑体" w:cs="Times New Roman"/>
          <w:b w:val="0"/>
          <w:bCs/>
          <w:snapToGrid/>
          <w:kern w:val="2"/>
          <w:sz w:val="21"/>
          <w:szCs w:val="21"/>
          <w:highlight w:val="none"/>
        </w:rPr>
        <w:t xml:space="preserve">  </w:t>
      </w:r>
      <w:r>
        <w:rPr>
          <w:rFonts w:hint="eastAsia" w:ascii="Times New Roman" w:hAnsi="Times New Roman" w:eastAsia="黑体" w:cs="Times New Roman"/>
          <w:b w:val="0"/>
          <w:bCs/>
          <w:snapToGrid/>
          <w:kern w:val="2"/>
          <w:sz w:val="21"/>
          <w:szCs w:val="21"/>
          <w:highlight w:val="none"/>
        </w:rPr>
        <w:t>项目危险物质储存情况一览表</w:t>
      </w:r>
    </w:p>
    <w:tbl>
      <w:tblPr>
        <w:tblStyle w:val="56"/>
        <w:tblW w:w="8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9"/>
        <w:gridCol w:w="901"/>
        <w:gridCol w:w="514"/>
        <w:gridCol w:w="886"/>
        <w:gridCol w:w="1453"/>
        <w:gridCol w:w="1451"/>
        <w:gridCol w:w="1058"/>
        <w:gridCol w:w="901"/>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exact"/>
          <w:tblHeader/>
          <w:jc w:val="center"/>
        </w:trPr>
        <w:tc>
          <w:tcPr>
            <w:tcW w:w="459" w:type="dxa"/>
            <w:shd w:val="clear" w:color="auto" w:fill="auto"/>
            <w:vAlign w:val="center"/>
          </w:tcPr>
          <w:p>
            <w:pPr>
              <w:pStyle w:val="417"/>
              <w:spacing w:line="240" w:lineRule="auto"/>
              <w:rPr>
                <w:highlight w:val="none"/>
              </w:rPr>
            </w:pPr>
            <w:r>
              <w:rPr>
                <w:highlight w:val="none"/>
              </w:rPr>
              <w:t>序号</w:t>
            </w:r>
          </w:p>
        </w:tc>
        <w:tc>
          <w:tcPr>
            <w:tcW w:w="901" w:type="dxa"/>
            <w:shd w:val="clear" w:color="auto" w:fill="auto"/>
            <w:vAlign w:val="center"/>
          </w:tcPr>
          <w:p>
            <w:pPr>
              <w:pStyle w:val="417"/>
              <w:spacing w:line="240" w:lineRule="auto"/>
              <w:rPr>
                <w:highlight w:val="none"/>
              </w:rPr>
            </w:pPr>
            <w:r>
              <w:rPr>
                <w:highlight w:val="none"/>
              </w:rPr>
              <w:t>项  目</w:t>
            </w:r>
          </w:p>
        </w:tc>
        <w:tc>
          <w:tcPr>
            <w:tcW w:w="514" w:type="dxa"/>
            <w:shd w:val="clear" w:color="auto" w:fill="auto"/>
            <w:vAlign w:val="center"/>
          </w:tcPr>
          <w:p>
            <w:pPr>
              <w:pStyle w:val="417"/>
              <w:spacing w:line="240" w:lineRule="auto"/>
              <w:rPr>
                <w:highlight w:val="none"/>
              </w:rPr>
            </w:pPr>
            <w:r>
              <w:rPr>
                <w:rFonts w:hint="eastAsia"/>
                <w:highlight w:val="none"/>
              </w:rPr>
              <w:t>形态</w:t>
            </w:r>
          </w:p>
        </w:tc>
        <w:tc>
          <w:tcPr>
            <w:tcW w:w="886" w:type="dxa"/>
            <w:shd w:val="clear" w:color="auto" w:fill="auto"/>
            <w:vAlign w:val="center"/>
          </w:tcPr>
          <w:p>
            <w:pPr>
              <w:pStyle w:val="417"/>
              <w:spacing w:line="240" w:lineRule="auto"/>
              <w:rPr>
                <w:highlight w:val="none"/>
              </w:rPr>
            </w:pPr>
            <w:r>
              <w:rPr>
                <w:highlight w:val="none"/>
              </w:rPr>
              <w:t>年用量（t）</w:t>
            </w:r>
          </w:p>
        </w:tc>
        <w:tc>
          <w:tcPr>
            <w:tcW w:w="1453" w:type="dxa"/>
            <w:shd w:val="clear" w:color="auto" w:fill="auto"/>
            <w:vAlign w:val="center"/>
          </w:tcPr>
          <w:p>
            <w:pPr>
              <w:pStyle w:val="417"/>
              <w:spacing w:line="240" w:lineRule="auto"/>
              <w:rPr>
                <w:highlight w:val="none"/>
              </w:rPr>
            </w:pPr>
            <w:r>
              <w:rPr>
                <w:highlight w:val="none"/>
              </w:rPr>
              <w:t>循环使用量（t）</w:t>
            </w:r>
          </w:p>
        </w:tc>
        <w:tc>
          <w:tcPr>
            <w:tcW w:w="1451" w:type="dxa"/>
            <w:shd w:val="clear" w:color="auto" w:fill="auto"/>
            <w:vAlign w:val="center"/>
          </w:tcPr>
          <w:p>
            <w:pPr>
              <w:pStyle w:val="417"/>
              <w:spacing w:line="240" w:lineRule="auto"/>
              <w:rPr>
                <w:highlight w:val="none"/>
              </w:rPr>
            </w:pPr>
            <w:r>
              <w:rPr>
                <w:highlight w:val="none"/>
              </w:rPr>
              <w:t>包装规格</w:t>
            </w:r>
          </w:p>
        </w:tc>
        <w:tc>
          <w:tcPr>
            <w:tcW w:w="1058" w:type="dxa"/>
            <w:shd w:val="clear" w:color="auto" w:fill="auto"/>
            <w:vAlign w:val="center"/>
          </w:tcPr>
          <w:p>
            <w:pPr>
              <w:pStyle w:val="417"/>
              <w:spacing w:line="240" w:lineRule="auto"/>
              <w:rPr>
                <w:highlight w:val="none"/>
              </w:rPr>
            </w:pPr>
            <w:r>
              <w:rPr>
                <w:highlight w:val="none"/>
              </w:rPr>
              <w:t>储存量（t）</w:t>
            </w:r>
          </w:p>
        </w:tc>
        <w:tc>
          <w:tcPr>
            <w:tcW w:w="901" w:type="dxa"/>
            <w:vAlign w:val="center"/>
          </w:tcPr>
          <w:p>
            <w:pPr>
              <w:pStyle w:val="417"/>
              <w:spacing w:line="240" w:lineRule="auto"/>
              <w:rPr>
                <w:highlight w:val="none"/>
              </w:rPr>
            </w:pPr>
            <w:r>
              <w:rPr>
                <w:highlight w:val="none"/>
              </w:rPr>
              <w:t>储存方式</w:t>
            </w:r>
          </w:p>
        </w:tc>
        <w:tc>
          <w:tcPr>
            <w:tcW w:w="892" w:type="dxa"/>
            <w:vAlign w:val="center"/>
          </w:tcPr>
          <w:p>
            <w:pPr>
              <w:pStyle w:val="417"/>
              <w:spacing w:line="240" w:lineRule="auto"/>
              <w:rPr>
                <w:highlight w:val="none"/>
              </w:rPr>
            </w:pPr>
            <w:r>
              <w:rPr>
                <w:highlight w:val="none"/>
              </w:rPr>
              <w:t>储存地点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59" w:type="dxa"/>
            <w:shd w:val="clear" w:color="auto" w:fill="auto"/>
            <w:vAlign w:val="center"/>
          </w:tcPr>
          <w:p>
            <w:pPr>
              <w:pStyle w:val="417"/>
              <w:spacing w:line="240" w:lineRule="auto"/>
              <w:rPr>
                <w:highlight w:val="none"/>
              </w:rPr>
            </w:pPr>
            <w:r>
              <w:rPr>
                <w:highlight w:val="none"/>
              </w:rPr>
              <w:t>1</w:t>
            </w:r>
          </w:p>
        </w:tc>
        <w:tc>
          <w:tcPr>
            <w:tcW w:w="901" w:type="dxa"/>
            <w:shd w:val="clear" w:color="auto" w:fill="auto"/>
            <w:vAlign w:val="center"/>
          </w:tcPr>
          <w:p>
            <w:pPr>
              <w:pStyle w:val="417"/>
              <w:spacing w:line="240" w:lineRule="auto"/>
              <w:rPr>
                <w:highlight w:val="none"/>
              </w:rPr>
            </w:pPr>
            <w:r>
              <w:rPr>
                <w:rFonts w:hint="eastAsia"/>
                <w:highlight w:val="none"/>
              </w:rPr>
              <w:t>废矿物油</w:t>
            </w:r>
          </w:p>
        </w:tc>
        <w:tc>
          <w:tcPr>
            <w:tcW w:w="514" w:type="dxa"/>
            <w:shd w:val="clear" w:color="auto" w:fill="auto"/>
            <w:vAlign w:val="center"/>
          </w:tcPr>
          <w:p>
            <w:pPr>
              <w:pStyle w:val="417"/>
              <w:spacing w:line="240" w:lineRule="auto"/>
              <w:rPr>
                <w:highlight w:val="none"/>
              </w:rPr>
            </w:pPr>
            <w:r>
              <w:rPr>
                <w:rFonts w:hint="eastAsia"/>
                <w:highlight w:val="none"/>
              </w:rPr>
              <w:t>液</w:t>
            </w:r>
          </w:p>
        </w:tc>
        <w:tc>
          <w:tcPr>
            <w:tcW w:w="886" w:type="dxa"/>
            <w:shd w:val="clear" w:color="auto" w:fill="auto"/>
            <w:vAlign w:val="center"/>
          </w:tcPr>
          <w:p>
            <w:pPr>
              <w:pStyle w:val="417"/>
              <w:spacing w:line="240" w:lineRule="auto"/>
              <w:rPr>
                <w:highlight w:val="none"/>
              </w:rPr>
            </w:pPr>
            <w:r>
              <w:rPr>
                <w:rFonts w:hint="eastAsia"/>
                <w:highlight w:val="none"/>
              </w:rPr>
              <w:t>0.6</w:t>
            </w:r>
          </w:p>
        </w:tc>
        <w:tc>
          <w:tcPr>
            <w:tcW w:w="1453" w:type="dxa"/>
            <w:shd w:val="clear" w:color="auto" w:fill="auto"/>
            <w:vAlign w:val="center"/>
          </w:tcPr>
          <w:p>
            <w:pPr>
              <w:pStyle w:val="417"/>
              <w:spacing w:line="240" w:lineRule="auto"/>
              <w:rPr>
                <w:highlight w:val="none"/>
              </w:rPr>
            </w:pPr>
            <w:r>
              <w:rPr>
                <w:highlight w:val="none"/>
              </w:rPr>
              <w:t>—</w:t>
            </w:r>
          </w:p>
        </w:tc>
        <w:tc>
          <w:tcPr>
            <w:tcW w:w="1451" w:type="dxa"/>
            <w:shd w:val="clear" w:color="auto" w:fill="auto"/>
            <w:vAlign w:val="center"/>
          </w:tcPr>
          <w:p>
            <w:pPr>
              <w:pStyle w:val="417"/>
              <w:spacing w:line="240" w:lineRule="auto"/>
              <w:rPr>
                <w:highlight w:val="none"/>
              </w:rPr>
            </w:pPr>
            <w:r>
              <w:rPr>
                <w:highlight w:val="none"/>
              </w:rPr>
              <w:t>25kg/桶</w:t>
            </w:r>
          </w:p>
        </w:tc>
        <w:tc>
          <w:tcPr>
            <w:tcW w:w="1058" w:type="dxa"/>
            <w:shd w:val="clear" w:color="auto" w:fill="auto"/>
            <w:vAlign w:val="center"/>
          </w:tcPr>
          <w:p>
            <w:pPr>
              <w:pStyle w:val="417"/>
              <w:spacing w:line="240" w:lineRule="auto"/>
              <w:rPr>
                <w:highlight w:val="none"/>
              </w:rPr>
            </w:pPr>
            <w:r>
              <w:rPr>
                <w:rFonts w:hint="eastAsia"/>
                <w:highlight w:val="none"/>
              </w:rPr>
              <w:t>0.3</w:t>
            </w:r>
          </w:p>
        </w:tc>
        <w:tc>
          <w:tcPr>
            <w:tcW w:w="901" w:type="dxa"/>
            <w:vAlign w:val="center"/>
          </w:tcPr>
          <w:p>
            <w:pPr>
              <w:pStyle w:val="417"/>
              <w:spacing w:line="240" w:lineRule="auto"/>
              <w:rPr>
                <w:highlight w:val="none"/>
              </w:rPr>
            </w:pPr>
            <w:r>
              <w:rPr>
                <w:rFonts w:hint="eastAsia"/>
                <w:highlight w:val="none"/>
              </w:rPr>
              <w:t>塑料桶</w:t>
            </w:r>
          </w:p>
        </w:tc>
        <w:tc>
          <w:tcPr>
            <w:tcW w:w="892" w:type="dxa"/>
            <w:vAlign w:val="center"/>
          </w:tcPr>
          <w:p>
            <w:pPr>
              <w:pStyle w:val="417"/>
              <w:spacing w:line="240" w:lineRule="auto"/>
              <w:rPr>
                <w:highlight w:val="none"/>
              </w:rPr>
            </w:pPr>
            <w:r>
              <w:rPr>
                <w:rFonts w:hint="eastAsia"/>
                <w:highlight w:val="none"/>
              </w:rPr>
              <w:t>危废间</w:t>
            </w:r>
          </w:p>
        </w:tc>
      </w:tr>
    </w:tbl>
    <w:p>
      <w:pPr>
        <w:pStyle w:val="15"/>
        <w:ind w:firstLine="480"/>
        <w:rPr>
          <w:rFonts w:ascii="Times New Roman" w:hAnsi="Times New Roman" w:eastAsia="黑体" w:cs="Times New Roman"/>
          <w:b w:val="0"/>
          <w:bCs/>
          <w:snapToGrid/>
          <w:kern w:val="2"/>
          <w:sz w:val="21"/>
          <w:szCs w:val="21"/>
          <w:highlight w:val="none"/>
        </w:rPr>
      </w:pPr>
    </w:p>
    <w:p>
      <w:pPr>
        <w:pStyle w:val="15"/>
        <w:ind w:firstLine="480"/>
        <w:rPr>
          <w:rFonts w:ascii="Times New Roman" w:hAnsi="Times New Roman" w:eastAsia="黑体" w:cs="Times New Roman"/>
          <w:b w:val="0"/>
          <w:bCs/>
          <w:snapToGrid/>
          <w:kern w:val="2"/>
          <w:sz w:val="21"/>
          <w:szCs w:val="21"/>
          <w:highlight w:val="none"/>
        </w:rPr>
      </w:pPr>
      <w:r>
        <w:rPr>
          <w:rFonts w:hint="eastAsia" w:ascii="Times New Roman" w:hAnsi="Times New Roman" w:eastAsia="黑体" w:cs="Times New Roman"/>
          <w:b w:val="0"/>
          <w:bCs/>
          <w:snapToGrid/>
          <w:kern w:val="2"/>
          <w:sz w:val="21"/>
          <w:szCs w:val="21"/>
          <w:highlight w:val="none"/>
        </w:rPr>
        <w:t>表5.2-29  本项目危险物质数量与临界量比值Q确定表</w:t>
      </w:r>
    </w:p>
    <w:tbl>
      <w:tblPr>
        <w:tblStyle w:val="56"/>
        <w:tblW w:w="85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3"/>
        <w:gridCol w:w="1613"/>
        <w:gridCol w:w="1413"/>
        <w:gridCol w:w="1911"/>
        <w:gridCol w:w="1387"/>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593" w:type="dxa"/>
            <w:shd w:val="clear" w:color="auto" w:fill="auto"/>
            <w:vAlign w:val="center"/>
          </w:tcPr>
          <w:p>
            <w:pPr>
              <w:pStyle w:val="417"/>
              <w:spacing w:line="240" w:lineRule="auto"/>
              <w:rPr>
                <w:highlight w:val="none"/>
              </w:rPr>
            </w:pPr>
            <w:r>
              <w:rPr>
                <w:highlight w:val="none"/>
              </w:rPr>
              <w:t>序号</w:t>
            </w:r>
          </w:p>
        </w:tc>
        <w:tc>
          <w:tcPr>
            <w:tcW w:w="1613" w:type="dxa"/>
            <w:shd w:val="clear" w:color="auto" w:fill="auto"/>
            <w:vAlign w:val="center"/>
          </w:tcPr>
          <w:p>
            <w:pPr>
              <w:pStyle w:val="417"/>
              <w:spacing w:line="240" w:lineRule="auto"/>
              <w:rPr>
                <w:highlight w:val="none"/>
              </w:rPr>
            </w:pPr>
            <w:r>
              <w:rPr>
                <w:highlight w:val="none"/>
              </w:rPr>
              <w:t>危险物质名称</w:t>
            </w:r>
          </w:p>
        </w:tc>
        <w:tc>
          <w:tcPr>
            <w:tcW w:w="1413" w:type="dxa"/>
            <w:shd w:val="clear" w:color="auto" w:fill="auto"/>
            <w:vAlign w:val="center"/>
          </w:tcPr>
          <w:p>
            <w:pPr>
              <w:pStyle w:val="417"/>
              <w:spacing w:line="240" w:lineRule="auto"/>
              <w:rPr>
                <w:highlight w:val="none"/>
              </w:rPr>
            </w:pPr>
            <w:r>
              <w:rPr>
                <w:highlight w:val="none"/>
              </w:rPr>
              <w:t>CAS号</w:t>
            </w:r>
          </w:p>
        </w:tc>
        <w:tc>
          <w:tcPr>
            <w:tcW w:w="1911" w:type="dxa"/>
            <w:shd w:val="clear" w:color="auto" w:fill="auto"/>
            <w:vAlign w:val="center"/>
          </w:tcPr>
          <w:p>
            <w:pPr>
              <w:pStyle w:val="417"/>
              <w:spacing w:line="240" w:lineRule="auto"/>
              <w:rPr>
                <w:highlight w:val="none"/>
              </w:rPr>
            </w:pPr>
            <w:r>
              <w:rPr>
                <w:highlight w:val="none"/>
              </w:rPr>
              <w:t>最大存在量qn/t</w:t>
            </w:r>
          </w:p>
        </w:tc>
        <w:tc>
          <w:tcPr>
            <w:tcW w:w="1387" w:type="dxa"/>
            <w:shd w:val="clear" w:color="auto" w:fill="auto"/>
            <w:vAlign w:val="center"/>
          </w:tcPr>
          <w:p>
            <w:pPr>
              <w:pStyle w:val="417"/>
              <w:spacing w:line="240" w:lineRule="auto"/>
              <w:rPr>
                <w:highlight w:val="none"/>
              </w:rPr>
            </w:pPr>
            <w:r>
              <w:rPr>
                <w:highlight w:val="none"/>
              </w:rPr>
              <w:t>临界量Q</w:t>
            </w:r>
            <w:r>
              <w:rPr>
                <w:highlight w:val="none"/>
                <w:vertAlign w:val="subscript"/>
              </w:rPr>
              <w:t>n</w:t>
            </w:r>
            <w:r>
              <w:rPr>
                <w:highlight w:val="none"/>
              </w:rPr>
              <w:t>/t</w:t>
            </w:r>
          </w:p>
        </w:tc>
        <w:tc>
          <w:tcPr>
            <w:tcW w:w="1644" w:type="dxa"/>
            <w:shd w:val="clear" w:color="auto" w:fill="auto"/>
            <w:vAlign w:val="center"/>
          </w:tcPr>
          <w:p>
            <w:pPr>
              <w:pStyle w:val="417"/>
              <w:spacing w:line="240" w:lineRule="auto"/>
              <w:rPr>
                <w:highlight w:val="none"/>
              </w:rPr>
            </w:pPr>
            <w:r>
              <w:rPr>
                <w:highlight w:val="none"/>
              </w:rPr>
              <w:t>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593" w:type="dxa"/>
            <w:shd w:val="clear" w:color="auto" w:fill="auto"/>
            <w:vAlign w:val="center"/>
          </w:tcPr>
          <w:p>
            <w:pPr>
              <w:pStyle w:val="417"/>
              <w:spacing w:line="240" w:lineRule="auto"/>
              <w:rPr>
                <w:highlight w:val="none"/>
              </w:rPr>
            </w:pPr>
            <w:r>
              <w:rPr>
                <w:highlight w:val="none"/>
              </w:rPr>
              <w:t>1</w:t>
            </w:r>
          </w:p>
        </w:tc>
        <w:tc>
          <w:tcPr>
            <w:tcW w:w="1613" w:type="dxa"/>
            <w:shd w:val="clear" w:color="auto" w:fill="auto"/>
            <w:vAlign w:val="center"/>
          </w:tcPr>
          <w:p>
            <w:pPr>
              <w:pStyle w:val="417"/>
              <w:spacing w:line="240" w:lineRule="auto"/>
              <w:rPr>
                <w:highlight w:val="none"/>
              </w:rPr>
            </w:pPr>
            <w:r>
              <w:rPr>
                <w:rFonts w:hint="eastAsia"/>
                <w:highlight w:val="none"/>
              </w:rPr>
              <w:t>废矿物油</w:t>
            </w:r>
          </w:p>
        </w:tc>
        <w:tc>
          <w:tcPr>
            <w:tcW w:w="1413" w:type="dxa"/>
            <w:shd w:val="clear" w:color="auto" w:fill="auto"/>
            <w:vAlign w:val="center"/>
          </w:tcPr>
          <w:p>
            <w:pPr>
              <w:pStyle w:val="417"/>
              <w:spacing w:line="240" w:lineRule="auto"/>
              <w:rPr>
                <w:highlight w:val="none"/>
              </w:rPr>
            </w:pPr>
            <w:r>
              <w:rPr>
                <w:highlight w:val="none"/>
              </w:rPr>
              <w:t>--</w:t>
            </w:r>
          </w:p>
        </w:tc>
        <w:tc>
          <w:tcPr>
            <w:tcW w:w="1911" w:type="dxa"/>
            <w:shd w:val="clear" w:color="auto" w:fill="auto"/>
            <w:vAlign w:val="center"/>
          </w:tcPr>
          <w:p>
            <w:pPr>
              <w:pStyle w:val="417"/>
              <w:spacing w:line="240" w:lineRule="auto"/>
              <w:rPr>
                <w:highlight w:val="none"/>
              </w:rPr>
            </w:pPr>
            <w:r>
              <w:rPr>
                <w:rFonts w:hint="eastAsia"/>
                <w:highlight w:val="none"/>
              </w:rPr>
              <w:t>0.3</w:t>
            </w:r>
          </w:p>
        </w:tc>
        <w:tc>
          <w:tcPr>
            <w:tcW w:w="1387" w:type="dxa"/>
            <w:shd w:val="clear" w:color="auto" w:fill="auto"/>
            <w:vAlign w:val="center"/>
          </w:tcPr>
          <w:p>
            <w:pPr>
              <w:pStyle w:val="417"/>
              <w:spacing w:line="240" w:lineRule="auto"/>
              <w:rPr>
                <w:highlight w:val="none"/>
              </w:rPr>
            </w:pPr>
            <w:r>
              <w:rPr>
                <w:rFonts w:hint="eastAsia"/>
                <w:highlight w:val="none"/>
              </w:rPr>
              <w:t>1</w:t>
            </w:r>
            <w:r>
              <w:rPr>
                <w:highlight w:val="none"/>
              </w:rPr>
              <w:t>00</w:t>
            </w:r>
          </w:p>
        </w:tc>
        <w:tc>
          <w:tcPr>
            <w:tcW w:w="1644" w:type="dxa"/>
            <w:shd w:val="clear" w:color="auto" w:fill="auto"/>
            <w:vAlign w:val="center"/>
          </w:tcPr>
          <w:p>
            <w:pPr>
              <w:pStyle w:val="417"/>
              <w:spacing w:line="240" w:lineRule="auto"/>
              <w:rPr>
                <w:highlight w:val="none"/>
              </w:rPr>
            </w:pPr>
            <w:r>
              <w:rPr>
                <w:highlight w:val="none"/>
              </w:rPr>
              <w:t>0.00</w:t>
            </w:r>
            <w:r>
              <w:rPr>
                <w:rFonts w:hint="eastAsia"/>
                <w:highlight w:val="none"/>
              </w:rPr>
              <w:t>3</w:t>
            </w:r>
          </w:p>
        </w:tc>
      </w:tr>
    </w:tbl>
    <w:p>
      <w:pPr>
        <w:ind w:firstLine="480"/>
        <w:jc w:val="both"/>
        <w:rPr>
          <w:bCs/>
          <w:sz w:val="24"/>
          <w:szCs w:val="24"/>
          <w:highlight w:val="none"/>
        </w:rPr>
      </w:pPr>
      <w:r>
        <w:rPr>
          <w:rFonts w:hint="eastAsia"/>
          <w:bCs/>
          <w:sz w:val="24"/>
          <w:szCs w:val="24"/>
          <w:highlight w:val="none"/>
        </w:rPr>
        <w:t>表5.2-41可知，本项目Q=0.003，Q＜1。因此，确定本项目环境风险潜势为Ⅰ。</w:t>
      </w:r>
    </w:p>
    <w:p>
      <w:pPr>
        <w:ind w:firstLine="480"/>
        <w:jc w:val="both"/>
        <w:rPr>
          <w:bCs/>
          <w:sz w:val="24"/>
          <w:szCs w:val="24"/>
          <w:highlight w:val="none"/>
        </w:rPr>
      </w:pPr>
      <w:r>
        <w:rPr>
          <w:rFonts w:hint="eastAsia"/>
          <w:bCs/>
          <w:sz w:val="24"/>
          <w:szCs w:val="24"/>
          <w:highlight w:val="none"/>
        </w:rPr>
        <w:t>（3）评价等级</w:t>
      </w:r>
    </w:p>
    <w:p>
      <w:pPr>
        <w:ind w:firstLine="480"/>
        <w:jc w:val="both"/>
        <w:rPr>
          <w:bCs/>
          <w:sz w:val="24"/>
          <w:szCs w:val="24"/>
          <w:highlight w:val="none"/>
        </w:rPr>
      </w:pPr>
      <w:r>
        <w:rPr>
          <w:rFonts w:hint="eastAsia"/>
          <w:bCs/>
          <w:sz w:val="24"/>
          <w:szCs w:val="24"/>
          <w:highlight w:val="none"/>
        </w:rPr>
        <w:t xml:space="preserve">根据《建设项目环境风险评价技术导则》（HJ169-2018）的要求，环境风险评价工作等级划分为一级、二级、三级，根据建设项目涉及的危险物质及工艺系统危险性和所在地的环境敏感性确定环境风险潜势。风险潜势为Ⅳ及以上，进行一级评价；风险潜势为Ⅲ，进行二级评价；风险潜势为Ⅱ，进行三级评价；风险潜势为Ⅰ，可开展简单分析。评价工作级别划分见表 </w:t>
      </w:r>
      <w:r>
        <w:rPr>
          <w:bCs/>
          <w:sz w:val="24"/>
          <w:szCs w:val="24"/>
          <w:highlight w:val="none"/>
        </w:rPr>
        <w:t>5.2-</w:t>
      </w:r>
      <w:r>
        <w:rPr>
          <w:rFonts w:hint="eastAsia"/>
          <w:bCs/>
          <w:sz w:val="24"/>
          <w:szCs w:val="24"/>
          <w:highlight w:val="none"/>
        </w:rPr>
        <w:t>30。</w:t>
      </w:r>
    </w:p>
    <w:p>
      <w:pPr>
        <w:pStyle w:val="2"/>
        <w:ind w:firstLine="560"/>
        <w:rPr>
          <w:highlight w:val="none"/>
        </w:rPr>
      </w:pPr>
    </w:p>
    <w:p>
      <w:pPr>
        <w:ind w:firstLine="420"/>
        <w:jc w:val="center"/>
        <w:rPr>
          <w:rFonts w:eastAsia="黑体"/>
          <w:bCs/>
          <w:kern w:val="2"/>
          <w:sz w:val="21"/>
          <w:szCs w:val="21"/>
          <w:highlight w:val="none"/>
        </w:rPr>
      </w:pPr>
      <w:r>
        <w:rPr>
          <w:rFonts w:hint="eastAsia" w:eastAsia="黑体"/>
          <w:bCs/>
          <w:kern w:val="2"/>
          <w:sz w:val="21"/>
          <w:szCs w:val="21"/>
          <w:highlight w:val="none"/>
        </w:rPr>
        <w:t xml:space="preserve">表 </w:t>
      </w:r>
      <w:r>
        <w:rPr>
          <w:rFonts w:eastAsia="黑体"/>
          <w:bCs/>
          <w:kern w:val="2"/>
          <w:sz w:val="21"/>
          <w:szCs w:val="21"/>
          <w:highlight w:val="none"/>
        </w:rPr>
        <w:t>5.2-</w:t>
      </w:r>
      <w:r>
        <w:rPr>
          <w:rFonts w:hint="eastAsia" w:eastAsia="黑体"/>
          <w:bCs/>
          <w:kern w:val="2"/>
          <w:sz w:val="21"/>
          <w:szCs w:val="21"/>
          <w:highlight w:val="none"/>
        </w:rPr>
        <w:t>30   评价工作级别划分一览表</w:t>
      </w:r>
    </w:p>
    <w:tbl>
      <w:tblPr>
        <w:tblStyle w:val="56"/>
        <w:tblW w:w="8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13"/>
        <w:gridCol w:w="1716"/>
        <w:gridCol w:w="1710"/>
        <w:gridCol w:w="1710"/>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713" w:type="dxa"/>
            <w:shd w:val="clear" w:color="auto" w:fill="auto"/>
          </w:tcPr>
          <w:p>
            <w:pPr>
              <w:pStyle w:val="417"/>
              <w:spacing w:line="240" w:lineRule="auto"/>
              <w:rPr>
                <w:highlight w:val="none"/>
              </w:rPr>
            </w:pPr>
            <w:r>
              <w:rPr>
                <w:rFonts w:hint="eastAsia"/>
                <w:highlight w:val="none"/>
              </w:rPr>
              <w:t>环境风险潜势</w:t>
            </w:r>
          </w:p>
        </w:tc>
        <w:tc>
          <w:tcPr>
            <w:tcW w:w="1716" w:type="dxa"/>
            <w:shd w:val="clear" w:color="auto" w:fill="auto"/>
          </w:tcPr>
          <w:p>
            <w:pPr>
              <w:pStyle w:val="417"/>
              <w:spacing w:line="240" w:lineRule="auto"/>
              <w:rPr>
                <w:highlight w:val="none"/>
              </w:rPr>
            </w:pPr>
            <w:r>
              <w:rPr>
                <w:rFonts w:hint="eastAsia"/>
                <w:highlight w:val="none"/>
              </w:rPr>
              <w:t>Ⅳ</w:t>
            </w:r>
            <w:r>
              <w:rPr>
                <w:highlight w:val="none"/>
              </w:rPr>
              <w:t>、</w:t>
            </w:r>
            <w:r>
              <w:rPr>
                <w:rFonts w:hint="eastAsia"/>
                <w:highlight w:val="none"/>
              </w:rPr>
              <w:t>Ⅳ</w:t>
            </w:r>
            <w:r>
              <w:rPr>
                <w:highlight w:val="none"/>
              </w:rPr>
              <w:t>+</w:t>
            </w:r>
          </w:p>
        </w:tc>
        <w:tc>
          <w:tcPr>
            <w:tcW w:w="1710" w:type="dxa"/>
            <w:shd w:val="clear" w:color="auto" w:fill="auto"/>
          </w:tcPr>
          <w:p>
            <w:pPr>
              <w:pStyle w:val="417"/>
              <w:spacing w:line="240" w:lineRule="auto"/>
              <w:rPr>
                <w:highlight w:val="none"/>
              </w:rPr>
            </w:pPr>
            <w:r>
              <w:rPr>
                <w:rFonts w:hint="eastAsia"/>
                <w:highlight w:val="none"/>
              </w:rPr>
              <w:t>Ⅲ</w:t>
            </w:r>
          </w:p>
        </w:tc>
        <w:tc>
          <w:tcPr>
            <w:tcW w:w="1710" w:type="dxa"/>
            <w:shd w:val="clear" w:color="auto" w:fill="auto"/>
          </w:tcPr>
          <w:p>
            <w:pPr>
              <w:pStyle w:val="417"/>
              <w:spacing w:line="240" w:lineRule="auto"/>
              <w:rPr>
                <w:highlight w:val="none"/>
              </w:rPr>
            </w:pPr>
            <w:r>
              <w:rPr>
                <w:rFonts w:hint="eastAsia"/>
                <w:highlight w:val="none"/>
              </w:rPr>
              <w:t>Ⅱ</w:t>
            </w:r>
          </w:p>
        </w:tc>
        <w:tc>
          <w:tcPr>
            <w:tcW w:w="1712" w:type="dxa"/>
            <w:shd w:val="clear" w:color="auto" w:fill="auto"/>
          </w:tcPr>
          <w:p>
            <w:pPr>
              <w:pStyle w:val="417"/>
              <w:spacing w:line="240" w:lineRule="auto"/>
              <w:rPr>
                <w:b/>
                <w:highlight w:val="none"/>
              </w:rPr>
            </w:pPr>
            <w:r>
              <w:rPr>
                <w:rFonts w:hint="eastAsia"/>
                <w:b/>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713" w:type="dxa"/>
            <w:shd w:val="clear" w:color="auto" w:fill="auto"/>
          </w:tcPr>
          <w:p>
            <w:pPr>
              <w:pStyle w:val="417"/>
              <w:spacing w:line="240" w:lineRule="auto"/>
              <w:rPr>
                <w:highlight w:val="none"/>
              </w:rPr>
            </w:pPr>
            <w:r>
              <w:rPr>
                <w:rFonts w:hint="eastAsia"/>
                <w:highlight w:val="none"/>
              </w:rPr>
              <w:t>评价工作等级</w:t>
            </w:r>
          </w:p>
        </w:tc>
        <w:tc>
          <w:tcPr>
            <w:tcW w:w="1716" w:type="dxa"/>
            <w:shd w:val="clear" w:color="auto" w:fill="auto"/>
          </w:tcPr>
          <w:p>
            <w:pPr>
              <w:pStyle w:val="417"/>
              <w:spacing w:line="240" w:lineRule="auto"/>
              <w:rPr>
                <w:highlight w:val="none"/>
              </w:rPr>
            </w:pPr>
            <w:r>
              <w:rPr>
                <w:highlight w:val="none"/>
              </w:rPr>
              <w:t>一</w:t>
            </w:r>
          </w:p>
        </w:tc>
        <w:tc>
          <w:tcPr>
            <w:tcW w:w="1710" w:type="dxa"/>
            <w:shd w:val="clear" w:color="auto" w:fill="auto"/>
          </w:tcPr>
          <w:p>
            <w:pPr>
              <w:pStyle w:val="417"/>
              <w:spacing w:line="240" w:lineRule="auto"/>
              <w:rPr>
                <w:highlight w:val="none"/>
              </w:rPr>
            </w:pPr>
            <w:r>
              <w:rPr>
                <w:highlight w:val="none"/>
              </w:rPr>
              <w:t>二</w:t>
            </w:r>
          </w:p>
        </w:tc>
        <w:tc>
          <w:tcPr>
            <w:tcW w:w="1710" w:type="dxa"/>
            <w:shd w:val="clear" w:color="auto" w:fill="auto"/>
          </w:tcPr>
          <w:p>
            <w:pPr>
              <w:pStyle w:val="417"/>
              <w:spacing w:line="240" w:lineRule="auto"/>
              <w:rPr>
                <w:highlight w:val="none"/>
              </w:rPr>
            </w:pPr>
            <w:r>
              <w:rPr>
                <w:highlight w:val="none"/>
              </w:rPr>
              <w:t>三</w:t>
            </w:r>
          </w:p>
        </w:tc>
        <w:tc>
          <w:tcPr>
            <w:tcW w:w="1712" w:type="dxa"/>
            <w:shd w:val="clear" w:color="auto" w:fill="auto"/>
          </w:tcPr>
          <w:p>
            <w:pPr>
              <w:pStyle w:val="417"/>
              <w:spacing w:line="240" w:lineRule="auto"/>
              <w:rPr>
                <w:b/>
                <w:highlight w:val="none"/>
              </w:rPr>
            </w:pPr>
            <w:r>
              <w:rPr>
                <w:b/>
                <w:highlight w:val="none"/>
              </w:rPr>
              <w:t>简单分析</w:t>
            </w:r>
            <w:r>
              <w:rPr>
                <w:rFonts w:hint="eastAsia"/>
                <w:b/>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561" w:type="dxa"/>
            <w:gridSpan w:val="5"/>
            <w:shd w:val="clear" w:color="auto" w:fill="auto"/>
          </w:tcPr>
          <w:p>
            <w:pPr>
              <w:pStyle w:val="417"/>
              <w:spacing w:line="240" w:lineRule="auto"/>
              <w:ind w:firstLine="480"/>
              <w:rPr>
                <w:highlight w:val="none"/>
              </w:rPr>
            </w:pPr>
            <w:r>
              <w:rPr>
                <w:highlight w:val="none"/>
              </w:rPr>
              <w:t>a是相对于详细评价工作内容而言，在描述危险物质、环境影响途径、环境危害后果、风险防范措施等方面给</w:t>
            </w:r>
            <w:r>
              <w:rPr>
                <w:rFonts w:hint="eastAsia"/>
                <w:highlight w:val="none"/>
              </w:rPr>
              <w:t>出定性的说明。</w:t>
            </w:r>
          </w:p>
        </w:tc>
      </w:tr>
    </w:tbl>
    <w:p>
      <w:pPr>
        <w:ind w:firstLine="480"/>
        <w:rPr>
          <w:highlight w:val="none"/>
        </w:rPr>
      </w:pPr>
      <w:r>
        <w:rPr>
          <w:rFonts w:hint="eastAsia"/>
          <w:bCs/>
          <w:sz w:val="24"/>
          <w:szCs w:val="24"/>
          <w:highlight w:val="none"/>
        </w:rPr>
        <w:t>经判定，该项目风险潜势为Ⅰ。因此，本项目风险评价等级</w:t>
      </w:r>
      <w:r>
        <w:rPr>
          <w:rFonts w:hint="eastAsia"/>
          <w:bCs/>
          <w:sz w:val="24"/>
          <w:szCs w:val="24"/>
          <w:highlight w:val="none"/>
          <w:lang w:val="zh-CN"/>
        </w:rPr>
        <w:t>为简单分析。</w:t>
      </w:r>
    </w:p>
    <w:p>
      <w:pPr>
        <w:pStyle w:val="3"/>
        <w:numPr>
          <w:ilvl w:val="3"/>
          <w:numId w:val="1"/>
        </w:numPr>
        <w:ind w:left="709" w:hanging="709"/>
        <w:rPr>
          <w:rFonts w:eastAsia="宋体"/>
          <w:b/>
          <w:highlight w:val="none"/>
        </w:rPr>
      </w:pPr>
      <w:r>
        <w:rPr>
          <w:rFonts w:eastAsia="宋体"/>
          <w:b/>
          <w:highlight w:val="none"/>
        </w:rPr>
        <w:t>环境敏感目标概况</w:t>
      </w:r>
    </w:p>
    <w:p>
      <w:pPr>
        <w:ind w:firstLine="480"/>
        <w:rPr>
          <w:kern w:val="2"/>
          <w:sz w:val="24"/>
          <w:szCs w:val="24"/>
          <w:highlight w:val="none"/>
        </w:rPr>
      </w:pPr>
      <w:r>
        <w:rPr>
          <w:rFonts w:hint="eastAsia"/>
          <w:bCs/>
          <w:sz w:val="24"/>
          <w:szCs w:val="24"/>
          <w:highlight w:val="none"/>
          <w:lang w:val="zh-CN"/>
        </w:rPr>
        <w:t>本项目评价区域内没有珍稀动植物资源、自然保护区等敏感区，根据本项目性质及周围环境特征，确定评价范围内居民点等作为大气环境保护对象，区域地下水为地下水保护对象，主要环境风险保护对象及其保护目标见</w:t>
      </w:r>
      <w:r>
        <w:rPr>
          <w:rFonts w:hint="eastAsia"/>
          <w:bCs/>
          <w:sz w:val="24"/>
          <w:szCs w:val="24"/>
          <w:highlight w:val="none"/>
        </w:rPr>
        <w:t>章节2.8</w:t>
      </w:r>
      <w:r>
        <w:rPr>
          <w:rFonts w:hint="eastAsia"/>
          <w:bCs/>
          <w:sz w:val="24"/>
          <w:szCs w:val="24"/>
          <w:highlight w:val="none"/>
          <w:lang w:val="zh-CN"/>
        </w:rPr>
        <w:t>。</w:t>
      </w:r>
    </w:p>
    <w:p>
      <w:pPr>
        <w:pStyle w:val="3"/>
        <w:numPr>
          <w:ilvl w:val="3"/>
          <w:numId w:val="1"/>
        </w:numPr>
        <w:ind w:left="709" w:hanging="709"/>
        <w:rPr>
          <w:rFonts w:eastAsia="宋体"/>
          <w:b/>
          <w:highlight w:val="none"/>
        </w:rPr>
      </w:pPr>
      <w:r>
        <w:rPr>
          <w:rFonts w:eastAsia="宋体"/>
          <w:b/>
          <w:highlight w:val="none"/>
        </w:rPr>
        <w:t>环境风险识别</w:t>
      </w:r>
    </w:p>
    <w:p>
      <w:pPr>
        <w:ind w:firstLine="480"/>
        <w:rPr>
          <w:bCs/>
          <w:sz w:val="24"/>
          <w:szCs w:val="24"/>
          <w:highlight w:val="none"/>
          <w:lang w:val="zh-CN"/>
        </w:rPr>
      </w:pPr>
      <w:r>
        <w:rPr>
          <w:rFonts w:hint="eastAsia"/>
          <w:bCs/>
          <w:sz w:val="24"/>
          <w:szCs w:val="24"/>
          <w:highlight w:val="none"/>
          <w:lang w:val="zh-CN"/>
        </w:rPr>
        <w:t>本项目主要涉及的风险物质主要为危险废物—废矿物油，危废暂存危废间委托有资质单位处置。</w:t>
      </w:r>
    </w:p>
    <w:p>
      <w:pPr>
        <w:ind w:firstLine="480"/>
        <w:rPr>
          <w:bCs/>
          <w:sz w:val="24"/>
          <w:szCs w:val="24"/>
          <w:highlight w:val="none"/>
          <w:lang w:val="zh-CN"/>
        </w:rPr>
      </w:pPr>
      <w:r>
        <w:rPr>
          <w:rFonts w:hint="eastAsia"/>
          <w:bCs/>
          <w:sz w:val="24"/>
          <w:szCs w:val="24"/>
          <w:highlight w:val="none"/>
          <w:lang w:val="zh-CN"/>
        </w:rPr>
        <w:t>风险事故的特征及其对环境的影响包括火灾、爆炸、液（气）体化学品泄漏等几个方面，根据对类行业的调研、生产过程中各个工序的分析，针对已识别出的危险因素和风险类型，确定最大可信事故及其概率。从事故发生的概率来分析，因泄漏后扩散引起大气环境污染的事故比因泄漏后发生火灾、爆炸的事故要多10-100倍，而且火灾、爆炸事故造成的危害通常情况下集中在项目地块内，其危害评价一般属于安全评价范围，因此，本次风险评价不考虑燃爆类事故，项目最大可信事故设定为由于在防渗层损坏失效的情况下对地下水造成污染。</w:t>
      </w:r>
    </w:p>
    <w:p>
      <w:pPr>
        <w:pStyle w:val="3"/>
        <w:numPr>
          <w:ilvl w:val="3"/>
          <w:numId w:val="1"/>
        </w:numPr>
        <w:ind w:left="709" w:hanging="709"/>
        <w:rPr>
          <w:rFonts w:eastAsia="宋体"/>
          <w:b/>
          <w:highlight w:val="none"/>
        </w:rPr>
      </w:pPr>
      <w:r>
        <w:rPr>
          <w:rFonts w:eastAsia="宋体"/>
          <w:b/>
          <w:highlight w:val="none"/>
        </w:rPr>
        <w:t>环境风险分析</w:t>
      </w:r>
    </w:p>
    <w:p>
      <w:pPr>
        <w:ind w:firstLine="480"/>
        <w:rPr>
          <w:bCs/>
          <w:sz w:val="24"/>
          <w:szCs w:val="24"/>
          <w:highlight w:val="none"/>
          <w:lang w:val="zh-CN"/>
        </w:rPr>
      </w:pPr>
      <w:r>
        <w:rPr>
          <w:rFonts w:hint="eastAsia"/>
          <w:bCs/>
          <w:sz w:val="24"/>
          <w:szCs w:val="24"/>
          <w:highlight w:val="none"/>
          <w:lang w:val="zh-CN"/>
        </w:rPr>
        <w:t>在防渗层损坏失效的情况下，主要可能的环境影响途径为地下水，本项目废矿物油产生量较小，定期委托有资质单位进行处置，对地下水影响较小。</w:t>
      </w:r>
    </w:p>
    <w:p>
      <w:pPr>
        <w:pStyle w:val="3"/>
        <w:numPr>
          <w:ilvl w:val="3"/>
          <w:numId w:val="1"/>
        </w:numPr>
        <w:ind w:left="709" w:hanging="709"/>
        <w:rPr>
          <w:rFonts w:eastAsia="宋体"/>
          <w:b/>
          <w:highlight w:val="none"/>
        </w:rPr>
      </w:pPr>
      <w:r>
        <w:rPr>
          <w:rFonts w:eastAsia="宋体"/>
          <w:b/>
          <w:highlight w:val="none"/>
        </w:rPr>
        <w:t>环境风险防范措施及应急要求</w:t>
      </w:r>
    </w:p>
    <w:p>
      <w:pPr>
        <w:ind w:firstLine="480"/>
        <w:rPr>
          <w:bCs/>
          <w:sz w:val="24"/>
          <w:szCs w:val="24"/>
          <w:highlight w:val="none"/>
          <w:lang w:val="zh-CN"/>
        </w:rPr>
      </w:pPr>
      <w:r>
        <w:rPr>
          <w:rFonts w:hint="eastAsia"/>
          <w:bCs/>
          <w:sz w:val="24"/>
          <w:szCs w:val="24"/>
          <w:highlight w:val="none"/>
          <w:lang w:val="zh-CN"/>
        </w:rPr>
        <w:t>1、总图布置安全对策措施</w:t>
      </w:r>
    </w:p>
    <w:p>
      <w:pPr>
        <w:ind w:firstLine="480"/>
        <w:rPr>
          <w:bCs/>
          <w:sz w:val="24"/>
          <w:szCs w:val="24"/>
          <w:highlight w:val="none"/>
          <w:lang w:val="zh-CN"/>
        </w:rPr>
      </w:pPr>
      <w:r>
        <w:rPr>
          <w:rFonts w:hint="eastAsia"/>
          <w:bCs/>
          <w:sz w:val="24"/>
          <w:szCs w:val="24"/>
          <w:highlight w:val="none"/>
          <w:lang w:val="zh-CN"/>
        </w:rPr>
        <w:t>根据《工业企业总平面设计规范》（GB50187-2012）、《建筑设计防火规范》（GB50016-2006）、《工业企业设计卫生标准》（GBZ1-2010）标准的要求，项目布置应满足下列安全要求：总体布局应遵循国家现行有关规范标准，在满足工艺生产及运输要求，合理布局。在设计中结合安全卫生、交通运输、地形地貌、水文气象等方面的因素，力求布置紧奏，整体协调、美观。</w:t>
      </w:r>
    </w:p>
    <w:p>
      <w:pPr>
        <w:ind w:firstLine="480"/>
        <w:rPr>
          <w:bCs/>
          <w:sz w:val="24"/>
          <w:szCs w:val="24"/>
          <w:highlight w:val="none"/>
          <w:lang w:val="zh-CN"/>
        </w:rPr>
      </w:pPr>
      <w:r>
        <w:rPr>
          <w:rFonts w:hint="eastAsia"/>
          <w:bCs/>
          <w:sz w:val="24"/>
          <w:szCs w:val="24"/>
          <w:highlight w:val="none"/>
          <w:lang w:val="zh-CN"/>
        </w:rPr>
        <w:t>具体安全对策措施：</w:t>
      </w:r>
    </w:p>
    <w:p>
      <w:pPr>
        <w:ind w:firstLine="480"/>
        <w:rPr>
          <w:bCs/>
          <w:sz w:val="24"/>
          <w:szCs w:val="24"/>
          <w:highlight w:val="none"/>
          <w:lang w:val="zh-CN"/>
        </w:rPr>
      </w:pPr>
      <w:r>
        <w:rPr>
          <w:rFonts w:hint="eastAsia"/>
          <w:bCs/>
          <w:sz w:val="24"/>
          <w:szCs w:val="24"/>
          <w:highlight w:val="none"/>
          <w:lang w:val="zh-CN"/>
        </w:rPr>
        <w:t>（1）总平面布置应满足工艺生产要求，保证工艺流程顺畅，有利于生产及方便管理；并应满足安全、卫生、消防、环保及运输等有关法律、法规、标准和规章的要求。</w:t>
      </w:r>
    </w:p>
    <w:p>
      <w:pPr>
        <w:ind w:firstLine="480"/>
        <w:rPr>
          <w:bCs/>
          <w:sz w:val="24"/>
          <w:szCs w:val="24"/>
          <w:highlight w:val="none"/>
          <w:lang w:val="zh-CN"/>
        </w:rPr>
      </w:pPr>
      <w:r>
        <w:rPr>
          <w:rFonts w:hint="eastAsia"/>
          <w:bCs/>
          <w:sz w:val="24"/>
          <w:szCs w:val="24"/>
          <w:highlight w:val="none"/>
          <w:lang w:val="zh-CN"/>
        </w:rPr>
        <w:t>（2）化学品应根据贮存物料的性质、货流出入方向、供应对象、贮存面积、运输方式等因素，按不同类别相对集中布置，并为运输、装卸、管理创造有利条件，且应符合国家现行的防火、安全、卫生标准的有关规定。</w:t>
      </w:r>
    </w:p>
    <w:p>
      <w:pPr>
        <w:ind w:firstLine="480"/>
        <w:rPr>
          <w:bCs/>
          <w:sz w:val="24"/>
          <w:szCs w:val="24"/>
          <w:highlight w:val="none"/>
          <w:lang w:val="zh-CN"/>
        </w:rPr>
      </w:pPr>
      <w:r>
        <w:rPr>
          <w:rFonts w:hint="eastAsia"/>
          <w:bCs/>
          <w:sz w:val="24"/>
          <w:szCs w:val="24"/>
          <w:highlight w:val="none"/>
          <w:lang w:val="zh-CN"/>
        </w:rPr>
        <w:t>2、风险防范应急措施</w:t>
      </w:r>
    </w:p>
    <w:p>
      <w:pPr>
        <w:ind w:firstLine="480"/>
        <w:rPr>
          <w:bCs/>
          <w:sz w:val="24"/>
          <w:szCs w:val="24"/>
          <w:highlight w:val="none"/>
          <w:lang w:val="zh-CN"/>
        </w:rPr>
      </w:pPr>
      <w:r>
        <w:rPr>
          <w:rFonts w:hint="eastAsia"/>
          <w:bCs/>
          <w:sz w:val="24"/>
          <w:szCs w:val="24"/>
          <w:highlight w:val="none"/>
          <w:lang w:val="zh-CN"/>
        </w:rPr>
        <w:t>（1）如发现废矿物油桶发生泄漏，立即对废矿物没进行倒桶处理，更换完好不泄漏的容器进行储存；</w:t>
      </w:r>
    </w:p>
    <w:p>
      <w:pPr>
        <w:ind w:firstLine="480"/>
        <w:rPr>
          <w:bCs/>
          <w:sz w:val="24"/>
          <w:szCs w:val="24"/>
          <w:highlight w:val="none"/>
          <w:lang w:val="zh-CN"/>
        </w:rPr>
      </w:pPr>
      <w:r>
        <w:rPr>
          <w:rFonts w:hint="eastAsia"/>
          <w:bCs/>
          <w:sz w:val="24"/>
          <w:szCs w:val="24"/>
          <w:highlight w:val="none"/>
          <w:lang w:val="zh-CN"/>
        </w:rPr>
        <w:t>（2）根据《危险废物贮存污染控制标准》（GB18597-20</w:t>
      </w:r>
      <w:r>
        <w:rPr>
          <w:rFonts w:hint="eastAsia"/>
          <w:bCs/>
          <w:sz w:val="24"/>
          <w:szCs w:val="24"/>
          <w:highlight w:val="none"/>
        </w:rPr>
        <w:t>23</w:t>
      </w:r>
      <w:r>
        <w:rPr>
          <w:rFonts w:hint="eastAsia"/>
          <w:bCs/>
          <w:sz w:val="24"/>
          <w:szCs w:val="24"/>
          <w:highlight w:val="none"/>
          <w:lang w:val="zh-CN"/>
        </w:rPr>
        <w:t>）关于防渗要求处理：地面及裙角均采取抗渗水泥防渗，地面水泥厚度为20cm；裙角高度1.5m，厚度20cm，地面及四周裙脚均应耐腐蚀，耐热且表面无裂隙，同时设置泄漏液体的收集装置。防渗层渗透系数小于10</w:t>
      </w:r>
      <w:r>
        <w:rPr>
          <w:rFonts w:hint="eastAsia"/>
          <w:bCs/>
          <w:sz w:val="24"/>
          <w:szCs w:val="24"/>
          <w:highlight w:val="none"/>
          <w:vertAlign w:val="superscript"/>
          <w:lang w:val="zh-CN"/>
        </w:rPr>
        <w:t>-10</w:t>
      </w:r>
      <w:r>
        <w:rPr>
          <w:rFonts w:hint="eastAsia"/>
          <w:bCs/>
          <w:sz w:val="24"/>
          <w:szCs w:val="24"/>
          <w:highlight w:val="none"/>
          <w:lang w:val="zh-CN"/>
        </w:rPr>
        <w:t>cm/s。</w:t>
      </w:r>
    </w:p>
    <w:p>
      <w:pPr>
        <w:pStyle w:val="22"/>
        <w:kinsoku w:val="0"/>
        <w:overflowPunct w:val="0"/>
        <w:snapToGrid w:val="0"/>
        <w:spacing w:after="0"/>
        <w:ind w:left="23" w:firstLine="480"/>
        <w:rPr>
          <w:bCs/>
          <w:sz w:val="24"/>
          <w:szCs w:val="24"/>
          <w:highlight w:val="none"/>
          <w:lang w:val="zh-CN"/>
        </w:rPr>
      </w:pPr>
      <w:r>
        <w:rPr>
          <w:rFonts w:hint="eastAsia"/>
          <w:bCs/>
          <w:sz w:val="24"/>
          <w:szCs w:val="24"/>
          <w:highlight w:val="none"/>
          <w:lang w:val="zh-CN"/>
        </w:rPr>
        <w:t>（3）如发现废矿物油泄漏已对厂区土壤和地下水造成的污染，立即启动应急预案，报当地环保部门。</w:t>
      </w:r>
    </w:p>
    <w:p>
      <w:pPr>
        <w:pStyle w:val="3"/>
        <w:numPr>
          <w:ilvl w:val="3"/>
          <w:numId w:val="1"/>
        </w:numPr>
        <w:ind w:left="709" w:hanging="709"/>
        <w:rPr>
          <w:rFonts w:eastAsia="宋体"/>
          <w:b/>
          <w:highlight w:val="none"/>
        </w:rPr>
      </w:pPr>
      <w:r>
        <w:rPr>
          <w:rFonts w:eastAsia="宋体"/>
          <w:b/>
          <w:highlight w:val="none"/>
        </w:rPr>
        <w:t>风险评价结论</w:t>
      </w:r>
    </w:p>
    <w:p>
      <w:pPr>
        <w:ind w:firstLine="480"/>
        <w:rPr>
          <w:bCs/>
          <w:sz w:val="24"/>
          <w:szCs w:val="24"/>
          <w:highlight w:val="none"/>
          <w:lang w:val="zh-CN"/>
        </w:rPr>
      </w:pPr>
      <w:bookmarkStart w:id="423" w:name="_Hlk9231858"/>
      <w:r>
        <w:rPr>
          <w:rFonts w:hint="eastAsia"/>
          <w:bCs/>
          <w:sz w:val="24"/>
          <w:szCs w:val="24"/>
          <w:highlight w:val="none"/>
          <w:lang w:val="zh-CN"/>
        </w:rPr>
        <w:t>本项目在设备维护及保养过程中产生的废矿物油及废矿物油桶，暂存于危废暂存间定期由有资质单位进行处置。</w:t>
      </w:r>
    </w:p>
    <w:p>
      <w:pPr>
        <w:ind w:firstLine="480"/>
        <w:rPr>
          <w:bCs/>
          <w:sz w:val="24"/>
          <w:szCs w:val="24"/>
          <w:highlight w:val="none"/>
          <w:lang w:val="zh-CN"/>
        </w:rPr>
      </w:pPr>
      <w:r>
        <w:rPr>
          <w:rFonts w:hint="eastAsia"/>
          <w:bCs/>
          <w:sz w:val="24"/>
          <w:szCs w:val="24"/>
          <w:highlight w:val="none"/>
          <w:lang w:val="zh-CN"/>
        </w:rPr>
        <w:t>本项目暂存于危废暂存间，地面采取抗渗水泥防渗，暂存时间短，若一旦发生泄漏，立即对废矿物没进行倒桶处理，更换完好不泄漏的容器进行储存。对地下水影响较小。项目环境风险水平可接受，采取的环境风险管理措施可行，项目建设从环境风险角度是可行的。</w:t>
      </w:r>
    </w:p>
    <w:p>
      <w:pPr>
        <w:ind w:firstLine="480"/>
        <w:jc w:val="both"/>
        <w:textAlignment w:val="auto"/>
        <w:rPr>
          <w:kern w:val="2"/>
          <w:sz w:val="24"/>
          <w:szCs w:val="24"/>
          <w:highlight w:val="none"/>
        </w:rPr>
      </w:pPr>
      <w:r>
        <w:rPr>
          <w:rFonts w:hint="eastAsia"/>
          <w:bCs/>
          <w:sz w:val="24"/>
          <w:szCs w:val="24"/>
          <w:highlight w:val="none"/>
          <w:lang w:val="zh-CN"/>
        </w:rPr>
        <w:t>项目环境风险简单分析内容见</w:t>
      </w:r>
      <w:bookmarkEnd w:id="423"/>
      <w:r>
        <w:rPr>
          <w:rFonts w:hint="eastAsia"/>
          <w:bCs/>
          <w:sz w:val="24"/>
          <w:szCs w:val="24"/>
          <w:highlight w:val="none"/>
          <w:lang w:val="zh-CN"/>
        </w:rPr>
        <w:t>表</w:t>
      </w:r>
      <w:r>
        <w:rPr>
          <w:rFonts w:hint="eastAsia"/>
          <w:bCs/>
          <w:sz w:val="24"/>
          <w:szCs w:val="24"/>
          <w:highlight w:val="none"/>
        </w:rPr>
        <w:t>5.2-31</w:t>
      </w:r>
      <w:r>
        <w:rPr>
          <w:rFonts w:hint="eastAsia"/>
          <w:bCs/>
          <w:sz w:val="24"/>
          <w:szCs w:val="24"/>
          <w:highlight w:val="none"/>
          <w:lang w:val="zh-CN"/>
        </w:rPr>
        <w:t>。</w:t>
      </w:r>
    </w:p>
    <w:p>
      <w:pPr>
        <w:ind w:firstLine="420"/>
        <w:jc w:val="center"/>
        <w:rPr>
          <w:rFonts w:ascii="黑体" w:hAnsi="黑体" w:eastAsia="黑体"/>
          <w:kern w:val="2"/>
          <w:sz w:val="21"/>
          <w:szCs w:val="21"/>
          <w:highlight w:val="none"/>
        </w:rPr>
      </w:pPr>
      <w:bookmarkStart w:id="424" w:name="_Ref8045523"/>
      <w:r>
        <w:rPr>
          <w:rFonts w:eastAsia="黑体"/>
          <w:kern w:val="2"/>
          <w:sz w:val="21"/>
          <w:szCs w:val="21"/>
          <w:highlight w:val="none"/>
        </w:rPr>
        <w:t>表5.2-</w:t>
      </w:r>
      <w:bookmarkEnd w:id="424"/>
      <w:r>
        <w:rPr>
          <w:rFonts w:hint="eastAsia" w:eastAsia="黑体"/>
          <w:kern w:val="2"/>
          <w:sz w:val="21"/>
          <w:szCs w:val="21"/>
          <w:highlight w:val="none"/>
        </w:rPr>
        <w:t>31</w:t>
      </w:r>
      <w:r>
        <w:rPr>
          <w:rFonts w:hint="eastAsia" w:ascii="黑体" w:hAnsi="黑体" w:eastAsia="黑体"/>
          <w:kern w:val="2"/>
          <w:sz w:val="21"/>
          <w:szCs w:val="21"/>
          <w:highlight w:val="none"/>
        </w:rPr>
        <w:t xml:space="preserve">    建设项目环境风险简单分析内容表</w:t>
      </w:r>
    </w:p>
    <w:tbl>
      <w:tblPr>
        <w:tblStyle w:val="56"/>
        <w:tblW w:w="8505" w:type="dxa"/>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983"/>
        <w:gridCol w:w="1991"/>
        <w:gridCol w:w="1033"/>
        <w:gridCol w:w="129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shd w:val="clear" w:color="auto" w:fill="auto"/>
            <w:vAlign w:val="center"/>
          </w:tcPr>
          <w:p>
            <w:pPr>
              <w:pStyle w:val="417"/>
              <w:spacing w:line="240" w:lineRule="auto"/>
              <w:rPr>
                <w:highlight w:val="none"/>
                <w:lang w:val="zh-CN" w:bidi="zh-CN"/>
              </w:rPr>
            </w:pPr>
            <w:r>
              <w:rPr>
                <w:rFonts w:hint="eastAsia"/>
                <w:highlight w:val="none"/>
                <w:lang w:val="zh-CN" w:bidi="zh-CN"/>
              </w:rPr>
              <w:t>建设项目名称</w:t>
            </w:r>
          </w:p>
        </w:tc>
        <w:tc>
          <w:tcPr>
            <w:tcW w:w="6577" w:type="dxa"/>
            <w:gridSpan w:val="5"/>
            <w:shd w:val="clear" w:color="auto" w:fill="auto"/>
            <w:vAlign w:val="center"/>
          </w:tcPr>
          <w:p>
            <w:pPr>
              <w:pStyle w:val="22"/>
              <w:kinsoku w:val="0"/>
              <w:overflowPunct w:val="0"/>
              <w:snapToGrid w:val="0"/>
              <w:spacing w:after="0" w:line="240" w:lineRule="auto"/>
              <w:ind w:firstLine="0" w:firstLineChars="0"/>
              <w:jc w:val="center"/>
              <w:rPr>
                <w:highlight w:val="none"/>
                <w:lang w:val="zh-CN" w:bidi="zh-CN"/>
              </w:rPr>
            </w:pPr>
            <w:r>
              <w:rPr>
                <w:rFonts w:hint="eastAsia"/>
                <w:kern w:val="2"/>
                <w:sz w:val="21"/>
                <w:szCs w:val="21"/>
                <w:highlight w:val="none"/>
              </w:rPr>
              <w:t>遵化恒新矿业有限公司年处理 60 万吨铁矿石、120万吨粗精矿项目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shd w:val="clear" w:color="auto" w:fill="auto"/>
            <w:vAlign w:val="center"/>
          </w:tcPr>
          <w:p>
            <w:pPr>
              <w:pStyle w:val="417"/>
              <w:spacing w:line="240" w:lineRule="auto"/>
              <w:rPr>
                <w:highlight w:val="none"/>
                <w:lang w:val="zh-CN" w:bidi="zh-CN"/>
              </w:rPr>
            </w:pPr>
            <w:r>
              <w:rPr>
                <w:rFonts w:hint="eastAsia"/>
                <w:highlight w:val="none"/>
                <w:lang w:val="zh-CN" w:bidi="zh-CN"/>
              </w:rPr>
              <w:t>建设地点</w:t>
            </w:r>
          </w:p>
        </w:tc>
        <w:tc>
          <w:tcPr>
            <w:tcW w:w="983" w:type="dxa"/>
            <w:shd w:val="clear" w:color="auto" w:fill="auto"/>
            <w:vAlign w:val="center"/>
          </w:tcPr>
          <w:p>
            <w:pPr>
              <w:pStyle w:val="22"/>
              <w:kinsoku w:val="0"/>
              <w:overflowPunct w:val="0"/>
              <w:snapToGrid w:val="0"/>
              <w:spacing w:after="0" w:line="240" w:lineRule="auto"/>
              <w:ind w:firstLine="0" w:firstLineChars="0"/>
              <w:jc w:val="center"/>
              <w:rPr>
                <w:sz w:val="21"/>
                <w:szCs w:val="21"/>
                <w:highlight w:val="none"/>
                <w:lang w:val="zh-CN" w:bidi="zh-CN"/>
              </w:rPr>
            </w:pPr>
            <w:r>
              <w:rPr>
                <w:rFonts w:hint="eastAsia"/>
                <w:kern w:val="2"/>
                <w:sz w:val="21"/>
                <w:szCs w:val="21"/>
                <w:highlight w:val="none"/>
              </w:rPr>
              <w:t>河北省</w:t>
            </w:r>
          </w:p>
        </w:tc>
        <w:tc>
          <w:tcPr>
            <w:tcW w:w="1991" w:type="dxa"/>
            <w:shd w:val="clear" w:color="auto" w:fill="auto"/>
            <w:vAlign w:val="center"/>
          </w:tcPr>
          <w:p>
            <w:pPr>
              <w:pStyle w:val="22"/>
              <w:kinsoku w:val="0"/>
              <w:overflowPunct w:val="0"/>
              <w:snapToGrid w:val="0"/>
              <w:spacing w:after="0" w:line="240" w:lineRule="auto"/>
              <w:ind w:firstLine="0" w:firstLineChars="0"/>
              <w:jc w:val="center"/>
              <w:rPr>
                <w:sz w:val="21"/>
                <w:szCs w:val="21"/>
                <w:highlight w:val="none"/>
                <w:lang w:val="zh-CN" w:bidi="zh-CN"/>
              </w:rPr>
            </w:pPr>
            <w:r>
              <w:rPr>
                <w:rFonts w:hint="eastAsia"/>
                <w:kern w:val="2"/>
                <w:sz w:val="21"/>
                <w:szCs w:val="21"/>
                <w:highlight w:val="none"/>
              </w:rPr>
              <w:t>唐山市</w:t>
            </w:r>
          </w:p>
        </w:tc>
        <w:tc>
          <w:tcPr>
            <w:tcW w:w="1033" w:type="dxa"/>
            <w:shd w:val="clear" w:color="auto" w:fill="auto"/>
            <w:vAlign w:val="center"/>
          </w:tcPr>
          <w:p>
            <w:pPr>
              <w:pStyle w:val="22"/>
              <w:kinsoku w:val="0"/>
              <w:overflowPunct w:val="0"/>
              <w:snapToGrid w:val="0"/>
              <w:spacing w:after="0" w:line="240" w:lineRule="auto"/>
              <w:ind w:firstLine="0" w:firstLineChars="0"/>
              <w:jc w:val="center"/>
              <w:rPr>
                <w:sz w:val="21"/>
                <w:szCs w:val="21"/>
                <w:highlight w:val="none"/>
                <w:lang w:val="zh-CN" w:bidi="zh-CN"/>
              </w:rPr>
            </w:pPr>
            <w:r>
              <w:rPr>
                <w:rFonts w:hint="eastAsia"/>
                <w:kern w:val="2"/>
                <w:sz w:val="21"/>
                <w:szCs w:val="21"/>
                <w:highlight w:val="none"/>
              </w:rPr>
              <w:t>遵化市</w:t>
            </w:r>
          </w:p>
        </w:tc>
        <w:tc>
          <w:tcPr>
            <w:tcW w:w="1290" w:type="dxa"/>
            <w:shd w:val="clear" w:color="auto" w:fill="auto"/>
            <w:vAlign w:val="center"/>
          </w:tcPr>
          <w:p>
            <w:pPr>
              <w:pStyle w:val="22"/>
              <w:kinsoku w:val="0"/>
              <w:overflowPunct w:val="0"/>
              <w:snapToGrid w:val="0"/>
              <w:spacing w:after="0" w:line="240" w:lineRule="auto"/>
              <w:ind w:firstLine="0" w:firstLineChars="0"/>
              <w:jc w:val="center"/>
              <w:rPr>
                <w:sz w:val="21"/>
                <w:szCs w:val="21"/>
                <w:highlight w:val="none"/>
                <w:lang w:val="zh-CN" w:bidi="zh-CN"/>
              </w:rPr>
            </w:pPr>
            <w:r>
              <w:rPr>
                <w:rFonts w:hint="eastAsia"/>
                <w:kern w:val="2"/>
                <w:sz w:val="21"/>
                <w:szCs w:val="21"/>
                <w:highlight w:val="none"/>
              </w:rPr>
              <w:t>新店子镇</w:t>
            </w:r>
          </w:p>
        </w:tc>
        <w:tc>
          <w:tcPr>
            <w:tcW w:w="1280" w:type="dxa"/>
            <w:shd w:val="clear" w:color="auto" w:fill="auto"/>
            <w:vAlign w:val="center"/>
          </w:tcPr>
          <w:p>
            <w:pPr>
              <w:pStyle w:val="22"/>
              <w:kinsoku w:val="0"/>
              <w:overflowPunct w:val="0"/>
              <w:snapToGrid w:val="0"/>
              <w:spacing w:after="0" w:line="240" w:lineRule="auto"/>
              <w:ind w:firstLine="0" w:firstLineChars="0"/>
              <w:jc w:val="center"/>
              <w:rPr>
                <w:sz w:val="21"/>
                <w:szCs w:val="21"/>
                <w:highlight w:val="none"/>
                <w:lang w:val="zh-CN" w:bidi="zh-CN"/>
              </w:rPr>
            </w:pPr>
            <w:r>
              <w:rPr>
                <w:rFonts w:hint="eastAsia"/>
                <w:kern w:val="2"/>
                <w:sz w:val="21"/>
                <w:szCs w:val="21"/>
                <w:highlight w:val="none"/>
              </w:rPr>
              <w:t>马店子村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shd w:val="clear" w:color="auto" w:fill="auto"/>
            <w:vAlign w:val="center"/>
          </w:tcPr>
          <w:p>
            <w:pPr>
              <w:pStyle w:val="417"/>
              <w:spacing w:line="240" w:lineRule="auto"/>
              <w:rPr>
                <w:highlight w:val="none"/>
                <w:lang w:val="zh-CN" w:bidi="zh-CN"/>
              </w:rPr>
            </w:pPr>
            <w:r>
              <w:rPr>
                <w:rFonts w:hint="eastAsia"/>
                <w:highlight w:val="none"/>
                <w:lang w:val="zh-CN" w:bidi="zh-CN"/>
              </w:rPr>
              <w:t>地理坐标</w:t>
            </w:r>
          </w:p>
        </w:tc>
        <w:tc>
          <w:tcPr>
            <w:tcW w:w="983" w:type="dxa"/>
            <w:shd w:val="clear" w:color="auto" w:fill="auto"/>
            <w:vAlign w:val="center"/>
          </w:tcPr>
          <w:p>
            <w:pPr>
              <w:pStyle w:val="22"/>
              <w:kinsoku w:val="0"/>
              <w:overflowPunct w:val="0"/>
              <w:snapToGrid w:val="0"/>
              <w:spacing w:after="0" w:line="240" w:lineRule="auto"/>
              <w:ind w:firstLine="0" w:firstLineChars="0"/>
              <w:jc w:val="center"/>
              <w:rPr>
                <w:sz w:val="21"/>
                <w:szCs w:val="21"/>
                <w:highlight w:val="none"/>
                <w:lang w:val="zh-CN" w:bidi="zh-CN"/>
              </w:rPr>
            </w:pPr>
            <w:r>
              <w:rPr>
                <w:rFonts w:hint="eastAsia"/>
                <w:kern w:val="2"/>
                <w:sz w:val="21"/>
                <w:szCs w:val="21"/>
                <w:highlight w:val="none"/>
              </w:rPr>
              <w:t>经度</w:t>
            </w:r>
          </w:p>
        </w:tc>
        <w:tc>
          <w:tcPr>
            <w:tcW w:w="1991" w:type="dxa"/>
            <w:shd w:val="clear" w:color="auto" w:fill="auto"/>
            <w:vAlign w:val="center"/>
          </w:tcPr>
          <w:p>
            <w:pPr>
              <w:pStyle w:val="22"/>
              <w:kinsoku w:val="0"/>
              <w:overflowPunct w:val="0"/>
              <w:snapToGrid w:val="0"/>
              <w:spacing w:after="0" w:line="240" w:lineRule="auto"/>
              <w:ind w:firstLine="0" w:firstLineChars="0"/>
              <w:jc w:val="center"/>
              <w:rPr>
                <w:kern w:val="2"/>
                <w:sz w:val="21"/>
                <w:szCs w:val="21"/>
                <w:highlight w:val="none"/>
                <w:lang w:val="zh-CN"/>
              </w:rPr>
            </w:pPr>
            <w:r>
              <w:rPr>
                <w:rFonts w:hint="eastAsia"/>
                <w:kern w:val="2"/>
                <w:sz w:val="21"/>
                <w:szCs w:val="21"/>
                <w:highlight w:val="none"/>
              </w:rPr>
              <w:t>E117°59′11.73″</w:t>
            </w:r>
          </w:p>
        </w:tc>
        <w:tc>
          <w:tcPr>
            <w:tcW w:w="1033" w:type="dxa"/>
            <w:shd w:val="clear" w:color="auto" w:fill="auto"/>
            <w:vAlign w:val="center"/>
          </w:tcPr>
          <w:p>
            <w:pPr>
              <w:pStyle w:val="22"/>
              <w:kinsoku w:val="0"/>
              <w:overflowPunct w:val="0"/>
              <w:snapToGrid w:val="0"/>
              <w:spacing w:after="0" w:line="240" w:lineRule="auto"/>
              <w:ind w:firstLine="0" w:firstLineChars="0"/>
              <w:jc w:val="center"/>
              <w:rPr>
                <w:kern w:val="2"/>
                <w:sz w:val="21"/>
                <w:szCs w:val="21"/>
                <w:highlight w:val="none"/>
                <w:lang w:val="zh-CN"/>
              </w:rPr>
            </w:pPr>
            <w:r>
              <w:rPr>
                <w:rFonts w:hint="eastAsia"/>
                <w:kern w:val="2"/>
                <w:sz w:val="21"/>
                <w:szCs w:val="21"/>
                <w:highlight w:val="none"/>
              </w:rPr>
              <w:t>纬度</w:t>
            </w:r>
          </w:p>
        </w:tc>
        <w:tc>
          <w:tcPr>
            <w:tcW w:w="2570" w:type="dxa"/>
            <w:gridSpan w:val="2"/>
            <w:shd w:val="clear" w:color="auto" w:fill="auto"/>
            <w:vAlign w:val="center"/>
          </w:tcPr>
          <w:p>
            <w:pPr>
              <w:pStyle w:val="22"/>
              <w:kinsoku w:val="0"/>
              <w:overflowPunct w:val="0"/>
              <w:snapToGrid w:val="0"/>
              <w:spacing w:after="0" w:line="240" w:lineRule="auto"/>
              <w:ind w:firstLine="0" w:firstLineChars="0"/>
              <w:jc w:val="center"/>
              <w:rPr>
                <w:kern w:val="2"/>
                <w:sz w:val="21"/>
                <w:szCs w:val="21"/>
                <w:highlight w:val="none"/>
                <w:lang w:val="zh-CN"/>
              </w:rPr>
            </w:pPr>
            <w:r>
              <w:rPr>
                <w:rFonts w:hint="eastAsia"/>
                <w:kern w:val="2"/>
                <w:sz w:val="21"/>
                <w:szCs w:val="21"/>
                <w:highlight w:val="none"/>
              </w:rPr>
              <w:t>N40°6′33.35″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shd w:val="clear" w:color="auto" w:fill="auto"/>
            <w:vAlign w:val="center"/>
          </w:tcPr>
          <w:p>
            <w:pPr>
              <w:pStyle w:val="417"/>
              <w:spacing w:line="240" w:lineRule="auto"/>
              <w:rPr>
                <w:highlight w:val="none"/>
                <w:lang w:val="zh-CN" w:bidi="zh-CN"/>
              </w:rPr>
            </w:pPr>
            <w:r>
              <w:rPr>
                <w:rFonts w:hint="eastAsia"/>
                <w:highlight w:val="none"/>
                <w:lang w:val="zh-CN" w:bidi="zh-CN"/>
              </w:rPr>
              <w:t>主要危险物质及分布</w:t>
            </w:r>
          </w:p>
        </w:tc>
        <w:tc>
          <w:tcPr>
            <w:tcW w:w="6577" w:type="dxa"/>
            <w:gridSpan w:val="5"/>
            <w:shd w:val="clear" w:color="auto" w:fill="auto"/>
            <w:vAlign w:val="center"/>
          </w:tcPr>
          <w:p>
            <w:pPr>
              <w:pStyle w:val="417"/>
              <w:spacing w:line="240" w:lineRule="auto"/>
              <w:rPr>
                <w:highlight w:val="none"/>
                <w:lang w:val="zh-CN" w:bidi="zh-CN"/>
              </w:rPr>
            </w:pPr>
            <w:r>
              <w:rPr>
                <w:rFonts w:hint="eastAsia"/>
                <w:highlight w:val="none"/>
                <w:lang w:val="zh-CN" w:bidi="zh-CN"/>
              </w:rPr>
              <w:t>废矿物油，分布于厂内设置的危废暂存间</w:t>
            </w:r>
            <w:r>
              <w:rPr>
                <w:rFonts w:hint="eastAsia"/>
                <w:bCs/>
                <w:szCs w:val="24"/>
                <w:highlight w:val="none"/>
                <w:lang w:val="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shd w:val="clear" w:color="auto" w:fill="auto"/>
            <w:vAlign w:val="center"/>
          </w:tcPr>
          <w:p>
            <w:pPr>
              <w:pStyle w:val="417"/>
              <w:spacing w:line="240" w:lineRule="auto"/>
              <w:rPr>
                <w:highlight w:val="none"/>
                <w:lang w:val="zh-CN" w:bidi="zh-CN"/>
              </w:rPr>
            </w:pPr>
            <w:r>
              <w:rPr>
                <w:rFonts w:hint="eastAsia"/>
                <w:highlight w:val="none"/>
                <w:lang w:val="zh-CN" w:bidi="zh-CN"/>
              </w:rPr>
              <w:t>环境影响途径及后果（大气、地表水、地下水等）</w:t>
            </w:r>
          </w:p>
        </w:tc>
        <w:tc>
          <w:tcPr>
            <w:tcW w:w="6577" w:type="dxa"/>
            <w:gridSpan w:val="5"/>
            <w:shd w:val="clear" w:color="auto" w:fill="auto"/>
            <w:vAlign w:val="center"/>
          </w:tcPr>
          <w:p>
            <w:pPr>
              <w:pStyle w:val="417"/>
              <w:spacing w:line="240" w:lineRule="auto"/>
              <w:rPr>
                <w:highlight w:val="none"/>
                <w:lang w:val="zh-CN" w:bidi="zh-CN"/>
              </w:rPr>
            </w:pPr>
            <w:r>
              <w:rPr>
                <w:rFonts w:hint="eastAsia"/>
                <w:highlight w:val="none"/>
                <w:lang w:val="zh-CN" w:bidi="zh-CN"/>
              </w:rPr>
              <w:t>在防渗层损坏失效的情况下，主要可能的环境影响途径为地下水，本项目废矿物油产生量较小，定期委托有资质单位进行处置，对地下水影响较小。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shd w:val="clear" w:color="auto" w:fill="auto"/>
            <w:vAlign w:val="center"/>
          </w:tcPr>
          <w:p>
            <w:pPr>
              <w:pStyle w:val="417"/>
              <w:spacing w:line="240" w:lineRule="auto"/>
              <w:rPr>
                <w:highlight w:val="none"/>
                <w:lang w:val="zh-CN" w:bidi="zh-CN"/>
              </w:rPr>
            </w:pPr>
            <w:r>
              <w:rPr>
                <w:rFonts w:hint="eastAsia"/>
                <w:highlight w:val="none"/>
                <w:lang w:val="zh-CN" w:bidi="zh-CN"/>
              </w:rPr>
              <w:t>风险防范措施要求</w:t>
            </w:r>
          </w:p>
        </w:tc>
        <w:tc>
          <w:tcPr>
            <w:tcW w:w="6577" w:type="dxa"/>
            <w:gridSpan w:val="5"/>
            <w:shd w:val="clear" w:color="auto" w:fill="auto"/>
            <w:vAlign w:val="center"/>
          </w:tcPr>
          <w:p>
            <w:pPr>
              <w:pStyle w:val="417"/>
              <w:spacing w:line="240" w:lineRule="auto"/>
              <w:jc w:val="left"/>
              <w:rPr>
                <w:highlight w:val="none"/>
                <w:lang w:val="zh-CN" w:bidi="zh-CN"/>
              </w:rPr>
            </w:pPr>
            <w:r>
              <w:rPr>
                <w:rFonts w:hint="eastAsia"/>
                <w:highlight w:val="none"/>
                <w:lang w:val="zh-CN" w:bidi="zh-CN"/>
              </w:rPr>
              <w:t>1、如发现废矿物油桶发生泄漏，立即对废矿物没进行倒桶处理，更换完好不泄漏的容器进行储存；</w:t>
            </w:r>
          </w:p>
          <w:p>
            <w:pPr>
              <w:pStyle w:val="417"/>
              <w:spacing w:line="240" w:lineRule="auto"/>
              <w:jc w:val="left"/>
              <w:rPr>
                <w:highlight w:val="none"/>
                <w:lang w:val="zh-CN" w:bidi="zh-CN"/>
              </w:rPr>
            </w:pPr>
            <w:r>
              <w:rPr>
                <w:highlight w:val="none"/>
                <w:lang w:val="zh-CN" w:bidi="zh-CN"/>
              </w:rPr>
              <w:t>2</w:t>
            </w:r>
            <w:r>
              <w:rPr>
                <w:rFonts w:hint="eastAsia"/>
                <w:highlight w:val="none"/>
                <w:lang w:val="zh-CN" w:bidi="zh-CN"/>
              </w:rPr>
              <w:t>、根据</w:t>
            </w:r>
            <w:r>
              <w:rPr>
                <w:highlight w:val="none"/>
                <w:lang w:val="zh-CN" w:bidi="zh-CN"/>
              </w:rPr>
              <w:t>《危险废物贮存污染控制标准》（GB18597-20</w:t>
            </w:r>
            <w:r>
              <w:rPr>
                <w:rFonts w:hint="eastAsia"/>
                <w:highlight w:val="none"/>
                <w:lang w:bidi="zh-CN"/>
              </w:rPr>
              <w:t>23</w:t>
            </w:r>
            <w:r>
              <w:rPr>
                <w:highlight w:val="none"/>
                <w:lang w:val="zh-CN" w:bidi="zh-CN"/>
              </w:rPr>
              <w:t>）关于防渗要求处理：地面及裙角均采取抗渗水泥防渗，地面水泥厚度为20cm；裙角高度1.5m，厚度20cm，地面及四周裙脚均应耐腐蚀，耐热且表面无裂隙，同时设置泄漏液体的收集装置。防渗层渗透系数小于10</w:t>
            </w:r>
            <w:r>
              <w:rPr>
                <w:highlight w:val="none"/>
                <w:vertAlign w:val="superscript"/>
                <w:lang w:val="zh-CN" w:bidi="zh-CN"/>
              </w:rPr>
              <w:t>-10</w:t>
            </w:r>
            <w:r>
              <w:rPr>
                <w:highlight w:val="none"/>
                <w:lang w:val="zh-CN" w:bidi="zh-CN"/>
              </w:rPr>
              <w:t>cm/s。</w:t>
            </w:r>
          </w:p>
          <w:p>
            <w:pPr>
              <w:pStyle w:val="417"/>
              <w:spacing w:line="240" w:lineRule="auto"/>
              <w:jc w:val="left"/>
              <w:rPr>
                <w:highlight w:val="none"/>
                <w:lang w:val="zh-CN" w:bidi="zh-CN"/>
              </w:rPr>
            </w:pPr>
            <w:r>
              <w:rPr>
                <w:rFonts w:hint="eastAsia"/>
                <w:highlight w:val="none"/>
                <w:lang w:val="zh-CN" w:bidi="zh-CN"/>
              </w:rPr>
              <w:t>3、如发现废矿物油泄漏已对厂区土壤和地下水造成的污染，立即启动应急预案，报当地环保部门。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shd w:val="clear" w:color="auto" w:fill="auto"/>
            <w:vAlign w:val="center"/>
          </w:tcPr>
          <w:p>
            <w:pPr>
              <w:pStyle w:val="417"/>
              <w:spacing w:line="240" w:lineRule="auto"/>
              <w:rPr>
                <w:highlight w:val="none"/>
                <w:lang w:val="zh-CN" w:bidi="zh-CN"/>
              </w:rPr>
            </w:pPr>
            <w:r>
              <w:rPr>
                <w:rFonts w:hint="eastAsia"/>
                <w:highlight w:val="none"/>
                <w:lang w:val="zh-CN" w:bidi="zh-CN"/>
              </w:rPr>
              <w:t>填表说明（列出相关信息及评价说明）</w:t>
            </w:r>
          </w:p>
        </w:tc>
        <w:tc>
          <w:tcPr>
            <w:tcW w:w="6577" w:type="dxa"/>
            <w:gridSpan w:val="5"/>
            <w:shd w:val="clear" w:color="auto" w:fill="auto"/>
            <w:vAlign w:val="center"/>
          </w:tcPr>
          <w:p>
            <w:pPr>
              <w:pStyle w:val="417"/>
              <w:spacing w:line="240" w:lineRule="auto"/>
              <w:jc w:val="left"/>
              <w:rPr>
                <w:highlight w:val="none"/>
                <w:lang w:val="zh-CN" w:bidi="zh-CN"/>
              </w:rPr>
            </w:pPr>
            <w:r>
              <w:rPr>
                <w:rFonts w:hint="eastAsia"/>
                <w:highlight w:val="none"/>
                <w:lang w:val="zh-CN" w:bidi="zh-CN"/>
              </w:rPr>
              <w:t>1、根据HJ169-2018附录B，本项目涉及的主要危险物质为废矿物油，属“附录B  381 油类物质”，其临界量为</w:t>
            </w:r>
            <w:r>
              <w:rPr>
                <w:rFonts w:hint="eastAsia"/>
                <w:highlight w:val="none"/>
                <w:lang w:bidi="zh-CN"/>
              </w:rPr>
              <w:t>1</w:t>
            </w:r>
            <w:r>
              <w:rPr>
                <w:rFonts w:hint="eastAsia"/>
                <w:highlight w:val="none"/>
                <w:lang w:val="zh-CN" w:bidi="zh-CN"/>
              </w:rPr>
              <w:t>00t，根据附录C，危险物质及工艺系统危险性的分级，本项目危险物质最大储存量为0.</w:t>
            </w:r>
            <w:r>
              <w:rPr>
                <w:rFonts w:hint="eastAsia"/>
                <w:highlight w:val="none"/>
                <w:lang w:bidi="zh-CN"/>
              </w:rPr>
              <w:t>3</w:t>
            </w:r>
            <w:r>
              <w:rPr>
                <w:rFonts w:hint="eastAsia"/>
                <w:highlight w:val="none"/>
                <w:lang w:val="zh-CN" w:bidi="zh-CN"/>
              </w:rPr>
              <w:t>t，其数量与临界量比值Q为0.00</w:t>
            </w:r>
            <w:r>
              <w:rPr>
                <w:rFonts w:hint="eastAsia"/>
                <w:highlight w:val="none"/>
                <w:lang w:bidi="zh-CN"/>
              </w:rPr>
              <w:t>3</w:t>
            </w:r>
            <w:r>
              <w:rPr>
                <w:rFonts w:hint="eastAsia"/>
                <w:highlight w:val="none"/>
                <w:lang w:val="zh-CN" w:bidi="zh-CN"/>
              </w:rPr>
              <w:t>，Q小于1，环境风险潜势为Ⅰ，可开展简单分析</w:t>
            </w:r>
          </w:p>
          <w:p>
            <w:pPr>
              <w:pStyle w:val="417"/>
              <w:spacing w:line="240" w:lineRule="auto"/>
              <w:jc w:val="left"/>
              <w:rPr>
                <w:highlight w:val="none"/>
                <w:lang w:val="zh-CN" w:bidi="zh-CN"/>
              </w:rPr>
            </w:pPr>
            <w:r>
              <w:rPr>
                <w:rFonts w:hint="eastAsia"/>
                <w:highlight w:val="none"/>
                <w:lang w:val="zh-CN" w:bidi="zh-CN"/>
              </w:rPr>
              <w:t>2、本项目主要环境影响途径为地下水，主要环境保护目标为厂区附近浅层地下水。</w:t>
            </w:r>
          </w:p>
        </w:tc>
      </w:tr>
    </w:tbl>
    <w:p>
      <w:pPr>
        <w:spacing w:line="460" w:lineRule="exact"/>
        <w:ind w:firstLine="480"/>
        <w:jc w:val="both"/>
        <w:rPr>
          <w:sz w:val="24"/>
          <w:highlight w:val="none"/>
        </w:rPr>
      </w:pPr>
    </w:p>
    <w:p>
      <w:pPr>
        <w:pStyle w:val="22"/>
        <w:ind w:firstLine="0" w:firstLineChars="0"/>
        <w:rPr>
          <w:sz w:val="24"/>
          <w:highlight w:val="none"/>
        </w:rPr>
        <w:sectPr>
          <w:footerReference r:id="rId22" w:type="default"/>
          <w:pgSz w:w="11905" w:h="16838"/>
          <w:pgMar w:top="1440" w:right="1803" w:bottom="1134" w:left="1803" w:header="850" w:footer="992" w:gutter="0"/>
          <w:cols w:space="0" w:num="1"/>
          <w:docGrid w:linePitch="312" w:charSpace="0"/>
        </w:sectPr>
      </w:pPr>
    </w:p>
    <w:bookmarkEnd w:id="419"/>
    <w:p>
      <w:pPr>
        <w:pStyle w:val="4"/>
        <w:numPr>
          <w:ilvl w:val="0"/>
          <w:numId w:val="1"/>
        </w:numPr>
        <w:rPr>
          <w:rFonts w:ascii="Times New Roman"/>
          <w:sz w:val="36"/>
          <w:highlight w:val="none"/>
        </w:rPr>
      </w:pPr>
      <w:bookmarkStart w:id="425" w:name="_Toc266"/>
      <w:bookmarkStart w:id="426" w:name="_Toc3682"/>
      <w:bookmarkStart w:id="427" w:name="_Toc524285111"/>
      <w:bookmarkStart w:id="428" w:name="_Toc19797"/>
      <w:bookmarkStart w:id="429" w:name="_Toc521591803"/>
      <w:bookmarkStart w:id="430" w:name="_Toc9822"/>
      <w:r>
        <w:rPr>
          <w:rFonts w:ascii="Times New Roman"/>
          <w:sz w:val="36"/>
          <w:highlight w:val="none"/>
        </w:rPr>
        <w:t>环境保护措施及其可行性论证</w:t>
      </w:r>
      <w:bookmarkEnd w:id="425"/>
      <w:bookmarkEnd w:id="426"/>
      <w:bookmarkEnd w:id="427"/>
      <w:bookmarkEnd w:id="428"/>
      <w:bookmarkEnd w:id="429"/>
      <w:bookmarkEnd w:id="430"/>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431" w:name="_Toc527049885"/>
      <w:bookmarkStart w:id="432" w:name="_Toc521591804"/>
      <w:bookmarkStart w:id="433" w:name="_Toc19609"/>
      <w:bookmarkStart w:id="434" w:name="_Toc499651420"/>
      <w:bookmarkStart w:id="435" w:name="_Toc524285112"/>
      <w:bookmarkStart w:id="436" w:name="_Toc3015"/>
      <w:bookmarkStart w:id="437" w:name="_Toc503218119"/>
      <w:bookmarkStart w:id="438" w:name="_Toc3975"/>
      <w:bookmarkStart w:id="439" w:name="_Toc14448"/>
      <w:bookmarkStart w:id="440" w:name="_Toc521591810"/>
      <w:bookmarkStart w:id="441" w:name="_Toc503218120"/>
      <w:bookmarkStart w:id="442" w:name="_Toc524285113"/>
      <w:bookmarkStart w:id="443" w:name="_Toc22362"/>
      <w:bookmarkStart w:id="444" w:name="_Toc499651421"/>
      <w:bookmarkStart w:id="445" w:name="_Toc1695"/>
      <w:bookmarkStart w:id="446" w:name="_Toc14033"/>
      <w:r>
        <w:rPr>
          <w:rFonts w:ascii="Times New Roman" w:hAnsi="Times New Roman" w:eastAsia="宋体"/>
          <w:bCs w:val="0"/>
          <w:snapToGrid w:val="0"/>
          <w:kern w:val="0"/>
          <w:sz w:val="28"/>
          <w:szCs w:val="28"/>
          <w:highlight w:val="none"/>
        </w:rPr>
        <w:t>施工期环境保护措施</w:t>
      </w:r>
      <w:bookmarkEnd w:id="431"/>
      <w:bookmarkEnd w:id="432"/>
      <w:bookmarkEnd w:id="433"/>
      <w:bookmarkEnd w:id="434"/>
      <w:bookmarkEnd w:id="435"/>
      <w:bookmarkEnd w:id="436"/>
      <w:bookmarkEnd w:id="437"/>
      <w:bookmarkEnd w:id="438"/>
      <w:r>
        <w:rPr>
          <w:rFonts w:hint="eastAsia" w:ascii="Times New Roman" w:hAnsi="Times New Roman" w:eastAsia="宋体"/>
          <w:bCs w:val="0"/>
          <w:snapToGrid w:val="0"/>
          <w:kern w:val="0"/>
          <w:sz w:val="28"/>
          <w:szCs w:val="28"/>
          <w:highlight w:val="none"/>
        </w:rPr>
        <w:t>可行性论证</w:t>
      </w:r>
      <w:bookmarkEnd w:id="439"/>
    </w:p>
    <w:p>
      <w:pPr>
        <w:autoSpaceDE w:val="0"/>
        <w:autoSpaceDN w:val="0"/>
        <w:ind w:firstLine="480"/>
        <w:textAlignment w:val="auto"/>
        <w:rPr>
          <w:sz w:val="24"/>
          <w:szCs w:val="24"/>
          <w:highlight w:val="none"/>
        </w:rPr>
      </w:pPr>
      <w:r>
        <w:rPr>
          <w:sz w:val="24"/>
          <w:szCs w:val="24"/>
          <w:highlight w:val="none"/>
        </w:rPr>
        <w:t>本项目施工期</w:t>
      </w:r>
      <w:r>
        <w:rPr>
          <w:rFonts w:hint="eastAsia"/>
          <w:sz w:val="24"/>
          <w:szCs w:val="24"/>
          <w:highlight w:val="none"/>
        </w:rPr>
        <w:t>影响主要为设备安装噪声</w:t>
      </w:r>
      <w:r>
        <w:rPr>
          <w:sz w:val="24"/>
          <w:szCs w:val="24"/>
          <w:highlight w:val="none"/>
        </w:rPr>
        <w:t>。</w:t>
      </w:r>
      <w:r>
        <w:rPr>
          <w:rFonts w:hint="eastAsia"/>
          <w:sz w:val="24"/>
          <w:szCs w:val="24"/>
          <w:highlight w:val="none"/>
        </w:rPr>
        <w:t>为减少施工噪声对周围居住人群的影响，建议施工及建设单位采取以下措施：</w:t>
      </w:r>
    </w:p>
    <w:p>
      <w:pPr>
        <w:autoSpaceDE w:val="0"/>
        <w:autoSpaceDN w:val="0"/>
        <w:ind w:firstLine="480"/>
        <w:textAlignment w:val="auto"/>
        <w:rPr>
          <w:sz w:val="24"/>
          <w:szCs w:val="24"/>
          <w:highlight w:val="none"/>
        </w:rPr>
      </w:pPr>
      <w:bookmarkStart w:id="447" w:name="OLE_LINK66"/>
      <w:bookmarkStart w:id="448" w:name="OLE_LINK67"/>
      <w:r>
        <w:rPr>
          <w:rFonts w:hint="eastAsia"/>
          <w:sz w:val="24"/>
          <w:szCs w:val="24"/>
          <w:highlight w:val="none"/>
        </w:rPr>
        <w:t>（1）合理安排施工时间</w:t>
      </w:r>
    </w:p>
    <w:p>
      <w:pPr>
        <w:autoSpaceDE w:val="0"/>
        <w:autoSpaceDN w:val="0"/>
        <w:ind w:firstLine="480"/>
        <w:textAlignment w:val="auto"/>
        <w:rPr>
          <w:sz w:val="24"/>
          <w:szCs w:val="24"/>
          <w:highlight w:val="none"/>
        </w:rPr>
      </w:pPr>
      <w:r>
        <w:rPr>
          <w:rFonts w:hint="eastAsia"/>
          <w:sz w:val="24"/>
          <w:szCs w:val="24"/>
          <w:highlight w:val="none"/>
        </w:rPr>
        <w:t>本项目施工单位要严格遵守相关规定，合理安排施工时间，除工程必须，并取得环保部门和建设行政主管部门批准外，严禁在22：00-6：00期间施工。</w:t>
      </w:r>
    </w:p>
    <w:p>
      <w:pPr>
        <w:autoSpaceDE w:val="0"/>
        <w:autoSpaceDN w:val="0"/>
        <w:ind w:firstLine="480"/>
        <w:textAlignment w:val="auto"/>
        <w:rPr>
          <w:sz w:val="24"/>
          <w:szCs w:val="24"/>
          <w:highlight w:val="none"/>
        </w:rPr>
      </w:pPr>
      <w:r>
        <w:rPr>
          <w:rFonts w:hint="eastAsia"/>
          <w:sz w:val="24"/>
          <w:szCs w:val="24"/>
          <w:highlight w:val="none"/>
        </w:rPr>
        <w:t>（2）施工场地的施工车辆出入地点远离敏感点，车辆出入现场低速、禁鸣。</w:t>
      </w:r>
    </w:p>
    <w:p>
      <w:pPr>
        <w:autoSpaceDE w:val="0"/>
        <w:autoSpaceDN w:val="0"/>
        <w:ind w:firstLine="480"/>
        <w:textAlignment w:val="auto"/>
        <w:rPr>
          <w:highlight w:val="none"/>
        </w:rPr>
      </w:pPr>
      <w:r>
        <w:rPr>
          <w:rFonts w:hint="eastAsia"/>
          <w:sz w:val="24"/>
          <w:szCs w:val="24"/>
          <w:highlight w:val="none"/>
        </w:rPr>
        <w:t>（3）建设管理部门加强对施工场地的噪声管理，施工企业也要对施工噪声进行自律，文明施工，避免因施工噪声产生纠纷。</w:t>
      </w:r>
    </w:p>
    <w:p>
      <w:pPr>
        <w:autoSpaceDE w:val="0"/>
        <w:autoSpaceDN w:val="0"/>
        <w:ind w:firstLine="480"/>
        <w:textAlignment w:val="auto"/>
        <w:rPr>
          <w:sz w:val="24"/>
          <w:szCs w:val="24"/>
          <w:highlight w:val="none"/>
        </w:rPr>
      </w:pPr>
      <w:r>
        <w:rPr>
          <w:rFonts w:hint="eastAsia"/>
          <w:sz w:val="24"/>
          <w:szCs w:val="24"/>
          <w:highlight w:val="none"/>
        </w:rPr>
        <w:t>（4）降低人为噪声</w:t>
      </w:r>
    </w:p>
    <w:p>
      <w:pPr>
        <w:autoSpaceDE w:val="0"/>
        <w:autoSpaceDN w:val="0"/>
        <w:ind w:firstLine="480"/>
        <w:textAlignment w:val="auto"/>
        <w:rPr>
          <w:sz w:val="24"/>
          <w:szCs w:val="24"/>
          <w:highlight w:val="none"/>
        </w:rPr>
      </w:pPr>
      <w:r>
        <w:rPr>
          <w:rFonts w:hint="eastAsia"/>
          <w:sz w:val="24"/>
          <w:szCs w:val="24"/>
          <w:highlight w:val="none"/>
        </w:rPr>
        <w:t>按规定操作机械设备。模板、支架拆卸过程中，遵守作业规定，减少碰撞噪声。少用哨子、钟、笛等指挥作业，而代以现代化设备。</w:t>
      </w:r>
    </w:p>
    <w:bookmarkEnd w:id="447"/>
    <w:bookmarkEnd w:id="448"/>
    <w:p>
      <w:pPr>
        <w:autoSpaceDE w:val="0"/>
        <w:autoSpaceDN w:val="0"/>
        <w:ind w:firstLine="480"/>
        <w:textAlignment w:val="auto"/>
        <w:rPr>
          <w:sz w:val="24"/>
          <w:szCs w:val="24"/>
          <w:highlight w:val="none"/>
        </w:rPr>
      </w:pPr>
      <w:r>
        <w:rPr>
          <w:rFonts w:hint="eastAsia"/>
          <w:sz w:val="24"/>
          <w:szCs w:val="24"/>
          <w:highlight w:val="none"/>
        </w:rPr>
        <w:t>采取以上措施后，该项目在施工期噪声环境影响将降到最小。</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449" w:name="_Toc20127"/>
      <w:r>
        <w:rPr>
          <w:rFonts w:ascii="Times New Roman" w:hAnsi="Times New Roman" w:eastAsia="宋体"/>
          <w:bCs w:val="0"/>
          <w:snapToGrid w:val="0"/>
          <w:kern w:val="0"/>
          <w:sz w:val="28"/>
          <w:szCs w:val="28"/>
          <w:highlight w:val="none"/>
        </w:rPr>
        <w:t>营运期环境保护措施</w:t>
      </w:r>
      <w:bookmarkEnd w:id="440"/>
      <w:bookmarkEnd w:id="441"/>
      <w:bookmarkEnd w:id="442"/>
      <w:bookmarkEnd w:id="443"/>
      <w:bookmarkEnd w:id="444"/>
      <w:bookmarkEnd w:id="445"/>
      <w:bookmarkEnd w:id="446"/>
      <w:r>
        <w:rPr>
          <w:rFonts w:hint="eastAsia" w:ascii="Times New Roman" w:hAnsi="Times New Roman" w:eastAsia="宋体"/>
          <w:bCs w:val="0"/>
          <w:snapToGrid w:val="0"/>
          <w:kern w:val="0"/>
          <w:sz w:val="28"/>
          <w:szCs w:val="28"/>
          <w:highlight w:val="none"/>
        </w:rPr>
        <w:t>可行性论证</w:t>
      </w:r>
      <w:bookmarkEnd w:id="449"/>
    </w:p>
    <w:p>
      <w:pPr>
        <w:pStyle w:val="6"/>
        <w:numPr>
          <w:ilvl w:val="2"/>
          <w:numId w:val="1"/>
        </w:numPr>
        <w:rPr>
          <w:szCs w:val="28"/>
          <w:highlight w:val="none"/>
        </w:rPr>
      </w:pPr>
      <w:bookmarkStart w:id="450" w:name="_Toc28423"/>
      <w:bookmarkStart w:id="451" w:name="_Toc521591811"/>
      <w:r>
        <w:rPr>
          <w:szCs w:val="28"/>
          <w:highlight w:val="none"/>
        </w:rPr>
        <w:t>运营期大气污染防治措施</w:t>
      </w:r>
      <w:bookmarkEnd w:id="450"/>
      <w:bookmarkEnd w:id="451"/>
      <w:r>
        <w:rPr>
          <w:rFonts w:hint="eastAsia"/>
          <w:szCs w:val="28"/>
          <w:highlight w:val="none"/>
        </w:rPr>
        <w:t>可行性论证</w:t>
      </w:r>
    </w:p>
    <w:p>
      <w:pPr>
        <w:pStyle w:val="3"/>
        <w:rPr>
          <w:highlight w:val="none"/>
        </w:rPr>
      </w:pPr>
      <w:r>
        <w:rPr>
          <w:highlight w:val="none"/>
        </w:rPr>
        <w:t>6.2.1.1废气污染防治措施</w:t>
      </w:r>
      <w:r>
        <w:rPr>
          <w:rFonts w:hint="eastAsia"/>
          <w:highlight w:val="none"/>
        </w:rPr>
        <w:t>可行性论证</w:t>
      </w:r>
    </w:p>
    <w:p>
      <w:pPr>
        <w:ind w:firstLine="480"/>
        <w:jc w:val="both"/>
        <w:rPr>
          <w:bCs/>
          <w:sz w:val="24"/>
          <w:szCs w:val="24"/>
          <w:highlight w:val="none"/>
        </w:rPr>
      </w:pPr>
      <w:r>
        <w:rPr>
          <w:bCs/>
          <w:sz w:val="24"/>
          <w:szCs w:val="24"/>
          <w:highlight w:val="none"/>
        </w:rPr>
        <w:t>（1）破碎筛分粉尘控制措施</w:t>
      </w:r>
    </w:p>
    <w:p>
      <w:pPr>
        <w:ind w:firstLine="480"/>
        <w:rPr>
          <w:bCs/>
          <w:sz w:val="24"/>
          <w:szCs w:val="24"/>
          <w:highlight w:val="none"/>
        </w:rPr>
      </w:pPr>
      <w:r>
        <w:rPr>
          <w:bCs/>
          <w:sz w:val="24"/>
          <w:szCs w:val="24"/>
          <w:highlight w:val="none"/>
        </w:rPr>
        <w:t>本项目破碎筛分工序均在封闭的车间内，在各破碎机、振动筛进料、出料口、入料口分别设置1个集气罩，粉尘经集气管收集进入脉冲布袋收尘器处理后，经16m高排气筒排放。</w:t>
      </w:r>
    </w:p>
    <w:p>
      <w:pPr>
        <w:ind w:firstLine="480"/>
        <w:rPr>
          <w:bCs/>
          <w:sz w:val="24"/>
          <w:szCs w:val="24"/>
          <w:highlight w:val="none"/>
        </w:rPr>
      </w:pPr>
      <w:r>
        <w:rPr>
          <w:rFonts w:hint="eastAsia" w:ascii="宋体" w:hAnsi="宋体" w:cs="宋体"/>
          <w:bCs/>
          <w:sz w:val="24"/>
          <w:szCs w:val="24"/>
          <w:highlight w:val="none"/>
        </w:rPr>
        <w:t>①</w:t>
      </w:r>
      <w:r>
        <w:rPr>
          <w:bCs/>
          <w:sz w:val="24"/>
          <w:szCs w:val="24"/>
          <w:highlight w:val="none"/>
        </w:rPr>
        <w:t>粉尘收集</w:t>
      </w:r>
    </w:p>
    <w:p>
      <w:pPr>
        <w:ind w:left="140" w:leftChars="50" w:firstLine="360" w:firstLineChars="150"/>
        <w:rPr>
          <w:bCs/>
          <w:sz w:val="24"/>
          <w:szCs w:val="24"/>
          <w:highlight w:val="none"/>
        </w:rPr>
      </w:pPr>
      <w:r>
        <w:rPr>
          <w:bCs/>
          <w:sz w:val="24"/>
          <w:szCs w:val="24"/>
          <w:highlight w:val="none"/>
        </w:rPr>
        <w:t>a.颚式破碎机入料口设置皮质软帘封闭，出料口设置1个</w:t>
      </w:r>
      <w:r>
        <w:rPr>
          <w:rFonts w:hint="eastAsia"/>
          <w:bCs/>
          <w:sz w:val="24"/>
          <w:szCs w:val="24"/>
          <w:highlight w:val="none"/>
        </w:rPr>
        <w:t>皮带封</w:t>
      </w:r>
      <w:r>
        <w:rPr>
          <w:bCs/>
          <w:sz w:val="24"/>
          <w:szCs w:val="24"/>
          <w:highlight w:val="none"/>
        </w:rPr>
        <w:t>+集尘管道；</w:t>
      </w:r>
    </w:p>
    <w:p>
      <w:pPr>
        <w:ind w:left="140" w:leftChars="50" w:firstLine="360" w:firstLineChars="150"/>
        <w:rPr>
          <w:bCs/>
          <w:sz w:val="24"/>
          <w:szCs w:val="24"/>
          <w:highlight w:val="none"/>
        </w:rPr>
      </w:pPr>
      <w:r>
        <w:rPr>
          <w:bCs/>
          <w:sz w:val="24"/>
          <w:szCs w:val="24"/>
          <w:highlight w:val="none"/>
        </w:rPr>
        <w:t>b.</w:t>
      </w:r>
      <w:r>
        <w:rPr>
          <w:rFonts w:hint="eastAsia"/>
          <w:bCs/>
          <w:sz w:val="24"/>
          <w:szCs w:val="24"/>
          <w:highlight w:val="none"/>
        </w:rPr>
        <w:t>锤式</w:t>
      </w:r>
      <w:r>
        <w:rPr>
          <w:bCs/>
          <w:sz w:val="24"/>
          <w:szCs w:val="24"/>
          <w:highlight w:val="none"/>
        </w:rPr>
        <w:t>破碎机入料口设置1个集气罩+集尘管道，出料口设置1个</w:t>
      </w:r>
      <w:r>
        <w:rPr>
          <w:rFonts w:hint="eastAsia"/>
          <w:bCs/>
          <w:sz w:val="24"/>
          <w:szCs w:val="24"/>
          <w:highlight w:val="none"/>
        </w:rPr>
        <w:t>皮带封</w:t>
      </w:r>
      <w:r>
        <w:rPr>
          <w:bCs/>
          <w:sz w:val="24"/>
          <w:szCs w:val="24"/>
          <w:highlight w:val="none"/>
        </w:rPr>
        <w:t>+集尘管道；</w:t>
      </w:r>
    </w:p>
    <w:p>
      <w:pPr>
        <w:ind w:left="140" w:leftChars="50" w:firstLine="360" w:firstLineChars="150"/>
        <w:rPr>
          <w:bCs/>
          <w:sz w:val="24"/>
          <w:szCs w:val="24"/>
          <w:highlight w:val="none"/>
        </w:rPr>
      </w:pPr>
      <w:r>
        <w:rPr>
          <w:rFonts w:hint="eastAsia"/>
          <w:bCs/>
          <w:sz w:val="24"/>
          <w:szCs w:val="24"/>
          <w:highlight w:val="none"/>
        </w:rPr>
        <w:t>c</w:t>
      </w:r>
      <w:r>
        <w:rPr>
          <w:bCs/>
          <w:sz w:val="24"/>
          <w:szCs w:val="24"/>
          <w:highlight w:val="none"/>
        </w:rPr>
        <w:t>.振动筛入料口设置1个集气罩+筛面封闭+集尘管道，振动筛出料口设置1个</w:t>
      </w:r>
      <w:r>
        <w:rPr>
          <w:rFonts w:hint="eastAsia"/>
          <w:bCs/>
          <w:sz w:val="24"/>
          <w:szCs w:val="24"/>
          <w:highlight w:val="none"/>
        </w:rPr>
        <w:t>皮带封</w:t>
      </w:r>
      <w:r>
        <w:rPr>
          <w:bCs/>
          <w:sz w:val="24"/>
          <w:szCs w:val="24"/>
          <w:highlight w:val="none"/>
        </w:rPr>
        <w:t>+集尘管；</w:t>
      </w:r>
    </w:p>
    <w:p>
      <w:pPr>
        <w:ind w:left="140" w:leftChars="50" w:firstLine="360" w:firstLineChars="150"/>
        <w:rPr>
          <w:bCs/>
          <w:sz w:val="24"/>
          <w:szCs w:val="24"/>
          <w:highlight w:val="none"/>
        </w:rPr>
      </w:pPr>
      <w:r>
        <w:rPr>
          <w:rFonts w:hint="eastAsia"/>
          <w:bCs/>
          <w:sz w:val="24"/>
          <w:szCs w:val="24"/>
          <w:highlight w:val="none"/>
        </w:rPr>
        <w:t>d</w:t>
      </w:r>
      <w:r>
        <w:rPr>
          <w:bCs/>
          <w:sz w:val="24"/>
          <w:szCs w:val="24"/>
          <w:highlight w:val="none"/>
        </w:rPr>
        <w:t>.</w:t>
      </w:r>
      <w:r>
        <w:rPr>
          <w:rFonts w:hint="eastAsia"/>
          <w:bCs/>
          <w:sz w:val="24"/>
          <w:szCs w:val="24"/>
          <w:highlight w:val="none"/>
        </w:rPr>
        <w:t>中转</w:t>
      </w:r>
      <w:r>
        <w:rPr>
          <w:bCs/>
          <w:sz w:val="24"/>
          <w:szCs w:val="24"/>
          <w:highlight w:val="none"/>
        </w:rPr>
        <w:t>料仓顶部封闭+集尘管道并留有皮带落料口，料仓出料口设置1个</w:t>
      </w:r>
      <w:r>
        <w:rPr>
          <w:rFonts w:hint="eastAsia"/>
          <w:bCs/>
          <w:sz w:val="24"/>
          <w:szCs w:val="24"/>
          <w:highlight w:val="none"/>
        </w:rPr>
        <w:t>皮带封</w:t>
      </w:r>
      <w:r>
        <w:rPr>
          <w:bCs/>
          <w:sz w:val="24"/>
          <w:szCs w:val="24"/>
          <w:highlight w:val="none"/>
        </w:rPr>
        <w:t>+集尘管道。</w:t>
      </w:r>
    </w:p>
    <w:p>
      <w:pPr>
        <w:ind w:firstLine="480"/>
        <w:rPr>
          <w:bCs/>
          <w:sz w:val="24"/>
          <w:szCs w:val="24"/>
          <w:highlight w:val="none"/>
        </w:rPr>
      </w:pPr>
      <w:r>
        <w:rPr>
          <w:rFonts w:hint="eastAsia" w:ascii="宋体" w:hAnsi="宋体" w:cs="宋体"/>
          <w:bCs/>
          <w:sz w:val="24"/>
          <w:szCs w:val="24"/>
          <w:highlight w:val="none"/>
        </w:rPr>
        <w:t>②</w:t>
      </w:r>
      <w:r>
        <w:rPr>
          <w:bCs/>
          <w:sz w:val="24"/>
          <w:szCs w:val="24"/>
          <w:highlight w:val="none"/>
        </w:rPr>
        <w:t>脉冲布袋收尘器</w:t>
      </w:r>
    </w:p>
    <w:p>
      <w:pPr>
        <w:ind w:left="140" w:leftChars="50" w:firstLine="360" w:firstLineChars="150"/>
        <w:rPr>
          <w:bCs/>
          <w:sz w:val="24"/>
          <w:szCs w:val="24"/>
          <w:highlight w:val="none"/>
        </w:rPr>
      </w:pPr>
      <w:r>
        <w:rPr>
          <w:rFonts w:hint="eastAsia"/>
          <w:bCs/>
          <w:sz w:val="24"/>
          <w:szCs w:val="24"/>
          <w:highlight w:val="none"/>
        </w:rPr>
        <w:t>脉冲布袋收尘器由灰门、中箱体、上箱体等部分组成，中箱体为分室或分组结构。工作时，含尘气体由尘气集合管进入灰门，粗尘粒直接落入灰门底部，细尘粒随气流转折向上进入中箱体，灰尘积附在滤袋外表面，过滤后的气体进入净气集合管经风机排至大气。</w:t>
      </w:r>
    </w:p>
    <w:p>
      <w:pPr>
        <w:ind w:left="140" w:leftChars="50" w:firstLine="360" w:firstLineChars="150"/>
        <w:rPr>
          <w:bCs/>
          <w:sz w:val="24"/>
          <w:szCs w:val="24"/>
          <w:highlight w:val="none"/>
        </w:rPr>
      </w:pPr>
      <w:r>
        <w:rPr>
          <w:rFonts w:hint="eastAsia"/>
          <w:bCs/>
          <w:sz w:val="24"/>
          <w:szCs w:val="24"/>
          <w:highlight w:val="none"/>
        </w:rPr>
        <w:t>a.袋式除尘器处理优点</w:t>
      </w:r>
    </w:p>
    <w:p>
      <w:pPr>
        <w:ind w:left="140" w:leftChars="50" w:firstLine="360" w:firstLineChars="150"/>
        <w:rPr>
          <w:bCs/>
          <w:sz w:val="24"/>
          <w:szCs w:val="24"/>
          <w:highlight w:val="none"/>
        </w:rPr>
      </w:pPr>
      <w:r>
        <w:rPr>
          <w:rFonts w:hint="eastAsia"/>
          <w:bCs/>
          <w:sz w:val="24"/>
          <w:szCs w:val="24"/>
          <w:highlight w:val="none"/>
        </w:rPr>
        <w:t>脉冲袋式除尘器是通过滤袋滤除含尘气体中粉尘粒子的分离净化装置，是一种干式高效过滤除尘器，脉冲袋式除尘器的工作原理是通过袋式缝隙的过滤作用而阻挡粉尘，当滤袋上的粉尘沉积到一定程度时，通过脉冲作用使滤袋抖动并变形，沉积的粉尘落入集灰斗，避免了喷吹清灰产生二次扬尘，同时运行平稳，除尘效率高。</w:t>
      </w:r>
    </w:p>
    <w:p>
      <w:pPr>
        <w:ind w:left="140" w:leftChars="50" w:firstLine="360" w:firstLineChars="150"/>
        <w:rPr>
          <w:bCs/>
          <w:sz w:val="24"/>
          <w:szCs w:val="24"/>
          <w:highlight w:val="none"/>
        </w:rPr>
      </w:pPr>
      <w:r>
        <w:rPr>
          <w:rFonts w:hint="eastAsia"/>
          <w:bCs/>
          <w:sz w:val="24"/>
          <w:szCs w:val="24"/>
          <w:highlight w:val="none"/>
        </w:rPr>
        <w:t>脉冲布袋式除尘器主要特点如下：</w:t>
      </w:r>
    </w:p>
    <w:p>
      <w:pPr>
        <w:ind w:left="140" w:leftChars="50" w:firstLine="360" w:firstLineChars="150"/>
        <w:rPr>
          <w:bCs/>
          <w:sz w:val="24"/>
          <w:szCs w:val="24"/>
          <w:highlight w:val="none"/>
        </w:rPr>
      </w:pPr>
      <w:r>
        <w:rPr>
          <w:rFonts w:hint="eastAsia"/>
          <w:bCs/>
          <w:sz w:val="24"/>
          <w:szCs w:val="24"/>
          <w:highlight w:val="none"/>
        </w:rPr>
        <w:t>1).单位体积处理风量大，除尘效率高。</w:t>
      </w:r>
    </w:p>
    <w:p>
      <w:pPr>
        <w:ind w:left="140" w:leftChars="50" w:firstLine="360" w:firstLineChars="150"/>
        <w:rPr>
          <w:bCs/>
          <w:sz w:val="24"/>
          <w:szCs w:val="24"/>
          <w:highlight w:val="none"/>
        </w:rPr>
      </w:pPr>
      <w:r>
        <w:rPr>
          <w:rFonts w:hint="eastAsia"/>
          <w:bCs/>
          <w:sz w:val="24"/>
          <w:szCs w:val="24"/>
          <w:highlight w:val="none"/>
        </w:rPr>
        <w:t>2).可直接处理含尘浓度高的含尘气体，经处理后气体的排放浓度低。</w:t>
      </w:r>
    </w:p>
    <w:p>
      <w:pPr>
        <w:ind w:left="140" w:leftChars="50" w:firstLine="360" w:firstLineChars="150"/>
        <w:rPr>
          <w:bCs/>
          <w:sz w:val="24"/>
          <w:szCs w:val="24"/>
          <w:highlight w:val="none"/>
        </w:rPr>
      </w:pPr>
      <w:r>
        <w:rPr>
          <w:rFonts w:hint="eastAsia"/>
          <w:bCs/>
          <w:sz w:val="24"/>
          <w:szCs w:val="24"/>
          <w:highlight w:val="none"/>
        </w:rPr>
        <w:t>3).针对各种不同类型的烟气，可采用不同的滤料来加以处理，使之达到排放要求，适应性强。</w:t>
      </w:r>
    </w:p>
    <w:p>
      <w:pPr>
        <w:ind w:left="140" w:leftChars="50" w:firstLine="360" w:firstLineChars="150"/>
        <w:rPr>
          <w:bCs/>
          <w:sz w:val="24"/>
          <w:szCs w:val="24"/>
          <w:highlight w:val="none"/>
        </w:rPr>
      </w:pPr>
      <w:r>
        <w:rPr>
          <w:rFonts w:hint="eastAsia"/>
          <w:bCs/>
          <w:sz w:val="24"/>
          <w:szCs w:val="24"/>
          <w:highlight w:val="none"/>
        </w:rPr>
        <w:t>4).采用先进的脉冲阀，性能可靠。脉冲阀使用寿命100万次。</w:t>
      </w:r>
    </w:p>
    <w:p>
      <w:pPr>
        <w:ind w:left="140" w:leftChars="50" w:firstLine="360" w:firstLineChars="150"/>
        <w:rPr>
          <w:bCs/>
          <w:sz w:val="24"/>
          <w:szCs w:val="24"/>
          <w:highlight w:val="none"/>
        </w:rPr>
      </w:pPr>
      <w:r>
        <w:rPr>
          <w:rFonts w:hint="eastAsia"/>
          <w:bCs/>
          <w:sz w:val="24"/>
          <w:szCs w:val="24"/>
          <w:highlight w:val="none"/>
        </w:rPr>
        <w:t>5).采用先进的PLC可编程控制器，定时或定阻自动喷吹清灰，实行自动化运行，耗气量小，清灰彻底，性能稳定。</w:t>
      </w:r>
    </w:p>
    <w:p>
      <w:pPr>
        <w:ind w:left="140" w:leftChars="50" w:firstLine="360" w:firstLineChars="150"/>
        <w:rPr>
          <w:bCs/>
          <w:sz w:val="24"/>
          <w:szCs w:val="24"/>
          <w:highlight w:val="none"/>
        </w:rPr>
      </w:pPr>
      <w:r>
        <w:rPr>
          <w:rFonts w:hint="eastAsia"/>
          <w:bCs/>
          <w:sz w:val="24"/>
          <w:szCs w:val="24"/>
          <w:highlight w:val="none"/>
        </w:rPr>
        <w:t>6).可在线检修。分室换袋维修不影响主机的运行。袋式除尘器结构与工作原理，袋式除尘器由上部箱体、袋室、排灰装置及脉冲喷吹清灰控制系统等组成。式除尘器内部被花板划分为两部分。上面的部分称之为上部箱体或净气室。下面这一部分称之为袋室或滤室。</w:t>
      </w:r>
    </w:p>
    <w:p>
      <w:pPr>
        <w:ind w:left="140" w:leftChars="50" w:firstLine="420" w:firstLineChars="150"/>
        <w:jc w:val="center"/>
        <w:rPr>
          <w:highlight w:val="none"/>
        </w:rPr>
      </w:pPr>
      <w:r>
        <w:rPr>
          <w:highlight w:val="none"/>
        </w:rPr>
        <w:drawing>
          <wp:inline distT="0" distB="0" distL="114300" distR="114300">
            <wp:extent cx="4048125" cy="4657725"/>
            <wp:effectExtent l="0" t="0" r="9525" b="9525"/>
            <wp:docPr id="13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2"/>
                    <pic:cNvPicPr>
                      <a:picLocks noChangeAspect="1"/>
                    </pic:cNvPicPr>
                  </pic:nvPicPr>
                  <pic:blipFill>
                    <a:blip r:embed="rId103" cstate="print"/>
                    <a:stretch>
                      <a:fillRect/>
                    </a:stretch>
                  </pic:blipFill>
                  <pic:spPr>
                    <a:xfrm>
                      <a:off x="0" y="0"/>
                      <a:ext cx="4048125" cy="4657725"/>
                    </a:xfrm>
                    <a:prstGeom prst="rect">
                      <a:avLst/>
                    </a:prstGeom>
                    <a:noFill/>
                    <a:ln>
                      <a:noFill/>
                    </a:ln>
                  </pic:spPr>
                </pic:pic>
              </a:graphicData>
            </a:graphic>
          </wp:inline>
        </w:drawing>
      </w:r>
    </w:p>
    <w:p>
      <w:pPr>
        <w:pStyle w:val="15"/>
        <w:rPr>
          <w:rFonts w:ascii="黑体" w:hAnsi="黑体" w:eastAsia="黑体" w:cs="Times New Roman"/>
          <w:b w:val="0"/>
          <w:snapToGrid/>
          <w:kern w:val="2"/>
          <w:sz w:val="21"/>
          <w:szCs w:val="21"/>
          <w:highlight w:val="none"/>
        </w:rPr>
      </w:pPr>
      <w:r>
        <w:rPr>
          <w:rFonts w:ascii="Times New Roman" w:hAnsi="Times New Roman" w:eastAsia="黑体" w:cs="Times New Roman"/>
          <w:b w:val="0"/>
          <w:snapToGrid/>
          <w:kern w:val="2"/>
          <w:sz w:val="21"/>
          <w:szCs w:val="21"/>
          <w:highlight w:val="none"/>
        </w:rPr>
        <w:t xml:space="preserve">图6.2-1 </w:t>
      </w:r>
      <w:r>
        <w:rPr>
          <w:rFonts w:hint="eastAsia" w:ascii="黑体" w:hAnsi="黑体" w:eastAsia="黑体" w:cs="Times New Roman"/>
          <w:b w:val="0"/>
          <w:snapToGrid/>
          <w:kern w:val="2"/>
          <w:sz w:val="21"/>
          <w:szCs w:val="21"/>
          <w:highlight w:val="none"/>
        </w:rPr>
        <w:t xml:space="preserve">   脉冲式袋式除尘器工作原理</w:t>
      </w:r>
    </w:p>
    <w:p>
      <w:pPr>
        <w:ind w:left="140" w:leftChars="50" w:firstLine="360" w:firstLineChars="150"/>
        <w:rPr>
          <w:bCs/>
          <w:sz w:val="24"/>
          <w:szCs w:val="24"/>
          <w:highlight w:val="none"/>
        </w:rPr>
      </w:pPr>
      <w:r>
        <w:rPr>
          <w:rFonts w:hint="eastAsia"/>
          <w:bCs/>
          <w:sz w:val="24"/>
          <w:szCs w:val="24"/>
          <w:highlight w:val="none"/>
        </w:rPr>
        <w:t>②项目采用过滤材料特点</w:t>
      </w:r>
    </w:p>
    <w:p>
      <w:pPr>
        <w:ind w:left="140" w:leftChars="50" w:firstLine="360" w:firstLineChars="150"/>
        <w:jc w:val="both"/>
        <w:rPr>
          <w:bCs/>
          <w:sz w:val="24"/>
          <w:szCs w:val="24"/>
          <w:highlight w:val="none"/>
        </w:rPr>
      </w:pPr>
      <w:r>
        <w:rPr>
          <w:rFonts w:hint="eastAsia"/>
          <w:bCs/>
          <w:sz w:val="24"/>
          <w:szCs w:val="24"/>
          <w:highlight w:val="none"/>
        </w:rPr>
        <w:t>本项目破碎筛分生产线处理铁矿石规模为60万t/a，除尘器的设计风量参照《唐山市人民政府关于对采石场实施环节保护专项整治行动的通知》（唐政【2013】128号）中“采石场环境保护专项整治标准”第八条“单台破碎、筛分设备的除尘设计风量按大于12000m</w:t>
      </w:r>
      <w:r>
        <w:rPr>
          <w:rFonts w:hint="eastAsia"/>
          <w:bCs/>
          <w:sz w:val="24"/>
          <w:szCs w:val="24"/>
          <w:highlight w:val="none"/>
          <w:vertAlign w:val="superscript"/>
        </w:rPr>
        <w:t>3</w:t>
      </w:r>
      <w:r>
        <w:rPr>
          <w:rFonts w:hint="eastAsia"/>
          <w:bCs/>
          <w:sz w:val="24"/>
          <w:szCs w:val="24"/>
          <w:highlight w:val="none"/>
        </w:rPr>
        <w:t>/h计算”，</w:t>
      </w:r>
      <w:r>
        <w:rPr>
          <w:bCs/>
          <w:sz w:val="24"/>
          <w:szCs w:val="24"/>
          <w:highlight w:val="none"/>
        </w:rPr>
        <w:t>本项目破碎</w:t>
      </w:r>
      <w:r>
        <w:rPr>
          <w:rFonts w:hint="eastAsia"/>
          <w:bCs/>
          <w:sz w:val="24"/>
          <w:szCs w:val="24"/>
          <w:highlight w:val="none"/>
        </w:rPr>
        <w:t>粗选</w:t>
      </w:r>
      <w:r>
        <w:rPr>
          <w:bCs/>
          <w:sz w:val="24"/>
          <w:szCs w:val="24"/>
          <w:highlight w:val="none"/>
        </w:rPr>
        <w:t>生产线设置一套脉冲布袋收尘器，风量为</w:t>
      </w:r>
      <w:r>
        <w:rPr>
          <w:rFonts w:hint="eastAsia"/>
          <w:bCs/>
          <w:sz w:val="24"/>
          <w:szCs w:val="24"/>
          <w:highlight w:val="none"/>
        </w:rPr>
        <w:t>65</w:t>
      </w:r>
      <w:r>
        <w:rPr>
          <w:bCs/>
          <w:sz w:val="24"/>
          <w:szCs w:val="24"/>
          <w:highlight w:val="none"/>
        </w:rPr>
        <w:t>000m</w:t>
      </w:r>
      <w:r>
        <w:rPr>
          <w:rFonts w:hint="eastAsia"/>
          <w:bCs/>
          <w:sz w:val="24"/>
          <w:szCs w:val="24"/>
          <w:highlight w:val="none"/>
          <w:vertAlign w:val="superscript"/>
        </w:rPr>
        <w:t>3</w:t>
      </w:r>
      <w:r>
        <w:rPr>
          <w:bCs/>
          <w:sz w:val="24"/>
          <w:szCs w:val="24"/>
          <w:highlight w:val="none"/>
        </w:rPr>
        <w:t>/h，</w:t>
      </w:r>
      <w:r>
        <w:rPr>
          <w:rFonts w:hint="eastAsia"/>
          <w:bCs/>
          <w:sz w:val="24"/>
          <w:szCs w:val="24"/>
          <w:highlight w:val="none"/>
        </w:rPr>
        <w:t>根据计算和设计单位提供资料可知，覆膜滤料过滤面积为1000m</w:t>
      </w:r>
      <w:r>
        <w:rPr>
          <w:rFonts w:hint="eastAsia"/>
          <w:bCs/>
          <w:sz w:val="24"/>
          <w:szCs w:val="24"/>
          <w:highlight w:val="none"/>
          <w:vertAlign w:val="superscript"/>
        </w:rPr>
        <w:t>2</w:t>
      </w:r>
      <w:r>
        <w:rPr>
          <w:rFonts w:hint="eastAsia"/>
          <w:bCs/>
          <w:sz w:val="24"/>
          <w:szCs w:val="24"/>
          <w:highlight w:val="none"/>
        </w:rPr>
        <w:t>。</w:t>
      </w:r>
    </w:p>
    <w:p>
      <w:pPr>
        <w:ind w:left="140" w:leftChars="50" w:firstLine="360" w:firstLineChars="150"/>
        <w:rPr>
          <w:highlight w:val="none"/>
        </w:rPr>
      </w:pPr>
      <w:r>
        <w:rPr>
          <w:rFonts w:hint="eastAsia"/>
          <w:bCs/>
          <w:sz w:val="24"/>
          <w:szCs w:val="24"/>
          <w:highlight w:val="none"/>
        </w:rPr>
        <w:t>随着科技的发展，脉冲袋式除尘器滤料已出现多种形式，从过滤效果可分为普通滤料和覆膜滤料。</w:t>
      </w:r>
    </w:p>
    <w:p>
      <w:pPr>
        <w:ind w:left="140" w:leftChars="50" w:firstLine="360" w:firstLineChars="150"/>
        <w:rPr>
          <w:bCs/>
          <w:sz w:val="24"/>
          <w:szCs w:val="24"/>
          <w:highlight w:val="none"/>
        </w:rPr>
      </w:pPr>
      <w:r>
        <w:rPr>
          <w:rFonts w:hint="eastAsia"/>
          <w:bCs/>
          <w:sz w:val="24"/>
          <w:szCs w:val="24"/>
          <w:highlight w:val="none"/>
        </w:rPr>
        <w:t>覆膜滤料是在普通滤料表面复合一层高效过滤薄膜而形成的一种新型滤料。这层薄膜相当于起到了“一次粉尘层”的作用，物料交换是在膜表面进行的，使用之初就能进行有效的过滤。薄膜特有的立体网状结构，使粉尘无法穿过，无孔隙堵塞之虞。</w:t>
      </w:r>
    </w:p>
    <w:p>
      <w:pPr>
        <w:ind w:left="140" w:leftChars="50" w:firstLine="360" w:firstLineChars="150"/>
        <w:rPr>
          <w:bCs/>
          <w:sz w:val="24"/>
          <w:szCs w:val="24"/>
          <w:highlight w:val="none"/>
        </w:rPr>
      </w:pPr>
      <w:r>
        <w:rPr>
          <w:rFonts w:hint="eastAsia"/>
          <w:bCs/>
          <w:sz w:val="24"/>
          <w:szCs w:val="24"/>
          <w:highlight w:val="none"/>
        </w:rPr>
        <w:t>覆膜滤料过滤方式称为“表面过滤”，性能优异，与普通滤料相比，其优点是：</w:t>
      </w:r>
    </w:p>
    <w:p>
      <w:pPr>
        <w:ind w:left="140" w:leftChars="50" w:firstLine="360" w:firstLineChars="150"/>
        <w:rPr>
          <w:bCs/>
          <w:sz w:val="24"/>
          <w:szCs w:val="24"/>
          <w:highlight w:val="none"/>
        </w:rPr>
      </w:pPr>
      <w:r>
        <w:rPr>
          <w:rFonts w:hint="eastAsia"/>
          <w:bCs/>
          <w:sz w:val="24"/>
          <w:szCs w:val="24"/>
          <w:highlight w:val="none"/>
        </w:rPr>
        <w:t>a) 表面过滤效率高。通常工业用滤材是依赖在滤材表面先建立一次粉尘层进行有效过滤，建立有效过滤时间长(约需整个滤程的10％)，阻力大，效率低，截留不完全，损耗也大，过滤和反吹压力高，清灰频繁，能耗较高，使用寿命不长，设备占地面积大。使用覆膜滤布，粉尘不能透入滤料，只是表面过滤，无论是粗、细粉尘，全部沉积在滤料表面，即靠膜本身孔径截留被滤物，无初滤期，开始就是有效过滤，近百分之百的时间处于有效过滤。</w:t>
      </w:r>
    </w:p>
    <w:p>
      <w:pPr>
        <w:ind w:left="140" w:leftChars="50" w:firstLine="360" w:firstLineChars="150"/>
        <w:rPr>
          <w:bCs/>
          <w:sz w:val="24"/>
          <w:szCs w:val="24"/>
          <w:highlight w:val="none"/>
        </w:rPr>
      </w:pPr>
      <w:r>
        <w:rPr>
          <w:rFonts w:hint="eastAsia"/>
          <w:bCs/>
          <w:sz w:val="24"/>
          <w:szCs w:val="24"/>
          <w:highlight w:val="none"/>
        </w:rPr>
        <w:t>b) 低压、高通量连续工作。传统的深层过滤的滤料，一旦投入使用，粉尘穿透，建立一次粉尘层，透气性便迅速下降。过滤时，内部堆积的粉尘造成阻塞现象，从而增加了除尘设备的阻力。覆膜滤料以微细孔径及其不黏性，使粉尘穿透率近于零，投入使用后提供极佳的过滤效率，当沉积在覆膜滤料表面的粉尘达到一定厚度时，就会自动脱落，易清灰，使过滤压力始终保持在很低的水平，空气流量始终保持在较高水平，可连续工作。而过滤压力的降低，使其可以选择长滤袋形式，以减少占地面积。</w:t>
      </w:r>
    </w:p>
    <w:p>
      <w:pPr>
        <w:ind w:left="140" w:leftChars="50" w:firstLine="360" w:firstLineChars="150"/>
        <w:rPr>
          <w:bCs/>
          <w:sz w:val="24"/>
          <w:szCs w:val="24"/>
          <w:highlight w:val="none"/>
        </w:rPr>
      </w:pPr>
      <w:r>
        <w:rPr>
          <w:rFonts w:hint="eastAsia"/>
          <w:bCs/>
          <w:sz w:val="24"/>
          <w:szCs w:val="24"/>
          <w:highlight w:val="none"/>
        </w:rPr>
        <w:t>c) 容易清灰。任何一种滤料的操作压力损失直接取决于清灰后残留在滤料表面上、下的粉尘量。覆膜滤料清灰容易，具有非常优越的清灰特性，每次清灰都能彻底除去尘层，滤料内部不会产生堵塞，不会改变孔隙率和质密度，能经常维持于较低压力损失工作。</w:t>
      </w:r>
    </w:p>
    <w:p>
      <w:pPr>
        <w:ind w:left="140" w:leftChars="50" w:firstLine="360" w:firstLineChars="150"/>
        <w:rPr>
          <w:bCs/>
          <w:sz w:val="24"/>
          <w:szCs w:val="24"/>
          <w:highlight w:val="none"/>
        </w:rPr>
      </w:pPr>
      <w:r>
        <w:rPr>
          <w:rFonts w:hint="eastAsia"/>
          <w:bCs/>
          <w:sz w:val="24"/>
          <w:szCs w:val="24"/>
          <w:highlight w:val="none"/>
        </w:rPr>
        <w:t>d) 寿命长。覆膜滤料无论采用什么清灰机制，都可以发挥其优越的特性，是一种将工业除尘器设计机能完全过滤作用的过滤材料，因而成本低廉。覆膜滤料是一种强韧而柔软的纤维结构，与坚强的基材复合而成，所以有足够的机械强度，加之有卓越的脱灰性，降低了清灰强度，在低而稳的压力损失下，能长期使用，延长了滤袋寿命。</w:t>
      </w:r>
    </w:p>
    <w:p>
      <w:pPr>
        <w:ind w:left="140" w:leftChars="50" w:firstLine="360" w:firstLineChars="150"/>
        <w:rPr>
          <w:bCs/>
          <w:sz w:val="24"/>
          <w:szCs w:val="24"/>
          <w:highlight w:val="none"/>
        </w:rPr>
      </w:pPr>
      <w:r>
        <w:rPr>
          <w:rFonts w:hint="eastAsia"/>
          <w:bCs/>
          <w:sz w:val="24"/>
          <w:szCs w:val="24"/>
          <w:highlight w:val="none"/>
        </w:rPr>
        <w:t>综合以上分析，覆膜滤料具有表面光滑、防水透气、容易清灰等特点，过滤效率高，运行阻力低，耗能少，使用寿命长，真正实现了“表面过滤”。</w:t>
      </w:r>
    </w:p>
    <w:p>
      <w:pPr>
        <w:ind w:left="140" w:leftChars="50" w:firstLine="360" w:firstLineChars="150"/>
        <w:rPr>
          <w:bCs/>
          <w:sz w:val="24"/>
          <w:szCs w:val="24"/>
          <w:highlight w:val="none"/>
        </w:rPr>
      </w:pPr>
      <w:r>
        <w:rPr>
          <w:rFonts w:hint="eastAsia"/>
          <w:bCs/>
          <w:sz w:val="24"/>
          <w:szCs w:val="24"/>
          <w:highlight w:val="none"/>
        </w:rPr>
        <w:t>目前，脉冲袋式除尘器是各类企业常用的环保设备之一，几乎在各产尘生产工序都可以采用。参照《火电厂污染防治可行技术指南》(HJ2301-2017)，采用高精过滤滤料时，出口烟尘浓度可以实现10mg/m</w:t>
      </w:r>
      <w:r>
        <w:rPr>
          <w:rFonts w:hint="eastAsia"/>
          <w:bCs/>
          <w:sz w:val="24"/>
          <w:szCs w:val="24"/>
          <w:highlight w:val="none"/>
          <w:vertAlign w:val="superscript"/>
        </w:rPr>
        <w:t>3</w:t>
      </w:r>
      <w:r>
        <w:rPr>
          <w:rFonts w:hint="eastAsia"/>
          <w:bCs/>
          <w:sz w:val="24"/>
          <w:szCs w:val="24"/>
          <w:highlight w:val="none"/>
        </w:rPr>
        <w:t>以下。调查可知，诸多钢铁、建材和化工企业的物料转运、筛分、干燥等工序产生废气均采用脉冲袋式除尘器净化处理，实际监测结果表明，覆膜滤袋净化后外排废气中粉尘浓度净化效率可达99%以上。</w:t>
      </w:r>
    </w:p>
    <w:p>
      <w:pPr>
        <w:ind w:left="140" w:leftChars="50" w:firstLine="360" w:firstLineChars="150"/>
        <w:rPr>
          <w:sz w:val="24"/>
          <w:szCs w:val="24"/>
          <w:highlight w:val="none"/>
        </w:rPr>
      </w:pPr>
      <w:bookmarkStart w:id="452" w:name="_Hlk11727619"/>
      <w:r>
        <w:rPr>
          <w:sz w:val="24"/>
          <w:szCs w:val="24"/>
          <w:highlight w:val="none"/>
        </w:rPr>
        <w:t>本项目</w:t>
      </w:r>
      <w:r>
        <w:rPr>
          <w:rFonts w:hint="eastAsia"/>
          <w:bCs/>
          <w:sz w:val="24"/>
          <w:szCs w:val="24"/>
          <w:highlight w:val="none"/>
        </w:rPr>
        <w:t>2#</w:t>
      </w:r>
      <w:r>
        <w:rPr>
          <w:bCs/>
          <w:sz w:val="24"/>
          <w:szCs w:val="24"/>
          <w:highlight w:val="none"/>
        </w:rPr>
        <w:t>破碎生产线</w:t>
      </w:r>
      <w:r>
        <w:rPr>
          <w:sz w:val="24"/>
          <w:szCs w:val="24"/>
          <w:highlight w:val="none"/>
        </w:rPr>
        <w:t>使用的</w:t>
      </w:r>
      <w:r>
        <w:rPr>
          <w:bCs/>
          <w:sz w:val="24"/>
          <w:szCs w:val="24"/>
          <w:highlight w:val="none"/>
        </w:rPr>
        <w:t>脉冲</w:t>
      </w:r>
      <w:r>
        <w:rPr>
          <w:sz w:val="24"/>
          <w:szCs w:val="24"/>
          <w:highlight w:val="none"/>
        </w:rPr>
        <w:t>布袋除尘器设计参数</w:t>
      </w:r>
      <w:bookmarkEnd w:id="452"/>
      <w:r>
        <w:rPr>
          <w:sz w:val="24"/>
          <w:szCs w:val="24"/>
          <w:highlight w:val="none"/>
        </w:rPr>
        <w:t>见</w:t>
      </w:r>
      <w:r>
        <w:rPr>
          <w:rFonts w:hint="eastAsia"/>
          <w:sz w:val="24"/>
          <w:szCs w:val="24"/>
          <w:highlight w:val="none"/>
        </w:rPr>
        <w:t>表6.2-1</w:t>
      </w:r>
      <w:r>
        <w:rPr>
          <w:rFonts w:eastAsiaTheme="minorEastAsia"/>
          <w:sz w:val="24"/>
          <w:szCs w:val="24"/>
          <w:highlight w:val="none"/>
        </w:rPr>
        <w:t>：</w:t>
      </w:r>
    </w:p>
    <w:p>
      <w:pPr>
        <w:pStyle w:val="15"/>
        <w:rPr>
          <w:rFonts w:ascii="黑体" w:hAnsi="黑体" w:eastAsia="黑体" w:cs="Times New Roman"/>
          <w:b w:val="0"/>
          <w:snapToGrid/>
          <w:kern w:val="2"/>
          <w:sz w:val="21"/>
          <w:szCs w:val="21"/>
          <w:highlight w:val="none"/>
        </w:rPr>
      </w:pPr>
      <w:bookmarkStart w:id="453" w:name="_Ref11715298"/>
      <w:r>
        <w:rPr>
          <w:rFonts w:ascii="Times New Roman" w:hAnsi="Times New Roman" w:eastAsia="黑体" w:cs="Times New Roman"/>
          <w:b w:val="0"/>
          <w:snapToGrid/>
          <w:kern w:val="2"/>
          <w:sz w:val="21"/>
          <w:szCs w:val="21"/>
          <w:highlight w:val="none"/>
        </w:rPr>
        <w:t>表6.2-1</w:t>
      </w:r>
      <w:bookmarkEnd w:id="453"/>
      <w:r>
        <w:rPr>
          <w:rFonts w:ascii="Times New Roman" w:hAnsi="Times New Roman" w:eastAsia="黑体" w:cs="Times New Roman"/>
          <w:b w:val="0"/>
          <w:snapToGrid/>
          <w:kern w:val="2"/>
          <w:sz w:val="21"/>
          <w:szCs w:val="21"/>
          <w:highlight w:val="none"/>
        </w:rPr>
        <w:t xml:space="preserve">  </w:t>
      </w:r>
      <w:r>
        <w:rPr>
          <w:rFonts w:hint="eastAsia" w:ascii="黑体" w:hAnsi="黑体" w:eastAsia="黑体" w:cs="Times New Roman"/>
          <w:b w:val="0"/>
          <w:snapToGrid/>
          <w:kern w:val="2"/>
          <w:sz w:val="21"/>
          <w:szCs w:val="21"/>
          <w:highlight w:val="none"/>
        </w:rPr>
        <w:t>除尘器设计参数一览表</w:t>
      </w:r>
    </w:p>
    <w:tbl>
      <w:tblPr>
        <w:tblStyle w:val="56"/>
        <w:tblW w:w="85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440"/>
        <w:gridCol w:w="2160"/>
        <w:gridCol w:w="720"/>
        <w:gridCol w:w="1440"/>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序号</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项目</w:t>
            </w:r>
          </w:p>
        </w:tc>
        <w:tc>
          <w:tcPr>
            <w:tcW w:w="216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参数</w:t>
            </w:r>
          </w:p>
        </w:tc>
        <w:tc>
          <w:tcPr>
            <w:tcW w:w="72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序号</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项目</w:t>
            </w:r>
          </w:p>
        </w:tc>
        <w:tc>
          <w:tcPr>
            <w:tcW w:w="2102"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417"/>
              <w:spacing w:line="240" w:lineRule="auto"/>
              <w:rPr>
                <w:highlight w:val="none"/>
                <w:lang w:val="zh-CN" w:bidi="zh-CN"/>
              </w:rPr>
            </w:pPr>
            <w:r>
              <w:rPr>
                <w:highlight w:val="none"/>
                <w:lang w:val="zh-CN" w:bidi="zh-CN"/>
              </w:rPr>
              <w:t>1</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类型</w:t>
            </w:r>
          </w:p>
        </w:tc>
        <w:tc>
          <w:tcPr>
            <w:tcW w:w="216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脉冲布袋除尘器</w:t>
            </w:r>
          </w:p>
        </w:tc>
        <w:tc>
          <w:tcPr>
            <w:tcW w:w="720" w:type="dxa"/>
            <w:tcBorders>
              <w:tl2br w:val="nil"/>
              <w:tr2bl w:val="nil"/>
            </w:tcBorders>
            <w:vAlign w:val="center"/>
          </w:tcPr>
          <w:p>
            <w:pPr>
              <w:pStyle w:val="417"/>
              <w:spacing w:line="240" w:lineRule="auto"/>
              <w:rPr>
                <w:highlight w:val="none"/>
                <w:lang w:val="zh-CN" w:bidi="zh-CN"/>
              </w:rPr>
            </w:pPr>
            <w:r>
              <w:rPr>
                <w:highlight w:val="none"/>
                <w:lang w:val="zh-CN" w:bidi="zh-CN"/>
              </w:rPr>
              <w:t>10</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工作温度</w:t>
            </w:r>
          </w:p>
        </w:tc>
        <w:tc>
          <w:tcPr>
            <w:tcW w:w="2102" w:type="dxa"/>
            <w:tcBorders>
              <w:tl2br w:val="nil"/>
              <w:tr2bl w:val="nil"/>
            </w:tcBorders>
            <w:vAlign w:val="center"/>
          </w:tcPr>
          <w:p>
            <w:pPr>
              <w:pStyle w:val="417"/>
              <w:spacing w:line="240" w:lineRule="auto"/>
              <w:rPr>
                <w:highlight w:val="none"/>
                <w:lang w:val="zh-CN" w:bidi="zh-CN"/>
              </w:rPr>
            </w:pPr>
            <w:r>
              <w:rPr>
                <w:highlight w:val="none"/>
                <w:lang w:val="zh-CN" w:bidi="zh-CN"/>
              </w:rPr>
              <w:t>≤130</w:t>
            </w:r>
            <w:r>
              <w:rPr>
                <w:rFonts w:hint="eastAsia"/>
                <w:highlight w:val="none"/>
                <w:lang w:val="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417"/>
              <w:spacing w:line="240" w:lineRule="auto"/>
              <w:rPr>
                <w:highlight w:val="none"/>
                <w:lang w:val="zh-CN" w:bidi="zh-CN"/>
              </w:rPr>
            </w:pPr>
            <w:r>
              <w:rPr>
                <w:highlight w:val="none"/>
                <w:lang w:val="zh-CN" w:bidi="zh-CN"/>
              </w:rPr>
              <w:t>2</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过滤面积</w:t>
            </w:r>
          </w:p>
        </w:tc>
        <w:tc>
          <w:tcPr>
            <w:tcW w:w="2160" w:type="dxa"/>
            <w:tcBorders>
              <w:tl2br w:val="nil"/>
              <w:tr2bl w:val="nil"/>
            </w:tcBorders>
            <w:vAlign w:val="center"/>
          </w:tcPr>
          <w:p>
            <w:pPr>
              <w:pStyle w:val="417"/>
              <w:spacing w:line="240" w:lineRule="auto"/>
              <w:rPr>
                <w:highlight w:val="none"/>
                <w:lang w:bidi="zh-CN"/>
              </w:rPr>
            </w:pPr>
            <w:r>
              <w:rPr>
                <w:rFonts w:hint="eastAsia"/>
                <w:highlight w:val="none"/>
                <w:lang w:bidi="zh-CN"/>
              </w:rPr>
              <w:t>1000m</w:t>
            </w:r>
            <w:r>
              <w:rPr>
                <w:rFonts w:hint="eastAsia"/>
                <w:highlight w:val="none"/>
                <w:vertAlign w:val="superscript"/>
                <w:lang w:bidi="zh-CN"/>
              </w:rPr>
              <w:t>2</w:t>
            </w:r>
          </w:p>
        </w:tc>
        <w:tc>
          <w:tcPr>
            <w:tcW w:w="720" w:type="dxa"/>
            <w:tcBorders>
              <w:tl2br w:val="nil"/>
              <w:tr2bl w:val="nil"/>
            </w:tcBorders>
            <w:vAlign w:val="center"/>
          </w:tcPr>
          <w:p>
            <w:pPr>
              <w:pStyle w:val="417"/>
              <w:spacing w:line="240" w:lineRule="auto"/>
              <w:rPr>
                <w:highlight w:val="none"/>
                <w:lang w:val="zh-CN" w:bidi="zh-CN"/>
              </w:rPr>
            </w:pPr>
            <w:r>
              <w:rPr>
                <w:highlight w:val="none"/>
                <w:lang w:val="zh-CN" w:bidi="zh-CN"/>
              </w:rPr>
              <w:t>11</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瞬时温度</w:t>
            </w:r>
          </w:p>
        </w:tc>
        <w:tc>
          <w:tcPr>
            <w:tcW w:w="2102"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2</w:t>
            </w:r>
            <w:r>
              <w:rPr>
                <w:highlight w:val="none"/>
                <w:lang w:val="zh-CN" w:bidi="zh-CN"/>
              </w:rPr>
              <w:t>0</w:t>
            </w:r>
            <w:r>
              <w:rPr>
                <w:rFonts w:hint="eastAsia"/>
                <w:highlight w:val="none"/>
                <w:lang w:val="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417"/>
              <w:spacing w:line="240" w:lineRule="auto"/>
              <w:rPr>
                <w:highlight w:val="none"/>
                <w:lang w:val="zh-CN" w:bidi="zh-CN"/>
              </w:rPr>
            </w:pPr>
            <w:r>
              <w:rPr>
                <w:highlight w:val="none"/>
                <w:lang w:val="zh-CN" w:bidi="zh-CN"/>
              </w:rPr>
              <w:t>3</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过滤风速</w:t>
            </w:r>
          </w:p>
        </w:tc>
        <w:tc>
          <w:tcPr>
            <w:tcW w:w="2160" w:type="dxa"/>
            <w:tcBorders>
              <w:tl2br w:val="nil"/>
              <w:tr2bl w:val="nil"/>
            </w:tcBorders>
            <w:vAlign w:val="center"/>
          </w:tcPr>
          <w:p>
            <w:pPr>
              <w:pStyle w:val="417"/>
              <w:spacing w:line="240" w:lineRule="auto"/>
              <w:rPr>
                <w:highlight w:val="none"/>
                <w:lang w:val="zh-CN" w:bidi="zh-CN"/>
              </w:rPr>
            </w:pPr>
            <w:r>
              <w:rPr>
                <w:rFonts w:hint="eastAsia"/>
                <w:highlight w:val="none"/>
                <w:lang w:bidi="zh-CN"/>
              </w:rPr>
              <w:t>0.8</w:t>
            </w:r>
            <w:r>
              <w:rPr>
                <w:highlight w:val="none"/>
                <w:lang w:val="zh-CN" w:bidi="zh-CN"/>
              </w:rPr>
              <w:t>m/min</w:t>
            </w:r>
          </w:p>
        </w:tc>
        <w:tc>
          <w:tcPr>
            <w:tcW w:w="720" w:type="dxa"/>
            <w:tcBorders>
              <w:tl2br w:val="nil"/>
              <w:tr2bl w:val="nil"/>
            </w:tcBorders>
            <w:vAlign w:val="center"/>
          </w:tcPr>
          <w:p>
            <w:pPr>
              <w:pStyle w:val="417"/>
              <w:spacing w:line="240" w:lineRule="auto"/>
              <w:rPr>
                <w:highlight w:val="none"/>
                <w:lang w:val="zh-CN" w:bidi="zh-CN"/>
              </w:rPr>
            </w:pPr>
            <w:r>
              <w:rPr>
                <w:highlight w:val="none"/>
                <w:lang w:val="zh-CN" w:bidi="zh-CN"/>
              </w:rPr>
              <w:t>12</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滤袋个数</w:t>
            </w:r>
          </w:p>
        </w:tc>
        <w:tc>
          <w:tcPr>
            <w:tcW w:w="2102" w:type="dxa"/>
            <w:tcBorders>
              <w:tl2br w:val="nil"/>
              <w:tr2bl w:val="nil"/>
            </w:tcBorders>
            <w:vAlign w:val="center"/>
          </w:tcPr>
          <w:p>
            <w:pPr>
              <w:pStyle w:val="417"/>
              <w:spacing w:line="240" w:lineRule="auto"/>
              <w:rPr>
                <w:highlight w:val="none"/>
                <w:lang w:val="zh-CN" w:bidi="zh-CN"/>
              </w:rPr>
            </w:pPr>
            <w:r>
              <w:rPr>
                <w:rFonts w:hint="eastAsia"/>
                <w:highlight w:val="none"/>
                <w:lang w:bidi="zh-CN"/>
              </w:rPr>
              <w:t>50</w:t>
            </w:r>
            <w:r>
              <w:rPr>
                <w:rFonts w:hint="eastAsia"/>
                <w:highlight w:val="none"/>
                <w:lang w:val="zh-CN" w:bidi="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417"/>
              <w:spacing w:line="240" w:lineRule="auto"/>
              <w:rPr>
                <w:highlight w:val="none"/>
                <w:lang w:val="zh-CN" w:bidi="zh-CN"/>
              </w:rPr>
            </w:pPr>
            <w:r>
              <w:rPr>
                <w:highlight w:val="none"/>
                <w:lang w:val="zh-CN" w:bidi="zh-CN"/>
              </w:rPr>
              <w:t>6</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脉冲阀规格</w:t>
            </w:r>
          </w:p>
        </w:tc>
        <w:tc>
          <w:tcPr>
            <w:tcW w:w="2160" w:type="dxa"/>
            <w:tcBorders>
              <w:tl2br w:val="nil"/>
              <w:tr2bl w:val="nil"/>
            </w:tcBorders>
            <w:vAlign w:val="center"/>
          </w:tcPr>
          <w:p>
            <w:pPr>
              <w:pStyle w:val="417"/>
              <w:spacing w:line="240" w:lineRule="auto"/>
              <w:rPr>
                <w:highlight w:val="none"/>
                <w:lang w:val="zh-CN" w:bidi="zh-CN"/>
              </w:rPr>
            </w:pPr>
            <w:r>
              <w:rPr>
                <w:highlight w:val="none"/>
                <w:lang w:val="zh-CN" w:bidi="zh-CN"/>
              </w:rPr>
              <w:t>2.5</w:t>
            </w:r>
            <w:r>
              <w:rPr>
                <w:rFonts w:hint="eastAsia"/>
                <w:highlight w:val="none"/>
                <w:lang w:val="zh-CN" w:bidi="zh-CN"/>
              </w:rPr>
              <w:t>英寸</w:t>
            </w:r>
          </w:p>
        </w:tc>
        <w:tc>
          <w:tcPr>
            <w:tcW w:w="720" w:type="dxa"/>
            <w:tcBorders>
              <w:tl2br w:val="nil"/>
              <w:tr2bl w:val="nil"/>
            </w:tcBorders>
            <w:vAlign w:val="center"/>
          </w:tcPr>
          <w:p>
            <w:pPr>
              <w:pStyle w:val="417"/>
              <w:spacing w:line="240" w:lineRule="auto"/>
              <w:rPr>
                <w:highlight w:val="none"/>
                <w:lang w:val="zh-CN" w:bidi="zh-CN"/>
              </w:rPr>
            </w:pPr>
            <w:r>
              <w:rPr>
                <w:highlight w:val="none"/>
                <w:lang w:val="zh-CN" w:bidi="zh-CN"/>
              </w:rPr>
              <w:t>13</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清灰方式</w:t>
            </w:r>
          </w:p>
        </w:tc>
        <w:tc>
          <w:tcPr>
            <w:tcW w:w="2102"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脉冲清灰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417"/>
              <w:spacing w:line="240" w:lineRule="auto"/>
              <w:rPr>
                <w:highlight w:val="none"/>
                <w:lang w:val="zh-CN" w:bidi="zh-CN"/>
              </w:rPr>
            </w:pPr>
            <w:r>
              <w:rPr>
                <w:highlight w:val="none"/>
                <w:lang w:val="zh-CN" w:bidi="zh-CN"/>
              </w:rPr>
              <w:t>7</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过滤方式</w:t>
            </w:r>
          </w:p>
        </w:tc>
        <w:tc>
          <w:tcPr>
            <w:tcW w:w="216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负压外滤式</w:t>
            </w:r>
          </w:p>
        </w:tc>
        <w:tc>
          <w:tcPr>
            <w:tcW w:w="720" w:type="dxa"/>
            <w:tcBorders>
              <w:tl2br w:val="nil"/>
              <w:tr2bl w:val="nil"/>
            </w:tcBorders>
            <w:vAlign w:val="center"/>
          </w:tcPr>
          <w:p>
            <w:pPr>
              <w:pStyle w:val="417"/>
              <w:spacing w:line="240" w:lineRule="auto"/>
              <w:rPr>
                <w:highlight w:val="none"/>
                <w:lang w:val="zh-CN" w:bidi="zh-CN"/>
              </w:rPr>
            </w:pPr>
            <w:r>
              <w:rPr>
                <w:highlight w:val="none"/>
                <w:lang w:val="zh-CN" w:bidi="zh-CN"/>
              </w:rPr>
              <w:t>14</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效率</w:t>
            </w:r>
          </w:p>
        </w:tc>
        <w:tc>
          <w:tcPr>
            <w:tcW w:w="2102" w:type="dxa"/>
            <w:tcBorders>
              <w:tl2br w:val="nil"/>
              <w:tr2bl w:val="nil"/>
            </w:tcBorders>
            <w:vAlign w:val="center"/>
          </w:tcPr>
          <w:p>
            <w:pPr>
              <w:pStyle w:val="417"/>
              <w:spacing w:line="240" w:lineRule="auto"/>
              <w:rPr>
                <w:highlight w:val="none"/>
                <w:lang w:val="zh-CN" w:bidi="zh-CN"/>
              </w:rPr>
            </w:pPr>
            <w:r>
              <w:rPr>
                <w:highlight w:val="none"/>
                <w:lang w:val="zh-CN" w:bidi="zh-CN"/>
              </w:rPr>
              <w:t>99</w:t>
            </w:r>
            <w:r>
              <w:rPr>
                <w:rFonts w:hint="eastAsia"/>
                <w:highlight w:val="none"/>
                <w:lang w:val="zh-CN" w:bidi="zh-CN"/>
              </w:rPr>
              <w:t>.</w:t>
            </w:r>
            <w:r>
              <w:rPr>
                <w:rFonts w:hint="eastAsia"/>
                <w:highlight w:val="none"/>
                <w:lang w:bidi="zh-CN"/>
              </w:rPr>
              <w:t>9</w:t>
            </w:r>
            <w:r>
              <w:rPr>
                <w:highlight w:val="none"/>
                <w:lang w:val="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417"/>
              <w:spacing w:line="240" w:lineRule="auto"/>
              <w:rPr>
                <w:highlight w:val="none"/>
                <w:lang w:val="zh-CN" w:bidi="zh-CN"/>
              </w:rPr>
            </w:pPr>
            <w:r>
              <w:rPr>
                <w:highlight w:val="none"/>
                <w:lang w:val="zh-CN" w:bidi="zh-CN"/>
              </w:rPr>
              <w:t>8</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处理风量</w:t>
            </w:r>
          </w:p>
        </w:tc>
        <w:tc>
          <w:tcPr>
            <w:tcW w:w="2160" w:type="dxa"/>
            <w:tcBorders>
              <w:tl2br w:val="nil"/>
              <w:tr2bl w:val="nil"/>
            </w:tcBorders>
            <w:vAlign w:val="center"/>
          </w:tcPr>
          <w:p>
            <w:pPr>
              <w:pStyle w:val="417"/>
              <w:spacing w:line="240" w:lineRule="auto"/>
              <w:rPr>
                <w:highlight w:val="none"/>
                <w:lang w:val="zh-CN" w:bidi="zh-CN"/>
              </w:rPr>
            </w:pPr>
            <w:r>
              <w:rPr>
                <w:rFonts w:hint="eastAsia"/>
                <w:highlight w:val="none"/>
                <w:lang w:bidi="zh-CN"/>
              </w:rPr>
              <w:t>65</w:t>
            </w:r>
            <w:r>
              <w:rPr>
                <w:highlight w:val="none"/>
                <w:lang w:val="zh-CN" w:bidi="zh-CN"/>
              </w:rPr>
              <w:t>000</w:t>
            </w:r>
            <w:r>
              <w:rPr>
                <w:rFonts w:hint="eastAsia"/>
                <w:highlight w:val="none"/>
                <w:lang w:val="zh-CN" w:bidi="zh-CN"/>
              </w:rPr>
              <w:t>m³</w:t>
            </w:r>
            <w:r>
              <w:rPr>
                <w:highlight w:val="none"/>
                <w:lang w:val="zh-CN" w:bidi="zh-CN"/>
              </w:rPr>
              <w:t>/h</w:t>
            </w:r>
          </w:p>
        </w:tc>
        <w:tc>
          <w:tcPr>
            <w:tcW w:w="720" w:type="dxa"/>
            <w:tcBorders>
              <w:tl2br w:val="nil"/>
              <w:tr2bl w:val="nil"/>
            </w:tcBorders>
            <w:vAlign w:val="center"/>
          </w:tcPr>
          <w:p>
            <w:pPr>
              <w:pStyle w:val="417"/>
              <w:spacing w:line="240" w:lineRule="auto"/>
              <w:rPr>
                <w:highlight w:val="none"/>
                <w:lang w:val="zh-CN" w:bidi="zh-CN"/>
              </w:rPr>
            </w:pPr>
          </w:p>
        </w:tc>
        <w:tc>
          <w:tcPr>
            <w:tcW w:w="1440" w:type="dxa"/>
            <w:tcBorders>
              <w:tl2br w:val="nil"/>
              <w:tr2bl w:val="nil"/>
            </w:tcBorders>
            <w:vAlign w:val="center"/>
          </w:tcPr>
          <w:p>
            <w:pPr>
              <w:pStyle w:val="417"/>
              <w:spacing w:line="240" w:lineRule="auto"/>
              <w:rPr>
                <w:highlight w:val="none"/>
                <w:lang w:val="zh-CN" w:bidi="zh-CN"/>
              </w:rPr>
            </w:pPr>
          </w:p>
        </w:tc>
        <w:tc>
          <w:tcPr>
            <w:tcW w:w="2102" w:type="dxa"/>
            <w:tcBorders>
              <w:tl2br w:val="nil"/>
              <w:tr2bl w:val="nil"/>
            </w:tcBorders>
            <w:vAlign w:val="center"/>
          </w:tcPr>
          <w:p>
            <w:pPr>
              <w:pStyle w:val="417"/>
              <w:spacing w:line="240" w:lineRule="auto"/>
              <w:rPr>
                <w:highlight w:val="none"/>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417"/>
              <w:spacing w:line="240" w:lineRule="auto"/>
              <w:rPr>
                <w:highlight w:val="none"/>
                <w:lang w:val="zh-CN" w:bidi="zh-CN"/>
              </w:rPr>
            </w:pPr>
            <w:r>
              <w:rPr>
                <w:highlight w:val="none"/>
                <w:lang w:val="zh-CN" w:bidi="zh-CN"/>
              </w:rPr>
              <w:t>9</w:t>
            </w:r>
          </w:p>
        </w:tc>
        <w:tc>
          <w:tcPr>
            <w:tcW w:w="144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滤袋材质</w:t>
            </w:r>
          </w:p>
        </w:tc>
        <w:tc>
          <w:tcPr>
            <w:tcW w:w="2160" w:type="dxa"/>
            <w:tcBorders>
              <w:tl2br w:val="nil"/>
              <w:tr2bl w:val="nil"/>
            </w:tcBorders>
            <w:vAlign w:val="center"/>
          </w:tcPr>
          <w:p>
            <w:pPr>
              <w:pStyle w:val="417"/>
              <w:spacing w:line="240" w:lineRule="auto"/>
              <w:rPr>
                <w:highlight w:val="none"/>
                <w:lang w:val="zh-CN" w:bidi="zh-CN"/>
              </w:rPr>
            </w:pPr>
            <w:r>
              <w:rPr>
                <w:rFonts w:hint="eastAsia"/>
                <w:highlight w:val="none"/>
                <w:lang w:val="zh-CN" w:bidi="zh-CN"/>
              </w:rPr>
              <w:t>覆膜滤料</w:t>
            </w:r>
          </w:p>
        </w:tc>
        <w:tc>
          <w:tcPr>
            <w:tcW w:w="720" w:type="dxa"/>
            <w:tcBorders>
              <w:tl2br w:val="nil"/>
              <w:tr2bl w:val="nil"/>
            </w:tcBorders>
            <w:vAlign w:val="center"/>
          </w:tcPr>
          <w:p>
            <w:pPr>
              <w:pStyle w:val="417"/>
              <w:spacing w:line="240" w:lineRule="auto"/>
              <w:rPr>
                <w:highlight w:val="none"/>
                <w:lang w:val="zh-CN" w:bidi="zh-CN"/>
              </w:rPr>
            </w:pPr>
          </w:p>
        </w:tc>
        <w:tc>
          <w:tcPr>
            <w:tcW w:w="1440" w:type="dxa"/>
            <w:tcBorders>
              <w:tl2br w:val="nil"/>
              <w:tr2bl w:val="nil"/>
            </w:tcBorders>
            <w:vAlign w:val="center"/>
          </w:tcPr>
          <w:p>
            <w:pPr>
              <w:pStyle w:val="417"/>
              <w:spacing w:line="240" w:lineRule="auto"/>
              <w:rPr>
                <w:highlight w:val="none"/>
                <w:lang w:val="zh-CN" w:bidi="zh-CN"/>
              </w:rPr>
            </w:pPr>
          </w:p>
        </w:tc>
        <w:tc>
          <w:tcPr>
            <w:tcW w:w="2102" w:type="dxa"/>
            <w:tcBorders>
              <w:tl2br w:val="nil"/>
              <w:tr2bl w:val="nil"/>
            </w:tcBorders>
            <w:vAlign w:val="center"/>
          </w:tcPr>
          <w:p>
            <w:pPr>
              <w:pStyle w:val="417"/>
              <w:spacing w:line="240" w:lineRule="auto"/>
              <w:rPr>
                <w:highlight w:val="none"/>
                <w:lang w:val="zh-CN" w:bidi="zh-CN"/>
              </w:rPr>
            </w:pPr>
          </w:p>
        </w:tc>
      </w:tr>
    </w:tbl>
    <w:p>
      <w:pPr>
        <w:widowControl/>
        <w:ind w:firstLine="480"/>
        <w:jc w:val="both"/>
        <w:textAlignment w:val="auto"/>
        <w:rPr>
          <w:bCs/>
          <w:sz w:val="24"/>
          <w:szCs w:val="24"/>
          <w:highlight w:val="none"/>
        </w:rPr>
      </w:pPr>
      <w:r>
        <w:rPr>
          <w:bCs/>
          <w:sz w:val="24"/>
          <w:szCs w:val="24"/>
          <w:highlight w:val="none"/>
        </w:rPr>
        <w:t>本项目破碎</w:t>
      </w:r>
      <w:r>
        <w:rPr>
          <w:rFonts w:hint="eastAsia"/>
          <w:bCs/>
          <w:sz w:val="24"/>
          <w:szCs w:val="24"/>
          <w:highlight w:val="none"/>
        </w:rPr>
        <w:t>粗选</w:t>
      </w:r>
      <w:r>
        <w:rPr>
          <w:bCs/>
          <w:sz w:val="24"/>
          <w:szCs w:val="24"/>
          <w:highlight w:val="none"/>
        </w:rPr>
        <w:t>生产线设置一套脉冲布袋收尘器，风量为</w:t>
      </w:r>
      <w:r>
        <w:rPr>
          <w:rFonts w:hint="eastAsia"/>
          <w:bCs/>
          <w:sz w:val="24"/>
          <w:szCs w:val="24"/>
          <w:highlight w:val="none"/>
        </w:rPr>
        <w:t>65</w:t>
      </w:r>
      <w:r>
        <w:rPr>
          <w:bCs/>
          <w:sz w:val="24"/>
          <w:szCs w:val="24"/>
          <w:highlight w:val="none"/>
        </w:rPr>
        <w:t>000m³/h，经计算，本项目</w:t>
      </w:r>
      <w:r>
        <w:rPr>
          <w:sz w:val="24"/>
          <w:szCs w:val="24"/>
          <w:highlight w:val="none"/>
        </w:rPr>
        <w:t>有组织</w:t>
      </w:r>
      <w:r>
        <w:rPr>
          <w:bCs/>
          <w:sz w:val="24"/>
          <w:szCs w:val="24"/>
          <w:highlight w:val="none"/>
        </w:rPr>
        <w:t>颗粒物排放浓度满足</w:t>
      </w:r>
      <w:r>
        <w:rPr>
          <w:sz w:val="24"/>
          <w:szCs w:val="24"/>
          <w:highlight w:val="none"/>
        </w:rPr>
        <w:t>《铁矿采选工业污染物排放标准》(GB28661-2012)表6大气污染物特别排放限值10mg/m</w:t>
      </w:r>
      <w:r>
        <w:rPr>
          <w:rFonts w:hint="eastAsia"/>
          <w:sz w:val="24"/>
          <w:szCs w:val="24"/>
          <w:highlight w:val="none"/>
          <w:vertAlign w:val="superscript"/>
        </w:rPr>
        <w:t>3</w:t>
      </w:r>
      <w:r>
        <w:rPr>
          <w:sz w:val="24"/>
          <w:szCs w:val="24"/>
          <w:highlight w:val="none"/>
        </w:rPr>
        <w:t>的要求。</w:t>
      </w:r>
    </w:p>
    <w:p>
      <w:pPr>
        <w:ind w:firstLine="480"/>
        <w:rPr>
          <w:rFonts w:ascii="宋体" w:hAnsi="宋体" w:cs="宋体"/>
          <w:bCs/>
          <w:sz w:val="24"/>
          <w:szCs w:val="24"/>
          <w:highlight w:val="none"/>
        </w:rPr>
      </w:pPr>
      <w:r>
        <w:rPr>
          <w:rFonts w:hint="eastAsia"/>
          <w:bCs/>
          <w:sz w:val="24"/>
          <w:szCs w:val="24"/>
          <w:highlight w:val="none"/>
          <w:lang w:val="zh-CN"/>
        </w:rPr>
        <w:t>综上所述，本项目破碎筛分过程产生的粉尘经高效脉冲布袋除尘器处理，可以达标排放，措施可行。</w:t>
      </w:r>
    </w:p>
    <w:p>
      <w:pPr>
        <w:ind w:firstLine="480"/>
        <w:jc w:val="both"/>
        <w:rPr>
          <w:bCs/>
          <w:sz w:val="24"/>
          <w:szCs w:val="24"/>
          <w:highlight w:val="none"/>
        </w:rPr>
      </w:pPr>
      <w:r>
        <w:rPr>
          <w:bCs/>
          <w:sz w:val="24"/>
          <w:szCs w:val="24"/>
          <w:highlight w:val="none"/>
        </w:rPr>
        <w:t>（2）上料粉尘控制措施</w:t>
      </w:r>
    </w:p>
    <w:p>
      <w:pPr>
        <w:autoSpaceDE w:val="0"/>
        <w:autoSpaceDN w:val="0"/>
        <w:ind w:firstLine="480"/>
        <w:jc w:val="both"/>
        <w:textAlignment w:val="auto"/>
        <w:rPr>
          <w:bCs/>
          <w:sz w:val="24"/>
          <w:szCs w:val="24"/>
          <w:highlight w:val="none"/>
        </w:rPr>
      </w:pPr>
      <w:r>
        <w:rPr>
          <w:bCs/>
          <w:sz w:val="24"/>
          <w:szCs w:val="24"/>
          <w:highlight w:val="none"/>
        </w:rPr>
        <w:t>本项目</w:t>
      </w:r>
      <w:r>
        <w:rPr>
          <w:rFonts w:hint="eastAsia"/>
          <w:bCs/>
          <w:sz w:val="24"/>
          <w:szCs w:val="24"/>
          <w:highlight w:val="none"/>
        </w:rPr>
        <w:t>原矿</w:t>
      </w:r>
      <w:r>
        <w:rPr>
          <w:bCs/>
          <w:sz w:val="24"/>
          <w:szCs w:val="24"/>
          <w:highlight w:val="none"/>
        </w:rPr>
        <w:t>上料仓</w:t>
      </w:r>
      <w:r>
        <w:rPr>
          <w:rFonts w:hint="eastAsia"/>
          <w:bCs/>
          <w:sz w:val="24"/>
          <w:szCs w:val="24"/>
          <w:highlight w:val="none"/>
        </w:rPr>
        <w:t>位于封闭生产车间内</w:t>
      </w:r>
      <w:r>
        <w:rPr>
          <w:bCs/>
          <w:sz w:val="24"/>
          <w:szCs w:val="24"/>
          <w:highlight w:val="none"/>
        </w:rPr>
        <w:t>，并设置喷淋抑尘装置。喷雾口辐射面积为5m×3.5m，在投料过程中喷雾抑尘。</w:t>
      </w:r>
    </w:p>
    <w:p>
      <w:pPr>
        <w:autoSpaceDE w:val="0"/>
        <w:autoSpaceDN w:val="0"/>
        <w:ind w:firstLine="480"/>
        <w:jc w:val="both"/>
        <w:textAlignment w:val="auto"/>
        <w:rPr>
          <w:sz w:val="24"/>
          <w:szCs w:val="24"/>
          <w:highlight w:val="none"/>
        </w:rPr>
      </w:pPr>
      <w:r>
        <w:rPr>
          <w:bCs/>
          <w:sz w:val="24"/>
          <w:szCs w:val="24"/>
          <w:highlight w:val="none"/>
        </w:rPr>
        <w:t>（3）物料堆存粉尘控制措施</w:t>
      </w:r>
    </w:p>
    <w:p>
      <w:pPr>
        <w:ind w:firstLine="480"/>
        <w:jc w:val="both"/>
        <w:rPr>
          <w:bCs/>
          <w:sz w:val="24"/>
          <w:szCs w:val="24"/>
          <w:highlight w:val="none"/>
        </w:rPr>
      </w:pPr>
      <w:r>
        <w:rPr>
          <w:bCs/>
          <w:sz w:val="24"/>
          <w:szCs w:val="24"/>
          <w:highlight w:val="none"/>
        </w:rPr>
        <w:t>本项目</w:t>
      </w:r>
      <w:r>
        <w:rPr>
          <w:rFonts w:hint="eastAsia"/>
          <w:bCs/>
          <w:sz w:val="24"/>
          <w:szCs w:val="24"/>
          <w:highlight w:val="none"/>
        </w:rPr>
        <w:t>所有物料全部</w:t>
      </w:r>
      <w:r>
        <w:rPr>
          <w:bCs/>
          <w:sz w:val="24"/>
          <w:szCs w:val="24"/>
          <w:highlight w:val="none"/>
        </w:rPr>
        <w:t>堆存在封闭厂房内</w:t>
      </w:r>
      <w:r>
        <w:rPr>
          <w:rFonts w:hint="eastAsia"/>
          <w:bCs/>
          <w:sz w:val="24"/>
          <w:szCs w:val="24"/>
          <w:highlight w:val="none"/>
        </w:rPr>
        <w:t>、不露天堆存</w:t>
      </w:r>
      <w:r>
        <w:rPr>
          <w:bCs/>
          <w:sz w:val="24"/>
          <w:szCs w:val="24"/>
          <w:highlight w:val="none"/>
        </w:rPr>
        <w:t>，同时设有喷淋装置</w:t>
      </w:r>
      <w:r>
        <w:rPr>
          <w:rFonts w:hint="eastAsia"/>
          <w:bCs/>
          <w:sz w:val="24"/>
          <w:szCs w:val="24"/>
          <w:highlight w:val="none"/>
        </w:rPr>
        <w:t>，</w:t>
      </w:r>
      <w:r>
        <w:rPr>
          <w:bCs/>
          <w:sz w:val="24"/>
          <w:szCs w:val="24"/>
          <w:highlight w:val="none"/>
        </w:rPr>
        <w:t>顶部设置喷雾抑尘装置（电伴热），喷淋管路使用保温棉包裹，每隔5m设置1个喷雾口，喷雾口辐射面积为5m×3.5m，定期向料堆喷水，并在原料卸车过程中增加喷淋次数。</w:t>
      </w:r>
    </w:p>
    <w:p>
      <w:pPr>
        <w:ind w:firstLine="480"/>
        <w:jc w:val="both"/>
        <w:rPr>
          <w:bCs/>
          <w:sz w:val="24"/>
          <w:szCs w:val="24"/>
          <w:highlight w:val="none"/>
        </w:rPr>
      </w:pPr>
      <w:r>
        <w:rPr>
          <w:bCs/>
          <w:sz w:val="24"/>
          <w:szCs w:val="24"/>
          <w:highlight w:val="none"/>
        </w:rPr>
        <w:t>（4）运输道路扬尘治理措施</w:t>
      </w:r>
    </w:p>
    <w:p>
      <w:pPr>
        <w:ind w:firstLine="480"/>
        <w:rPr>
          <w:sz w:val="24"/>
          <w:szCs w:val="24"/>
          <w:highlight w:val="none"/>
        </w:rPr>
      </w:pPr>
      <w:r>
        <w:rPr>
          <w:sz w:val="24"/>
          <w:szCs w:val="24"/>
          <w:highlight w:val="none"/>
        </w:rPr>
        <w:t>项目在成品库设置红外控制全自动洗车系统，洗车系统包括红外控制系统、清洗系统、导流系统和沉淀系统等，清洗系统包括车身冲洗系统和轮胎冲洗系统，导流系统位于清洗车辆下方，避免洗车废水积存。当运输车辆进入洗车系统后红外控制系统自动启动发出开启指令控制清洗系统开启，车身清洗系统和轮胎冲洗系统喷头进行喷水作业，自动冲洗车身及轮胎等，洗车废水通过水篦子流入导流系统然后自流入沉淀系统，洗车废水经沉淀系统澄清后循环利用。车辆冲洗结束后，运输车辆驶离洗车系统，红外控制系统发出关闭指令控制清洗系统关闭。运输车辆经苫布覆盖后离开厂区，厂区地面全部硬化，洒水降尘、保持清洁。</w:t>
      </w:r>
    </w:p>
    <w:p>
      <w:pPr>
        <w:ind w:firstLine="480"/>
        <w:jc w:val="both"/>
        <w:rPr>
          <w:bCs/>
          <w:sz w:val="24"/>
          <w:szCs w:val="24"/>
          <w:highlight w:val="none"/>
        </w:rPr>
      </w:pPr>
      <w:r>
        <w:rPr>
          <w:bCs/>
          <w:sz w:val="24"/>
          <w:szCs w:val="24"/>
          <w:highlight w:val="none"/>
        </w:rPr>
        <w:t>本项目铁矿石、铁精粉、尾矿砂</w:t>
      </w:r>
      <w:r>
        <w:rPr>
          <w:rFonts w:hint="eastAsia"/>
          <w:bCs/>
          <w:sz w:val="24"/>
          <w:szCs w:val="24"/>
          <w:highlight w:val="none"/>
        </w:rPr>
        <w:t>转运</w:t>
      </w:r>
      <w:r>
        <w:rPr>
          <w:bCs/>
          <w:sz w:val="24"/>
          <w:szCs w:val="24"/>
          <w:highlight w:val="none"/>
        </w:rPr>
        <w:t>过程中，会产生道路扬尘。本次评价要求：</w:t>
      </w:r>
    </w:p>
    <w:p>
      <w:pPr>
        <w:ind w:firstLine="480"/>
        <w:jc w:val="both"/>
        <w:rPr>
          <w:bCs/>
          <w:sz w:val="24"/>
          <w:szCs w:val="24"/>
          <w:highlight w:val="none"/>
        </w:rPr>
      </w:pPr>
      <w:r>
        <w:rPr>
          <w:rFonts w:hint="eastAsia" w:ascii="宋体" w:hAnsi="宋体" w:cs="宋体"/>
          <w:bCs/>
          <w:sz w:val="24"/>
          <w:szCs w:val="24"/>
          <w:highlight w:val="none"/>
        </w:rPr>
        <w:t>①</w:t>
      </w:r>
      <w:r>
        <w:rPr>
          <w:bCs/>
          <w:sz w:val="24"/>
          <w:szCs w:val="24"/>
          <w:highlight w:val="none"/>
        </w:rPr>
        <w:t>厂区道路路面全部进行硬化处理；</w:t>
      </w:r>
    </w:p>
    <w:p>
      <w:pPr>
        <w:ind w:firstLine="480"/>
        <w:jc w:val="both"/>
        <w:rPr>
          <w:bCs/>
          <w:sz w:val="24"/>
          <w:szCs w:val="24"/>
          <w:highlight w:val="none"/>
        </w:rPr>
      </w:pPr>
      <w:r>
        <w:rPr>
          <w:rFonts w:hint="eastAsia" w:ascii="宋体" w:hAnsi="宋体" w:cs="宋体"/>
          <w:bCs/>
          <w:sz w:val="24"/>
          <w:szCs w:val="24"/>
          <w:highlight w:val="none"/>
        </w:rPr>
        <w:t>②</w:t>
      </w:r>
      <w:r>
        <w:rPr>
          <w:bCs/>
          <w:sz w:val="24"/>
          <w:szCs w:val="24"/>
          <w:highlight w:val="none"/>
        </w:rPr>
        <w:t>企业在运输过程中要注意保持可控道路路面的清洁和相对湿度，当路面出现损坏及时修复，同时对运输道路要进行定时洒水，并应视路面状况调整洒水频次。</w:t>
      </w:r>
    </w:p>
    <w:p>
      <w:pPr>
        <w:ind w:firstLine="480"/>
        <w:jc w:val="both"/>
        <w:rPr>
          <w:bCs/>
          <w:sz w:val="24"/>
          <w:szCs w:val="24"/>
          <w:highlight w:val="none"/>
        </w:rPr>
      </w:pPr>
      <w:r>
        <w:rPr>
          <w:rFonts w:hint="eastAsia" w:ascii="宋体" w:hAnsi="宋体" w:cs="宋体"/>
          <w:bCs/>
          <w:sz w:val="24"/>
          <w:szCs w:val="24"/>
          <w:highlight w:val="none"/>
        </w:rPr>
        <w:t>③</w:t>
      </w:r>
      <w:r>
        <w:rPr>
          <w:bCs/>
          <w:sz w:val="24"/>
          <w:szCs w:val="24"/>
          <w:highlight w:val="none"/>
        </w:rPr>
        <w:t>为了严格控制运输扬尘的污染，厂方与运输单位或个人签订包含以下内容的相关协议：按照国家核定的汽车装载能力，严格控制汽车装载量；运输过程中车顶要加盖篷布；限制车速，特别是经过村庄时，要低速行驶，最大限度减少车辆沿路抛洒。采取上述措施后，可减少运输扬尘量80%，减轻对沿途村庄环境的影响。</w:t>
      </w:r>
    </w:p>
    <w:p>
      <w:pPr>
        <w:ind w:firstLine="439" w:firstLineChars="183"/>
        <w:jc w:val="both"/>
        <w:textAlignment w:val="auto"/>
        <w:rPr>
          <w:bCs/>
          <w:sz w:val="24"/>
          <w:szCs w:val="24"/>
          <w:highlight w:val="none"/>
        </w:rPr>
      </w:pPr>
      <w:r>
        <w:rPr>
          <w:bCs/>
          <w:sz w:val="24"/>
          <w:szCs w:val="24"/>
          <w:highlight w:val="none"/>
        </w:rPr>
        <w:t>（5）</w:t>
      </w:r>
      <w:r>
        <w:rPr>
          <w:snapToGrid w:val="0"/>
          <w:sz w:val="24"/>
          <w:szCs w:val="24"/>
          <w:highlight w:val="none"/>
        </w:rPr>
        <w:t>物料转运过程产生的颗粒物</w:t>
      </w:r>
    </w:p>
    <w:p>
      <w:pPr>
        <w:widowControl/>
        <w:ind w:firstLine="480"/>
        <w:textAlignment w:val="auto"/>
        <w:rPr>
          <w:kern w:val="2"/>
          <w:sz w:val="24"/>
          <w:highlight w:val="none"/>
        </w:rPr>
      </w:pPr>
      <w:r>
        <w:rPr>
          <w:kern w:val="2"/>
          <w:sz w:val="24"/>
          <w:highlight w:val="none"/>
        </w:rPr>
        <w:t>物料不在厂区内进行露天转运，转运过程设置在封闭皮带内或封闭廊道转运，只有少量从封闭廊道的缝隙中逸散，</w:t>
      </w:r>
      <w:r>
        <w:rPr>
          <w:bCs/>
          <w:sz w:val="24"/>
          <w:szCs w:val="24"/>
          <w:highlight w:val="none"/>
        </w:rPr>
        <w:t>采取上述措施后基本不起尘，措施可行。</w:t>
      </w:r>
    </w:p>
    <w:p>
      <w:pPr>
        <w:pStyle w:val="3"/>
        <w:rPr>
          <w:highlight w:val="none"/>
        </w:rPr>
      </w:pPr>
      <w:r>
        <w:rPr>
          <w:highlight w:val="none"/>
        </w:rPr>
        <w:t>6.2.1.2废气污染防治措施可行性分析</w:t>
      </w:r>
    </w:p>
    <w:p>
      <w:pPr>
        <w:widowControl/>
        <w:ind w:firstLine="480"/>
        <w:textAlignment w:val="auto"/>
        <w:rPr>
          <w:bCs/>
          <w:sz w:val="24"/>
          <w:szCs w:val="24"/>
          <w:highlight w:val="none"/>
        </w:rPr>
      </w:pPr>
      <w:r>
        <w:rPr>
          <w:rFonts w:hint="eastAsia"/>
          <w:bCs/>
          <w:sz w:val="24"/>
          <w:szCs w:val="24"/>
          <w:highlight w:val="none"/>
        </w:rPr>
        <w:t>项目</w:t>
      </w:r>
      <w:r>
        <w:rPr>
          <w:bCs/>
          <w:sz w:val="24"/>
          <w:szCs w:val="24"/>
          <w:highlight w:val="none"/>
        </w:rPr>
        <w:t>对各颗粒物</w:t>
      </w:r>
      <w:r>
        <w:rPr>
          <w:rFonts w:hint="eastAsia"/>
          <w:bCs/>
          <w:sz w:val="24"/>
          <w:szCs w:val="24"/>
          <w:highlight w:val="none"/>
        </w:rPr>
        <w:t>有</w:t>
      </w:r>
      <w:r>
        <w:rPr>
          <w:bCs/>
          <w:sz w:val="24"/>
          <w:szCs w:val="24"/>
          <w:highlight w:val="none"/>
        </w:rPr>
        <w:t>组织排放源设置脉冲布袋收尘器</w:t>
      </w:r>
      <w:r>
        <w:rPr>
          <w:rFonts w:hint="eastAsia"/>
          <w:bCs/>
          <w:sz w:val="24"/>
          <w:szCs w:val="24"/>
          <w:highlight w:val="none"/>
        </w:rPr>
        <w:t>，</w:t>
      </w:r>
      <w:r>
        <w:rPr>
          <w:bCs/>
          <w:sz w:val="24"/>
          <w:szCs w:val="24"/>
          <w:highlight w:val="none"/>
        </w:rPr>
        <w:t>清灰方式为离线清灰，除尘效率99.</w:t>
      </w:r>
      <w:r>
        <w:rPr>
          <w:rFonts w:hint="eastAsia"/>
          <w:bCs/>
          <w:sz w:val="24"/>
          <w:szCs w:val="24"/>
          <w:highlight w:val="none"/>
        </w:rPr>
        <w:t>9</w:t>
      </w:r>
      <w:r>
        <w:rPr>
          <w:bCs/>
          <w:sz w:val="24"/>
          <w:szCs w:val="24"/>
          <w:highlight w:val="none"/>
        </w:rPr>
        <w:t>%。</w:t>
      </w:r>
      <w:r>
        <w:rPr>
          <w:sz w:val="24"/>
          <w:szCs w:val="24"/>
          <w:highlight w:val="none"/>
        </w:rPr>
        <w:t>有组织</w:t>
      </w:r>
      <w:r>
        <w:rPr>
          <w:bCs/>
          <w:sz w:val="24"/>
          <w:szCs w:val="24"/>
          <w:highlight w:val="none"/>
        </w:rPr>
        <w:t>颗粒物排放浓度及排放速率均能满足</w:t>
      </w:r>
      <w:r>
        <w:rPr>
          <w:sz w:val="24"/>
          <w:szCs w:val="24"/>
          <w:highlight w:val="none"/>
        </w:rPr>
        <w:t>《铁矿采选工业污染物排放标准》(GB28661-2012)表6大气污染物特别排放限值10mg/m</w:t>
      </w:r>
      <w:r>
        <w:rPr>
          <w:sz w:val="24"/>
          <w:szCs w:val="24"/>
          <w:highlight w:val="none"/>
          <w:vertAlign w:val="superscript"/>
        </w:rPr>
        <w:t>3</w:t>
      </w:r>
      <w:r>
        <w:rPr>
          <w:sz w:val="24"/>
          <w:szCs w:val="24"/>
          <w:highlight w:val="none"/>
        </w:rPr>
        <w:t>的要求。</w:t>
      </w:r>
      <w:r>
        <w:rPr>
          <w:rFonts w:hint="eastAsia"/>
          <w:sz w:val="24"/>
          <w:szCs w:val="24"/>
          <w:highlight w:val="none"/>
        </w:rPr>
        <w:t>对</w:t>
      </w:r>
      <w:r>
        <w:rPr>
          <w:bCs/>
          <w:sz w:val="24"/>
          <w:szCs w:val="24"/>
          <w:highlight w:val="none"/>
        </w:rPr>
        <w:t>各颗粒物无组织排放源根据其特性分别采取了封闭、地面硬化、洒水抑尘等抑尘措施，上述措施在同类企业广泛使用，且效果显著。</w:t>
      </w:r>
    </w:p>
    <w:p>
      <w:pPr>
        <w:widowControl/>
        <w:ind w:firstLine="439" w:firstLineChars="183"/>
        <w:textAlignment w:val="auto"/>
        <w:rPr>
          <w:bCs/>
          <w:sz w:val="24"/>
          <w:szCs w:val="24"/>
          <w:highlight w:val="none"/>
        </w:rPr>
      </w:pPr>
      <w:r>
        <w:rPr>
          <w:bCs/>
          <w:sz w:val="24"/>
          <w:szCs w:val="24"/>
          <w:highlight w:val="none"/>
        </w:rPr>
        <w:t>项目采取的封闭库房、封闭通廊及地面硬化、洒水抑尘等污染措施均为唐山市人民政府关于印发《唐山市露天铁矿环境保护专项整治技术要求》的通知（唐环呈〔2016〕99号）、《唐山市人民政府办公厅关于印发唐山市露天矿山污染整治专项行动方案的通知》（唐政办字[2016]113号）、《煤场、料场、渣场扬尘污染控制技术规范》（DB13/T2352-2016）文件中要求的污染防治措施，并在同行业中得到广泛应用，运行效果良好，因此项目废气污染防治措施可行。</w:t>
      </w:r>
    </w:p>
    <w:p>
      <w:pPr>
        <w:pStyle w:val="6"/>
        <w:numPr>
          <w:ilvl w:val="2"/>
          <w:numId w:val="1"/>
        </w:numPr>
        <w:rPr>
          <w:szCs w:val="28"/>
          <w:highlight w:val="none"/>
        </w:rPr>
      </w:pPr>
      <w:bookmarkStart w:id="454" w:name="_Toc521591812"/>
      <w:bookmarkStart w:id="455" w:name="_Toc3605"/>
      <w:r>
        <w:rPr>
          <w:szCs w:val="28"/>
          <w:highlight w:val="none"/>
        </w:rPr>
        <w:t>运营期地表水污染防治措施</w:t>
      </w:r>
      <w:bookmarkEnd w:id="454"/>
      <w:bookmarkEnd w:id="455"/>
      <w:r>
        <w:rPr>
          <w:rFonts w:hint="eastAsia"/>
          <w:szCs w:val="28"/>
          <w:highlight w:val="none"/>
        </w:rPr>
        <w:t>可行性论证</w:t>
      </w:r>
    </w:p>
    <w:p>
      <w:pPr>
        <w:pStyle w:val="3"/>
        <w:rPr>
          <w:highlight w:val="none"/>
        </w:rPr>
      </w:pPr>
      <w:r>
        <w:rPr>
          <w:highlight w:val="none"/>
        </w:rPr>
        <w:t>6.2.2.1废水处理措施</w:t>
      </w:r>
      <w:r>
        <w:rPr>
          <w:rFonts w:hint="eastAsia"/>
          <w:highlight w:val="none"/>
        </w:rPr>
        <w:t>可行性论证</w:t>
      </w:r>
    </w:p>
    <w:p>
      <w:pPr>
        <w:widowControl/>
        <w:ind w:firstLine="439" w:firstLineChars="183"/>
        <w:textAlignment w:val="auto"/>
        <w:rPr>
          <w:bCs/>
          <w:sz w:val="24"/>
          <w:szCs w:val="24"/>
          <w:highlight w:val="none"/>
          <w:lang w:val="zh-CN"/>
        </w:rPr>
      </w:pPr>
      <w:r>
        <w:rPr>
          <w:rFonts w:hint="eastAsia"/>
          <w:bCs/>
          <w:sz w:val="24"/>
          <w:szCs w:val="24"/>
          <w:highlight w:val="none"/>
          <w:lang w:val="zh-CN"/>
        </w:rPr>
        <w:t>1、选矿废水回用可行性分析</w:t>
      </w:r>
    </w:p>
    <w:p>
      <w:pPr>
        <w:widowControl/>
        <w:ind w:firstLine="439" w:firstLineChars="183"/>
        <w:textAlignment w:val="auto"/>
        <w:rPr>
          <w:bCs/>
          <w:sz w:val="24"/>
          <w:szCs w:val="24"/>
          <w:highlight w:val="none"/>
          <w:lang w:val="zh-CN"/>
        </w:rPr>
      </w:pPr>
      <w:r>
        <w:rPr>
          <w:rFonts w:hint="eastAsia"/>
          <w:bCs/>
          <w:sz w:val="24"/>
          <w:szCs w:val="24"/>
          <w:highlight w:val="none"/>
          <w:lang w:val="zh-CN"/>
        </w:rPr>
        <w:t>本项目磁选过程中，使用大量的水，磁选后的水随尾矿浆一同进入浓密池进行沉淀、脱水处理，浓密池中的上清液由泵抽排至清水池中回用于选矿过程。选矿水废水主要污染物为SS，经沉淀后可以满足选矿用水的要求。</w:t>
      </w:r>
    </w:p>
    <w:p>
      <w:pPr>
        <w:widowControl/>
        <w:ind w:firstLine="439" w:firstLineChars="183"/>
        <w:textAlignment w:val="auto"/>
        <w:rPr>
          <w:bCs/>
          <w:sz w:val="24"/>
          <w:szCs w:val="24"/>
          <w:highlight w:val="none"/>
          <w:lang w:val="zh-CN"/>
        </w:rPr>
      </w:pPr>
      <w:r>
        <w:rPr>
          <w:rFonts w:hint="eastAsia"/>
          <w:bCs/>
          <w:sz w:val="24"/>
          <w:szCs w:val="24"/>
          <w:highlight w:val="none"/>
          <w:lang w:val="zh-CN"/>
        </w:rPr>
        <w:t>根据《铁矿石采选企业污水处理技术规范》（GB/T33815-2017），选矿废水通常伴随尾矿产出。根据企业选矿工艺特点，对选矿废水处理后回用至选矿生产，回用废水的水质不应影响精矿的主要技术指标。单一磁选工艺选矿废水水质通常主要污染物为悬浮物，通过对悬浮物的沉淀去除，废水回用于生产。</w:t>
      </w:r>
    </w:p>
    <w:p>
      <w:pPr>
        <w:ind w:firstLine="480"/>
        <w:rPr>
          <w:highlight w:val="none"/>
          <w:lang w:val="zh-CN" w:bidi="zh-CN"/>
        </w:rPr>
      </w:pPr>
      <w:r>
        <w:rPr>
          <w:rFonts w:hint="eastAsia"/>
          <w:bCs/>
          <w:sz w:val="24"/>
          <w:szCs w:val="24"/>
          <w:highlight w:val="none"/>
          <w:lang w:val="zh-CN"/>
        </w:rPr>
        <w:t>本项目生产用水工序主要为球磨和磁选，主要用于输送矿浆，对水质无特殊要求。尾矿砂中污染物主要为SS，尾矿砂在沉淀池中可以得到充分的沉淀，其出水SS浓度可降到30mg/L以下，COD浓度可降到60mg/L以下，因此，由浓密池排入清水池的出水完全可以满足生产过程球磨和磁选工序对水质的要求。</w:t>
      </w:r>
    </w:p>
    <w:p>
      <w:pPr>
        <w:ind w:firstLine="480"/>
        <w:rPr>
          <w:bCs/>
          <w:sz w:val="24"/>
          <w:szCs w:val="24"/>
          <w:highlight w:val="none"/>
          <w:lang w:val="zh-CN"/>
        </w:rPr>
      </w:pPr>
      <w:r>
        <w:rPr>
          <w:rFonts w:hint="eastAsia"/>
          <w:bCs/>
          <w:sz w:val="24"/>
          <w:szCs w:val="24"/>
          <w:highlight w:val="none"/>
          <w:lang w:val="zh-CN"/>
        </w:rPr>
        <w:t>2、选矿废水零排放可行性分析</w:t>
      </w:r>
    </w:p>
    <w:p>
      <w:pPr>
        <w:ind w:firstLine="480"/>
        <w:rPr>
          <w:bCs/>
          <w:sz w:val="24"/>
          <w:szCs w:val="24"/>
          <w:highlight w:val="none"/>
          <w:lang w:val="zh-CN"/>
        </w:rPr>
      </w:pPr>
      <w:r>
        <w:rPr>
          <w:rFonts w:hint="eastAsia"/>
          <w:bCs/>
          <w:sz w:val="24"/>
          <w:szCs w:val="24"/>
          <w:highlight w:val="none"/>
          <w:lang w:val="zh-CN"/>
        </w:rPr>
        <w:t>项目正常生产情况下产生的废水包括选矿废水，其中选矿废水包括</w:t>
      </w:r>
      <w:bookmarkStart w:id="456" w:name="_Hlk9222467"/>
      <w:r>
        <w:rPr>
          <w:rFonts w:hint="eastAsia"/>
          <w:bCs/>
          <w:sz w:val="24"/>
          <w:szCs w:val="24"/>
          <w:highlight w:val="none"/>
          <w:lang w:val="zh-CN"/>
        </w:rPr>
        <w:t>铁精矿压滤水、尾矿砂压滤废水</w:t>
      </w:r>
      <w:bookmarkEnd w:id="456"/>
      <w:r>
        <w:rPr>
          <w:rFonts w:hint="eastAsia"/>
          <w:bCs/>
          <w:sz w:val="24"/>
          <w:szCs w:val="24"/>
          <w:highlight w:val="none"/>
          <w:lang w:val="zh-CN"/>
        </w:rPr>
        <w:t>。铁精粉压滤废水和尾矿中的废水。其中铁精粉压滤废水返回一段磁选循环使用；尾矿中的废水随尾矿砂一并经尾矿泵送至浓密池，经过沉淀澄清、压滤机压滤后返回清水池，选矿废水实现闭路循环，不外排。</w:t>
      </w:r>
    </w:p>
    <w:p>
      <w:pPr>
        <w:ind w:firstLine="480"/>
        <w:rPr>
          <w:bCs/>
          <w:sz w:val="24"/>
          <w:szCs w:val="24"/>
          <w:highlight w:val="none"/>
          <w:lang w:val="zh-CN"/>
        </w:rPr>
      </w:pPr>
      <w:r>
        <w:rPr>
          <w:rFonts w:hint="eastAsia"/>
          <w:bCs/>
          <w:sz w:val="24"/>
          <w:szCs w:val="24"/>
          <w:highlight w:val="none"/>
          <w:lang w:val="zh-CN"/>
        </w:rPr>
        <w:t>类比调查其它金矿企业选矿废水循环利用的实际应用效果可知，通过设置选矿废水回收暂存及回输设施，并辅以严格的管理，可以实现生产废水闭路循环不外排，措施可行。</w:t>
      </w:r>
    </w:p>
    <w:p>
      <w:pPr>
        <w:ind w:firstLine="480"/>
        <w:rPr>
          <w:bCs/>
          <w:sz w:val="24"/>
          <w:szCs w:val="24"/>
          <w:highlight w:val="none"/>
          <w:lang w:val="zh-CN"/>
        </w:rPr>
      </w:pPr>
      <w:r>
        <w:rPr>
          <w:rFonts w:hint="eastAsia"/>
          <w:bCs/>
          <w:sz w:val="24"/>
          <w:szCs w:val="24"/>
          <w:highlight w:val="none"/>
          <w:lang w:val="zh-CN"/>
        </w:rPr>
        <w:t>3、水循环利用可行性分析</w:t>
      </w:r>
    </w:p>
    <w:p>
      <w:pPr>
        <w:ind w:firstLine="480"/>
        <w:rPr>
          <w:highlight w:val="none"/>
          <w:lang w:val="zh-CN" w:bidi="zh-CN"/>
        </w:rPr>
      </w:pPr>
      <w:r>
        <w:rPr>
          <w:rFonts w:hint="eastAsia"/>
          <w:bCs/>
          <w:sz w:val="24"/>
          <w:szCs w:val="24"/>
          <w:highlight w:val="none"/>
          <w:lang w:val="zh-CN"/>
        </w:rPr>
        <w:t>项目水循环工艺流程为：生产废水→沉淀池→浓密池→清水池→回用生产</w:t>
      </w:r>
      <w:r>
        <w:rPr>
          <w:bCs/>
          <w:sz w:val="24"/>
          <w:szCs w:val="24"/>
          <w:highlight w:val="none"/>
        </w:rPr>
        <w:t>，确保生产废水全部处理后回用，不会对周边水环境造成污染影响。</w:t>
      </w:r>
    </w:p>
    <w:p>
      <w:pPr>
        <w:ind w:firstLine="480"/>
        <w:jc w:val="both"/>
        <w:rPr>
          <w:bCs/>
          <w:sz w:val="24"/>
          <w:szCs w:val="24"/>
          <w:highlight w:val="none"/>
          <w:lang w:val="zh-CN"/>
        </w:rPr>
      </w:pPr>
      <w:r>
        <w:rPr>
          <w:rFonts w:hint="eastAsia"/>
          <w:bCs/>
          <w:sz w:val="24"/>
          <w:szCs w:val="24"/>
          <w:highlight w:val="none"/>
          <w:lang w:val="zh-CN"/>
        </w:rPr>
        <w:t>因此，本项目选矿废水闭路循环，不外排，不会对周边水环境造成污染影响。</w:t>
      </w:r>
    </w:p>
    <w:p>
      <w:pPr>
        <w:ind w:firstLine="480"/>
        <w:rPr>
          <w:bCs/>
          <w:sz w:val="24"/>
          <w:szCs w:val="24"/>
          <w:highlight w:val="none"/>
          <w:lang w:val="zh-CN"/>
        </w:rPr>
      </w:pPr>
      <w:r>
        <w:rPr>
          <w:rFonts w:hint="eastAsia"/>
          <w:bCs/>
          <w:sz w:val="24"/>
          <w:szCs w:val="24"/>
          <w:highlight w:val="none"/>
        </w:rPr>
        <w:t>4</w:t>
      </w:r>
      <w:r>
        <w:rPr>
          <w:rFonts w:hint="eastAsia"/>
          <w:bCs/>
          <w:sz w:val="24"/>
          <w:szCs w:val="24"/>
          <w:highlight w:val="none"/>
          <w:lang w:val="zh-CN"/>
        </w:rPr>
        <w:t>、车间地面冲洗废水处理可行性分析</w:t>
      </w:r>
    </w:p>
    <w:p>
      <w:pPr>
        <w:ind w:firstLine="480"/>
        <w:rPr>
          <w:bCs/>
          <w:sz w:val="24"/>
          <w:szCs w:val="24"/>
          <w:highlight w:val="none"/>
          <w:lang w:val="zh-CN"/>
        </w:rPr>
      </w:pPr>
      <w:r>
        <w:rPr>
          <w:rFonts w:hint="eastAsia"/>
          <w:bCs/>
          <w:sz w:val="24"/>
          <w:szCs w:val="24"/>
          <w:highlight w:val="none"/>
          <w:lang w:val="zh-CN"/>
        </w:rPr>
        <w:t>本项目定期对车间地面进行冲洗，产生的废水经管道排入浓密池，回用于生产。</w:t>
      </w:r>
    </w:p>
    <w:p>
      <w:pPr>
        <w:ind w:firstLine="480"/>
        <w:rPr>
          <w:bCs/>
          <w:sz w:val="24"/>
          <w:szCs w:val="24"/>
          <w:highlight w:val="none"/>
          <w:lang w:val="zh-CN"/>
        </w:rPr>
      </w:pPr>
      <w:r>
        <w:rPr>
          <w:rFonts w:hint="eastAsia"/>
          <w:bCs/>
          <w:sz w:val="24"/>
          <w:szCs w:val="24"/>
          <w:highlight w:val="none"/>
        </w:rPr>
        <w:t>5</w:t>
      </w:r>
      <w:r>
        <w:rPr>
          <w:rFonts w:hint="eastAsia"/>
          <w:bCs/>
          <w:sz w:val="24"/>
          <w:szCs w:val="24"/>
          <w:highlight w:val="none"/>
          <w:lang w:val="zh-CN"/>
        </w:rPr>
        <w:t>、洗车废水处理可行性分析</w:t>
      </w:r>
    </w:p>
    <w:p>
      <w:pPr>
        <w:ind w:firstLine="480"/>
        <w:rPr>
          <w:bCs/>
          <w:sz w:val="24"/>
          <w:szCs w:val="24"/>
          <w:highlight w:val="none"/>
          <w:lang w:val="zh-CN"/>
        </w:rPr>
      </w:pPr>
      <w:r>
        <w:rPr>
          <w:rFonts w:hint="eastAsia"/>
          <w:bCs/>
          <w:sz w:val="24"/>
          <w:szCs w:val="24"/>
          <w:highlight w:val="none"/>
          <w:lang w:val="zh-CN"/>
        </w:rPr>
        <w:t>本项目为了减少车辆运输产生的粉尘，设置洗车平台，洗车废水经回用于洗车。</w:t>
      </w:r>
    </w:p>
    <w:p>
      <w:pPr>
        <w:ind w:firstLine="480"/>
        <w:rPr>
          <w:bCs/>
          <w:sz w:val="24"/>
          <w:szCs w:val="24"/>
          <w:highlight w:val="none"/>
        </w:rPr>
      </w:pPr>
      <w:r>
        <w:rPr>
          <w:rFonts w:hint="eastAsia"/>
          <w:bCs/>
          <w:sz w:val="24"/>
          <w:szCs w:val="24"/>
          <w:highlight w:val="none"/>
          <w:lang w:val="zh-CN"/>
        </w:rPr>
        <w:t>综上所述，本项目选矿废水可实现闭路循环，不外排；车间地面冲洗废水、洗车废水处理经沉淀池沉淀后，可回用于生产，不外排。该项目采取的废水治理措施可行。</w:t>
      </w:r>
      <w:bookmarkStart w:id="457" w:name="_Toc174877426"/>
    </w:p>
    <w:p>
      <w:pPr>
        <w:pStyle w:val="3"/>
        <w:rPr>
          <w:highlight w:val="none"/>
        </w:rPr>
      </w:pPr>
      <w:r>
        <w:rPr>
          <w:highlight w:val="none"/>
        </w:rPr>
        <w:t>6.2.2.</w:t>
      </w:r>
      <w:r>
        <w:rPr>
          <w:rFonts w:hint="eastAsia"/>
          <w:highlight w:val="none"/>
        </w:rPr>
        <w:t>2</w:t>
      </w:r>
      <w:r>
        <w:rPr>
          <w:highlight w:val="none"/>
        </w:rPr>
        <w:t>事故废水</w:t>
      </w:r>
    </w:p>
    <w:p>
      <w:pPr>
        <w:ind w:firstLine="480"/>
        <w:jc w:val="both"/>
        <w:rPr>
          <w:bCs/>
          <w:sz w:val="24"/>
          <w:szCs w:val="24"/>
          <w:highlight w:val="none"/>
        </w:rPr>
      </w:pPr>
      <w:r>
        <w:rPr>
          <w:rFonts w:hint="eastAsia"/>
          <w:sz w:val="24"/>
          <w:szCs w:val="24"/>
          <w:highlight w:val="none"/>
        </w:rPr>
        <w:t>当球磨机、磁选机、高频筛等设备出现故障时，存在废矿浆非正常排放的可能性。</w:t>
      </w:r>
    </w:p>
    <w:p>
      <w:pPr>
        <w:ind w:firstLine="480"/>
        <w:jc w:val="both"/>
        <w:rPr>
          <w:bCs/>
          <w:sz w:val="24"/>
          <w:szCs w:val="24"/>
          <w:highlight w:val="none"/>
        </w:rPr>
      </w:pPr>
      <w:r>
        <w:rPr>
          <w:rFonts w:hint="eastAsia"/>
          <w:bCs/>
          <w:sz w:val="24"/>
          <w:highlight w:val="none"/>
        </w:rPr>
        <w:t>本项目在破碎粗选车间、精选车间各配套建设一座事故池，其容积应满足车间内球磨机的最大泄漏量，本项目</w:t>
      </w:r>
      <w:r>
        <w:rPr>
          <w:rFonts w:hint="eastAsia"/>
          <w:bCs/>
          <w:sz w:val="24"/>
          <w:szCs w:val="24"/>
          <w:highlight w:val="none"/>
        </w:rPr>
        <w:t>单台球磨机排放量最高可达15.58</w:t>
      </w:r>
      <w:r>
        <w:rPr>
          <w:sz w:val="24"/>
          <w:szCs w:val="24"/>
          <w:highlight w:val="none"/>
        </w:rPr>
        <w:t>m³/次；</w:t>
      </w:r>
      <w:r>
        <w:rPr>
          <w:rFonts w:hint="eastAsia"/>
          <w:sz w:val="24"/>
          <w:szCs w:val="24"/>
          <w:highlight w:val="none"/>
        </w:rPr>
        <w:t>本项目事故池容积为25</w:t>
      </w:r>
      <w:r>
        <w:rPr>
          <w:bCs/>
          <w:sz w:val="24"/>
          <w:szCs w:val="24"/>
          <w:highlight w:val="none"/>
        </w:rPr>
        <w:t>m³，大于车间内</w:t>
      </w:r>
      <w:r>
        <w:rPr>
          <w:rFonts w:hint="eastAsia"/>
          <w:bCs/>
          <w:sz w:val="24"/>
          <w:szCs w:val="24"/>
          <w:highlight w:val="none"/>
        </w:rPr>
        <w:t>容积最大的</w:t>
      </w:r>
      <w:r>
        <w:rPr>
          <w:bCs/>
          <w:sz w:val="24"/>
          <w:szCs w:val="24"/>
          <w:highlight w:val="none"/>
        </w:rPr>
        <w:t>球磨机的有效容积，可满足事故状态下尾矿浆的存储量</w:t>
      </w:r>
      <w:r>
        <w:rPr>
          <w:rFonts w:hint="eastAsia"/>
          <w:bCs/>
          <w:sz w:val="24"/>
          <w:szCs w:val="24"/>
          <w:highlight w:val="none"/>
        </w:rPr>
        <w:t>，同时事故池应进行加盖设置，并设搅拌装置和泵，正常情况下保持空池运行</w:t>
      </w:r>
      <w:r>
        <w:rPr>
          <w:bCs/>
          <w:sz w:val="24"/>
          <w:szCs w:val="24"/>
          <w:highlight w:val="none"/>
        </w:rPr>
        <w:t>。</w:t>
      </w:r>
    </w:p>
    <w:bookmarkEnd w:id="457"/>
    <w:p>
      <w:pPr>
        <w:pStyle w:val="6"/>
        <w:numPr>
          <w:ilvl w:val="2"/>
          <w:numId w:val="1"/>
        </w:numPr>
        <w:rPr>
          <w:szCs w:val="28"/>
          <w:highlight w:val="none"/>
        </w:rPr>
      </w:pPr>
      <w:bookmarkStart w:id="458" w:name="_Toc31574"/>
      <w:bookmarkStart w:id="459" w:name="_Toc521591813"/>
      <w:r>
        <w:rPr>
          <w:szCs w:val="28"/>
          <w:highlight w:val="none"/>
        </w:rPr>
        <w:t>运营期地下水污染防治措施</w:t>
      </w:r>
      <w:bookmarkEnd w:id="458"/>
      <w:bookmarkEnd w:id="459"/>
    </w:p>
    <w:p>
      <w:pPr>
        <w:pStyle w:val="3"/>
        <w:rPr>
          <w:highlight w:val="none"/>
        </w:rPr>
      </w:pPr>
      <w:r>
        <w:rPr>
          <w:rFonts w:hint="eastAsia"/>
          <w:highlight w:val="none"/>
        </w:rPr>
        <w:t>6.2.3.1地下水污染控制原则</w:t>
      </w:r>
    </w:p>
    <w:p>
      <w:pPr>
        <w:pStyle w:val="221"/>
        <w:spacing w:line="360" w:lineRule="auto"/>
        <w:ind w:firstLine="480" w:firstLineChars="200"/>
        <w:rPr>
          <w:bCs/>
          <w:kern w:val="2"/>
          <w:szCs w:val="24"/>
          <w:highlight w:val="none"/>
        </w:rPr>
      </w:pPr>
      <w:r>
        <w:rPr>
          <w:bCs/>
          <w:kern w:val="2"/>
          <w:szCs w:val="24"/>
          <w:highlight w:val="none"/>
        </w:rPr>
        <w:t>针对项目可能发生的地下水污染，地下水污染防治措施按照</w:t>
      </w:r>
      <w:r>
        <w:rPr>
          <w:rFonts w:hint="eastAsia"/>
          <w:bCs/>
          <w:kern w:val="2"/>
          <w:szCs w:val="24"/>
          <w:highlight w:val="none"/>
        </w:rPr>
        <w:t>“</w:t>
      </w:r>
      <w:r>
        <w:rPr>
          <w:bCs/>
          <w:kern w:val="2"/>
          <w:szCs w:val="24"/>
          <w:highlight w:val="none"/>
        </w:rPr>
        <w:t>源头控制、末端防治、污染监控、应急响应</w:t>
      </w:r>
      <w:r>
        <w:rPr>
          <w:rFonts w:hint="eastAsia"/>
          <w:bCs/>
          <w:kern w:val="2"/>
          <w:szCs w:val="24"/>
          <w:highlight w:val="none"/>
        </w:rPr>
        <w:t>”</w:t>
      </w:r>
      <w:r>
        <w:rPr>
          <w:bCs/>
          <w:kern w:val="2"/>
          <w:szCs w:val="24"/>
          <w:highlight w:val="none"/>
        </w:rPr>
        <w:t>相结合的原则，从污染物的产生、入渗、扩散、应急响应全阶段进行控制。</w:t>
      </w:r>
    </w:p>
    <w:p>
      <w:pPr>
        <w:pStyle w:val="221"/>
        <w:spacing w:line="360" w:lineRule="auto"/>
        <w:ind w:firstLine="480" w:firstLineChars="200"/>
        <w:rPr>
          <w:bCs/>
          <w:kern w:val="2"/>
          <w:szCs w:val="24"/>
          <w:highlight w:val="none"/>
        </w:rPr>
      </w:pPr>
      <w:r>
        <w:rPr>
          <w:bCs/>
          <w:kern w:val="2"/>
          <w:szCs w:val="24"/>
          <w:highlight w:val="none"/>
        </w:rPr>
        <w:t>（1）源头控制措施：主要包括在工艺、管道、设备、污水储存及处理构筑物采取相应措施，防止和降低污染物跑、冒、滴、漏，将污染物泄漏的环境风险事故降到最低程度；管线敷设尽量采用</w:t>
      </w:r>
      <w:r>
        <w:rPr>
          <w:rFonts w:hint="eastAsia"/>
          <w:bCs/>
          <w:kern w:val="2"/>
          <w:szCs w:val="24"/>
          <w:highlight w:val="none"/>
        </w:rPr>
        <w:t>“</w:t>
      </w:r>
      <w:r>
        <w:rPr>
          <w:bCs/>
          <w:kern w:val="2"/>
          <w:szCs w:val="24"/>
          <w:highlight w:val="none"/>
        </w:rPr>
        <w:t>可视化</w:t>
      </w:r>
      <w:r>
        <w:rPr>
          <w:rFonts w:hint="eastAsia"/>
          <w:bCs/>
          <w:kern w:val="2"/>
          <w:szCs w:val="24"/>
          <w:highlight w:val="none"/>
        </w:rPr>
        <w:t>”</w:t>
      </w:r>
      <w:r>
        <w:rPr>
          <w:bCs/>
          <w:kern w:val="2"/>
          <w:szCs w:val="24"/>
          <w:highlight w:val="none"/>
        </w:rPr>
        <w:t>原则，即管道尽可能地上敷设，做到污染物</w:t>
      </w:r>
      <w:r>
        <w:rPr>
          <w:rFonts w:hint="eastAsia"/>
          <w:bCs/>
          <w:kern w:val="2"/>
          <w:szCs w:val="24"/>
          <w:highlight w:val="none"/>
        </w:rPr>
        <w:t>“</w:t>
      </w:r>
      <w:r>
        <w:rPr>
          <w:bCs/>
          <w:kern w:val="2"/>
          <w:szCs w:val="24"/>
          <w:highlight w:val="none"/>
        </w:rPr>
        <w:t>早发现、早处理</w:t>
      </w:r>
      <w:r>
        <w:rPr>
          <w:rFonts w:hint="eastAsia"/>
          <w:bCs/>
          <w:kern w:val="2"/>
          <w:szCs w:val="24"/>
          <w:highlight w:val="none"/>
        </w:rPr>
        <w:t>”</w:t>
      </w:r>
      <w:r>
        <w:rPr>
          <w:bCs/>
          <w:kern w:val="2"/>
          <w:szCs w:val="24"/>
          <w:highlight w:val="none"/>
        </w:rPr>
        <w:t>，减少由于埋地管道泄漏而造成的地下水污染。</w:t>
      </w:r>
    </w:p>
    <w:p>
      <w:pPr>
        <w:pStyle w:val="221"/>
        <w:spacing w:line="360" w:lineRule="auto"/>
        <w:ind w:firstLine="480" w:firstLineChars="200"/>
        <w:rPr>
          <w:bCs/>
          <w:kern w:val="2"/>
          <w:szCs w:val="24"/>
          <w:highlight w:val="none"/>
        </w:rPr>
      </w:pPr>
      <w:r>
        <w:rPr>
          <w:bCs/>
          <w:kern w:val="2"/>
          <w:szCs w:val="24"/>
          <w:highlight w:val="none"/>
        </w:rPr>
        <w:t>（2）</w:t>
      </w:r>
      <w:r>
        <w:rPr>
          <w:rFonts w:hint="eastAsia"/>
          <w:bCs/>
          <w:kern w:val="2"/>
          <w:szCs w:val="24"/>
          <w:highlight w:val="none"/>
        </w:rPr>
        <w:t>分区防控</w:t>
      </w:r>
      <w:r>
        <w:rPr>
          <w:bCs/>
          <w:kern w:val="2"/>
          <w:szCs w:val="24"/>
          <w:highlight w:val="none"/>
        </w:rPr>
        <w:t>措施：主要包括厂内污染区地面的防渗措施和泄漏、渗漏污染物收集措施，即在污染区地面进行防渗处理，防止洒落地面的污染物渗入地下，并把滞留在地面的污染物收集起来，集中</w:t>
      </w:r>
      <w:r>
        <w:rPr>
          <w:rFonts w:hint="eastAsia"/>
          <w:bCs/>
          <w:kern w:val="2"/>
          <w:szCs w:val="24"/>
          <w:highlight w:val="none"/>
        </w:rPr>
        <w:t>外运</w:t>
      </w:r>
      <w:r>
        <w:rPr>
          <w:bCs/>
          <w:kern w:val="2"/>
          <w:szCs w:val="24"/>
          <w:highlight w:val="none"/>
        </w:rPr>
        <w:t>处理；末端控制采取分区防渗，重点污染防治区、一般污染防治区和非污染区防渗措施有区别的防渗原则。</w:t>
      </w:r>
    </w:p>
    <w:p>
      <w:pPr>
        <w:pStyle w:val="221"/>
        <w:spacing w:line="360" w:lineRule="auto"/>
        <w:ind w:firstLine="480" w:firstLineChars="200"/>
        <w:rPr>
          <w:bCs/>
          <w:kern w:val="2"/>
          <w:szCs w:val="24"/>
          <w:highlight w:val="none"/>
        </w:rPr>
      </w:pPr>
      <w:r>
        <w:rPr>
          <w:bCs/>
          <w:kern w:val="2"/>
          <w:szCs w:val="24"/>
          <w:highlight w:val="none"/>
        </w:rPr>
        <w:t>（3）污染监控体系：实施覆盖生产区的地下水污染监控系统，包括建立完善的监测制度、配备先进的检测仪器和设备、科学、合理设置地下水污染监控井，及时发现污染、及时控制；</w:t>
      </w:r>
    </w:p>
    <w:p>
      <w:pPr>
        <w:pStyle w:val="221"/>
        <w:spacing w:line="360" w:lineRule="auto"/>
        <w:ind w:firstLine="480" w:firstLineChars="200"/>
        <w:rPr>
          <w:bCs/>
          <w:kern w:val="2"/>
          <w:szCs w:val="24"/>
          <w:highlight w:val="none"/>
        </w:rPr>
      </w:pPr>
      <w:r>
        <w:rPr>
          <w:bCs/>
          <w:kern w:val="2"/>
          <w:szCs w:val="24"/>
          <w:highlight w:val="none"/>
        </w:rPr>
        <w:t>（4）应急响应措施：包括一旦发现地下水污染事故，立即启动应急预案、采取应急措施控制地下水污染，并使污染得到治理。</w:t>
      </w:r>
    </w:p>
    <w:p>
      <w:pPr>
        <w:pStyle w:val="3"/>
        <w:rPr>
          <w:highlight w:val="none"/>
        </w:rPr>
      </w:pPr>
      <w:r>
        <w:rPr>
          <w:rFonts w:hint="eastAsia"/>
          <w:highlight w:val="none"/>
        </w:rPr>
        <w:t>6.2.3.2 污染物源头控制</w:t>
      </w:r>
    </w:p>
    <w:p>
      <w:pPr>
        <w:pStyle w:val="221"/>
        <w:spacing w:line="360" w:lineRule="auto"/>
        <w:ind w:firstLine="480" w:firstLineChars="200"/>
        <w:rPr>
          <w:bCs/>
          <w:kern w:val="2"/>
          <w:szCs w:val="24"/>
          <w:highlight w:val="none"/>
        </w:rPr>
      </w:pPr>
      <w:r>
        <w:rPr>
          <w:bCs/>
          <w:kern w:val="2"/>
          <w:szCs w:val="24"/>
          <w:highlight w:val="none"/>
        </w:rPr>
        <w:t>（1）对工艺、管道、设备、污水储存及处理构筑物等严格检查，有质量问题的及时更换，阀门采用优质产品，防止和降低</w:t>
      </w:r>
      <w:r>
        <w:rPr>
          <w:rFonts w:hint="eastAsia"/>
          <w:bCs/>
          <w:kern w:val="2"/>
          <w:szCs w:val="24"/>
          <w:highlight w:val="none"/>
        </w:rPr>
        <w:t>“</w:t>
      </w:r>
      <w:r>
        <w:rPr>
          <w:bCs/>
          <w:kern w:val="2"/>
          <w:szCs w:val="24"/>
          <w:highlight w:val="none"/>
        </w:rPr>
        <w:t>跑、冒、滴、漏</w:t>
      </w:r>
      <w:r>
        <w:rPr>
          <w:rFonts w:hint="eastAsia"/>
          <w:bCs/>
          <w:kern w:val="2"/>
          <w:szCs w:val="24"/>
          <w:highlight w:val="none"/>
        </w:rPr>
        <w:t>”</w:t>
      </w:r>
      <w:r>
        <w:rPr>
          <w:bCs/>
          <w:kern w:val="2"/>
          <w:szCs w:val="24"/>
          <w:highlight w:val="none"/>
        </w:rPr>
        <w:t>。</w:t>
      </w:r>
    </w:p>
    <w:p>
      <w:pPr>
        <w:pStyle w:val="221"/>
        <w:spacing w:line="360" w:lineRule="auto"/>
        <w:ind w:firstLine="480" w:firstLineChars="200"/>
        <w:rPr>
          <w:bCs/>
          <w:kern w:val="2"/>
          <w:szCs w:val="24"/>
          <w:highlight w:val="none"/>
        </w:rPr>
      </w:pPr>
      <w:r>
        <w:rPr>
          <w:bCs/>
          <w:kern w:val="2"/>
          <w:szCs w:val="24"/>
          <w:highlight w:val="none"/>
        </w:rPr>
        <w:t>（2）所有生产中的储槽、容器均做防腐处理。禁止在厂区内任意设置排污水口，全封闭，防止流入环境中。</w:t>
      </w:r>
    </w:p>
    <w:p>
      <w:pPr>
        <w:widowControl/>
        <w:autoSpaceDN w:val="0"/>
        <w:ind w:firstLine="480"/>
        <w:rPr>
          <w:sz w:val="24"/>
          <w:szCs w:val="24"/>
          <w:highlight w:val="none"/>
        </w:rPr>
      </w:pPr>
      <w:r>
        <w:rPr>
          <w:sz w:val="24"/>
          <w:szCs w:val="24"/>
          <w:highlight w:val="none"/>
        </w:rPr>
        <w:t>（3）对工艺要求必须地下走管的管道、阀门设专用防渗管沟，管沟上设活动观察顶盖，以便出现渗漏问题及时观察、解决，管沟与污水集水井相连，并设计合理的排水坡度，便于废水排至集水井，然后统一排入污水收集池。</w:t>
      </w:r>
    </w:p>
    <w:p>
      <w:pPr>
        <w:autoSpaceDN w:val="0"/>
        <w:ind w:firstLine="480"/>
        <w:rPr>
          <w:sz w:val="24"/>
          <w:szCs w:val="24"/>
          <w:highlight w:val="none"/>
        </w:rPr>
      </w:pPr>
      <w:r>
        <w:rPr>
          <w:sz w:val="24"/>
          <w:szCs w:val="24"/>
          <w:highlight w:val="none"/>
        </w:rPr>
        <w:t>（4）厂区内设置生活垃圾收集点和垃圾中转站，集中收集后的生活垃圾运至城市规划的生活垃圾填埋场。生活垃圾运输基本实现收集容器化、运输密封化。工业垃圾首先在企业内部进行无害化处理，再运至规划建设的固体废弃物填埋场作进一步处置。防止固废因淋溶对地下水造成的二次污染。</w:t>
      </w:r>
    </w:p>
    <w:p>
      <w:pPr>
        <w:widowControl/>
        <w:autoSpaceDN w:val="0"/>
        <w:ind w:firstLine="480"/>
        <w:rPr>
          <w:sz w:val="24"/>
          <w:szCs w:val="24"/>
          <w:highlight w:val="none"/>
        </w:rPr>
      </w:pPr>
      <w:r>
        <w:rPr>
          <w:sz w:val="24"/>
          <w:szCs w:val="24"/>
          <w:highlight w:val="none"/>
        </w:rPr>
        <w:t>（5）为了防止突发事故，污染物外泄，造成对环境的污染，厂区应设置专门的事故水池及安全事故报警系统，一旦有事故发生，被污染的消防水、冲洗水等直接流入事故水池，等待处理，厂区排水口设在线监测系统，以防止超标污水外泄。</w:t>
      </w:r>
    </w:p>
    <w:p>
      <w:pPr>
        <w:pStyle w:val="3"/>
        <w:rPr>
          <w:highlight w:val="none"/>
        </w:rPr>
      </w:pPr>
      <w:r>
        <w:rPr>
          <w:rFonts w:hint="eastAsia"/>
          <w:highlight w:val="none"/>
        </w:rPr>
        <w:t>6.2.3.3 地面防渗措施</w:t>
      </w:r>
    </w:p>
    <w:p>
      <w:pPr>
        <w:pStyle w:val="221"/>
        <w:snapToGrid/>
        <w:spacing w:line="360" w:lineRule="auto"/>
        <w:ind w:firstLine="480" w:firstLineChars="200"/>
        <w:rPr>
          <w:bCs/>
          <w:kern w:val="2"/>
          <w:szCs w:val="24"/>
          <w:highlight w:val="none"/>
        </w:rPr>
      </w:pPr>
      <w:r>
        <w:rPr>
          <w:rFonts w:hint="eastAsia"/>
          <w:bCs/>
          <w:kern w:val="2"/>
          <w:szCs w:val="24"/>
          <w:highlight w:val="none"/>
        </w:rPr>
        <w:t>（1）防渗分区的确定</w:t>
      </w:r>
    </w:p>
    <w:p>
      <w:pPr>
        <w:pStyle w:val="221"/>
        <w:spacing w:line="360" w:lineRule="auto"/>
        <w:ind w:firstLine="480" w:firstLineChars="200"/>
        <w:jc w:val="left"/>
        <w:rPr>
          <w:rFonts w:ascii="黑体" w:hAnsi="黑体" w:eastAsia="黑体"/>
          <w:sz w:val="21"/>
          <w:highlight w:val="none"/>
        </w:rPr>
      </w:pPr>
      <w:r>
        <w:rPr>
          <w:bCs/>
          <w:kern w:val="2"/>
          <w:szCs w:val="24"/>
          <w:highlight w:val="none"/>
        </w:rPr>
        <w:t>根据野外现场调查</w:t>
      </w:r>
      <w:r>
        <w:rPr>
          <w:rFonts w:hint="eastAsia"/>
          <w:bCs/>
          <w:kern w:val="2"/>
          <w:szCs w:val="24"/>
          <w:highlight w:val="none"/>
        </w:rPr>
        <w:t>及试验</w:t>
      </w:r>
      <w:r>
        <w:rPr>
          <w:bCs/>
          <w:kern w:val="2"/>
          <w:szCs w:val="24"/>
          <w:highlight w:val="none"/>
        </w:rPr>
        <w:t>，可知项目场地包气带</w:t>
      </w:r>
      <w:r>
        <w:rPr>
          <w:rFonts w:hint="eastAsia"/>
          <w:bCs/>
          <w:kern w:val="2"/>
          <w:szCs w:val="24"/>
          <w:highlight w:val="none"/>
        </w:rPr>
        <w:t>平均厚度14m</w:t>
      </w:r>
      <w:r>
        <w:rPr>
          <w:bCs/>
          <w:kern w:val="2"/>
          <w:szCs w:val="24"/>
          <w:highlight w:val="none"/>
        </w:rPr>
        <w:t>，</w:t>
      </w:r>
      <w:r>
        <w:rPr>
          <w:rFonts w:hint="eastAsia"/>
          <w:bCs/>
          <w:kern w:val="2"/>
          <w:szCs w:val="24"/>
          <w:highlight w:val="none"/>
        </w:rPr>
        <w:t>岩（土）</w:t>
      </w:r>
      <w:r>
        <w:rPr>
          <w:bCs/>
          <w:kern w:val="2"/>
          <w:szCs w:val="24"/>
          <w:highlight w:val="none"/>
        </w:rPr>
        <w:t>单层厚度Mb＞1.0m，且分布连续、稳定</w:t>
      </w:r>
      <w:r>
        <w:rPr>
          <w:rFonts w:hint="eastAsia"/>
          <w:bCs/>
          <w:kern w:val="2"/>
          <w:szCs w:val="24"/>
          <w:highlight w:val="none"/>
        </w:rPr>
        <w:t>，</w:t>
      </w:r>
      <w:r>
        <w:rPr>
          <w:bCs/>
          <w:kern w:val="2"/>
          <w:szCs w:val="24"/>
          <w:highlight w:val="none"/>
        </w:rPr>
        <w:t>渗透系数为10</w:t>
      </w:r>
      <w:r>
        <w:rPr>
          <w:bCs/>
          <w:kern w:val="2"/>
          <w:szCs w:val="24"/>
          <w:highlight w:val="none"/>
          <w:vertAlign w:val="superscript"/>
        </w:rPr>
        <w:t>-</w:t>
      </w:r>
      <w:r>
        <w:rPr>
          <w:rFonts w:hint="eastAsia"/>
          <w:bCs/>
          <w:kern w:val="2"/>
          <w:szCs w:val="24"/>
          <w:highlight w:val="none"/>
          <w:vertAlign w:val="superscript"/>
        </w:rPr>
        <w:t>5</w:t>
      </w:r>
      <w:r>
        <w:rPr>
          <w:bCs/>
          <w:kern w:val="2"/>
          <w:szCs w:val="24"/>
          <w:highlight w:val="none"/>
        </w:rPr>
        <w:t>cm/s数量级，故根据《环境影响评价导则—地下水环境》（HJ610-2016）表</w:t>
      </w:r>
      <w:r>
        <w:rPr>
          <w:rFonts w:hint="eastAsia"/>
          <w:bCs/>
          <w:kern w:val="2"/>
          <w:szCs w:val="24"/>
          <w:highlight w:val="none"/>
        </w:rPr>
        <w:t>6.2-2《</w:t>
      </w:r>
      <w:r>
        <w:rPr>
          <w:bCs/>
          <w:kern w:val="2"/>
          <w:szCs w:val="24"/>
          <w:highlight w:val="none"/>
        </w:rPr>
        <w:t>天然包气带防污性能分级表</w:t>
      </w:r>
      <w:r>
        <w:rPr>
          <w:rFonts w:hint="eastAsia"/>
          <w:bCs/>
          <w:kern w:val="2"/>
          <w:szCs w:val="24"/>
          <w:highlight w:val="none"/>
        </w:rPr>
        <w:t>》，</w:t>
      </w:r>
      <w:r>
        <w:rPr>
          <w:bCs/>
          <w:kern w:val="2"/>
          <w:szCs w:val="24"/>
          <w:highlight w:val="none"/>
        </w:rPr>
        <w:t>包气带防污性能为</w:t>
      </w:r>
      <w:r>
        <w:rPr>
          <w:rFonts w:hint="eastAsia"/>
          <w:bCs/>
          <w:kern w:val="2"/>
          <w:szCs w:val="24"/>
          <w:highlight w:val="none"/>
        </w:rPr>
        <w:t>中</w:t>
      </w:r>
      <w:r>
        <w:rPr>
          <w:bCs/>
          <w:kern w:val="2"/>
          <w:szCs w:val="24"/>
          <w:highlight w:val="none"/>
        </w:rPr>
        <w:t>。</w:t>
      </w:r>
    </w:p>
    <w:p>
      <w:pPr>
        <w:spacing w:line="240" w:lineRule="auto"/>
        <w:ind w:firstLine="0" w:firstLineChars="0"/>
        <w:jc w:val="center"/>
        <w:rPr>
          <w:rFonts w:ascii="黑体" w:hAnsi="黑体" w:eastAsia="黑体"/>
          <w:sz w:val="21"/>
          <w:szCs w:val="21"/>
          <w:highlight w:val="none"/>
        </w:rPr>
      </w:pPr>
      <w:r>
        <w:rPr>
          <w:rFonts w:eastAsia="黑体"/>
          <w:sz w:val="21"/>
          <w:szCs w:val="21"/>
          <w:highlight w:val="none"/>
        </w:rPr>
        <w:t xml:space="preserve">表6.2-2   </w:t>
      </w:r>
      <w:r>
        <w:rPr>
          <w:rFonts w:hint="eastAsia" w:ascii="黑体" w:hAnsi="黑体" w:eastAsia="黑体"/>
          <w:sz w:val="21"/>
          <w:szCs w:val="21"/>
          <w:highlight w:val="none"/>
        </w:rPr>
        <w:t xml:space="preserve"> 天然包气带防污性能分级表</w:t>
      </w:r>
    </w:p>
    <w:tbl>
      <w:tblPr>
        <w:tblStyle w:val="56"/>
        <w:tblW w:w="852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38"/>
        <w:gridCol w:w="77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tblHeader/>
          <w:jc w:val="center"/>
        </w:trPr>
        <w:tc>
          <w:tcPr>
            <w:tcW w:w="738" w:type="dxa"/>
            <w:tcBorders>
              <w:lef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分级</w:t>
            </w:r>
          </w:p>
        </w:tc>
        <w:tc>
          <w:tcPr>
            <w:tcW w:w="7790" w:type="dxa"/>
            <w:tcBorders>
              <w:righ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主要特征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38" w:type="dxa"/>
            <w:tcBorders>
              <w:lef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强</w:t>
            </w:r>
          </w:p>
        </w:tc>
        <w:tc>
          <w:tcPr>
            <w:tcW w:w="7790" w:type="dxa"/>
            <w:tcBorders>
              <w:righ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岩（土）层单层厚度Mb≥1.0m，渗透系数K≤1×10</w:t>
            </w:r>
            <w:r>
              <w:rPr>
                <w:sz w:val="21"/>
                <w:szCs w:val="21"/>
                <w:highlight w:val="none"/>
                <w:vertAlign w:val="superscript"/>
              </w:rPr>
              <w:t>-6</w:t>
            </w:r>
            <w:r>
              <w:rPr>
                <w:sz w:val="21"/>
                <w:szCs w:val="21"/>
                <w:highlight w:val="none"/>
              </w:rPr>
              <w:t>cm/s，且分布连续、稳定。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38" w:type="dxa"/>
            <w:vMerge w:val="restart"/>
            <w:tcBorders>
              <w:lef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中</w:t>
            </w:r>
          </w:p>
        </w:tc>
        <w:tc>
          <w:tcPr>
            <w:tcW w:w="7790" w:type="dxa"/>
            <w:tcBorders>
              <w:righ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岩（土）层单层厚度0.5m≤Mb&lt;1.0m，渗透系数K≤1×10</w:t>
            </w:r>
            <w:r>
              <w:rPr>
                <w:sz w:val="21"/>
                <w:szCs w:val="21"/>
                <w:highlight w:val="none"/>
                <w:vertAlign w:val="superscript"/>
              </w:rPr>
              <w:t>-6</w:t>
            </w:r>
            <w:r>
              <w:rPr>
                <w:sz w:val="21"/>
                <w:szCs w:val="21"/>
                <w:highlight w:val="none"/>
              </w:rPr>
              <w:t>cm/s，且分布连续、稳定。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38" w:type="dxa"/>
            <w:vMerge w:val="continue"/>
            <w:tcBorders>
              <w:left w:val="single" w:color="auto" w:sz="4" w:space="0"/>
            </w:tcBorders>
            <w:shd w:val="clear" w:color="auto" w:fill="FFFFFF"/>
            <w:vAlign w:val="center"/>
          </w:tcPr>
          <w:p>
            <w:pPr>
              <w:snapToGrid w:val="0"/>
              <w:spacing w:line="240" w:lineRule="auto"/>
              <w:ind w:firstLine="0" w:firstLineChars="0"/>
              <w:jc w:val="center"/>
              <w:rPr>
                <w:sz w:val="21"/>
                <w:szCs w:val="21"/>
                <w:highlight w:val="none"/>
              </w:rPr>
            </w:pPr>
          </w:p>
        </w:tc>
        <w:tc>
          <w:tcPr>
            <w:tcW w:w="7790" w:type="dxa"/>
            <w:tcBorders>
              <w:righ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岩（土）层单层厚度Mb≥1.0m，渗透系数1×10</w:t>
            </w:r>
            <w:r>
              <w:rPr>
                <w:sz w:val="21"/>
                <w:szCs w:val="21"/>
                <w:highlight w:val="none"/>
                <w:vertAlign w:val="superscript"/>
              </w:rPr>
              <w:t>-6</w:t>
            </w:r>
            <w:r>
              <w:rPr>
                <w:sz w:val="21"/>
                <w:szCs w:val="21"/>
                <w:highlight w:val="none"/>
              </w:rPr>
              <w:t>cm/s&lt;K≤1×10</w:t>
            </w:r>
            <w:r>
              <w:rPr>
                <w:sz w:val="21"/>
                <w:szCs w:val="21"/>
                <w:highlight w:val="none"/>
                <w:vertAlign w:val="superscript"/>
              </w:rPr>
              <w:t>-4</w:t>
            </w:r>
            <w:r>
              <w:rPr>
                <w:sz w:val="21"/>
                <w:szCs w:val="21"/>
                <w:highlight w:val="none"/>
              </w:rPr>
              <w:t>cm/s，且分布连续、稳定。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38" w:type="dxa"/>
            <w:tcBorders>
              <w:lef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弱</w:t>
            </w:r>
          </w:p>
        </w:tc>
        <w:tc>
          <w:tcPr>
            <w:tcW w:w="7790" w:type="dxa"/>
            <w:tcBorders>
              <w:right w:val="single" w:color="auto" w:sz="4" w:space="0"/>
            </w:tcBorders>
            <w:shd w:val="clear" w:color="auto" w:fill="FFFFFF"/>
            <w:vAlign w:val="center"/>
          </w:tcPr>
          <w:p>
            <w:pPr>
              <w:snapToGrid w:val="0"/>
              <w:spacing w:line="240" w:lineRule="auto"/>
              <w:ind w:firstLine="0" w:firstLineChars="0"/>
              <w:jc w:val="center"/>
              <w:rPr>
                <w:sz w:val="21"/>
                <w:szCs w:val="21"/>
                <w:highlight w:val="none"/>
              </w:rPr>
            </w:pPr>
            <w:r>
              <w:rPr>
                <w:sz w:val="21"/>
                <w:szCs w:val="21"/>
                <w:highlight w:val="none"/>
              </w:rPr>
              <w:t>岩（土）层不满足上述“强”和“中”条件。</w:t>
            </w:r>
          </w:p>
        </w:tc>
      </w:tr>
    </w:tbl>
    <w:p>
      <w:pPr>
        <w:ind w:firstLine="480"/>
        <w:textAlignment w:val="auto"/>
        <w:rPr>
          <w:sz w:val="24"/>
          <w:szCs w:val="24"/>
          <w:highlight w:val="none"/>
        </w:rPr>
      </w:pPr>
      <w:r>
        <w:rPr>
          <w:sz w:val="24"/>
          <w:szCs w:val="24"/>
          <w:highlight w:val="none"/>
        </w:rPr>
        <w:t>同时，根据《环境影响评价导则—地下水环境》（HJ610-2016）《表5 污染控制难易程度分级参照表》：将项目区</w:t>
      </w:r>
      <w:r>
        <w:rPr>
          <w:rFonts w:hint="eastAsia"/>
          <w:spacing w:val="-10"/>
          <w:sz w:val="24"/>
          <w:szCs w:val="24"/>
          <w:highlight w:val="none"/>
        </w:rPr>
        <w:t>危废间</w:t>
      </w:r>
      <w:r>
        <w:rPr>
          <w:spacing w:val="-10"/>
          <w:sz w:val="24"/>
          <w:szCs w:val="24"/>
          <w:highlight w:val="none"/>
        </w:rPr>
        <w:t>、</w:t>
      </w:r>
      <w:r>
        <w:rPr>
          <w:rFonts w:hint="eastAsia"/>
          <w:sz w:val="24"/>
          <w:szCs w:val="24"/>
          <w:highlight w:val="none"/>
        </w:rPr>
        <w:t>浓密池、清水池、事故池、成品库、破碎车间、砂石库、原料库的</w:t>
      </w:r>
      <w:r>
        <w:rPr>
          <w:spacing w:val="-10"/>
          <w:sz w:val="24"/>
          <w:szCs w:val="24"/>
          <w:highlight w:val="none"/>
        </w:rPr>
        <w:t>污染控制难易程度确定为“难”；</w:t>
      </w:r>
      <w:r>
        <w:rPr>
          <w:sz w:val="24"/>
          <w:szCs w:val="24"/>
          <w:highlight w:val="none"/>
        </w:rPr>
        <w:t>将项目区</w:t>
      </w:r>
      <w:r>
        <w:rPr>
          <w:rFonts w:hint="eastAsia"/>
          <w:sz w:val="24"/>
          <w:szCs w:val="24"/>
          <w:highlight w:val="none"/>
        </w:rPr>
        <w:t>洗车平台、磅房、办公区、配电室</w:t>
      </w:r>
      <w:r>
        <w:rPr>
          <w:spacing w:val="-10"/>
          <w:sz w:val="24"/>
          <w:szCs w:val="24"/>
          <w:highlight w:val="none"/>
        </w:rPr>
        <w:t>等</w:t>
      </w:r>
      <w:r>
        <w:rPr>
          <w:sz w:val="24"/>
          <w:szCs w:val="24"/>
          <w:highlight w:val="none"/>
        </w:rPr>
        <w:t>污染物泄漏后，可及时发现和处理的地面以上设备或建筑物，</w:t>
      </w:r>
      <w:r>
        <w:rPr>
          <w:spacing w:val="-10"/>
          <w:sz w:val="24"/>
          <w:szCs w:val="24"/>
          <w:highlight w:val="none"/>
        </w:rPr>
        <w:t>污染控制难易程度确定为“易”。</w:t>
      </w:r>
    </w:p>
    <w:p>
      <w:pPr>
        <w:spacing w:line="240" w:lineRule="auto"/>
        <w:ind w:firstLine="0" w:firstLineChars="0"/>
        <w:jc w:val="center"/>
        <w:rPr>
          <w:rFonts w:ascii="黑体" w:hAnsi="黑体" w:eastAsia="黑体"/>
          <w:sz w:val="21"/>
          <w:szCs w:val="21"/>
          <w:highlight w:val="none"/>
        </w:rPr>
      </w:pPr>
      <w:r>
        <w:rPr>
          <w:rFonts w:eastAsia="黑体"/>
          <w:sz w:val="21"/>
          <w:szCs w:val="21"/>
          <w:highlight w:val="none"/>
        </w:rPr>
        <w:t>表6.2-3</w:t>
      </w:r>
      <w:r>
        <w:rPr>
          <w:rFonts w:hint="eastAsia" w:ascii="黑体" w:hAnsi="黑体" w:eastAsia="黑体"/>
          <w:sz w:val="21"/>
          <w:szCs w:val="21"/>
          <w:highlight w:val="none"/>
        </w:rPr>
        <w:t xml:space="preserve">    污染控制难易程度分级参照表</w:t>
      </w:r>
    </w:p>
    <w:tbl>
      <w:tblPr>
        <w:tblStyle w:val="56"/>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65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6" w:type="dxa"/>
            <w:tcBorders>
              <w:left w:val="single" w:color="auto" w:sz="4"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污染控制难易程度</w:t>
            </w:r>
          </w:p>
        </w:tc>
        <w:tc>
          <w:tcPr>
            <w:tcW w:w="6566" w:type="dxa"/>
            <w:tcBorders>
              <w:right w:val="single" w:color="auto" w:sz="4"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主要特征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6" w:type="dxa"/>
            <w:tcBorders>
              <w:left w:val="single" w:color="auto" w:sz="4"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难</w:t>
            </w:r>
          </w:p>
        </w:tc>
        <w:tc>
          <w:tcPr>
            <w:tcW w:w="6566" w:type="dxa"/>
            <w:tcBorders>
              <w:right w:val="single" w:color="auto" w:sz="4"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对地下水环境有污染的物料或污染物泄漏后，不能及时发现和处理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6" w:type="dxa"/>
            <w:tcBorders>
              <w:left w:val="single" w:color="auto" w:sz="4"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易</w:t>
            </w:r>
          </w:p>
        </w:tc>
        <w:tc>
          <w:tcPr>
            <w:tcW w:w="6566" w:type="dxa"/>
            <w:tcBorders>
              <w:right w:val="single" w:color="auto" w:sz="4"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对地下水环境有污染的物料或污染物泄漏后，可及时发现和处理</w:t>
            </w:r>
          </w:p>
        </w:tc>
      </w:tr>
    </w:tbl>
    <w:p>
      <w:pPr>
        <w:pStyle w:val="23"/>
        <w:snapToGrid w:val="0"/>
        <w:spacing w:after="0" w:line="360" w:lineRule="auto"/>
        <w:ind w:left="0" w:leftChars="0" w:firstLine="480" w:firstLineChars="200"/>
        <w:rPr>
          <w:sz w:val="24"/>
          <w:highlight w:val="none"/>
        </w:rPr>
      </w:pPr>
      <w:r>
        <w:rPr>
          <w:rFonts w:hint="eastAsia"/>
          <w:sz w:val="24"/>
          <w:highlight w:val="none"/>
        </w:rPr>
        <w:t>最终参照《</w:t>
      </w:r>
      <w:r>
        <w:rPr>
          <w:sz w:val="24"/>
          <w:highlight w:val="none"/>
        </w:rPr>
        <w:t>表</w:t>
      </w:r>
      <w:r>
        <w:rPr>
          <w:rFonts w:hint="eastAsia"/>
          <w:sz w:val="24"/>
          <w:highlight w:val="none"/>
        </w:rPr>
        <w:t xml:space="preserve">6.2-4 </w:t>
      </w:r>
      <w:r>
        <w:rPr>
          <w:sz w:val="24"/>
          <w:highlight w:val="none"/>
        </w:rPr>
        <w:t>地下水污染防渗分区参照表</w:t>
      </w:r>
      <w:r>
        <w:rPr>
          <w:rFonts w:hint="eastAsia"/>
          <w:sz w:val="24"/>
          <w:highlight w:val="none"/>
        </w:rPr>
        <w:t>》</w:t>
      </w:r>
      <w:r>
        <w:rPr>
          <w:sz w:val="24"/>
          <w:highlight w:val="none"/>
        </w:rPr>
        <w:t>，将本项目厂区划分为重点防渗分区</w:t>
      </w:r>
      <w:r>
        <w:rPr>
          <w:rFonts w:hint="eastAsia"/>
          <w:sz w:val="24"/>
          <w:highlight w:val="none"/>
        </w:rPr>
        <w:t>、</w:t>
      </w:r>
      <w:r>
        <w:rPr>
          <w:sz w:val="24"/>
          <w:highlight w:val="none"/>
        </w:rPr>
        <w:t>一般防渗分区</w:t>
      </w:r>
      <w:r>
        <w:rPr>
          <w:rFonts w:hint="eastAsia"/>
          <w:sz w:val="24"/>
          <w:highlight w:val="none"/>
        </w:rPr>
        <w:t>和简单防渗区</w:t>
      </w:r>
      <w:r>
        <w:rPr>
          <w:sz w:val="24"/>
          <w:highlight w:val="none"/>
        </w:rPr>
        <w:t>，</w:t>
      </w:r>
      <w:r>
        <w:rPr>
          <w:rFonts w:hint="eastAsia"/>
          <w:sz w:val="24"/>
          <w:highlight w:val="none"/>
        </w:rPr>
        <w:t>划分结果详见</w:t>
      </w:r>
      <w:r>
        <w:rPr>
          <w:sz w:val="24"/>
          <w:highlight w:val="none"/>
        </w:rPr>
        <w:t>表6</w:t>
      </w:r>
      <w:r>
        <w:rPr>
          <w:rFonts w:hint="eastAsia"/>
          <w:sz w:val="24"/>
          <w:highlight w:val="none"/>
        </w:rPr>
        <w:t>.2-4和表6.2-5。</w:t>
      </w:r>
    </w:p>
    <w:p>
      <w:pPr>
        <w:spacing w:line="240" w:lineRule="auto"/>
        <w:ind w:firstLine="0" w:firstLineChars="0"/>
        <w:jc w:val="center"/>
        <w:rPr>
          <w:rFonts w:eastAsia="黑体"/>
          <w:sz w:val="21"/>
          <w:szCs w:val="21"/>
          <w:highlight w:val="none"/>
        </w:rPr>
      </w:pPr>
      <w:r>
        <w:rPr>
          <w:rFonts w:eastAsia="黑体"/>
          <w:sz w:val="21"/>
          <w:szCs w:val="21"/>
          <w:highlight w:val="none"/>
        </w:rPr>
        <w:t>表6.2-4    地下水污染防渗分区参照表</w:t>
      </w:r>
    </w:p>
    <w:tbl>
      <w:tblPr>
        <w:tblStyle w:val="56"/>
        <w:tblW w:w="85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202"/>
        <w:gridCol w:w="1105"/>
        <w:gridCol w:w="1606"/>
        <w:gridCol w:w="37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tcBorders>
              <w:left w:val="single" w:color="auto" w:sz="4" w:space="0"/>
            </w:tcBorders>
            <w:vAlign w:val="center"/>
          </w:tcPr>
          <w:p>
            <w:pPr>
              <w:snapToGrid w:val="0"/>
              <w:spacing w:line="240" w:lineRule="auto"/>
              <w:ind w:firstLine="0" w:firstLineChars="0"/>
              <w:jc w:val="center"/>
              <w:rPr>
                <w:sz w:val="21"/>
                <w:szCs w:val="21"/>
                <w:highlight w:val="none"/>
              </w:rPr>
            </w:pPr>
            <w:r>
              <w:rPr>
                <w:sz w:val="21"/>
                <w:szCs w:val="21"/>
                <w:highlight w:val="none"/>
              </w:rPr>
              <w:t>防渗分区</w:t>
            </w: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天然包气带防污性能</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污染控制难易程度</w:t>
            </w:r>
          </w:p>
        </w:tc>
        <w:tc>
          <w:tcPr>
            <w:tcW w:w="1606" w:type="dxa"/>
            <w:vAlign w:val="center"/>
          </w:tcPr>
          <w:p>
            <w:pPr>
              <w:snapToGrid w:val="0"/>
              <w:spacing w:line="240" w:lineRule="auto"/>
              <w:ind w:firstLine="0" w:firstLineChars="0"/>
              <w:jc w:val="center"/>
              <w:rPr>
                <w:sz w:val="21"/>
                <w:szCs w:val="21"/>
                <w:highlight w:val="none"/>
              </w:rPr>
            </w:pPr>
            <w:r>
              <w:rPr>
                <w:sz w:val="21"/>
                <w:szCs w:val="21"/>
                <w:highlight w:val="none"/>
              </w:rPr>
              <w:t>污染物类型</w:t>
            </w:r>
          </w:p>
        </w:tc>
        <w:tc>
          <w:tcPr>
            <w:tcW w:w="3794" w:type="dxa"/>
            <w:tcBorders>
              <w:right w:val="single" w:color="auto" w:sz="4" w:space="0"/>
            </w:tcBorders>
            <w:vAlign w:val="center"/>
          </w:tcPr>
          <w:p>
            <w:pPr>
              <w:snapToGrid w:val="0"/>
              <w:spacing w:line="240" w:lineRule="auto"/>
              <w:ind w:firstLine="0" w:firstLineChars="0"/>
              <w:jc w:val="center"/>
              <w:rPr>
                <w:sz w:val="21"/>
                <w:szCs w:val="21"/>
                <w:highlight w:val="none"/>
              </w:rPr>
            </w:pPr>
            <w:r>
              <w:rPr>
                <w:sz w:val="21"/>
                <w:szCs w:val="21"/>
                <w:highlight w:val="none"/>
              </w:rPr>
              <w:t>防渗技术要求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restart"/>
            <w:tcBorders>
              <w:left w:val="single" w:color="auto" w:sz="4" w:space="0"/>
            </w:tcBorders>
            <w:vAlign w:val="center"/>
          </w:tcPr>
          <w:p>
            <w:pPr>
              <w:snapToGrid w:val="0"/>
              <w:spacing w:line="240" w:lineRule="auto"/>
              <w:ind w:firstLine="0" w:firstLineChars="0"/>
              <w:jc w:val="center"/>
              <w:rPr>
                <w:sz w:val="21"/>
                <w:szCs w:val="21"/>
                <w:highlight w:val="none"/>
              </w:rPr>
            </w:pPr>
            <w:r>
              <w:rPr>
                <w:sz w:val="21"/>
                <w:szCs w:val="21"/>
                <w:highlight w:val="none"/>
              </w:rPr>
              <w:t>重点防渗区</w:t>
            </w: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弱</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难</w:t>
            </w:r>
          </w:p>
        </w:tc>
        <w:tc>
          <w:tcPr>
            <w:tcW w:w="1606" w:type="dxa"/>
            <w:vMerge w:val="restart"/>
            <w:vAlign w:val="center"/>
          </w:tcPr>
          <w:p>
            <w:pPr>
              <w:snapToGrid w:val="0"/>
              <w:spacing w:line="240" w:lineRule="auto"/>
              <w:ind w:firstLine="0" w:firstLineChars="0"/>
              <w:jc w:val="center"/>
              <w:rPr>
                <w:sz w:val="21"/>
                <w:szCs w:val="21"/>
                <w:highlight w:val="none"/>
              </w:rPr>
            </w:pPr>
            <w:r>
              <w:rPr>
                <w:sz w:val="21"/>
                <w:szCs w:val="21"/>
                <w:highlight w:val="none"/>
              </w:rPr>
              <w:t>重金属、持久性有机污染物</w:t>
            </w:r>
          </w:p>
        </w:tc>
        <w:tc>
          <w:tcPr>
            <w:tcW w:w="3794" w:type="dxa"/>
            <w:vMerge w:val="restart"/>
            <w:tcBorders>
              <w:right w:val="single" w:color="auto" w:sz="4" w:space="0"/>
            </w:tcBorders>
            <w:vAlign w:val="center"/>
          </w:tcPr>
          <w:p>
            <w:pPr>
              <w:snapToGrid w:val="0"/>
              <w:spacing w:line="240" w:lineRule="auto"/>
              <w:ind w:firstLine="0" w:firstLineChars="0"/>
              <w:rPr>
                <w:sz w:val="21"/>
                <w:szCs w:val="21"/>
                <w:highlight w:val="none"/>
              </w:rPr>
            </w:pPr>
            <w:r>
              <w:rPr>
                <w:sz w:val="21"/>
                <w:szCs w:val="21"/>
                <w:highlight w:val="none"/>
              </w:rPr>
              <w:t>等效黏土防渗层Mb≥6.0m，K≤1×10</w:t>
            </w:r>
            <w:r>
              <w:rPr>
                <w:sz w:val="21"/>
                <w:szCs w:val="21"/>
                <w:highlight w:val="none"/>
                <w:vertAlign w:val="superscript"/>
              </w:rPr>
              <w:t>-7</w:t>
            </w:r>
            <w:r>
              <w:rPr>
                <w:sz w:val="21"/>
                <w:szCs w:val="21"/>
                <w:highlight w:val="none"/>
              </w:rPr>
              <w:t>cm/s；或参照GB18598执行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left w:val="single" w:color="auto" w:sz="4" w:space="0"/>
            </w:tcBorders>
            <w:vAlign w:val="center"/>
          </w:tcPr>
          <w:p>
            <w:pPr>
              <w:snapToGrid w:val="0"/>
              <w:spacing w:line="240" w:lineRule="auto"/>
              <w:ind w:firstLine="0" w:firstLineChars="0"/>
              <w:jc w:val="center"/>
              <w:rPr>
                <w:sz w:val="21"/>
                <w:szCs w:val="21"/>
                <w:highlight w:val="none"/>
              </w:rPr>
            </w:pP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中-强</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难</w:t>
            </w:r>
          </w:p>
        </w:tc>
        <w:tc>
          <w:tcPr>
            <w:tcW w:w="1606" w:type="dxa"/>
            <w:vMerge w:val="continue"/>
            <w:vAlign w:val="center"/>
          </w:tcPr>
          <w:p>
            <w:pPr>
              <w:snapToGrid w:val="0"/>
              <w:spacing w:line="240" w:lineRule="auto"/>
              <w:ind w:firstLine="0" w:firstLineChars="0"/>
              <w:jc w:val="center"/>
              <w:rPr>
                <w:sz w:val="21"/>
                <w:szCs w:val="21"/>
                <w:highlight w:val="none"/>
              </w:rPr>
            </w:pPr>
          </w:p>
        </w:tc>
        <w:tc>
          <w:tcPr>
            <w:tcW w:w="3794" w:type="dxa"/>
            <w:vMerge w:val="continue"/>
            <w:tcBorders>
              <w:right w:val="single" w:color="auto" w:sz="4" w:space="0"/>
            </w:tcBorders>
            <w:vAlign w:val="center"/>
          </w:tcPr>
          <w:p>
            <w:pPr>
              <w:snapToGrid w:val="0"/>
              <w:spacing w:line="240" w:lineRule="auto"/>
              <w:ind w:firstLine="0" w:firstLineChars="0"/>
              <w:jc w:val="center"/>
              <w:rPr>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left w:val="single" w:color="auto" w:sz="4" w:space="0"/>
            </w:tcBorders>
            <w:vAlign w:val="center"/>
          </w:tcPr>
          <w:p>
            <w:pPr>
              <w:snapToGrid w:val="0"/>
              <w:spacing w:line="240" w:lineRule="auto"/>
              <w:ind w:firstLine="0" w:firstLineChars="0"/>
              <w:jc w:val="center"/>
              <w:rPr>
                <w:sz w:val="21"/>
                <w:szCs w:val="21"/>
                <w:highlight w:val="none"/>
              </w:rPr>
            </w:pP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弱</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易</w:t>
            </w:r>
          </w:p>
        </w:tc>
        <w:tc>
          <w:tcPr>
            <w:tcW w:w="1606" w:type="dxa"/>
            <w:vMerge w:val="continue"/>
            <w:vAlign w:val="center"/>
          </w:tcPr>
          <w:p>
            <w:pPr>
              <w:snapToGrid w:val="0"/>
              <w:spacing w:line="240" w:lineRule="auto"/>
              <w:ind w:firstLine="0" w:firstLineChars="0"/>
              <w:jc w:val="center"/>
              <w:rPr>
                <w:sz w:val="21"/>
                <w:szCs w:val="21"/>
                <w:highlight w:val="none"/>
              </w:rPr>
            </w:pPr>
          </w:p>
        </w:tc>
        <w:tc>
          <w:tcPr>
            <w:tcW w:w="3794" w:type="dxa"/>
            <w:vMerge w:val="continue"/>
            <w:tcBorders>
              <w:right w:val="single" w:color="auto" w:sz="4" w:space="0"/>
            </w:tcBorders>
            <w:vAlign w:val="center"/>
          </w:tcPr>
          <w:p>
            <w:pPr>
              <w:snapToGrid w:val="0"/>
              <w:spacing w:line="240" w:lineRule="auto"/>
              <w:ind w:firstLine="0" w:firstLineChars="0"/>
              <w:jc w:val="center"/>
              <w:rPr>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restart"/>
            <w:tcBorders>
              <w:left w:val="single" w:color="auto" w:sz="4" w:space="0"/>
            </w:tcBorders>
            <w:vAlign w:val="center"/>
          </w:tcPr>
          <w:p>
            <w:pPr>
              <w:snapToGrid w:val="0"/>
              <w:spacing w:line="240" w:lineRule="auto"/>
              <w:ind w:firstLine="0" w:firstLineChars="0"/>
              <w:jc w:val="center"/>
              <w:rPr>
                <w:sz w:val="21"/>
                <w:szCs w:val="21"/>
                <w:highlight w:val="none"/>
              </w:rPr>
            </w:pPr>
            <w:r>
              <w:rPr>
                <w:sz w:val="21"/>
                <w:szCs w:val="21"/>
                <w:highlight w:val="none"/>
              </w:rPr>
              <w:t>一般防渗区</w:t>
            </w: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弱</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易-难</w:t>
            </w:r>
          </w:p>
        </w:tc>
        <w:tc>
          <w:tcPr>
            <w:tcW w:w="1606" w:type="dxa"/>
            <w:vMerge w:val="restart"/>
            <w:vAlign w:val="center"/>
          </w:tcPr>
          <w:p>
            <w:pPr>
              <w:snapToGrid w:val="0"/>
              <w:spacing w:line="240" w:lineRule="auto"/>
              <w:ind w:firstLine="0" w:firstLineChars="0"/>
              <w:jc w:val="center"/>
              <w:rPr>
                <w:sz w:val="21"/>
                <w:szCs w:val="21"/>
                <w:highlight w:val="none"/>
              </w:rPr>
            </w:pPr>
            <w:r>
              <w:rPr>
                <w:sz w:val="21"/>
                <w:szCs w:val="21"/>
                <w:highlight w:val="none"/>
              </w:rPr>
              <w:t>其他类型</w:t>
            </w:r>
          </w:p>
        </w:tc>
        <w:tc>
          <w:tcPr>
            <w:tcW w:w="3794" w:type="dxa"/>
            <w:vMerge w:val="restart"/>
            <w:tcBorders>
              <w:right w:val="single" w:color="auto" w:sz="4" w:space="0"/>
            </w:tcBorders>
            <w:vAlign w:val="center"/>
          </w:tcPr>
          <w:p>
            <w:pPr>
              <w:snapToGrid w:val="0"/>
              <w:spacing w:line="240" w:lineRule="auto"/>
              <w:ind w:firstLine="0" w:firstLineChars="0"/>
              <w:jc w:val="center"/>
              <w:rPr>
                <w:sz w:val="21"/>
                <w:szCs w:val="21"/>
                <w:highlight w:val="none"/>
              </w:rPr>
            </w:pPr>
            <w:r>
              <w:rPr>
                <w:sz w:val="21"/>
                <w:szCs w:val="21"/>
                <w:highlight w:val="none"/>
              </w:rPr>
              <w:t>等效黏土防渗层Mb≥</w:t>
            </w:r>
            <w:r>
              <w:rPr>
                <w:rFonts w:hint="eastAsia"/>
                <w:sz w:val="21"/>
                <w:szCs w:val="21"/>
                <w:highlight w:val="none"/>
              </w:rPr>
              <w:t>1.5</w:t>
            </w:r>
            <w:r>
              <w:rPr>
                <w:sz w:val="21"/>
                <w:szCs w:val="21"/>
                <w:highlight w:val="none"/>
              </w:rPr>
              <w:t>m，K≤1×10</w:t>
            </w:r>
            <w:r>
              <w:rPr>
                <w:sz w:val="21"/>
                <w:szCs w:val="21"/>
                <w:highlight w:val="none"/>
                <w:vertAlign w:val="superscript"/>
              </w:rPr>
              <w:t>-7</w:t>
            </w:r>
            <w:r>
              <w:rPr>
                <w:sz w:val="21"/>
                <w:szCs w:val="21"/>
                <w:highlight w:val="none"/>
              </w:rPr>
              <w:t>cm/s；或参照GB1</w:t>
            </w:r>
            <w:r>
              <w:rPr>
                <w:rFonts w:hint="eastAsia"/>
                <w:sz w:val="21"/>
                <w:szCs w:val="21"/>
                <w:highlight w:val="none"/>
              </w:rPr>
              <w:t>6889</w:t>
            </w:r>
            <w:r>
              <w:rPr>
                <w:sz w:val="21"/>
                <w:szCs w:val="21"/>
                <w:highlight w:val="none"/>
              </w:rPr>
              <w:t>执行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left w:val="single" w:color="auto" w:sz="4" w:space="0"/>
            </w:tcBorders>
            <w:vAlign w:val="center"/>
          </w:tcPr>
          <w:p>
            <w:pPr>
              <w:snapToGrid w:val="0"/>
              <w:spacing w:line="240" w:lineRule="auto"/>
              <w:ind w:firstLine="0" w:firstLineChars="0"/>
              <w:jc w:val="center"/>
              <w:rPr>
                <w:sz w:val="21"/>
                <w:szCs w:val="21"/>
                <w:highlight w:val="none"/>
              </w:rPr>
            </w:pP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中-强</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难</w:t>
            </w:r>
          </w:p>
        </w:tc>
        <w:tc>
          <w:tcPr>
            <w:tcW w:w="1606" w:type="dxa"/>
            <w:vMerge w:val="continue"/>
            <w:vAlign w:val="center"/>
          </w:tcPr>
          <w:p>
            <w:pPr>
              <w:snapToGrid w:val="0"/>
              <w:spacing w:line="240" w:lineRule="auto"/>
              <w:ind w:firstLine="0" w:firstLineChars="0"/>
              <w:jc w:val="center"/>
              <w:rPr>
                <w:sz w:val="21"/>
                <w:szCs w:val="21"/>
                <w:highlight w:val="none"/>
              </w:rPr>
            </w:pPr>
          </w:p>
        </w:tc>
        <w:tc>
          <w:tcPr>
            <w:tcW w:w="3794" w:type="dxa"/>
            <w:vMerge w:val="continue"/>
            <w:tcBorders>
              <w:right w:val="single" w:color="auto" w:sz="4" w:space="0"/>
            </w:tcBorders>
            <w:vAlign w:val="center"/>
          </w:tcPr>
          <w:p>
            <w:pPr>
              <w:snapToGrid w:val="0"/>
              <w:spacing w:line="240" w:lineRule="auto"/>
              <w:ind w:firstLine="0" w:firstLineChars="0"/>
              <w:jc w:val="center"/>
              <w:rPr>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left w:val="single" w:color="auto" w:sz="4" w:space="0"/>
            </w:tcBorders>
            <w:vAlign w:val="center"/>
          </w:tcPr>
          <w:p>
            <w:pPr>
              <w:snapToGrid w:val="0"/>
              <w:spacing w:line="240" w:lineRule="auto"/>
              <w:ind w:firstLine="0" w:firstLineChars="0"/>
              <w:jc w:val="center"/>
              <w:rPr>
                <w:sz w:val="21"/>
                <w:szCs w:val="21"/>
                <w:highlight w:val="none"/>
              </w:rPr>
            </w:pP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中</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易</w:t>
            </w:r>
          </w:p>
        </w:tc>
        <w:tc>
          <w:tcPr>
            <w:tcW w:w="1606" w:type="dxa"/>
            <w:vMerge w:val="restart"/>
            <w:vAlign w:val="center"/>
          </w:tcPr>
          <w:p>
            <w:pPr>
              <w:snapToGrid w:val="0"/>
              <w:spacing w:line="240" w:lineRule="auto"/>
              <w:ind w:firstLine="0" w:firstLineChars="0"/>
              <w:jc w:val="center"/>
              <w:rPr>
                <w:sz w:val="21"/>
                <w:szCs w:val="21"/>
                <w:highlight w:val="none"/>
              </w:rPr>
            </w:pPr>
            <w:r>
              <w:rPr>
                <w:sz w:val="21"/>
                <w:szCs w:val="21"/>
                <w:highlight w:val="none"/>
              </w:rPr>
              <w:t>重金属、持久性有机污染物</w:t>
            </w:r>
          </w:p>
        </w:tc>
        <w:tc>
          <w:tcPr>
            <w:tcW w:w="3794" w:type="dxa"/>
            <w:vMerge w:val="continue"/>
            <w:tcBorders>
              <w:right w:val="single" w:color="auto" w:sz="4" w:space="0"/>
            </w:tcBorders>
            <w:vAlign w:val="center"/>
          </w:tcPr>
          <w:p>
            <w:pPr>
              <w:snapToGrid w:val="0"/>
              <w:spacing w:line="240" w:lineRule="auto"/>
              <w:ind w:firstLine="0" w:firstLineChars="0"/>
              <w:jc w:val="center"/>
              <w:rPr>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left w:val="single" w:color="auto" w:sz="4" w:space="0"/>
            </w:tcBorders>
            <w:vAlign w:val="center"/>
          </w:tcPr>
          <w:p>
            <w:pPr>
              <w:snapToGrid w:val="0"/>
              <w:spacing w:line="240" w:lineRule="auto"/>
              <w:ind w:firstLine="0" w:firstLineChars="0"/>
              <w:jc w:val="center"/>
              <w:rPr>
                <w:sz w:val="21"/>
                <w:szCs w:val="21"/>
                <w:highlight w:val="none"/>
              </w:rPr>
            </w:pP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强</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易</w:t>
            </w:r>
          </w:p>
        </w:tc>
        <w:tc>
          <w:tcPr>
            <w:tcW w:w="1606" w:type="dxa"/>
            <w:vMerge w:val="continue"/>
            <w:vAlign w:val="center"/>
          </w:tcPr>
          <w:p>
            <w:pPr>
              <w:snapToGrid w:val="0"/>
              <w:spacing w:line="240" w:lineRule="auto"/>
              <w:ind w:firstLine="0" w:firstLineChars="0"/>
              <w:jc w:val="center"/>
              <w:rPr>
                <w:sz w:val="21"/>
                <w:szCs w:val="21"/>
                <w:highlight w:val="none"/>
              </w:rPr>
            </w:pPr>
          </w:p>
        </w:tc>
        <w:tc>
          <w:tcPr>
            <w:tcW w:w="3794" w:type="dxa"/>
            <w:vMerge w:val="continue"/>
            <w:tcBorders>
              <w:right w:val="single" w:color="auto" w:sz="4" w:space="0"/>
            </w:tcBorders>
            <w:vAlign w:val="center"/>
          </w:tcPr>
          <w:p>
            <w:pPr>
              <w:snapToGrid w:val="0"/>
              <w:spacing w:line="240" w:lineRule="auto"/>
              <w:ind w:firstLine="0" w:firstLineChars="0"/>
              <w:jc w:val="center"/>
              <w:rPr>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tcBorders>
              <w:left w:val="single" w:color="auto" w:sz="4" w:space="0"/>
            </w:tcBorders>
            <w:vAlign w:val="center"/>
          </w:tcPr>
          <w:p>
            <w:pPr>
              <w:snapToGrid w:val="0"/>
              <w:spacing w:line="240" w:lineRule="auto"/>
              <w:ind w:firstLine="0" w:firstLineChars="0"/>
              <w:jc w:val="center"/>
              <w:rPr>
                <w:sz w:val="21"/>
                <w:szCs w:val="21"/>
                <w:highlight w:val="none"/>
              </w:rPr>
            </w:pPr>
            <w:r>
              <w:rPr>
                <w:sz w:val="21"/>
                <w:szCs w:val="21"/>
                <w:highlight w:val="none"/>
              </w:rPr>
              <w:t>简单防渗区</w:t>
            </w:r>
          </w:p>
        </w:tc>
        <w:tc>
          <w:tcPr>
            <w:tcW w:w="1202" w:type="dxa"/>
            <w:vAlign w:val="center"/>
          </w:tcPr>
          <w:p>
            <w:pPr>
              <w:snapToGrid w:val="0"/>
              <w:spacing w:line="240" w:lineRule="auto"/>
              <w:ind w:firstLine="0" w:firstLineChars="0"/>
              <w:jc w:val="center"/>
              <w:rPr>
                <w:sz w:val="21"/>
                <w:szCs w:val="21"/>
                <w:highlight w:val="none"/>
              </w:rPr>
            </w:pPr>
            <w:r>
              <w:rPr>
                <w:sz w:val="21"/>
                <w:szCs w:val="21"/>
                <w:highlight w:val="none"/>
              </w:rPr>
              <w:t>中-强</w:t>
            </w:r>
          </w:p>
        </w:tc>
        <w:tc>
          <w:tcPr>
            <w:tcW w:w="1105" w:type="dxa"/>
            <w:vAlign w:val="center"/>
          </w:tcPr>
          <w:p>
            <w:pPr>
              <w:snapToGrid w:val="0"/>
              <w:spacing w:line="240" w:lineRule="auto"/>
              <w:ind w:firstLine="0" w:firstLineChars="0"/>
              <w:jc w:val="center"/>
              <w:rPr>
                <w:sz w:val="21"/>
                <w:szCs w:val="21"/>
                <w:highlight w:val="none"/>
              </w:rPr>
            </w:pPr>
            <w:r>
              <w:rPr>
                <w:sz w:val="21"/>
                <w:szCs w:val="21"/>
                <w:highlight w:val="none"/>
              </w:rPr>
              <w:t>易</w:t>
            </w:r>
          </w:p>
        </w:tc>
        <w:tc>
          <w:tcPr>
            <w:tcW w:w="1606" w:type="dxa"/>
            <w:vAlign w:val="center"/>
          </w:tcPr>
          <w:p>
            <w:pPr>
              <w:snapToGrid w:val="0"/>
              <w:spacing w:line="240" w:lineRule="auto"/>
              <w:ind w:firstLine="0" w:firstLineChars="0"/>
              <w:jc w:val="center"/>
              <w:rPr>
                <w:sz w:val="21"/>
                <w:szCs w:val="21"/>
                <w:highlight w:val="none"/>
              </w:rPr>
            </w:pPr>
            <w:r>
              <w:rPr>
                <w:sz w:val="21"/>
                <w:szCs w:val="21"/>
                <w:highlight w:val="none"/>
              </w:rPr>
              <w:t>其他类型</w:t>
            </w:r>
          </w:p>
        </w:tc>
        <w:tc>
          <w:tcPr>
            <w:tcW w:w="3794" w:type="dxa"/>
            <w:tcBorders>
              <w:right w:val="single" w:color="auto" w:sz="4"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一般地面硬化</w:t>
            </w:r>
          </w:p>
        </w:tc>
      </w:tr>
    </w:tbl>
    <w:p>
      <w:pPr>
        <w:spacing w:line="240" w:lineRule="auto"/>
        <w:ind w:firstLine="0" w:firstLineChars="0"/>
        <w:jc w:val="center"/>
        <w:rPr>
          <w:rFonts w:ascii="黑体" w:hAnsi="黑体" w:eastAsia="黑体"/>
          <w:sz w:val="21"/>
          <w:szCs w:val="21"/>
          <w:highlight w:val="none"/>
        </w:rPr>
      </w:pPr>
      <w:r>
        <w:rPr>
          <w:rFonts w:eastAsia="黑体"/>
          <w:sz w:val="21"/>
          <w:szCs w:val="21"/>
          <w:highlight w:val="none"/>
        </w:rPr>
        <w:t>表6.2-5    防渗</w:t>
      </w:r>
      <w:r>
        <w:rPr>
          <w:rFonts w:hint="eastAsia" w:ascii="黑体" w:hAnsi="黑体" w:eastAsia="黑体"/>
          <w:sz w:val="21"/>
          <w:szCs w:val="21"/>
          <w:highlight w:val="none"/>
        </w:rPr>
        <w:t>分区一览表</w:t>
      </w:r>
    </w:p>
    <w:tbl>
      <w:tblPr>
        <w:tblStyle w:val="56"/>
        <w:tblW w:w="836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2438"/>
        <w:gridCol w:w="1134"/>
        <w:gridCol w:w="1034"/>
        <w:gridCol w:w="2087"/>
        <w:gridCol w:w="16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blHeader/>
        </w:trPr>
        <w:tc>
          <w:tcPr>
            <w:tcW w:w="2438" w:type="dxa"/>
            <w:tcBorders>
              <w:left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防渗区域</w:t>
            </w:r>
          </w:p>
        </w:tc>
        <w:tc>
          <w:tcPr>
            <w:tcW w:w="1134" w:type="dxa"/>
            <w:tcBorders>
              <w:bottom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天然包气带防污性能</w:t>
            </w:r>
          </w:p>
        </w:tc>
        <w:tc>
          <w:tcPr>
            <w:tcW w:w="1034" w:type="dxa"/>
            <w:tcBorders>
              <w:bottom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污染控制难易程度</w:t>
            </w:r>
          </w:p>
        </w:tc>
        <w:tc>
          <w:tcPr>
            <w:tcW w:w="2087" w:type="dxa"/>
            <w:tcBorders>
              <w:bottom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污染物类型</w:t>
            </w:r>
          </w:p>
        </w:tc>
        <w:tc>
          <w:tcPr>
            <w:tcW w:w="1669" w:type="dxa"/>
            <w:tcBorders>
              <w:bottom w:val="single" w:color="auto" w:sz="6" w:space="0"/>
              <w:right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防渗分区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438" w:type="dxa"/>
            <w:tcBorders>
              <w:top w:val="single" w:color="auto" w:sz="6" w:space="0"/>
              <w:left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危废间</w:t>
            </w:r>
          </w:p>
        </w:tc>
        <w:tc>
          <w:tcPr>
            <w:tcW w:w="1134" w:type="dxa"/>
            <w:vMerge w:val="restart"/>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中</w:t>
            </w:r>
          </w:p>
        </w:tc>
        <w:tc>
          <w:tcPr>
            <w:tcW w:w="1034" w:type="dxa"/>
            <w:vMerge w:val="restart"/>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难</w:t>
            </w:r>
          </w:p>
        </w:tc>
        <w:tc>
          <w:tcPr>
            <w:tcW w:w="2087" w:type="dxa"/>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持久性污染物</w:t>
            </w:r>
          </w:p>
        </w:tc>
        <w:tc>
          <w:tcPr>
            <w:tcW w:w="1669" w:type="dxa"/>
            <w:tcBorders>
              <w:top w:val="single" w:color="auto" w:sz="6" w:space="0"/>
              <w:bottom w:val="single" w:color="auto" w:sz="6" w:space="0"/>
              <w:right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重点防渗区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5" w:hRule="atLeast"/>
        </w:trPr>
        <w:tc>
          <w:tcPr>
            <w:tcW w:w="2438" w:type="dxa"/>
            <w:tcBorders>
              <w:top w:val="single" w:color="auto" w:sz="6" w:space="0"/>
              <w:left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浓密池、清水池、压滤机、事故池、破碎车间、粗选车间、精选车间、粗铁粉库、成品库、洗车平台</w:t>
            </w:r>
          </w:p>
        </w:tc>
        <w:tc>
          <w:tcPr>
            <w:tcW w:w="1134" w:type="dxa"/>
            <w:vMerge w:val="continue"/>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p>
        </w:tc>
        <w:tc>
          <w:tcPr>
            <w:tcW w:w="1034" w:type="dxa"/>
            <w:vMerge w:val="continue"/>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p>
        </w:tc>
        <w:tc>
          <w:tcPr>
            <w:tcW w:w="2087" w:type="dxa"/>
            <w:vMerge w:val="restart"/>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其他类型</w:t>
            </w:r>
          </w:p>
        </w:tc>
        <w:tc>
          <w:tcPr>
            <w:tcW w:w="1669" w:type="dxa"/>
            <w:tcBorders>
              <w:top w:val="single" w:color="auto" w:sz="6" w:space="0"/>
              <w:bottom w:val="single" w:color="auto" w:sz="6" w:space="0"/>
              <w:right w:val="single" w:color="auto" w:sz="6" w:space="0"/>
            </w:tcBorders>
            <w:vAlign w:val="center"/>
          </w:tcPr>
          <w:p>
            <w:pPr>
              <w:snapToGrid w:val="0"/>
              <w:spacing w:line="240" w:lineRule="auto"/>
              <w:ind w:firstLine="0" w:firstLineChars="0"/>
              <w:jc w:val="center"/>
              <w:rPr>
                <w:sz w:val="21"/>
                <w:szCs w:val="21"/>
                <w:highlight w:val="none"/>
              </w:rPr>
            </w:pPr>
            <w:r>
              <w:rPr>
                <w:sz w:val="21"/>
                <w:szCs w:val="21"/>
                <w:highlight w:val="none"/>
              </w:rPr>
              <w:t>一般防渗区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15" w:hRule="atLeast"/>
        </w:trPr>
        <w:tc>
          <w:tcPr>
            <w:tcW w:w="2438" w:type="dxa"/>
            <w:tcBorders>
              <w:top w:val="single" w:color="auto" w:sz="6" w:space="0"/>
              <w:left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磅房、办公区、配电室</w:t>
            </w:r>
          </w:p>
        </w:tc>
        <w:tc>
          <w:tcPr>
            <w:tcW w:w="1134" w:type="dxa"/>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中</w:t>
            </w:r>
          </w:p>
        </w:tc>
        <w:tc>
          <w:tcPr>
            <w:tcW w:w="1034" w:type="dxa"/>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易</w:t>
            </w:r>
          </w:p>
        </w:tc>
        <w:tc>
          <w:tcPr>
            <w:tcW w:w="2087" w:type="dxa"/>
            <w:vMerge w:val="continue"/>
            <w:tcBorders>
              <w:top w:val="single" w:color="auto" w:sz="6" w:space="0"/>
              <w:bottom w:val="single" w:color="auto" w:sz="6" w:space="0"/>
            </w:tcBorders>
            <w:vAlign w:val="center"/>
          </w:tcPr>
          <w:p>
            <w:pPr>
              <w:snapToGrid w:val="0"/>
              <w:spacing w:line="240" w:lineRule="auto"/>
              <w:ind w:firstLine="0" w:firstLineChars="0"/>
              <w:jc w:val="center"/>
              <w:rPr>
                <w:sz w:val="21"/>
                <w:szCs w:val="21"/>
                <w:highlight w:val="none"/>
              </w:rPr>
            </w:pPr>
          </w:p>
        </w:tc>
        <w:tc>
          <w:tcPr>
            <w:tcW w:w="1669" w:type="dxa"/>
            <w:tcBorders>
              <w:top w:val="single" w:color="auto" w:sz="6" w:space="0"/>
              <w:bottom w:val="single" w:color="auto" w:sz="6" w:space="0"/>
              <w:right w:val="single" w:color="auto" w:sz="6" w:space="0"/>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一般地面硬化</w:t>
            </w:r>
          </w:p>
        </w:tc>
      </w:tr>
    </w:tbl>
    <w:p>
      <w:pPr>
        <w:widowControl/>
        <w:ind w:firstLine="480"/>
        <w:jc w:val="both"/>
        <w:rPr>
          <w:sz w:val="24"/>
          <w:szCs w:val="24"/>
          <w:highlight w:val="none"/>
        </w:rPr>
      </w:pPr>
      <w:r>
        <w:rPr>
          <w:rFonts w:hint="eastAsia"/>
          <w:sz w:val="24"/>
          <w:szCs w:val="24"/>
          <w:highlight w:val="none"/>
        </w:rPr>
        <w:t>（2）具体防渗措施</w:t>
      </w:r>
    </w:p>
    <w:p>
      <w:pPr>
        <w:widowControl/>
        <w:ind w:firstLine="480"/>
        <w:jc w:val="both"/>
        <w:rPr>
          <w:sz w:val="24"/>
          <w:szCs w:val="24"/>
          <w:highlight w:val="none"/>
        </w:rPr>
      </w:pPr>
      <w:r>
        <w:rPr>
          <w:sz w:val="24"/>
          <w:szCs w:val="24"/>
          <w:highlight w:val="none"/>
        </w:rPr>
        <w:t>根据地下水污染防渗分区表6.2</w:t>
      </w:r>
      <w:r>
        <w:rPr>
          <w:rFonts w:hint="eastAsia"/>
          <w:sz w:val="24"/>
          <w:szCs w:val="24"/>
          <w:highlight w:val="none"/>
        </w:rPr>
        <w:t>-5</w:t>
      </w:r>
      <w:r>
        <w:rPr>
          <w:sz w:val="24"/>
          <w:szCs w:val="24"/>
          <w:highlight w:val="none"/>
        </w:rPr>
        <w:t>，本项目按重点防渗区</w:t>
      </w:r>
      <w:r>
        <w:rPr>
          <w:rFonts w:hint="eastAsia"/>
          <w:sz w:val="24"/>
          <w:szCs w:val="24"/>
          <w:highlight w:val="none"/>
        </w:rPr>
        <w:t>、</w:t>
      </w:r>
      <w:r>
        <w:rPr>
          <w:sz w:val="24"/>
          <w:szCs w:val="24"/>
          <w:highlight w:val="none"/>
        </w:rPr>
        <w:t>一般防渗区</w:t>
      </w:r>
      <w:r>
        <w:rPr>
          <w:rFonts w:hint="eastAsia"/>
          <w:sz w:val="24"/>
          <w:szCs w:val="24"/>
          <w:highlight w:val="none"/>
        </w:rPr>
        <w:t>和简单防渗区</w:t>
      </w:r>
      <w:r>
        <w:rPr>
          <w:sz w:val="24"/>
          <w:szCs w:val="24"/>
          <w:highlight w:val="none"/>
        </w:rPr>
        <w:t>分区域进行防渗处理。</w:t>
      </w:r>
    </w:p>
    <w:p>
      <w:pPr>
        <w:widowControl/>
        <w:autoSpaceDN w:val="0"/>
        <w:ind w:firstLine="480"/>
        <w:textAlignment w:val="auto"/>
        <w:rPr>
          <w:sz w:val="24"/>
          <w:szCs w:val="24"/>
          <w:highlight w:val="none"/>
        </w:rPr>
      </w:pPr>
      <w:r>
        <w:rPr>
          <w:sz w:val="24"/>
          <w:szCs w:val="24"/>
          <w:highlight w:val="none"/>
        </w:rPr>
        <w:t>重点防渗区包括：</w:t>
      </w:r>
      <w:r>
        <w:rPr>
          <w:rFonts w:hint="eastAsia"/>
          <w:sz w:val="24"/>
          <w:szCs w:val="24"/>
          <w:highlight w:val="none"/>
        </w:rPr>
        <w:t>危废间；一般防渗区包括：浓密池、清水池、压滤机、事故池、破碎车间、粗选车间、精选车间、粗铁粉库、成品库、洗车平台；简单防渗区包括洗车平台、磅房、办公区、配电室</w:t>
      </w:r>
      <w:r>
        <w:rPr>
          <w:sz w:val="24"/>
          <w:szCs w:val="24"/>
          <w:highlight w:val="none"/>
        </w:rPr>
        <w:t>（</w:t>
      </w:r>
      <w:r>
        <w:rPr>
          <w:rFonts w:hint="eastAsia"/>
          <w:sz w:val="24"/>
          <w:szCs w:val="24"/>
          <w:highlight w:val="none"/>
        </w:rPr>
        <w:t>详</w:t>
      </w:r>
      <w:r>
        <w:rPr>
          <w:sz w:val="24"/>
          <w:szCs w:val="24"/>
          <w:highlight w:val="none"/>
        </w:rPr>
        <w:t>见图</w:t>
      </w:r>
      <w:r>
        <w:rPr>
          <w:rFonts w:hint="eastAsia"/>
          <w:sz w:val="24"/>
          <w:szCs w:val="24"/>
          <w:highlight w:val="none"/>
        </w:rPr>
        <w:t>6.2-1</w:t>
      </w:r>
      <w:r>
        <w:rPr>
          <w:sz w:val="24"/>
          <w:szCs w:val="24"/>
          <w:highlight w:val="none"/>
        </w:rPr>
        <w:t>）。按照《环境影响评价导则—地下水环境》（HJ610-2016）分区防渗措施要求以及相关规范，并结合厂区实际情况，拟建工程防渗工程设计标准及维护需满足下列要求：</w:t>
      </w:r>
    </w:p>
    <w:p>
      <w:pPr>
        <w:ind w:firstLine="480"/>
        <w:textAlignment w:val="auto"/>
        <w:rPr>
          <w:sz w:val="24"/>
          <w:highlight w:val="none"/>
        </w:rPr>
      </w:pPr>
      <w:r>
        <w:rPr>
          <w:sz w:val="24"/>
          <w:highlight w:val="none"/>
        </w:rPr>
        <w:t>①重点污染防渗区：危废间按《危险废物贮存污染控制标准》（GB18597-20</w:t>
      </w:r>
      <w:r>
        <w:rPr>
          <w:rFonts w:hint="eastAsia"/>
          <w:sz w:val="24"/>
          <w:highlight w:val="none"/>
        </w:rPr>
        <w:t>23</w:t>
      </w:r>
      <w:r>
        <w:rPr>
          <w:sz w:val="24"/>
          <w:highlight w:val="none"/>
        </w:rPr>
        <w:t>）关于防渗要求处理：地面与裙脚采用土工膜（2mm）防渗，地面及裙角均采取抗渗水泥防渗，地面水泥厚度为20cm；裙角高度1.5m，厚度20cm，地面及四周裙脚均应耐腐蚀，耐热且表面无裂隙，同时设置泄漏液体的收集装置。防渗层渗透系数小于10</w:t>
      </w:r>
      <w:r>
        <w:rPr>
          <w:sz w:val="24"/>
          <w:highlight w:val="none"/>
          <w:vertAlign w:val="superscript"/>
        </w:rPr>
        <w:t>-10</w:t>
      </w:r>
      <w:r>
        <w:rPr>
          <w:sz w:val="24"/>
          <w:highlight w:val="none"/>
        </w:rPr>
        <w:t>cm/s。</w:t>
      </w:r>
    </w:p>
    <w:p>
      <w:pPr>
        <w:ind w:firstLine="480"/>
        <w:textAlignment w:val="auto"/>
        <w:rPr>
          <w:sz w:val="24"/>
          <w:highlight w:val="none"/>
        </w:rPr>
      </w:pPr>
      <w:r>
        <w:rPr>
          <w:sz w:val="24"/>
          <w:highlight w:val="none"/>
        </w:rPr>
        <w:t>②一般污染防治区：</w:t>
      </w:r>
      <w:r>
        <w:rPr>
          <w:rFonts w:hint="eastAsia"/>
          <w:sz w:val="24"/>
          <w:szCs w:val="24"/>
          <w:highlight w:val="none"/>
        </w:rPr>
        <w:t>浓密池、清水池、压滤机、事故池、破碎车间、粗选车间、精选车间、粗铁粉库、成品库、洗车平台</w:t>
      </w:r>
      <w:r>
        <w:rPr>
          <w:rFonts w:hint="eastAsia"/>
          <w:sz w:val="24"/>
          <w:highlight w:val="none"/>
        </w:rPr>
        <w:t>，一般防渗</w:t>
      </w:r>
      <w:r>
        <w:rPr>
          <w:sz w:val="24"/>
          <w:highlight w:val="none"/>
        </w:rPr>
        <w:t>地面采用防渗混凝土结构，厚度为20cm，防渗系数≤10</w:t>
      </w:r>
      <w:r>
        <w:rPr>
          <w:sz w:val="24"/>
          <w:highlight w:val="none"/>
          <w:vertAlign w:val="superscript"/>
        </w:rPr>
        <w:t>-7</w:t>
      </w:r>
      <w:r>
        <w:rPr>
          <w:sz w:val="24"/>
          <w:highlight w:val="none"/>
        </w:rPr>
        <w:t>cm/s。</w:t>
      </w:r>
      <w:r>
        <w:rPr>
          <w:rFonts w:hint="eastAsia"/>
          <w:sz w:val="24"/>
          <w:highlight w:val="none"/>
        </w:rPr>
        <w:t>事故池、浓密池、清水池等</w:t>
      </w:r>
      <w:r>
        <w:rPr>
          <w:sz w:val="24"/>
          <w:highlight w:val="none"/>
        </w:rPr>
        <w:t>底部及四壁均采用混凝土浇筑防渗，厚度为20cm，防渗系数小于1×10</w:t>
      </w:r>
      <w:r>
        <w:rPr>
          <w:sz w:val="24"/>
          <w:highlight w:val="none"/>
          <w:vertAlign w:val="superscript"/>
        </w:rPr>
        <w:t>-7</w:t>
      </w:r>
      <w:r>
        <w:rPr>
          <w:sz w:val="24"/>
          <w:highlight w:val="none"/>
        </w:rPr>
        <w:t>cm/s。</w:t>
      </w:r>
    </w:p>
    <w:p>
      <w:pPr>
        <w:widowControl/>
        <w:autoSpaceDN w:val="0"/>
        <w:ind w:firstLine="480"/>
        <w:textAlignment w:val="auto"/>
        <w:rPr>
          <w:sz w:val="24"/>
          <w:szCs w:val="24"/>
          <w:highlight w:val="none"/>
        </w:rPr>
      </w:pPr>
      <w:r>
        <w:rPr>
          <w:rFonts w:hint="eastAsia"/>
          <w:sz w:val="24"/>
          <w:highlight w:val="none"/>
        </w:rPr>
        <w:t>③简单防渗区：简单防渗区包括洗车平台、磅房、办公区、配电室等，一般地面硬化即可。</w:t>
      </w:r>
    </w:p>
    <w:p>
      <w:pPr>
        <w:pStyle w:val="3"/>
        <w:rPr>
          <w:highlight w:val="none"/>
        </w:rPr>
      </w:pPr>
      <w:r>
        <w:rPr>
          <w:rFonts w:hint="eastAsia"/>
          <w:highlight w:val="none"/>
        </w:rPr>
        <w:t>6.2.3.4地下水环境质量监测、管理</w:t>
      </w:r>
    </w:p>
    <w:p>
      <w:pPr>
        <w:widowControl/>
        <w:autoSpaceDN w:val="0"/>
        <w:ind w:firstLine="480"/>
        <w:textAlignment w:val="auto"/>
        <w:rPr>
          <w:sz w:val="24"/>
          <w:szCs w:val="24"/>
          <w:highlight w:val="none"/>
        </w:rPr>
      </w:pPr>
      <w:r>
        <w:rPr>
          <w:sz w:val="24"/>
          <w:szCs w:val="24"/>
          <w:highlight w:val="none"/>
        </w:rPr>
        <w:t>为了及时准确地掌握厂区所在地周围地下水环境质量状况和地下水体中污染物的动态变化情况，应对该厂区所在区域地下水环境质量进行定期的监测，防止或最大限度的减轻厂区对地下水的污染。</w:t>
      </w:r>
    </w:p>
    <w:p>
      <w:pPr>
        <w:widowControl/>
        <w:autoSpaceDN w:val="0"/>
        <w:ind w:firstLine="482"/>
        <w:textAlignment w:val="auto"/>
        <w:rPr>
          <w:b/>
          <w:sz w:val="24"/>
          <w:szCs w:val="24"/>
          <w:highlight w:val="none"/>
        </w:rPr>
      </w:pPr>
      <w:r>
        <w:rPr>
          <w:rFonts w:hint="eastAsia"/>
          <w:b/>
          <w:sz w:val="24"/>
          <w:szCs w:val="24"/>
          <w:highlight w:val="none"/>
        </w:rPr>
        <w:t>（1）</w:t>
      </w:r>
      <w:r>
        <w:rPr>
          <w:b/>
          <w:sz w:val="24"/>
          <w:szCs w:val="24"/>
          <w:highlight w:val="none"/>
        </w:rPr>
        <w:t>厂区及其上下游地下水监测井布设原则</w:t>
      </w:r>
    </w:p>
    <w:p>
      <w:pPr>
        <w:widowControl/>
        <w:autoSpaceDN w:val="0"/>
        <w:ind w:firstLine="480"/>
        <w:textAlignment w:val="auto"/>
        <w:rPr>
          <w:sz w:val="24"/>
          <w:szCs w:val="24"/>
          <w:highlight w:val="none"/>
        </w:rPr>
      </w:pPr>
      <w:r>
        <w:rPr>
          <w:sz w:val="24"/>
          <w:szCs w:val="24"/>
          <w:highlight w:val="none"/>
        </w:rPr>
        <w:t>重点污染区加密监测原则；主要监测浅层水；以地下水下游区为主，地下水上游区设置背景点。</w:t>
      </w:r>
    </w:p>
    <w:p>
      <w:pPr>
        <w:widowControl/>
        <w:autoSpaceDN w:val="0"/>
        <w:ind w:firstLine="482"/>
        <w:textAlignment w:val="auto"/>
        <w:rPr>
          <w:b/>
          <w:sz w:val="24"/>
          <w:szCs w:val="24"/>
          <w:highlight w:val="none"/>
        </w:rPr>
      </w:pPr>
      <w:r>
        <w:rPr>
          <w:rFonts w:hint="eastAsia"/>
          <w:b/>
          <w:sz w:val="24"/>
          <w:szCs w:val="24"/>
          <w:highlight w:val="none"/>
        </w:rPr>
        <w:t>（2）</w:t>
      </w:r>
      <w:r>
        <w:rPr>
          <w:b/>
          <w:sz w:val="24"/>
          <w:szCs w:val="24"/>
          <w:highlight w:val="none"/>
        </w:rPr>
        <w:t>监测点布设方案</w:t>
      </w:r>
    </w:p>
    <w:p>
      <w:pPr>
        <w:widowControl/>
        <w:autoSpaceDN w:val="0"/>
        <w:ind w:firstLine="480"/>
        <w:textAlignment w:val="auto"/>
        <w:rPr>
          <w:sz w:val="24"/>
          <w:szCs w:val="24"/>
          <w:highlight w:val="none"/>
        </w:rPr>
      </w:pPr>
      <w:r>
        <w:rPr>
          <w:rFonts w:hint="eastAsia"/>
          <w:sz w:val="24"/>
          <w:szCs w:val="24"/>
          <w:highlight w:val="none"/>
        </w:rPr>
        <w:t>①</w:t>
      </w:r>
      <w:r>
        <w:rPr>
          <w:sz w:val="24"/>
          <w:szCs w:val="24"/>
          <w:highlight w:val="none"/>
        </w:rPr>
        <w:t>监测井数：</w:t>
      </w:r>
    </w:p>
    <w:p>
      <w:pPr>
        <w:autoSpaceDN w:val="0"/>
        <w:ind w:firstLine="480"/>
        <w:textAlignment w:val="auto"/>
        <w:rPr>
          <w:sz w:val="24"/>
          <w:szCs w:val="24"/>
          <w:highlight w:val="none"/>
        </w:rPr>
      </w:pPr>
      <w:r>
        <w:rPr>
          <w:sz w:val="24"/>
          <w:szCs w:val="24"/>
          <w:highlight w:val="none"/>
        </w:rPr>
        <w:t>为了掌握本工程周围地下水环境质量状况和地下水体中污染物的动态变化，应对项目所在地周围的地下水水质进行监测，以便及时准确地反馈地下水水质状况，为防止对地下水的污染采取相应的措施提供重要依据。</w:t>
      </w:r>
    </w:p>
    <w:p>
      <w:pPr>
        <w:widowControl/>
        <w:autoSpaceDN w:val="0"/>
        <w:ind w:firstLine="480"/>
        <w:textAlignment w:val="auto"/>
        <w:rPr>
          <w:sz w:val="24"/>
          <w:szCs w:val="24"/>
          <w:highlight w:val="none"/>
        </w:rPr>
      </w:pPr>
      <w:r>
        <w:rPr>
          <w:sz w:val="24"/>
          <w:szCs w:val="24"/>
          <w:highlight w:val="none"/>
        </w:rPr>
        <w:t>因为厂区附近相对较易污染的是浅层地下水，因此，此次以浅层地下水为监测对象，根据《地下水环境监测技术规范》</w:t>
      </w:r>
      <w:r>
        <w:rPr>
          <w:rFonts w:hint="eastAsia"/>
          <w:sz w:val="24"/>
          <w:szCs w:val="24"/>
          <w:highlight w:val="none"/>
        </w:rPr>
        <w:t>（</w:t>
      </w:r>
      <w:r>
        <w:rPr>
          <w:sz w:val="24"/>
          <w:szCs w:val="24"/>
          <w:highlight w:val="none"/>
        </w:rPr>
        <w:t>HJ164-20</w:t>
      </w:r>
      <w:r>
        <w:rPr>
          <w:rFonts w:hint="eastAsia"/>
          <w:sz w:val="24"/>
          <w:szCs w:val="24"/>
          <w:highlight w:val="none"/>
        </w:rPr>
        <w:t>20）</w:t>
      </w:r>
      <w:r>
        <w:rPr>
          <w:sz w:val="24"/>
          <w:szCs w:val="24"/>
          <w:highlight w:val="none"/>
        </w:rPr>
        <w:t>的要求，共布设地下水水质监测井3眼，见</w:t>
      </w:r>
      <w:r>
        <w:rPr>
          <w:rFonts w:hint="eastAsia"/>
          <w:sz w:val="24"/>
          <w:szCs w:val="24"/>
          <w:highlight w:val="none"/>
        </w:rPr>
        <w:t>表6.2-6</w:t>
      </w:r>
      <w:r>
        <w:rPr>
          <w:sz w:val="24"/>
          <w:szCs w:val="24"/>
          <w:highlight w:val="none"/>
        </w:rPr>
        <w:t>。随时掌握地下水水质变化趋势。</w:t>
      </w:r>
    </w:p>
    <w:p>
      <w:pPr>
        <w:widowControl/>
        <w:autoSpaceDN w:val="0"/>
        <w:ind w:firstLine="480"/>
        <w:textAlignment w:val="auto"/>
        <w:rPr>
          <w:sz w:val="24"/>
          <w:szCs w:val="24"/>
          <w:highlight w:val="none"/>
        </w:rPr>
      </w:pPr>
      <w:r>
        <w:rPr>
          <w:sz w:val="24"/>
          <w:szCs w:val="24"/>
          <w:highlight w:val="none"/>
        </w:rPr>
        <w:t>厂区区域上游布设1眼监测井，用于检测地下水上游背景值，厂区内重点污染风险源下游布设1眼监测井，用于污染扩散监测。地下水主径流方向下游布设1眼浅层监测井，用于检测下游地下水状况，并作为事故应急处置井（在突发事故造成泄露时可利用事故应急处置井抽排受污染的地下水）。</w:t>
      </w:r>
    </w:p>
    <w:p>
      <w:pPr>
        <w:spacing w:line="240" w:lineRule="auto"/>
        <w:ind w:firstLine="0" w:firstLineChars="0"/>
        <w:jc w:val="center"/>
        <w:rPr>
          <w:rFonts w:ascii="黑体" w:hAnsi="黑体" w:eastAsia="黑体"/>
          <w:sz w:val="21"/>
          <w:szCs w:val="21"/>
          <w:highlight w:val="none"/>
        </w:rPr>
      </w:pPr>
      <w:r>
        <w:rPr>
          <w:rFonts w:eastAsia="黑体"/>
          <w:sz w:val="21"/>
          <w:szCs w:val="21"/>
          <w:highlight w:val="none"/>
        </w:rPr>
        <w:t>表6.2-6   水质监测点一</w:t>
      </w:r>
      <w:r>
        <w:rPr>
          <w:rFonts w:hint="eastAsia" w:ascii="黑体" w:hAnsi="黑体" w:eastAsia="黑体"/>
          <w:sz w:val="21"/>
          <w:szCs w:val="21"/>
          <w:highlight w:val="none"/>
        </w:rPr>
        <w:t>览表</w:t>
      </w:r>
    </w:p>
    <w:tbl>
      <w:tblPr>
        <w:tblStyle w:val="56"/>
        <w:tblpPr w:leftFromText="180" w:rightFromText="180" w:vertAnchor="text" w:horzAnchor="page" w:tblpXSpec="center" w:tblpY="20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0"/>
        <w:gridCol w:w="1473"/>
        <w:gridCol w:w="928"/>
        <w:gridCol w:w="928"/>
        <w:gridCol w:w="1682"/>
        <w:gridCol w:w="1424"/>
        <w:gridCol w:w="13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4" w:type="pct"/>
            <w:vMerge w:val="restart"/>
            <w:vAlign w:val="center"/>
          </w:tcPr>
          <w:p>
            <w:pPr>
              <w:spacing w:line="240" w:lineRule="auto"/>
              <w:ind w:firstLine="0" w:firstLineChars="0"/>
              <w:jc w:val="center"/>
              <w:rPr>
                <w:bCs/>
                <w:kern w:val="2"/>
                <w:sz w:val="21"/>
                <w:szCs w:val="21"/>
                <w:highlight w:val="none"/>
              </w:rPr>
            </w:pPr>
            <w:r>
              <w:rPr>
                <w:bCs/>
                <w:kern w:val="2"/>
                <w:sz w:val="21"/>
                <w:szCs w:val="21"/>
                <w:highlight w:val="none"/>
              </w:rPr>
              <w:t>井编号</w:t>
            </w:r>
          </w:p>
        </w:tc>
        <w:tc>
          <w:tcPr>
            <w:tcW w:w="888" w:type="pct"/>
            <w:vMerge w:val="restart"/>
            <w:vAlign w:val="center"/>
          </w:tcPr>
          <w:p>
            <w:pPr>
              <w:spacing w:line="240" w:lineRule="auto"/>
              <w:ind w:firstLine="0" w:firstLineChars="0"/>
              <w:jc w:val="center"/>
              <w:rPr>
                <w:bCs/>
                <w:kern w:val="2"/>
                <w:sz w:val="21"/>
                <w:szCs w:val="21"/>
                <w:highlight w:val="none"/>
              </w:rPr>
            </w:pPr>
            <w:r>
              <w:rPr>
                <w:bCs/>
                <w:kern w:val="2"/>
                <w:sz w:val="21"/>
                <w:szCs w:val="21"/>
                <w:highlight w:val="none"/>
              </w:rPr>
              <w:t>和厂区关系</w:t>
            </w:r>
          </w:p>
        </w:tc>
        <w:tc>
          <w:tcPr>
            <w:tcW w:w="568" w:type="pct"/>
            <w:vMerge w:val="restart"/>
          </w:tcPr>
          <w:p>
            <w:pPr>
              <w:spacing w:line="240" w:lineRule="auto"/>
              <w:ind w:firstLine="0" w:firstLineChars="0"/>
              <w:jc w:val="center"/>
              <w:rPr>
                <w:bCs/>
                <w:kern w:val="2"/>
                <w:sz w:val="21"/>
                <w:szCs w:val="21"/>
                <w:highlight w:val="none"/>
              </w:rPr>
            </w:pPr>
            <w:r>
              <w:rPr>
                <w:bCs/>
                <w:kern w:val="2"/>
                <w:sz w:val="21"/>
                <w:szCs w:val="21"/>
                <w:highlight w:val="none"/>
              </w:rPr>
              <w:t>距离厂区距离</w:t>
            </w:r>
          </w:p>
        </w:tc>
        <w:tc>
          <w:tcPr>
            <w:tcW w:w="568" w:type="pct"/>
            <w:vMerge w:val="restart"/>
            <w:vAlign w:val="center"/>
          </w:tcPr>
          <w:p>
            <w:pPr>
              <w:spacing w:line="240" w:lineRule="auto"/>
              <w:ind w:firstLine="0" w:firstLineChars="0"/>
              <w:jc w:val="center"/>
              <w:rPr>
                <w:bCs/>
                <w:kern w:val="2"/>
                <w:sz w:val="21"/>
                <w:szCs w:val="21"/>
                <w:highlight w:val="none"/>
              </w:rPr>
            </w:pPr>
            <w:r>
              <w:rPr>
                <w:bCs/>
                <w:kern w:val="2"/>
                <w:sz w:val="21"/>
                <w:szCs w:val="21"/>
                <w:highlight w:val="none"/>
              </w:rPr>
              <w:t>井深（m）</w:t>
            </w:r>
          </w:p>
        </w:tc>
        <w:tc>
          <w:tcPr>
            <w:tcW w:w="1011" w:type="pct"/>
            <w:vMerge w:val="restart"/>
            <w:vAlign w:val="center"/>
          </w:tcPr>
          <w:p>
            <w:pPr>
              <w:spacing w:line="240" w:lineRule="auto"/>
              <w:ind w:firstLine="0" w:firstLineChars="0"/>
              <w:jc w:val="center"/>
              <w:rPr>
                <w:bCs/>
                <w:kern w:val="2"/>
                <w:sz w:val="21"/>
                <w:szCs w:val="21"/>
                <w:highlight w:val="none"/>
              </w:rPr>
            </w:pPr>
            <w:r>
              <w:rPr>
                <w:bCs/>
                <w:kern w:val="2"/>
                <w:sz w:val="21"/>
                <w:szCs w:val="21"/>
                <w:highlight w:val="none"/>
              </w:rPr>
              <w:t>监测井功能</w:t>
            </w:r>
          </w:p>
        </w:tc>
        <w:tc>
          <w:tcPr>
            <w:tcW w:w="1498" w:type="pct"/>
            <w:gridSpan w:val="2"/>
            <w:vAlign w:val="center"/>
          </w:tcPr>
          <w:p>
            <w:pPr>
              <w:spacing w:line="240" w:lineRule="auto"/>
              <w:ind w:firstLine="0" w:firstLineChars="0"/>
              <w:jc w:val="center"/>
              <w:rPr>
                <w:bCs/>
                <w:kern w:val="2"/>
                <w:sz w:val="21"/>
                <w:szCs w:val="21"/>
                <w:highlight w:val="none"/>
              </w:rPr>
            </w:pPr>
            <w:r>
              <w:rPr>
                <w:bCs/>
                <w:kern w:val="2"/>
                <w:sz w:val="21"/>
                <w:szCs w:val="21"/>
                <w:highlight w:val="none"/>
              </w:rPr>
              <w:t>绝对位置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4" w:type="pct"/>
            <w:vMerge w:val="continue"/>
            <w:vAlign w:val="center"/>
          </w:tcPr>
          <w:p>
            <w:pPr>
              <w:spacing w:line="240" w:lineRule="auto"/>
              <w:ind w:firstLine="0" w:firstLineChars="0"/>
              <w:jc w:val="center"/>
              <w:rPr>
                <w:bCs/>
                <w:kern w:val="2"/>
                <w:sz w:val="21"/>
                <w:szCs w:val="21"/>
                <w:highlight w:val="none"/>
              </w:rPr>
            </w:pPr>
          </w:p>
        </w:tc>
        <w:tc>
          <w:tcPr>
            <w:tcW w:w="888" w:type="pct"/>
            <w:vMerge w:val="continue"/>
            <w:vAlign w:val="center"/>
          </w:tcPr>
          <w:p>
            <w:pPr>
              <w:spacing w:line="240" w:lineRule="auto"/>
              <w:ind w:firstLine="0" w:firstLineChars="0"/>
              <w:jc w:val="center"/>
              <w:rPr>
                <w:bCs/>
                <w:kern w:val="2"/>
                <w:sz w:val="21"/>
                <w:szCs w:val="21"/>
                <w:highlight w:val="none"/>
              </w:rPr>
            </w:pPr>
          </w:p>
        </w:tc>
        <w:tc>
          <w:tcPr>
            <w:tcW w:w="568" w:type="pct"/>
            <w:vMerge w:val="continue"/>
          </w:tcPr>
          <w:p>
            <w:pPr>
              <w:spacing w:line="240" w:lineRule="auto"/>
              <w:ind w:firstLine="0" w:firstLineChars="0"/>
              <w:jc w:val="center"/>
              <w:rPr>
                <w:bCs/>
                <w:kern w:val="2"/>
                <w:sz w:val="21"/>
                <w:szCs w:val="21"/>
                <w:highlight w:val="none"/>
              </w:rPr>
            </w:pPr>
          </w:p>
        </w:tc>
        <w:tc>
          <w:tcPr>
            <w:tcW w:w="568" w:type="pct"/>
            <w:vMerge w:val="continue"/>
            <w:vAlign w:val="center"/>
          </w:tcPr>
          <w:p>
            <w:pPr>
              <w:spacing w:line="240" w:lineRule="auto"/>
              <w:ind w:firstLine="0" w:firstLineChars="0"/>
              <w:jc w:val="center"/>
              <w:rPr>
                <w:bCs/>
                <w:kern w:val="2"/>
                <w:sz w:val="21"/>
                <w:szCs w:val="21"/>
                <w:highlight w:val="none"/>
              </w:rPr>
            </w:pPr>
          </w:p>
        </w:tc>
        <w:tc>
          <w:tcPr>
            <w:tcW w:w="1011" w:type="pct"/>
            <w:vMerge w:val="continue"/>
            <w:vAlign w:val="center"/>
          </w:tcPr>
          <w:p>
            <w:pPr>
              <w:spacing w:line="240" w:lineRule="auto"/>
              <w:ind w:firstLine="0" w:firstLineChars="0"/>
              <w:jc w:val="center"/>
              <w:rPr>
                <w:bCs/>
                <w:kern w:val="2"/>
                <w:sz w:val="21"/>
                <w:szCs w:val="21"/>
                <w:highlight w:val="none"/>
              </w:rPr>
            </w:pPr>
          </w:p>
        </w:tc>
        <w:tc>
          <w:tcPr>
            <w:tcW w:w="750" w:type="pct"/>
            <w:vAlign w:val="center"/>
          </w:tcPr>
          <w:p>
            <w:pPr>
              <w:spacing w:line="240" w:lineRule="auto"/>
              <w:ind w:firstLine="0" w:firstLineChars="0"/>
              <w:jc w:val="center"/>
              <w:rPr>
                <w:bCs/>
                <w:kern w:val="2"/>
                <w:sz w:val="21"/>
                <w:szCs w:val="21"/>
                <w:highlight w:val="none"/>
              </w:rPr>
            </w:pPr>
            <w:r>
              <w:rPr>
                <w:bCs/>
                <w:kern w:val="2"/>
                <w:sz w:val="21"/>
                <w:szCs w:val="21"/>
                <w:highlight w:val="none"/>
              </w:rPr>
              <w:t>经度</w:t>
            </w:r>
          </w:p>
        </w:tc>
        <w:tc>
          <w:tcPr>
            <w:tcW w:w="747" w:type="pct"/>
            <w:vAlign w:val="center"/>
          </w:tcPr>
          <w:p>
            <w:pPr>
              <w:spacing w:line="240" w:lineRule="auto"/>
              <w:ind w:firstLine="0" w:firstLineChars="0"/>
              <w:jc w:val="center"/>
              <w:rPr>
                <w:bCs/>
                <w:kern w:val="2"/>
                <w:sz w:val="21"/>
                <w:szCs w:val="21"/>
                <w:highlight w:val="none"/>
              </w:rPr>
            </w:pPr>
            <w:r>
              <w:rPr>
                <w:bCs/>
                <w:kern w:val="2"/>
                <w:sz w:val="21"/>
                <w:szCs w:val="21"/>
                <w:highlight w:val="none"/>
              </w:rPr>
              <w:t>纬度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4" w:type="pct"/>
            <w:vAlign w:val="center"/>
          </w:tcPr>
          <w:p>
            <w:pPr>
              <w:spacing w:line="240" w:lineRule="auto"/>
              <w:ind w:firstLine="0" w:firstLineChars="0"/>
              <w:jc w:val="center"/>
              <w:rPr>
                <w:bCs/>
                <w:kern w:val="2"/>
                <w:sz w:val="21"/>
                <w:szCs w:val="21"/>
                <w:highlight w:val="none"/>
              </w:rPr>
            </w:pPr>
            <w:r>
              <w:rPr>
                <w:bCs/>
                <w:kern w:val="2"/>
                <w:sz w:val="21"/>
                <w:szCs w:val="21"/>
                <w:highlight w:val="none"/>
              </w:rPr>
              <w:t>JC1</w:t>
            </w:r>
          </w:p>
        </w:tc>
        <w:tc>
          <w:tcPr>
            <w:tcW w:w="888" w:type="pct"/>
            <w:vAlign w:val="center"/>
          </w:tcPr>
          <w:p>
            <w:pPr>
              <w:spacing w:line="240" w:lineRule="auto"/>
              <w:ind w:firstLine="0" w:firstLineChars="0"/>
              <w:jc w:val="center"/>
              <w:rPr>
                <w:bCs/>
                <w:kern w:val="2"/>
                <w:sz w:val="21"/>
                <w:szCs w:val="21"/>
                <w:highlight w:val="none"/>
              </w:rPr>
            </w:pPr>
            <w:r>
              <w:rPr>
                <w:bCs/>
                <w:kern w:val="2"/>
                <w:sz w:val="21"/>
                <w:szCs w:val="21"/>
                <w:highlight w:val="none"/>
              </w:rPr>
              <w:t>厂区上游</w:t>
            </w:r>
          </w:p>
        </w:tc>
        <w:tc>
          <w:tcPr>
            <w:tcW w:w="568" w:type="pct"/>
          </w:tcPr>
          <w:p>
            <w:pPr>
              <w:spacing w:line="240" w:lineRule="auto"/>
              <w:ind w:firstLine="0" w:firstLineChars="0"/>
              <w:jc w:val="center"/>
              <w:rPr>
                <w:bCs/>
                <w:kern w:val="2"/>
                <w:sz w:val="21"/>
                <w:szCs w:val="21"/>
                <w:highlight w:val="none"/>
              </w:rPr>
            </w:pPr>
            <w:r>
              <w:rPr>
                <w:bCs/>
                <w:kern w:val="2"/>
                <w:sz w:val="21"/>
                <w:szCs w:val="21"/>
                <w:highlight w:val="none"/>
              </w:rPr>
              <w:t>395m</w:t>
            </w:r>
          </w:p>
        </w:tc>
        <w:tc>
          <w:tcPr>
            <w:tcW w:w="568" w:type="pct"/>
            <w:vAlign w:val="center"/>
          </w:tcPr>
          <w:p>
            <w:pPr>
              <w:spacing w:line="240" w:lineRule="auto"/>
              <w:ind w:firstLine="0" w:firstLineChars="0"/>
              <w:jc w:val="center"/>
              <w:rPr>
                <w:bCs/>
                <w:kern w:val="2"/>
                <w:sz w:val="21"/>
                <w:szCs w:val="21"/>
                <w:highlight w:val="none"/>
              </w:rPr>
            </w:pPr>
            <w:r>
              <w:rPr>
                <w:bCs/>
                <w:kern w:val="2"/>
                <w:sz w:val="21"/>
                <w:szCs w:val="21"/>
                <w:highlight w:val="none"/>
              </w:rPr>
              <w:t>25</w:t>
            </w:r>
          </w:p>
        </w:tc>
        <w:tc>
          <w:tcPr>
            <w:tcW w:w="1011" w:type="pct"/>
            <w:vAlign w:val="center"/>
          </w:tcPr>
          <w:p>
            <w:pPr>
              <w:spacing w:line="240" w:lineRule="auto"/>
              <w:ind w:firstLine="0" w:firstLineChars="0"/>
              <w:jc w:val="center"/>
              <w:rPr>
                <w:bCs/>
                <w:kern w:val="2"/>
                <w:sz w:val="21"/>
                <w:szCs w:val="21"/>
                <w:highlight w:val="none"/>
              </w:rPr>
            </w:pPr>
            <w:r>
              <w:rPr>
                <w:bCs/>
                <w:kern w:val="2"/>
                <w:sz w:val="21"/>
                <w:szCs w:val="21"/>
                <w:highlight w:val="none"/>
              </w:rPr>
              <w:t>地下水上游背景值</w:t>
            </w:r>
          </w:p>
        </w:tc>
        <w:tc>
          <w:tcPr>
            <w:tcW w:w="750" w:type="pct"/>
            <w:vAlign w:val="center"/>
          </w:tcPr>
          <w:p>
            <w:pPr>
              <w:spacing w:line="240" w:lineRule="auto"/>
              <w:ind w:firstLine="0" w:firstLineChars="0"/>
              <w:jc w:val="center"/>
              <w:rPr>
                <w:bCs/>
                <w:kern w:val="2"/>
                <w:sz w:val="21"/>
                <w:szCs w:val="21"/>
                <w:highlight w:val="none"/>
              </w:rPr>
            </w:pPr>
            <w:r>
              <w:rPr>
                <w:bCs/>
                <w:kern w:val="2"/>
                <w:sz w:val="21"/>
                <w:szCs w:val="21"/>
                <w:highlight w:val="none"/>
              </w:rPr>
              <w:t>117°59′29.40″</w:t>
            </w:r>
          </w:p>
        </w:tc>
        <w:tc>
          <w:tcPr>
            <w:tcW w:w="747" w:type="pct"/>
            <w:vAlign w:val="center"/>
          </w:tcPr>
          <w:p>
            <w:pPr>
              <w:spacing w:line="240" w:lineRule="auto"/>
              <w:ind w:firstLine="0" w:firstLineChars="0"/>
              <w:jc w:val="center"/>
              <w:rPr>
                <w:bCs/>
                <w:kern w:val="2"/>
                <w:sz w:val="21"/>
                <w:szCs w:val="21"/>
                <w:highlight w:val="none"/>
              </w:rPr>
            </w:pPr>
            <w:r>
              <w:rPr>
                <w:bCs/>
                <w:kern w:val="2"/>
                <w:sz w:val="21"/>
                <w:szCs w:val="21"/>
                <w:highlight w:val="none"/>
              </w:rPr>
              <w:t>40°06′28.57″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4" w:type="pct"/>
            <w:vAlign w:val="center"/>
          </w:tcPr>
          <w:p>
            <w:pPr>
              <w:spacing w:line="240" w:lineRule="auto"/>
              <w:ind w:firstLine="0" w:firstLineChars="0"/>
              <w:jc w:val="center"/>
              <w:rPr>
                <w:bCs/>
                <w:kern w:val="2"/>
                <w:sz w:val="21"/>
                <w:szCs w:val="21"/>
                <w:highlight w:val="none"/>
              </w:rPr>
            </w:pPr>
            <w:r>
              <w:rPr>
                <w:bCs/>
                <w:kern w:val="2"/>
                <w:sz w:val="21"/>
                <w:szCs w:val="21"/>
                <w:highlight w:val="none"/>
              </w:rPr>
              <w:t>JC2</w:t>
            </w:r>
          </w:p>
        </w:tc>
        <w:tc>
          <w:tcPr>
            <w:tcW w:w="888" w:type="pct"/>
            <w:vAlign w:val="center"/>
          </w:tcPr>
          <w:p>
            <w:pPr>
              <w:spacing w:line="240" w:lineRule="auto"/>
              <w:ind w:firstLine="0" w:firstLineChars="0"/>
              <w:jc w:val="center"/>
              <w:rPr>
                <w:bCs/>
                <w:kern w:val="2"/>
                <w:sz w:val="21"/>
                <w:szCs w:val="21"/>
                <w:highlight w:val="none"/>
              </w:rPr>
            </w:pPr>
            <w:r>
              <w:rPr>
                <w:bCs/>
                <w:kern w:val="2"/>
                <w:sz w:val="21"/>
                <w:szCs w:val="21"/>
                <w:highlight w:val="none"/>
              </w:rPr>
              <w:t>厂区下游</w:t>
            </w:r>
          </w:p>
        </w:tc>
        <w:tc>
          <w:tcPr>
            <w:tcW w:w="568" w:type="pct"/>
          </w:tcPr>
          <w:p>
            <w:pPr>
              <w:spacing w:line="240" w:lineRule="auto"/>
              <w:ind w:firstLine="0" w:firstLineChars="0"/>
              <w:jc w:val="center"/>
              <w:rPr>
                <w:bCs/>
                <w:kern w:val="2"/>
                <w:sz w:val="21"/>
                <w:szCs w:val="21"/>
                <w:highlight w:val="none"/>
              </w:rPr>
            </w:pPr>
            <w:r>
              <w:rPr>
                <w:bCs/>
                <w:kern w:val="2"/>
                <w:sz w:val="21"/>
                <w:szCs w:val="21"/>
                <w:highlight w:val="none"/>
              </w:rPr>
              <w:t>950m</w:t>
            </w:r>
          </w:p>
        </w:tc>
        <w:tc>
          <w:tcPr>
            <w:tcW w:w="568" w:type="pct"/>
            <w:vAlign w:val="center"/>
          </w:tcPr>
          <w:p>
            <w:pPr>
              <w:spacing w:line="240" w:lineRule="auto"/>
              <w:ind w:firstLine="0" w:firstLineChars="0"/>
              <w:jc w:val="center"/>
              <w:rPr>
                <w:bCs/>
                <w:kern w:val="2"/>
                <w:sz w:val="21"/>
                <w:szCs w:val="21"/>
                <w:highlight w:val="none"/>
              </w:rPr>
            </w:pPr>
            <w:r>
              <w:rPr>
                <w:bCs/>
                <w:kern w:val="2"/>
                <w:sz w:val="21"/>
                <w:szCs w:val="21"/>
                <w:highlight w:val="none"/>
              </w:rPr>
              <w:t>25</w:t>
            </w:r>
          </w:p>
        </w:tc>
        <w:tc>
          <w:tcPr>
            <w:tcW w:w="1011" w:type="pct"/>
            <w:vMerge w:val="restart"/>
            <w:vAlign w:val="center"/>
          </w:tcPr>
          <w:p>
            <w:pPr>
              <w:spacing w:line="240" w:lineRule="auto"/>
              <w:ind w:firstLine="0" w:firstLineChars="0"/>
              <w:jc w:val="center"/>
              <w:rPr>
                <w:bCs/>
                <w:kern w:val="2"/>
                <w:sz w:val="21"/>
                <w:szCs w:val="21"/>
                <w:highlight w:val="none"/>
              </w:rPr>
            </w:pPr>
            <w:r>
              <w:rPr>
                <w:bCs/>
                <w:kern w:val="2"/>
                <w:sz w:val="21"/>
                <w:szCs w:val="21"/>
                <w:highlight w:val="none"/>
              </w:rPr>
              <w:t>污染扩散监测点</w:t>
            </w:r>
          </w:p>
        </w:tc>
        <w:tc>
          <w:tcPr>
            <w:tcW w:w="750" w:type="pct"/>
            <w:vAlign w:val="center"/>
          </w:tcPr>
          <w:p>
            <w:pPr>
              <w:spacing w:line="240" w:lineRule="auto"/>
              <w:ind w:firstLine="0" w:firstLineChars="0"/>
              <w:jc w:val="center"/>
              <w:rPr>
                <w:bCs/>
                <w:kern w:val="2"/>
                <w:sz w:val="21"/>
                <w:szCs w:val="21"/>
                <w:highlight w:val="none"/>
              </w:rPr>
            </w:pPr>
            <w:r>
              <w:rPr>
                <w:bCs/>
                <w:kern w:val="2"/>
                <w:sz w:val="21"/>
                <w:szCs w:val="21"/>
                <w:highlight w:val="none"/>
              </w:rPr>
              <w:t>117°58′40.39″</w:t>
            </w:r>
          </w:p>
        </w:tc>
        <w:tc>
          <w:tcPr>
            <w:tcW w:w="747" w:type="pct"/>
            <w:vAlign w:val="center"/>
          </w:tcPr>
          <w:p>
            <w:pPr>
              <w:spacing w:line="240" w:lineRule="auto"/>
              <w:ind w:firstLine="0" w:firstLineChars="0"/>
              <w:jc w:val="center"/>
              <w:rPr>
                <w:bCs/>
                <w:kern w:val="2"/>
                <w:sz w:val="21"/>
                <w:szCs w:val="21"/>
                <w:highlight w:val="none"/>
              </w:rPr>
            </w:pPr>
            <w:r>
              <w:rPr>
                <w:bCs/>
                <w:kern w:val="2"/>
                <w:sz w:val="21"/>
                <w:szCs w:val="21"/>
                <w:highlight w:val="none"/>
              </w:rPr>
              <w:t>40°06′14.18″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4" w:type="pct"/>
            <w:vAlign w:val="center"/>
          </w:tcPr>
          <w:p>
            <w:pPr>
              <w:spacing w:line="240" w:lineRule="auto"/>
              <w:ind w:firstLine="0" w:firstLineChars="0"/>
              <w:jc w:val="center"/>
              <w:rPr>
                <w:bCs/>
                <w:kern w:val="2"/>
                <w:sz w:val="21"/>
                <w:szCs w:val="21"/>
                <w:highlight w:val="none"/>
              </w:rPr>
            </w:pPr>
            <w:r>
              <w:rPr>
                <w:bCs/>
                <w:kern w:val="2"/>
                <w:sz w:val="21"/>
                <w:szCs w:val="21"/>
                <w:highlight w:val="none"/>
              </w:rPr>
              <w:t>JC3</w:t>
            </w:r>
          </w:p>
        </w:tc>
        <w:tc>
          <w:tcPr>
            <w:tcW w:w="888" w:type="pct"/>
            <w:vAlign w:val="center"/>
          </w:tcPr>
          <w:p>
            <w:pPr>
              <w:spacing w:line="240" w:lineRule="auto"/>
              <w:ind w:firstLine="0" w:firstLineChars="0"/>
              <w:jc w:val="center"/>
              <w:rPr>
                <w:bCs/>
                <w:kern w:val="2"/>
                <w:sz w:val="21"/>
                <w:szCs w:val="21"/>
                <w:highlight w:val="none"/>
              </w:rPr>
            </w:pPr>
            <w:r>
              <w:rPr>
                <w:bCs/>
                <w:kern w:val="2"/>
                <w:sz w:val="21"/>
                <w:szCs w:val="21"/>
                <w:highlight w:val="none"/>
              </w:rPr>
              <w:t>厂区下游</w:t>
            </w:r>
          </w:p>
        </w:tc>
        <w:tc>
          <w:tcPr>
            <w:tcW w:w="568" w:type="pct"/>
          </w:tcPr>
          <w:p>
            <w:pPr>
              <w:spacing w:line="240" w:lineRule="auto"/>
              <w:ind w:firstLine="0" w:firstLineChars="0"/>
              <w:jc w:val="center"/>
              <w:rPr>
                <w:bCs/>
                <w:kern w:val="2"/>
                <w:sz w:val="21"/>
                <w:szCs w:val="21"/>
                <w:highlight w:val="none"/>
              </w:rPr>
            </w:pPr>
            <w:r>
              <w:rPr>
                <w:bCs/>
                <w:kern w:val="2"/>
                <w:sz w:val="21"/>
                <w:szCs w:val="21"/>
                <w:highlight w:val="none"/>
              </w:rPr>
              <w:t>553m</w:t>
            </w:r>
          </w:p>
        </w:tc>
        <w:tc>
          <w:tcPr>
            <w:tcW w:w="568" w:type="pct"/>
            <w:vAlign w:val="center"/>
          </w:tcPr>
          <w:p>
            <w:pPr>
              <w:spacing w:line="240" w:lineRule="auto"/>
              <w:ind w:firstLine="0" w:firstLineChars="0"/>
              <w:jc w:val="center"/>
              <w:rPr>
                <w:bCs/>
                <w:kern w:val="2"/>
                <w:sz w:val="21"/>
                <w:szCs w:val="21"/>
                <w:highlight w:val="none"/>
              </w:rPr>
            </w:pPr>
            <w:r>
              <w:rPr>
                <w:bCs/>
                <w:kern w:val="2"/>
                <w:sz w:val="21"/>
                <w:szCs w:val="21"/>
                <w:highlight w:val="none"/>
              </w:rPr>
              <w:t>25</w:t>
            </w:r>
          </w:p>
        </w:tc>
        <w:tc>
          <w:tcPr>
            <w:tcW w:w="1011" w:type="pct"/>
            <w:vMerge w:val="continue"/>
            <w:vAlign w:val="center"/>
          </w:tcPr>
          <w:p>
            <w:pPr>
              <w:spacing w:line="240" w:lineRule="auto"/>
              <w:ind w:firstLine="0" w:firstLineChars="0"/>
              <w:jc w:val="center"/>
              <w:rPr>
                <w:bCs/>
                <w:kern w:val="2"/>
                <w:sz w:val="21"/>
                <w:szCs w:val="21"/>
                <w:highlight w:val="none"/>
              </w:rPr>
            </w:pPr>
          </w:p>
        </w:tc>
        <w:tc>
          <w:tcPr>
            <w:tcW w:w="750" w:type="pct"/>
            <w:vAlign w:val="center"/>
          </w:tcPr>
          <w:p>
            <w:pPr>
              <w:spacing w:line="240" w:lineRule="auto"/>
              <w:ind w:firstLine="0" w:firstLineChars="0"/>
              <w:jc w:val="center"/>
              <w:rPr>
                <w:bCs/>
                <w:kern w:val="2"/>
                <w:sz w:val="21"/>
                <w:szCs w:val="21"/>
                <w:highlight w:val="none"/>
              </w:rPr>
            </w:pPr>
            <w:r>
              <w:rPr>
                <w:bCs/>
                <w:kern w:val="2"/>
                <w:sz w:val="21"/>
                <w:szCs w:val="21"/>
                <w:highlight w:val="none"/>
              </w:rPr>
              <w:t>117°58′44.32″</w:t>
            </w:r>
          </w:p>
        </w:tc>
        <w:tc>
          <w:tcPr>
            <w:tcW w:w="747" w:type="pct"/>
            <w:vAlign w:val="center"/>
          </w:tcPr>
          <w:p>
            <w:pPr>
              <w:spacing w:line="240" w:lineRule="auto"/>
              <w:ind w:firstLine="0" w:firstLineChars="0"/>
              <w:jc w:val="center"/>
              <w:rPr>
                <w:bCs/>
                <w:kern w:val="2"/>
                <w:sz w:val="21"/>
                <w:szCs w:val="21"/>
                <w:highlight w:val="none"/>
              </w:rPr>
            </w:pPr>
            <w:r>
              <w:rPr>
                <w:bCs/>
                <w:kern w:val="2"/>
                <w:sz w:val="21"/>
                <w:szCs w:val="21"/>
                <w:highlight w:val="none"/>
              </w:rPr>
              <w:t>40°06′34.23″</w:t>
            </w:r>
          </w:p>
        </w:tc>
      </w:tr>
    </w:tbl>
    <w:p>
      <w:pPr>
        <w:widowControl/>
        <w:autoSpaceDN w:val="0"/>
        <w:snapToGrid w:val="0"/>
        <w:ind w:firstLine="560"/>
        <w:rPr>
          <w:sz w:val="24"/>
          <w:szCs w:val="24"/>
          <w:highlight w:val="none"/>
        </w:rPr>
      </w:pPr>
      <w:r>
        <w:rPr>
          <w:rFonts w:hint="eastAsia" w:ascii="宋体" w:hAnsi="宋体" w:cs="宋体"/>
          <w:highlight w:val="none"/>
        </w:rPr>
        <w:drawing>
          <wp:inline distT="0" distB="0" distL="114300" distR="114300">
            <wp:extent cx="4476115" cy="3491865"/>
            <wp:effectExtent l="0" t="0" r="635" b="13335"/>
            <wp:docPr id="45" name="图片 39" descr="未来水质监测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descr="未来水质监测井"/>
                    <pic:cNvPicPr>
                      <a:picLocks noChangeAspect="1"/>
                    </pic:cNvPicPr>
                  </pic:nvPicPr>
                  <pic:blipFill>
                    <a:blip r:embed="rId104"/>
                    <a:stretch>
                      <a:fillRect/>
                    </a:stretch>
                  </pic:blipFill>
                  <pic:spPr>
                    <a:xfrm>
                      <a:off x="0" y="0"/>
                      <a:ext cx="4476115" cy="3491865"/>
                    </a:xfrm>
                    <a:prstGeom prst="rect">
                      <a:avLst/>
                    </a:prstGeom>
                    <a:noFill/>
                    <a:ln>
                      <a:noFill/>
                    </a:ln>
                  </pic:spPr>
                </pic:pic>
              </a:graphicData>
            </a:graphic>
          </wp:inline>
        </w:drawing>
      </w:r>
    </w:p>
    <w:p>
      <w:pPr>
        <w:spacing w:line="240" w:lineRule="auto"/>
        <w:ind w:firstLine="0" w:firstLineChars="0"/>
        <w:jc w:val="center"/>
        <w:rPr>
          <w:rFonts w:eastAsia="黑体"/>
          <w:sz w:val="21"/>
          <w:szCs w:val="21"/>
          <w:highlight w:val="none"/>
        </w:rPr>
      </w:pPr>
      <w:r>
        <w:rPr>
          <w:rFonts w:eastAsia="黑体"/>
          <w:sz w:val="21"/>
          <w:szCs w:val="21"/>
          <w:highlight w:val="none"/>
        </w:rPr>
        <w:t>图6.2-</w:t>
      </w:r>
      <w:r>
        <w:rPr>
          <w:rFonts w:hint="eastAsia" w:eastAsia="黑体"/>
          <w:sz w:val="21"/>
          <w:szCs w:val="21"/>
          <w:highlight w:val="none"/>
        </w:rPr>
        <w:t>1</w:t>
      </w:r>
      <w:r>
        <w:rPr>
          <w:rFonts w:eastAsia="黑体"/>
          <w:sz w:val="21"/>
          <w:szCs w:val="21"/>
          <w:highlight w:val="none"/>
        </w:rPr>
        <w:t xml:space="preserve">    地下水监测点布置图</w:t>
      </w:r>
    </w:p>
    <w:p>
      <w:pPr>
        <w:widowControl/>
        <w:autoSpaceDN w:val="0"/>
        <w:ind w:firstLine="480"/>
        <w:textAlignment w:val="auto"/>
        <w:rPr>
          <w:sz w:val="24"/>
          <w:szCs w:val="24"/>
          <w:highlight w:val="none"/>
        </w:rPr>
      </w:pPr>
      <w:r>
        <w:rPr>
          <w:rFonts w:hint="eastAsia"/>
          <w:sz w:val="24"/>
          <w:szCs w:val="24"/>
          <w:highlight w:val="none"/>
        </w:rPr>
        <w:t>②</w:t>
      </w:r>
      <w:r>
        <w:rPr>
          <w:sz w:val="24"/>
          <w:szCs w:val="24"/>
          <w:highlight w:val="none"/>
        </w:rPr>
        <w:t>监测频率及项目：</w:t>
      </w:r>
    </w:p>
    <w:p>
      <w:pPr>
        <w:widowControl/>
        <w:autoSpaceDN w:val="0"/>
        <w:ind w:firstLine="480"/>
        <w:textAlignment w:val="auto"/>
        <w:rPr>
          <w:sz w:val="24"/>
          <w:szCs w:val="24"/>
          <w:highlight w:val="none"/>
        </w:rPr>
      </w:pPr>
      <w:r>
        <w:rPr>
          <w:sz w:val="24"/>
          <w:szCs w:val="24"/>
          <w:highlight w:val="none"/>
        </w:rPr>
        <w:t>监测频率：</w:t>
      </w:r>
      <w:r>
        <w:rPr>
          <w:rFonts w:hint="eastAsia"/>
          <w:sz w:val="24"/>
          <w:szCs w:val="24"/>
          <w:highlight w:val="none"/>
        </w:rPr>
        <w:t>上游</w:t>
      </w:r>
      <w:r>
        <w:rPr>
          <w:sz w:val="24"/>
          <w:szCs w:val="24"/>
          <w:highlight w:val="none"/>
        </w:rPr>
        <w:t>监测井每年枯水期采样一次</w:t>
      </w:r>
      <w:r>
        <w:rPr>
          <w:rFonts w:hint="eastAsia"/>
          <w:sz w:val="24"/>
          <w:szCs w:val="24"/>
          <w:highlight w:val="none"/>
        </w:rPr>
        <w:t>，下游</w:t>
      </w:r>
      <w:r>
        <w:rPr>
          <w:sz w:val="24"/>
          <w:szCs w:val="24"/>
          <w:highlight w:val="none"/>
        </w:rPr>
        <w:t>监测井每年枯</w:t>
      </w:r>
      <w:r>
        <w:rPr>
          <w:rFonts w:hint="eastAsia"/>
          <w:sz w:val="24"/>
          <w:szCs w:val="24"/>
          <w:highlight w:val="none"/>
        </w:rPr>
        <w:t>、丰</w:t>
      </w:r>
      <w:r>
        <w:rPr>
          <w:sz w:val="24"/>
          <w:szCs w:val="24"/>
          <w:highlight w:val="none"/>
        </w:rPr>
        <w:t>水期</w:t>
      </w:r>
      <w:r>
        <w:rPr>
          <w:rFonts w:hint="eastAsia"/>
          <w:sz w:val="24"/>
          <w:szCs w:val="24"/>
          <w:highlight w:val="none"/>
        </w:rPr>
        <w:t>各</w:t>
      </w:r>
      <w:r>
        <w:rPr>
          <w:sz w:val="24"/>
          <w:szCs w:val="24"/>
          <w:highlight w:val="none"/>
        </w:rPr>
        <w:t>采样一次。</w:t>
      </w:r>
    </w:p>
    <w:p>
      <w:pPr>
        <w:widowControl/>
        <w:autoSpaceDN w:val="0"/>
        <w:ind w:firstLine="480"/>
        <w:textAlignment w:val="auto"/>
        <w:rPr>
          <w:sz w:val="24"/>
          <w:szCs w:val="24"/>
          <w:highlight w:val="none"/>
        </w:rPr>
      </w:pPr>
      <w:r>
        <w:rPr>
          <w:sz w:val="24"/>
          <w:szCs w:val="24"/>
          <w:highlight w:val="none"/>
        </w:rPr>
        <w:t>监测项目为：pH、</w:t>
      </w:r>
      <w:r>
        <w:rPr>
          <w:rFonts w:hint="eastAsia"/>
          <w:sz w:val="24"/>
          <w:szCs w:val="24"/>
          <w:highlight w:val="none"/>
        </w:rPr>
        <w:t>耗氧量</w:t>
      </w:r>
      <w:r>
        <w:rPr>
          <w:sz w:val="24"/>
          <w:szCs w:val="24"/>
          <w:highlight w:val="none"/>
        </w:rPr>
        <w:t>、</w:t>
      </w:r>
      <w:r>
        <w:rPr>
          <w:rFonts w:hint="eastAsia"/>
          <w:sz w:val="24"/>
          <w:szCs w:val="24"/>
          <w:highlight w:val="none"/>
        </w:rPr>
        <w:t>铁、石油类</w:t>
      </w:r>
      <w:r>
        <w:rPr>
          <w:sz w:val="24"/>
          <w:szCs w:val="24"/>
          <w:highlight w:val="none"/>
        </w:rPr>
        <w:t>。</w:t>
      </w:r>
    </w:p>
    <w:p>
      <w:pPr>
        <w:pStyle w:val="3"/>
        <w:rPr>
          <w:highlight w:val="none"/>
        </w:rPr>
      </w:pPr>
      <w:r>
        <w:rPr>
          <w:rFonts w:hint="eastAsia"/>
          <w:highlight w:val="none"/>
        </w:rPr>
        <w:t>6.2.5监测数据管理及公开</w:t>
      </w:r>
    </w:p>
    <w:p>
      <w:pPr>
        <w:widowControl/>
        <w:autoSpaceDN w:val="0"/>
        <w:ind w:firstLine="480"/>
        <w:textAlignment w:val="auto"/>
        <w:rPr>
          <w:sz w:val="24"/>
          <w:szCs w:val="24"/>
          <w:highlight w:val="none"/>
        </w:rPr>
      </w:pPr>
      <w:r>
        <w:rPr>
          <w:sz w:val="24"/>
          <w:szCs w:val="24"/>
          <w:highlight w:val="none"/>
        </w:rPr>
        <w:t>上述监测结果应按厂区有关规定及时建立档案，并抄送环境保护行政主管部门，对于常规检测数据应该进行公开，特别是对厂区附近区域的居民公开，满足法律中关于知情权的要求。发现污染和水质恶化时，要及时进行处理，开展系统调查，并上报有关部门。</w:t>
      </w:r>
    </w:p>
    <w:p>
      <w:pPr>
        <w:pStyle w:val="3"/>
        <w:rPr>
          <w:highlight w:val="none"/>
        </w:rPr>
      </w:pPr>
      <w:r>
        <w:rPr>
          <w:rFonts w:hint="eastAsia"/>
          <w:highlight w:val="none"/>
        </w:rPr>
        <w:t>6.2.3.6地下水污染治理措施</w:t>
      </w:r>
    </w:p>
    <w:p>
      <w:pPr>
        <w:widowControl/>
        <w:autoSpaceDN w:val="0"/>
        <w:ind w:firstLine="480"/>
        <w:textAlignment w:val="auto"/>
        <w:rPr>
          <w:sz w:val="24"/>
          <w:szCs w:val="24"/>
          <w:highlight w:val="none"/>
        </w:rPr>
      </w:pPr>
      <w:r>
        <w:rPr>
          <w:rFonts w:hint="eastAsia"/>
          <w:sz w:val="24"/>
          <w:szCs w:val="24"/>
          <w:highlight w:val="none"/>
        </w:rPr>
        <w:t>（1）</w:t>
      </w:r>
      <w:r>
        <w:rPr>
          <w:sz w:val="24"/>
          <w:szCs w:val="24"/>
          <w:highlight w:val="none"/>
        </w:rPr>
        <w:t>规范支撑体系</w:t>
      </w:r>
    </w:p>
    <w:p>
      <w:pPr>
        <w:widowControl/>
        <w:autoSpaceDN w:val="0"/>
        <w:ind w:firstLine="480"/>
        <w:textAlignment w:val="auto"/>
        <w:rPr>
          <w:sz w:val="24"/>
          <w:szCs w:val="24"/>
          <w:highlight w:val="none"/>
        </w:rPr>
      </w:pPr>
      <w:r>
        <w:rPr>
          <w:sz w:val="24"/>
          <w:szCs w:val="24"/>
          <w:highlight w:val="none"/>
        </w:rPr>
        <w:t>为进一步完善环保技术法规和标准体系，科学确定环境基准，目前正在开展的场地环境保护标准修订项目包括《场地环境调查技术规范》、《污染场地环境监测技术导则》、《污染场地风险评估技术导则》和《污染场地土壤修复技术导则》，上述标准构成了场地环境保护标准体系的总体框架；其中的环境调查、环境监测、风险评估和土壤修复技术导则规定了相关工作的原则、方法、程序和技术要求，是目前地下水污染应急唯一可参照执行的技术导则。</w:t>
      </w:r>
    </w:p>
    <w:p>
      <w:pPr>
        <w:widowControl/>
        <w:autoSpaceDN w:val="0"/>
        <w:ind w:firstLine="480"/>
        <w:textAlignment w:val="auto"/>
        <w:rPr>
          <w:sz w:val="24"/>
          <w:szCs w:val="24"/>
          <w:highlight w:val="none"/>
        </w:rPr>
      </w:pPr>
      <w:r>
        <w:rPr>
          <w:rFonts w:hint="eastAsia"/>
          <w:sz w:val="24"/>
          <w:szCs w:val="24"/>
          <w:highlight w:val="none"/>
        </w:rPr>
        <w:t>（2）</w:t>
      </w:r>
      <w:r>
        <w:rPr>
          <w:sz w:val="24"/>
          <w:szCs w:val="24"/>
          <w:highlight w:val="none"/>
        </w:rPr>
        <w:t>应急治理体系</w:t>
      </w:r>
    </w:p>
    <w:p>
      <w:pPr>
        <w:widowControl/>
        <w:autoSpaceDN w:val="0"/>
        <w:ind w:firstLine="480"/>
        <w:textAlignment w:val="auto"/>
        <w:rPr>
          <w:sz w:val="24"/>
          <w:szCs w:val="24"/>
          <w:highlight w:val="none"/>
        </w:rPr>
      </w:pPr>
      <w:r>
        <w:rPr>
          <w:sz w:val="24"/>
          <w:szCs w:val="24"/>
          <w:highlight w:val="none"/>
        </w:rPr>
        <w:t>在场地环境保护标准体系中，场地的污染防治一般要经过场地污染的确认，风险评估和修复等过程。</w:t>
      </w:r>
    </w:p>
    <w:p>
      <w:pPr>
        <w:widowControl/>
        <w:autoSpaceDN w:val="0"/>
        <w:ind w:firstLine="480"/>
        <w:textAlignment w:val="auto"/>
        <w:rPr>
          <w:sz w:val="24"/>
          <w:szCs w:val="24"/>
          <w:highlight w:val="none"/>
        </w:rPr>
      </w:pPr>
      <w:r>
        <w:rPr>
          <w:sz w:val="24"/>
          <w:szCs w:val="24"/>
          <w:highlight w:val="none"/>
        </w:rPr>
        <w:t>《场地环境调查技术规范》主要用于污染场地的调查和污染确认，并为场地风险评估和污染场地修复的调查提供基础数据和信息。</w:t>
      </w:r>
    </w:p>
    <w:p>
      <w:pPr>
        <w:widowControl/>
        <w:autoSpaceDN w:val="0"/>
        <w:ind w:firstLine="480"/>
        <w:textAlignment w:val="auto"/>
        <w:rPr>
          <w:sz w:val="24"/>
          <w:szCs w:val="24"/>
          <w:highlight w:val="none"/>
        </w:rPr>
      </w:pPr>
      <w:r>
        <w:rPr>
          <w:sz w:val="24"/>
          <w:szCs w:val="24"/>
          <w:highlight w:val="none"/>
        </w:rPr>
        <w:t>《场地污染风险评估技术导则》在场地污染调查的基础上采用健康风险评估的方法确定场地的风险，提出场地的风险管理目标。</w:t>
      </w:r>
    </w:p>
    <w:p>
      <w:pPr>
        <w:widowControl/>
        <w:autoSpaceDN w:val="0"/>
        <w:ind w:firstLine="480"/>
        <w:textAlignment w:val="auto"/>
        <w:rPr>
          <w:sz w:val="24"/>
          <w:szCs w:val="24"/>
          <w:highlight w:val="none"/>
        </w:rPr>
      </w:pPr>
      <w:r>
        <w:rPr>
          <w:sz w:val="24"/>
          <w:szCs w:val="24"/>
          <w:highlight w:val="none"/>
        </w:rPr>
        <w:t>《污染场地土壤修复技术导则》规定了实现场地风险管理目标的技术筛选等方法。</w:t>
      </w:r>
    </w:p>
    <w:p>
      <w:pPr>
        <w:widowControl/>
        <w:autoSpaceDN w:val="0"/>
        <w:ind w:firstLine="480"/>
        <w:textAlignment w:val="auto"/>
        <w:rPr>
          <w:sz w:val="24"/>
          <w:szCs w:val="24"/>
          <w:highlight w:val="none"/>
        </w:rPr>
      </w:pPr>
      <w:r>
        <w:rPr>
          <w:sz w:val="24"/>
          <w:szCs w:val="24"/>
          <w:highlight w:val="none"/>
        </w:rPr>
        <w:t>《场地环境监测技术导则》作为工具性标准为场地的调查、风险评估和修复提供技术支撑。</w:t>
      </w:r>
    </w:p>
    <w:p>
      <w:pPr>
        <w:widowControl/>
        <w:autoSpaceDN w:val="0"/>
        <w:ind w:firstLine="480"/>
        <w:textAlignment w:val="auto"/>
        <w:rPr>
          <w:sz w:val="24"/>
          <w:szCs w:val="24"/>
          <w:highlight w:val="none"/>
        </w:rPr>
      </w:pPr>
      <w:r>
        <w:rPr>
          <w:rFonts w:hint="eastAsia"/>
          <w:sz w:val="24"/>
          <w:szCs w:val="24"/>
          <w:highlight w:val="none"/>
        </w:rPr>
        <w:t>（3）</w:t>
      </w:r>
      <w:r>
        <w:rPr>
          <w:sz w:val="24"/>
          <w:szCs w:val="24"/>
          <w:highlight w:val="none"/>
        </w:rPr>
        <w:t>地下水污染治理技术</w:t>
      </w:r>
    </w:p>
    <w:p>
      <w:pPr>
        <w:widowControl/>
        <w:autoSpaceDN w:val="0"/>
        <w:ind w:firstLine="480"/>
        <w:textAlignment w:val="auto"/>
        <w:rPr>
          <w:sz w:val="24"/>
          <w:szCs w:val="24"/>
          <w:highlight w:val="none"/>
        </w:rPr>
      </w:pPr>
      <w:r>
        <w:rPr>
          <w:sz w:val="24"/>
          <w:szCs w:val="24"/>
          <w:highlight w:val="none"/>
        </w:rPr>
        <w:t>地下水污染治理技术归纳起来主要有：物理处理法、水动力控制法、抽出处理法和原位处理法等。</w:t>
      </w:r>
    </w:p>
    <w:p>
      <w:pPr>
        <w:widowControl/>
        <w:autoSpaceDN w:val="0"/>
        <w:ind w:firstLine="480"/>
        <w:textAlignment w:val="auto"/>
        <w:rPr>
          <w:sz w:val="24"/>
          <w:szCs w:val="24"/>
          <w:highlight w:val="none"/>
        </w:rPr>
      </w:pPr>
      <w:r>
        <w:rPr>
          <w:rFonts w:hint="eastAsia"/>
          <w:sz w:val="24"/>
          <w:szCs w:val="24"/>
          <w:highlight w:val="none"/>
        </w:rPr>
        <w:t>①</w:t>
      </w:r>
      <w:r>
        <w:rPr>
          <w:sz w:val="24"/>
          <w:szCs w:val="24"/>
          <w:highlight w:val="none"/>
        </w:rPr>
        <w:t>物理法</w:t>
      </w:r>
    </w:p>
    <w:p>
      <w:pPr>
        <w:widowControl/>
        <w:autoSpaceDN w:val="0"/>
        <w:ind w:firstLine="480"/>
        <w:textAlignment w:val="auto"/>
        <w:rPr>
          <w:sz w:val="24"/>
          <w:szCs w:val="24"/>
          <w:highlight w:val="none"/>
        </w:rPr>
      </w:pPr>
      <w:r>
        <w:rPr>
          <w:sz w:val="24"/>
          <w:szCs w:val="24"/>
          <w:highlight w:val="none"/>
        </w:rPr>
        <w:t>物理法是用物理的手段对受污染的地下水进行治理的一种方法，概括起来又可分为：屏蔽法——在地下建立各种物理屏障，将受污染水体圈闭起来，以防止污染物进一步扩散蔓延。被动收集法——在地下水流的下游挖一条足够深的沟道，在沟内布置收集系统，将水面漂浮的污染物质如油类污染物等收集起来或将所有受污染地下水收集起来以便处理的一种方法。被动收集法在处理轻质污染物(如油类等)时得到过广泛的应用。</w:t>
      </w:r>
    </w:p>
    <w:p>
      <w:pPr>
        <w:widowControl/>
        <w:autoSpaceDN w:val="0"/>
        <w:ind w:firstLine="480"/>
        <w:textAlignment w:val="auto"/>
        <w:rPr>
          <w:sz w:val="24"/>
          <w:szCs w:val="24"/>
          <w:highlight w:val="none"/>
        </w:rPr>
      </w:pPr>
      <w:r>
        <w:rPr>
          <w:rFonts w:hint="eastAsia"/>
          <w:sz w:val="24"/>
          <w:szCs w:val="24"/>
          <w:highlight w:val="none"/>
        </w:rPr>
        <w:t>②</w:t>
      </w:r>
      <w:r>
        <w:rPr>
          <w:sz w:val="24"/>
          <w:szCs w:val="24"/>
          <w:highlight w:val="none"/>
        </w:rPr>
        <w:t>水动力控制法</w:t>
      </w:r>
    </w:p>
    <w:p>
      <w:pPr>
        <w:widowControl/>
        <w:autoSpaceDN w:val="0"/>
        <w:ind w:firstLine="480"/>
        <w:textAlignment w:val="auto"/>
        <w:rPr>
          <w:sz w:val="24"/>
          <w:szCs w:val="24"/>
          <w:highlight w:val="none"/>
        </w:rPr>
      </w:pPr>
      <w:r>
        <w:rPr>
          <w:sz w:val="24"/>
          <w:szCs w:val="24"/>
          <w:highlight w:val="none"/>
        </w:rPr>
        <w:t>水动力控制法是利用井群系统，通过抽水或向含水层注水，人为地改变地下水的水力梯度，从而将受污染水体与清洁水体分隔开来。根据井群系统布置方式的不同，水力控制法又可分为上游分水岭法和下游分水岭法。</w:t>
      </w:r>
    </w:p>
    <w:p>
      <w:pPr>
        <w:widowControl/>
        <w:autoSpaceDN w:val="0"/>
        <w:ind w:firstLine="480"/>
        <w:textAlignment w:val="auto"/>
        <w:rPr>
          <w:sz w:val="24"/>
          <w:szCs w:val="24"/>
          <w:highlight w:val="none"/>
        </w:rPr>
      </w:pPr>
      <w:r>
        <w:rPr>
          <w:rFonts w:hint="eastAsia"/>
          <w:sz w:val="24"/>
          <w:szCs w:val="24"/>
          <w:highlight w:val="none"/>
        </w:rPr>
        <w:t>③</w:t>
      </w:r>
      <w:r>
        <w:rPr>
          <w:sz w:val="24"/>
          <w:szCs w:val="24"/>
          <w:highlight w:val="none"/>
        </w:rPr>
        <w:t>抽出处理法</w:t>
      </w:r>
    </w:p>
    <w:p>
      <w:pPr>
        <w:widowControl/>
        <w:autoSpaceDN w:val="0"/>
        <w:ind w:firstLine="480"/>
        <w:textAlignment w:val="auto"/>
        <w:rPr>
          <w:sz w:val="24"/>
          <w:szCs w:val="24"/>
          <w:highlight w:val="none"/>
        </w:rPr>
      </w:pPr>
      <w:r>
        <w:rPr>
          <w:sz w:val="24"/>
          <w:szCs w:val="24"/>
          <w:highlight w:val="none"/>
        </w:rPr>
        <w:t>抽出处理法是当前应用很普遍的一种方法，可根据污染物类型和处理费用来选用，大致可分为三类：</w:t>
      </w:r>
    </w:p>
    <w:p>
      <w:pPr>
        <w:widowControl/>
        <w:autoSpaceDN w:val="0"/>
        <w:ind w:firstLine="480"/>
        <w:textAlignment w:val="auto"/>
        <w:rPr>
          <w:sz w:val="24"/>
          <w:szCs w:val="24"/>
          <w:highlight w:val="none"/>
        </w:rPr>
      </w:pPr>
      <w:r>
        <w:rPr>
          <w:sz w:val="24"/>
          <w:szCs w:val="24"/>
          <w:highlight w:val="none"/>
        </w:rPr>
        <w:t>物理法。包括：吸附法、重力分离法、过滤法、反渗透法、气吹法和焚烧法等；</w:t>
      </w:r>
    </w:p>
    <w:p>
      <w:pPr>
        <w:widowControl/>
        <w:autoSpaceDN w:val="0"/>
        <w:ind w:firstLine="480"/>
        <w:textAlignment w:val="auto"/>
        <w:rPr>
          <w:sz w:val="24"/>
          <w:szCs w:val="24"/>
          <w:highlight w:val="none"/>
        </w:rPr>
      </w:pPr>
      <w:r>
        <w:rPr>
          <w:sz w:val="24"/>
          <w:szCs w:val="24"/>
          <w:highlight w:val="none"/>
        </w:rPr>
        <w:t>化学法。包括：混凝沉淀法、氧化还原法、离子交换法和中和法等；</w:t>
      </w:r>
    </w:p>
    <w:p>
      <w:pPr>
        <w:widowControl/>
        <w:autoSpaceDN w:val="0"/>
        <w:ind w:firstLine="480"/>
        <w:textAlignment w:val="auto"/>
        <w:rPr>
          <w:sz w:val="24"/>
          <w:szCs w:val="24"/>
          <w:highlight w:val="none"/>
        </w:rPr>
      </w:pPr>
      <w:r>
        <w:rPr>
          <w:sz w:val="24"/>
          <w:szCs w:val="24"/>
          <w:highlight w:val="none"/>
        </w:rPr>
        <w:t>生物法。包括：活性污泥法、生物膜法、厌氧消化法和土壤处置法等。</w:t>
      </w:r>
    </w:p>
    <w:p>
      <w:pPr>
        <w:widowControl/>
        <w:autoSpaceDN w:val="0"/>
        <w:ind w:firstLine="480"/>
        <w:textAlignment w:val="auto"/>
        <w:rPr>
          <w:sz w:val="24"/>
          <w:szCs w:val="24"/>
          <w:highlight w:val="none"/>
        </w:rPr>
      </w:pPr>
      <w:r>
        <w:rPr>
          <w:sz w:val="24"/>
          <w:szCs w:val="24"/>
          <w:highlight w:val="none"/>
        </w:rPr>
        <w:t>受污染地下水抽出后的处理方法与地表水的处理相同，需要指出的是，在受污染地下水的抽出处理中，井群系统的建立是关键，井群系统要能控制整个受污染水体的流动。</w:t>
      </w:r>
    </w:p>
    <w:p>
      <w:pPr>
        <w:widowControl/>
        <w:autoSpaceDN w:val="0"/>
        <w:ind w:firstLine="480"/>
        <w:textAlignment w:val="auto"/>
        <w:rPr>
          <w:sz w:val="24"/>
          <w:szCs w:val="24"/>
          <w:highlight w:val="none"/>
        </w:rPr>
      </w:pPr>
      <w:r>
        <w:rPr>
          <w:rFonts w:hint="eastAsia"/>
          <w:sz w:val="24"/>
          <w:szCs w:val="24"/>
          <w:highlight w:val="none"/>
        </w:rPr>
        <w:t>④</w:t>
      </w:r>
      <w:r>
        <w:rPr>
          <w:sz w:val="24"/>
          <w:szCs w:val="24"/>
          <w:highlight w:val="none"/>
        </w:rPr>
        <w:t>原位处理法</w:t>
      </w:r>
    </w:p>
    <w:p>
      <w:pPr>
        <w:widowControl/>
        <w:autoSpaceDN w:val="0"/>
        <w:ind w:firstLine="480"/>
        <w:textAlignment w:val="auto"/>
        <w:rPr>
          <w:sz w:val="24"/>
          <w:szCs w:val="24"/>
          <w:highlight w:val="none"/>
        </w:rPr>
      </w:pPr>
      <w:r>
        <w:rPr>
          <w:sz w:val="24"/>
          <w:szCs w:val="24"/>
          <w:highlight w:val="none"/>
        </w:rPr>
        <w:t>原位处理法是地下水污染治理技术研究的热点，不但处理费用相对节省，而且还可减少地表处理设施，最大程度地减少污染物的暴露，减少对环境的扰动，是一种很有前景的地下水污染治理技术，大致可分为两类：</w:t>
      </w:r>
    </w:p>
    <w:p>
      <w:pPr>
        <w:widowControl/>
        <w:autoSpaceDN w:val="0"/>
        <w:ind w:firstLine="480"/>
        <w:textAlignment w:val="auto"/>
        <w:rPr>
          <w:sz w:val="24"/>
          <w:szCs w:val="24"/>
          <w:highlight w:val="none"/>
        </w:rPr>
      </w:pPr>
      <w:r>
        <w:rPr>
          <w:sz w:val="24"/>
          <w:szCs w:val="24"/>
          <w:highlight w:val="none"/>
        </w:rPr>
        <w:t>物理化学处理法。包括：加药法、渗透性处理床、土壤改性法、冲洗法和射频放电加热法等；</w:t>
      </w:r>
    </w:p>
    <w:p>
      <w:pPr>
        <w:widowControl/>
        <w:autoSpaceDN w:val="0"/>
        <w:ind w:firstLine="480"/>
        <w:textAlignment w:val="auto"/>
        <w:rPr>
          <w:sz w:val="24"/>
          <w:szCs w:val="24"/>
          <w:highlight w:val="none"/>
        </w:rPr>
      </w:pPr>
      <w:r>
        <w:rPr>
          <w:sz w:val="24"/>
          <w:szCs w:val="24"/>
          <w:highlight w:val="none"/>
        </w:rPr>
        <w:t>生物处理法。包括：生物气冲技术、溶气水供氧技术和过氧化氢供氧技术等。</w:t>
      </w:r>
    </w:p>
    <w:p>
      <w:pPr>
        <w:pStyle w:val="3"/>
        <w:rPr>
          <w:highlight w:val="none"/>
        </w:rPr>
      </w:pPr>
      <w:r>
        <w:rPr>
          <w:rFonts w:hint="eastAsia"/>
          <w:highlight w:val="none"/>
        </w:rPr>
        <w:t>6.2.3.7建议措施</w:t>
      </w:r>
    </w:p>
    <w:p>
      <w:pPr>
        <w:widowControl/>
        <w:autoSpaceDN w:val="0"/>
        <w:snapToGrid w:val="0"/>
        <w:ind w:firstLine="480"/>
        <w:textAlignment w:val="auto"/>
        <w:rPr>
          <w:sz w:val="24"/>
          <w:szCs w:val="24"/>
          <w:highlight w:val="none"/>
        </w:rPr>
      </w:pPr>
      <w:r>
        <w:rPr>
          <w:sz w:val="24"/>
          <w:szCs w:val="24"/>
          <w:highlight w:val="none"/>
        </w:rPr>
        <w:t>当发生污染事故时，建议采取如下污染治理措施：</w:t>
      </w:r>
    </w:p>
    <w:p>
      <w:pPr>
        <w:widowControl/>
        <w:autoSpaceDN w:val="0"/>
        <w:snapToGrid w:val="0"/>
        <w:ind w:firstLine="480"/>
        <w:textAlignment w:val="auto"/>
        <w:rPr>
          <w:sz w:val="24"/>
          <w:szCs w:val="24"/>
          <w:highlight w:val="none"/>
        </w:rPr>
      </w:pPr>
      <w:r>
        <w:rPr>
          <w:sz w:val="24"/>
          <w:szCs w:val="24"/>
          <w:highlight w:val="none"/>
        </w:rPr>
        <w:t>（1）一旦发生地下水污染事故，应立即启动应急预案；</w:t>
      </w:r>
    </w:p>
    <w:p>
      <w:pPr>
        <w:widowControl/>
        <w:autoSpaceDN w:val="0"/>
        <w:snapToGrid w:val="0"/>
        <w:ind w:firstLine="480"/>
        <w:textAlignment w:val="auto"/>
        <w:rPr>
          <w:sz w:val="24"/>
          <w:szCs w:val="24"/>
          <w:highlight w:val="none"/>
        </w:rPr>
      </w:pPr>
      <w:r>
        <w:rPr>
          <w:sz w:val="24"/>
          <w:szCs w:val="24"/>
          <w:highlight w:val="none"/>
        </w:rPr>
        <w:t>（2）查明并切断污染源；</w:t>
      </w:r>
    </w:p>
    <w:p>
      <w:pPr>
        <w:widowControl/>
        <w:autoSpaceDN w:val="0"/>
        <w:snapToGrid w:val="0"/>
        <w:ind w:firstLine="480"/>
        <w:textAlignment w:val="auto"/>
        <w:rPr>
          <w:sz w:val="24"/>
          <w:szCs w:val="24"/>
          <w:highlight w:val="none"/>
        </w:rPr>
      </w:pPr>
      <w:r>
        <w:rPr>
          <w:sz w:val="24"/>
          <w:szCs w:val="24"/>
          <w:highlight w:val="none"/>
        </w:rPr>
        <w:t>（3）探明地下水污染深度、范围和污染程度；</w:t>
      </w:r>
    </w:p>
    <w:p>
      <w:pPr>
        <w:widowControl/>
        <w:autoSpaceDN w:val="0"/>
        <w:snapToGrid w:val="0"/>
        <w:ind w:firstLine="480"/>
        <w:textAlignment w:val="auto"/>
        <w:rPr>
          <w:sz w:val="24"/>
          <w:szCs w:val="24"/>
          <w:highlight w:val="none"/>
        </w:rPr>
      </w:pPr>
      <w:r>
        <w:rPr>
          <w:sz w:val="24"/>
          <w:szCs w:val="24"/>
          <w:highlight w:val="none"/>
        </w:rPr>
        <w:t>（4）依据探明的地下水污染情况和污染场地的岩性特征，合理布置轻型井点的深度及间距，并进行轻型井点试抽工作；</w:t>
      </w:r>
    </w:p>
    <w:p>
      <w:pPr>
        <w:widowControl/>
        <w:autoSpaceDN w:val="0"/>
        <w:snapToGrid w:val="0"/>
        <w:ind w:firstLine="480"/>
        <w:textAlignment w:val="auto"/>
        <w:rPr>
          <w:sz w:val="24"/>
          <w:szCs w:val="24"/>
          <w:highlight w:val="none"/>
        </w:rPr>
      </w:pPr>
      <w:r>
        <w:rPr>
          <w:sz w:val="24"/>
          <w:szCs w:val="24"/>
          <w:highlight w:val="none"/>
        </w:rPr>
        <w:t>（5）依据轻型井点抽水设计方案进行施工，抽取被污染的地下水体，并依据各井点出水情况进行调整；</w:t>
      </w:r>
    </w:p>
    <w:p>
      <w:pPr>
        <w:widowControl/>
        <w:autoSpaceDN w:val="0"/>
        <w:snapToGrid w:val="0"/>
        <w:ind w:firstLine="480"/>
        <w:textAlignment w:val="auto"/>
        <w:rPr>
          <w:sz w:val="24"/>
          <w:szCs w:val="24"/>
          <w:highlight w:val="none"/>
        </w:rPr>
      </w:pPr>
      <w:r>
        <w:rPr>
          <w:sz w:val="24"/>
          <w:szCs w:val="24"/>
          <w:highlight w:val="none"/>
        </w:rPr>
        <w:t>（6）将抽取的地下水进行集中收集处理，并送实验室进行化验分析；</w:t>
      </w:r>
    </w:p>
    <w:p>
      <w:pPr>
        <w:widowControl/>
        <w:autoSpaceDN w:val="0"/>
        <w:snapToGrid w:val="0"/>
        <w:ind w:firstLine="480"/>
        <w:textAlignment w:val="auto"/>
        <w:rPr>
          <w:sz w:val="24"/>
          <w:szCs w:val="24"/>
          <w:highlight w:val="none"/>
        </w:rPr>
      </w:pPr>
      <w:r>
        <w:rPr>
          <w:sz w:val="24"/>
          <w:szCs w:val="24"/>
          <w:highlight w:val="none"/>
        </w:rPr>
        <w:t>（7）当地下水中的特征污染物浓度满足地下水功能区划的标准后，逐步停止井点抽水，并进行土壤修复治理工作。</w:t>
      </w:r>
    </w:p>
    <w:p>
      <w:pPr>
        <w:pStyle w:val="3"/>
        <w:rPr>
          <w:highlight w:val="none"/>
        </w:rPr>
      </w:pPr>
      <w:r>
        <w:rPr>
          <w:rFonts w:hint="eastAsia"/>
          <w:highlight w:val="none"/>
        </w:rPr>
        <w:t>6.2.8地下水风险污染事故应急预案</w:t>
      </w:r>
    </w:p>
    <w:p>
      <w:pPr>
        <w:widowControl/>
        <w:autoSpaceDN w:val="0"/>
        <w:ind w:firstLine="480"/>
        <w:textAlignment w:val="auto"/>
        <w:rPr>
          <w:sz w:val="24"/>
          <w:szCs w:val="24"/>
          <w:highlight w:val="none"/>
        </w:rPr>
      </w:pPr>
      <w:r>
        <w:rPr>
          <w:rFonts w:hint="eastAsia"/>
          <w:sz w:val="24"/>
          <w:szCs w:val="24"/>
          <w:highlight w:val="none"/>
        </w:rPr>
        <w:t>①</w:t>
      </w:r>
      <w:r>
        <w:rPr>
          <w:sz w:val="24"/>
          <w:szCs w:val="24"/>
          <w:highlight w:val="none"/>
        </w:rPr>
        <w:t>应急预案</w:t>
      </w:r>
    </w:p>
    <w:p>
      <w:pPr>
        <w:widowControl/>
        <w:autoSpaceDN w:val="0"/>
        <w:ind w:firstLine="480"/>
        <w:textAlignment w:val="auto"/>
        <w:rPr>
          <w:sz w:val="24"/>
          <w:szCs w:val="24"/>
          <w:highlight w:val="none"/>
        </w:rPr>
      </w:pPr>
      <w:r>
        <w:rPr>
          <w:rFonts w:hint="eastAsia"/>
          <w:sz w:val="24"/>
          <w:szCs w:val="24"/>
          <w:highlight w:val="none"/>
        </w:rPr>
        <w:t>a.</w:t>
      </w:r>
      <w:r>
        <w:rPr>
          <w:sz w:val="24"/>
          <w:szCs w:val="24"/>
          <w:highlight w:val="none"/>
        </w:rPr>
        <w:t>在制定厂区安全管理体制的基础上，制订专门的地下水污染事故的应急措施，并应与其它应急预案相协调。</w:t>
      </w:r>
    </w:p>
    <w:p>
      <w:pPr>
        <w:widowControl/>
        <w:autoSpaceDN w:val="0"/>
        <w:ind w:firstLine="480"/>
        <w:textAlignment w:val="auto"/>
        <w:rPr>
          <w:sz w:val="24"/>
          <w:szCs w:val="24"/>
          <w:highlight w:val="none"/>
        </w:rPr>
      </w:pPr>
      <w:r>
        <w:rPr>
          <w:rFonts w:hint="eastAsia"/>
          <w:sz w:val="24"/>
          <w:szCs w:val="24"/>
          <w:highlight w:val="none"/>
        </w:rPr>
        <w:t>b.</w:t>
      </w:r>
      <w:r>
        <w:rPr>
          <w:sz w:val="24"/>
          <w:szCs w:val="24"/>
          <w:highlight w:val="none"/>
        </w:rPr>
        <w:t>地下水应急预案应包括以下内容：</w:t>
      </w:r>
    </w:p>
    <w:p>
      <w:pPr>
        <w:widowControl/>
        <w:autoSpaceDN w:val="0"/>
        <w:ind w:firstLine="480"/>
        <w:textAlignment w:val="auto"/>
        <w:rPr>
          <w:sz w:val="24"/>
          <w:szCs w:val="24"/>
          <w:highlight w:val="none"/>
        </w:rPr>
      </w:pPr>
      <w:r>
        <w:rPr>
          <w:sz w:val="24"/>
          <w:szCs w:val="24"/>
          <w:highlight w:val="none"/>
        </w:rPr>
        <w:t>应急预案的日常协调和指挥机构；</w:t>
      </w:r>
    </w:p>
    <w:p>
      <w:pPr>
        <w:widowControl/>
        <w:autoSpaceDN w:val="0"/>
        <w:ind w:firstLine="480"/>
        <w:textAlignment w:val="auto"/>
        <w:rPr>
          <w:sz w:val="24"/>
          <w:szCs w:val="24"/>
          <w:highlight w:val="none"/>
        </w:rPr>
      </w:pPr>
      <w:r>
        <w:rPr>
          <w:sz w:val="24"/>
          <w:szCs w:val="24"/>
          <w:highlight w:val="none"/>
        </w:rPr>
        <w:t>相关部门在应急预案中的职责和分工；</w:t>
      </w:r>
    </w:p>
    <w:p>
      <w:pPr>
        <w:widowControl/>
        <w:autoSpaceDN w:val="0"/>
        <w:ind w:firstLine="480"/>
        <w:textAlignment w:val="auto"/>
        <w:rPr>
          <w:sz w:val="24"/>
          <w:szCs w:val="24"/>
          <w:highlight w:val="none"/>
        </w:rPr>
      </w:pPr>
      <w:r>
        <w:rPr>
          <w:sz w:val="24"/>
          <w:szCs w:val="24"/>
          <w:highlight w:val="none"/>
        </w:rPr>
        <w:t>地下水环境保护目标的确定,采取的紧急处置措施和潜在污染可能性评估；</w:t>
      </w:r>
    </w:p>
    <w:p>
      <w:pPr>
        <w:widowControl/>
        <w:autoSpaceDN w:val="0"/>
        <w:ind w:firstLine="480"/>
        <w:textAlignment w:val="auto"/>
        <w:rPr>
          <w:sz w:val="24"/>
          <w:szCs w:val="24"/>
          <w:highlight w:val="none"/>
        </w:rPr>
      </w:pPr>
      <w:r>
        <w:rPr>
          <w:sz w:val="24"/>
          <w:szCs w:val="24"/>
          <w:highlight w:val="none"/>
        </w:rPr>
        <w:t>特大事故应急救援组织状况和人员、装备情况，平常的训练和演习；</w:t>
      </w:r>
    </w:p>
    <w:p>
      <w:pPr>
        <w:widowControl/>
        <w:autoSpaceDN w:val="0"/>
        <w:ind w:firstLine="480"/>
        <w:textAlignment w:val="auto"/>
        <w:rPr>
          <w:sz w:val="24"/>
          <w:szCs w:val="24"/>
          <w:highlight w:val="none"/>
        </w:rPr>
      </w:pPr>
      <w:r>
        <w:rPr>
          <w:sz w:val="24"/>
          <w:szCs w:val="24"/>
          <w:highlight w:val="none"/>
        </w:rPr>
        <w:t>特大事故的社会支持和援助,应急救援的经费保障。</w:t>
      </w:r>
    </w:p>
    <w:p>
      <w:pPr>
        <w:widowControl/>
        <w:autoSpaceDN w:val="0"/>
        <w:ind w:firstLine="480"/>
        <w:textAlignment w:val="auto"/>
        <w:rPr>
          <w:sz w:val="24"/>
          <w:szCs w:val="24"/>
          <w:highlight w:val="none"/>
        </w:rPr>
      </w:pPr>
      <w:r>
        <w:rPr>
          <w:rFonts w:hint="eastAsia"/>
          <w:sz w:val="24"/>
          <w:szCs w:val="24"/>
          <w:highlight w:val="none"/>
        </w:rPr>
        <w:t>②</w:t>
      </w:r>
      <w:r>
        <w:rPr>
          <w:sz w:val="24"/>
          <w:szCs w:val="24"/>
          <w:highlight w:val="none"/>
        </w:rPr>
        <w:t>应急处置</w:t>
      </w:r>
    </w:p>
    <w:p>
      <w:pPr>
        <w:widowControl/>
        <w:autoSpaceDN w:val="0"/>
        <w:ind w:firstLine="480"/>
        <w:textAlignment w:val="auto"/>
        <w:rPr>
          <w:sz w:val="24"/>
          <w:szCs w:val="24"/>
          <w:highlight w:val="none"/>
        </w:rPr>
      </w:pPr>
      <w:r>
        <w:rPr>
          <w:sz w:val="24"/>
          <w:szCs w:val="24"/>
          <w:highlight w:val="none"/>
        </w:rPr>
        <w:t>一旦发现地下水水质发生异常情况，必须按照应急预案马上采取紧急措施：</w:t>
      </w:r>
    </w:p>
    <w:p>
      <w:pPr>
        <w:widowControl/>
        <w:autoSpaceDN w:val="0"/>
        <w:ind w:firstLine="480"/>
        <w:textAlignment w:val="auto"/>
        <w:rPr>
          <w:sz w:val="24"/>
          <w:szCs w:val="24"/>
          <w:highlight w:val="none"/>
        </w:rPr>
      </w:pPr>
      <w:r>
        <w:rPr>
          <w:rFonts w:hint="eastAsia"/>
          <w:sz w:val="24"/>
          <w:szCs w:val="24"/>
          <w:highlight w:val="none"/>
        </w:rPr>
        <w:t>a.</w:t>
      </w:r>
      <w:r>
        <w:rPr>
          <w:sz w:val="24"/>
          <w:szCs w:val="24"/>
          <w:highlight w:val="none"/>
        </w:rPr>
        <w:t>当确定发生地下水异常情况时，按照制订的地下水应急预案，在第一时间内尽快上报主管领导，通知当地</w:t>
      </w:r>
      <w:r>
        <w:rPr>
          <w:rFonts w:hint="eastAsia"/>
          <w:sz w:val="24"/>
          <w:szCs w:val="24"/>
          <w:highlight w:val="none"/>
        </w:rPr>
        <w:t>生态环境局</w:t>
      </w:r>
      <w:r>
        <w:rPr>
          <w:sz w:val="24"/>
          <w:szCs w:val="24"/>
          <w:highlight w:val="none"/>
        </w:rPr>
        <w:t>，密切关注地下水水质变化情况。</w:t>
      </w:r>
    </w:p>
    <w:p>
      <w:pPr>
        <w:widowControl/>
        <w:autoSpaceDN w:val="0"/>
        <w:ind w:firstLine="480"/>
        <w:textAlignment w:val="auto"/>
        <w:rPr>
          <w:sz w:val="24"/>
          <w:szCs w:val="24"/>
          <w:highlight w:val="none"/>
        </w:rPr>
      </w:pPr>
      <w:r>
        <w:rPr>
          <w:rFonts w:hint="eastAsia"/>
          <w:sz w:val="24"/>
          <w:szCs w:val="24"/>
          <w:highlight w:val="none"/>
        </w:rPr>
        <w:t>b.</w:t>
      </w:r>
      <w:r>
        <w:rPr>
          <w:sz w:val="24"/>
          <w:szCs w:val="24"/>
          <w:highlight w:val="none"/>
        </w:rPr>
        <w:t>组织专业队伍对事故现场进行调查、监测，尽量将紧急事件局部化，防止事故的扩散、蔓延及连锁反应，尽量缩小地下水污染事故的影响范围和程度。</w:t>
      </w:r>
    </w:p>
    <w:p>
      <w:pPr>
        <w:widowControl/>
        <w:autoSpaceDN w:val="0"/>
        <w:ind w:firstLine="480"/>
        <w:textAlignment w:val="auto"/>
        <w:rPr>
          <w:sz w:val="24"/>
          <w:szCs w:val="24"/>
          <w:highlight w:val="none"/>
        </w:rPr>
      </w:pPr>
      <w:r>
        <w:rPr>
          <w:rFonts w:hint="eastAsia"/>
          <w:sz w:val="24"/>
          <w:szCs w:val="24"/>
          <w:highlight w:val="none"/>
        </w:rPr>
        <w:t>c.</w:t>
      </w:r>
      <w:r>
        <w:rPr>
          <w:sz w:val="24"/>
          <w:szCs w:val="24"/>
          <w:highlight w:val="none"/>
        </w:rPr>
        <w:t>当通过监测发现水质监测井周围地下水造成污染时，根据监测井的反馈信息，立即启动应急预案，采取措施，抑制污染物向下游扩散量，控制污染范围，使地下水质量得到尽快恢复。</w:t>
      </w:r>
    </w:p>
    <w:p>
      <w:pPr>
        <w:widowControl/>
        <w:autoSpaceDN w:val="0"/>
        <w:ind w:firstLine="480"/>
        <w:textAlignment w:val="auto"/>
        <w:rPr>
          <w:sz w:val="24"/>
          <w:szCs w:val="24"/>
          <w:highlight w:val="none"/>
        </w:rPr>
      </w:pPr>
      <w:r>
        <w:rPr>
          <w:rFonts w:hint="eastAsia"/>
          <w:sz w:val="24"/>
          <w:szCs w:val="24"/>
          <w:highlight w:val="none"/>
        </w:rPr>
        <w:t>d.</w:t>
      </w:r>
      <w:r>
        <w:rPr>
          <w:sz w:val="24"/>
          <w:szCs w:val="24"/>
          <w:highlight w:val="none"/>
        </w:rPr>
        <w:t>对事故后果进行评估，并制定防止类似事件发生的措施。</w:t>
      </w:r>
    </w:p>
    <w:p>
      <w:pPr>
        <w:pStyle w:val="221"/>
        <w:snapToGrid/>
        <w:spacing w:line="360" w:lineRule="auto"/>
        <w:ind w:firstLine="480" w:firstLineChars="200"/>
        <w:rPr>
          <w:szCs w:val="24"/>
          <w:highlight w:val="none"/>
        </w:rPr>
      </w:pPr>
      <w:r>
        <w:rPr>
          <w:rFonts w:hint="eastAsia"/>
          <w:szCs w:val="24"/>
          <w:highlight w:val="none"/>
        </w:rPr>
        <w:t>e.</w:t>
      </w:r>
      <w:r>
        <w:rPr>
          <w:szCs w:val="24"/>
          <w:highlight w:val="none"/>
        </w:rPr>
        <w:t>如果自身力量无法应对污染事故，应立即请求社会应急力量协助处理。</w:t>
      </w:r>
    </w:p>
    <w:p>
      <w:pPr>
        <w:pStyle w:val="6"/>
        <w:numPr>
          <w:ilvl w:val="2"/>
          <w:numId w:val="1"/>
        </w:numPr>
        <w:rPr>
          <w:szCs w:val="28"/>
          <w:highlight w:val="none"/>
        </w:rPr>
      </w:pPr>
      <w:bookmarkStart w:id="460" w:name="_Toc521591814"/>
      <w:bookmarkStart w:id="461" w:name="_Toc22411"/>
      <w:r>
        <w:rPr>
          <w:szCs w:val="28"/>
          <w:highlight w:val="none"/>
        </w:rPr>
        <w:t>运营期噪声污染防治措施</w:t>
      </w:r>
      <w:bookmarkEnd w:id="460"/>
      <w:bookmarkEnd w:id="461"/>
      <w:r>
        <w:rPr>
          <w:rFonts w:hint="eastAsia"/>
          <w:szCs w:val="28"/>
          <w:highlight w:val="none"/>
        </w:rPr>
        <w:t>可行性分析</w:t>
      </w:r>
    </w:p>
    <w:p>
      <w:pPr>
        <w:autoSpaceDE w:val="0"/>
        <w:autoSpaceDN w:val="0"/>
        <w:ind w:firstLine="480"/>
        <w:jc w:val="both"/>
        <w:textAlignment w:val="auto"/>
        <w:rPr>
          <w:sz w:val="24"/>
          <w:szCs w:val="24"/>
          <w:highlight w:val="none"/>
        </w:rPr>
      </w:pPr>
      <w:r>
        <w:rPr>
          <w:kern w:val="2"/>
          <w:sz w:val="24"/>
          <w:szCs w:val="24"/>
          <w:highlight w:val="none"/>
        </w:rPr>
        <w:t>本项目主要噪声来源于破碎机、球磨机、</w:t>
      </w:r>
      <w:r>
        <w:rPr>
          <w:rFonts w:hint="eastAsia"/>
          <w:kern w:val="2"/>
          <w:sz w:val="24"/>
          <w:szCs w:val="24"/>
          <w:highlight w:val="none"/>
        </w:rPr>
        <w:t>磁滑轮、</w:t>
      </w:r>
      <w:r>
        <w:rPr>
          <w:kern w:val="2"/>
          <w:sz w:val="24"/>
          <w:szCs w:val="24"/>
          <w:highlight w:val="none"/>
        </w:rPr>
        <w:t>磁选机、水泵等设备运行过程中产生的噪声，噪声的声压级一般在70-100dB（A）左右</w:t>
      </w:r>
      <w:r>
        <w:rPr>
          <w:sz w:val="24"/>
          <w:szCs w:val="24"/>
          <w:highlight w:val="none"/>
        </w:rPr>
        <w:t>。</w:t>
      </w:r>
    </w:p>
    <w:p>
      <w:pPr>
        <w:pStyle w:val="3"/>
        <w:spacing w:before="48" w:after="48"/>
        <w:rPr>
          <w:szCs w:val="24"/>
          <w:highlight w:val="none"/>
        </w:rPr>
      </w:pPr>
      <w:r>
        <w:rPr>
          <w:rFonts w:hint="eastAsia"/>
          <w:highlight w:val="none"/>
          <w:lang w:bidi="zh-CN"/>
        </w:rPr>
        <w:t>6.2.4.1</w:t>
      </w:r>
      <w:r>
        <w:rPr>
          <w:rFonts w:hint="eastAsia"/>
          <w:highlight w:val="none"/>
          <w:lang w:val="zh-CN" w:bidi="zh-CN"/>
        </w:rPr>
        <w:t>噪声污染防治措施</w:t>
      </w:r>
    </w:p>
    <w:p>
      <w:pPr>
        <w:ind w:firstLine="480"/>
        <w:rPr>
          <w:kern w:val="2"/>
          <w:sz w:val="24"/>
          <w:szCs w:val="24"/>
          <w:highlight w:val="none"/>
          <w:lang w:val="zh-CN"/>
        </w:rPr>
      </w:pPr>
      <w:r>
        <w:rPr>
          <w:rFonts w:hint="eastAsia"/>
          <w:kern w:val="2"/>
          <w:sz w:val="24"/>
          <w:szCs w:val="24"/>
          <w:highlight w:val="none"/>
          <w:lang w:val="zh-CN"/>
        </w:rPr>
        <w:t>为降低设备噪声对周围环境的影响，建设单位拟采取以下降噪措施：</w:t>
      </w:r>
    </w:p>
    <w:p>
      <w:pPr>
        <w:autoSpaceDE w:val="0"/>
        <w:autoSpaceDN w:val="0"/>
        <w:ind w:firstLine="480"/>
        <w:jc w:val="both"/>
        <w:textAlignment w:val="auto"/>
        <w:rPr>
          <w:kern w:val="2"/>
          <w:sz w:val="24"/>
          <w:szCs w:val="24"/>
          <w:highlight w:val="none"/>
        </w:rPr>
      </w:pPr>
      <w:r>
        <w:rPr>
          <w:bCs/>
          <w:sz w:val="24"/>
          <w:szCs w:val="24"/>
          <w:highlight w:val="none"/>
        </w:rPr>
        <w:t>（1）平面布置将高噪声的设备集中布置，生产区与生活办公区分开布设；</w:t>
      </w:r>
    </w:p>
    <w:p>
      <w:pPr>
        <w:autoSpaceDE w:val="0"/>
        <w:autoSpaceDN w:val="0"/>
        <w:ind w:firstLine="480"/>
        <w:jc w:val="both"/>
        <w:textAlignment w:val="auto"/>
        <w:rPr>
          <w:kern w:val="2"/>
          <w:sz w:val="24"/>
          <w:szCs w:val="24"/>
          <w:highlight w:val="none"/>
        </w:rPr>
      </w:pPr>
      <w:r>
        <w:rPr>
          <w:kern w:val="2"/>
          <w:sz w:val="24"/>
          <w:szCs w:val="24"/>
          <w:highlight w:val="none"/>
        </w:rPr>
        <w:t>（2）选用噪声低、振动小的设备，同时运营后加强对各种机械的维修保养，保持其良好的运行效果；设备均采用隔振基础、柔性接头、弹性隔振吊、支架等。</w:t>
      </w:r>
    </w:p>
    <w:p>
      <w:pPr>
        <w:autoSpaceDE w:val="0"/>
        <w:autoSpaceDN w:val="0"/>
        <w:ind w:firstLine="480"/>
        <w:jc w:val="both"/>
        <w:textAlignment w:val="auto"/>
        <w:rPr>
          <w:kern w:val="2"/>
          <w:sz w:val="24"/>
          <w:szCs w:val="24"/>
          <w:highlight w:val="none"/>
        </w:rPr>
      </w:pPr>
      <w:r>
        <w:rPr>
          <w:kern w:val="2"/>
          <w:sz w:val="24"/>
          <w:szCs w:val="24"/>
          <w:highlight w:val="none"/>
        </w:rPr>
        <w:t>（3）生产设备置于车间内，充分利用建筑物隔声，降低对周围环境的影响。</w:t>
      </w:r>
    </w:p>
    <w:p>
      <w:pPr>
        <w:autoSpaceDE w:val="0"/>
        <w:autoSpaceDN w:val="0"/>
        <w:ind w:firstLine="480"/>
        <w:jc w:val="both"/>
        <w:textAlignment w:val="auto"/>
        <w:rPr>
          <w:kern w:val="2"/>
          <w:sz w:val="24"/>
          <w:szCs w:val="24"/>
          <w:highlight w:val="none"/>
        </w:rPr>
      </w:pPr>
      <w:r>
        <w:rPr>
          <w:kern w:val="2"/>
          <w:sz w:val="24"/>
          <w:szCs w:val="24"/>
          <w:highlight w:val="none"/>
        </w:rPr>
        <w:t>（4）水泵机组底座下设置橡胶隔振器、金属弹簧隔振器或弹性衬垫材料；保证吸水口吞没深度和吸水管衔接的严厉密封；吸水管道上和出水管上装设软性衔接装置。</w:t>
      </w:r>
    </w:p>
    <w:p>
      <w:pPr>
        <w:ind w:firstLine="480"/>
        <w:jc w:val="both"/>
        <w:rPr>
          <w:bCs/>
          <w:sz w:val="24"/>
          <w:szCs w:val="24"/>
          <w:highlight w:val="none"/>
        </w:rPr>
      </w:pPr>
      <w:r>
        <w:rPr>
          <w:bCs/>
          <w:sz w:val="24"/>
          <w:szCs w:val="24"/>
          <w:highlight w:val="none"/>
        </w:rPr>
        <w:t>（5）运营期应加强调度管理，尽量减少夜间运输。</w:t>
      </w:r>
    </w:p>
    <w:p>
      <w:pPr>
        <w:autoSpaceDE w:val="0"/>
        <w:autoSpaceDN w:val="0"/>
        <w:ind w:firstLine="480"/>
        <w:jc w:val="both"/>
        <w:textAlignment w:val="auto"/>
        <w:rPr>
          <w:kern w:val="2"/>
          <w:sz w:val="24"/>
          <w:szCs w:val="24"/>
          <w:highlight w:val="none"/>
        </w:rPr>
      </w:pPr>
      <w:r>
        <w:rPr>
          <w:bCs/>
          <w:sz w:val="24"/>
          <w:szCs w:val="24"/>
          <w:highlight w:val="none"/>
        </w:rPr>
        <w:t>（6）运输车辆要限制车速，经过村庄时要减速行驶，夜间要禁止鸣笛。</w:t>
      </w:r>
    </w:p>
    <w:p>
      <w:pPr>
        <w:autoSpaceDE w:val="0"/>
        <w:autoSpaceDN w:val="0"/>
        <w:ind w:firstLine="480"/>
        <w:jc w:val="both"/>
        <w:textAlignment w:val="auto"/>
        <w:rPr>
          <w:kern w:val="2"/>
          <w:sz w:val="24"/>
          <w:szCs w:val="24"/>
          <w:highlight w:val="none"/>
        </w:rPr>
      </w:pPr>
      <w:r>
        <w:rPr>
          <w:kern w:val="2"/>
          <w:sz w:val="24"/>
          <w:szCs w:val="24"/>
          <w:highlight w:val="none"/>
        </w:rPr>
        <w:t>（7）加强厂区四周绿化，合理配置绿化物种及高度，以提高绿地和树木对噪声的阻断和吸收衰减作用。</w:t>
      </w:r>
    </w:p>
    <w:p>
      <w:pPr>
        <w:autoSpaceDE w:val="0"/>
        <w:autoSpaceDN w:val="0"/>
        <w:ind w:firstLine="480"/>
        <w:jc w:val="both"/>
        <w:textAlignment w:val="auto"/>
        <w:rPr>
          <w:kern w:val="2"/>
          <w:sz w:val="24"/>
          <w:szCs w:val="24"/>
          <w:highlight w:val="none"/>
        </w:rPr>
      </w:pPr>
      <w:r>
        <w:rPr>
          <w:kern w:val="2"/>
          <w:sz w:val="24"/>
          <w:szCs w:val="24"/>
          <w:highlight w:val="none"/>
        </w:rPr>
        <w:t>虽然本项目选用低噪设备，并采用了各种降噪措施对车间噪声进行降噪处理，使厂界噪声达标，但生产设备产生的噪声仍对员工的影响较大，如不注意对员工的防护会对员工的健康带来一定的影响。</w:t>
      </w:r>
    </w:p>
    <w:p>
      <w:pPr>
        <w:autoSpaceDE w:val="0"/>
        <w:autoSpaceDN w:val="0"/>
        <w:ind w:firstLine="480"/>
        <w:jc w:val="both"/>
        <w:textAlignment w:val="auto"/>
        <w:rPr>
          <w:kern w:val="2"/>
          <w:sz w:val="24"/>
          <w:szCs w:val="24"/>
          <w:highlight w:val="none"/>
        </w:rPr>
      </w:pPr>
      <w:r>
        <w:rPr>
          <w:kern w:val="2"/>
          <w:sz w:val="24"/>
          <w:szCs w:val="24"/>
          <w:highlight w:val="none"/>
        </w:rPr>
        <w:t>建设单位采取以下措施减少工作时噪声对员工的影响：</w:t>
      </w:r>
      <w:r>
        <w:rPr>
          <w:rFonts w:hint="eastAsia" w:ascii="宋体" w:hAnsi="宋体" w:cs="宋体"/>
          <w:kern w:val="2"/>
          <w:sz w:val="24"/>
          <w:szCs w:val="24"/>
          <w:highlight w:val="none"/>
        </w:rPr>
        <w:t>①</w:t>
      </w:r>
      <w:r>
        <w:rPr>
          <w:kern w:val="2"/>
          <w:sz w:val="24"/>
          <w:szCs w:val="24"/>
          <w:highlight w:val="none"/>
        </w:rPr>
        <w:t>发放耳塞，减少工作时噪声的影响；</w:t>
      </w:r>
      <w:r>
        <w:rPr>
          <w:rFonts w:hint="eastAsia" w:ascii="宋体" w:hAnsi="宋体" w:cs="宋体"/>
          <w:kern w:val="2"/>
          <w:sz w:val="24"/>
          <w:szCs w:val="24"/>
          <w:highlight w:val="none"/>
        </w:rPr>
        <w:t>②</w:t>
      </w:r>
      <w:r>
        <w:rPr>
          <w:kern w:val="2"/>
          <w:sz w:val="24"/>
          <w:szCs w:val="24"/>
          <w:highlight w:val="none"/>
        </w:rPr>
        <w:t>在厂房内设置隔声休息室，定时安排员工进入休息室休息，缓解噪声带来的影响；</w:t>
      </w:r>
      <w:r>
        <w:rPr>
          <w:rFonts w:hint="eastAsia" w:ascii="宋体" w:hAnsi="宋体" w:cs="宋体"/>
          <w:kern w:val="2"/>
          <w:sz w:val="24"/>
          <w:szCs w:val="24"/>
          <w:highlight w:val="none"/>
        </w:rPr>
        <w:t>③</w:t>
      </w:r>
      <w:r>
        <w:rPr>
          <w:kern w:val="2"/>
          <w:sz w:val="24"/>
          <w:szCs w:val="24"/>
          <w:highlight w:val="none"/>
        </w:rPr>
        <w:t>定期对员工进行体检，如有发现工作噪声对员工的健康带来危害，立即进行治疗并及时调整员工工作时间及个人防护措施。</w:t>
      </w:r>
    </w:p>
    <w:p>
      <w:pPr>
        <w:pStyle w:val="3"/>
        <w:spacing w:before="48" w:after="48"/>
        <w:rPr>
          <w:highlight w:val="none"/>
        </w:rPr>
      </w:pPr>
      <w:bookmarkStart w:id="462" w:name="_Hlk9232829"/>
      <w:bookmarkStart w:id="463" w:name="_Hlk9240376"/>
      <w:r>
        <w:rPr>
          <w:rFonts w:hint="eastAsia"/>
          <w:highlight w:val="none"/>
        </w:rPr>
        <w:t>6.2.4.2噪声污染防治措施可行性分析</w:t>
      </w:r>
    </w:p>
    <w:bookmarkEnd w:id="462"/>
    <w:p>
      <w:pPr>
        <w:ind w:firstLine="480"/>
        <w:rPr>
          <w:kern w:val="2"/>
          <w:sz w:val="24"/>
          <w:szCs w:val="24"/>
          <w:highlight w:val="none"/>
          <w:lang w:val="zh-CN"/>
        </w:rPr>
      </w:pPr>
      <w:bookmarkStart w:id="464" w:name="_Hlk9232814"/>
      <w:r>
        <w:rPr>
          <w:rFonts w:hint="eastAsia"/>
          <w:kern w:val="2"/>
          <w:sz w:val="24"/>
          <w:szCs w:val="24"/>
          <w:highlight w:val="none"/>
          <w:lang w:val="zh-CN"/>
        </w:rPr>
        <w:t>该项目产噪设备经采取相应的降噪措施后，对厂界的噪声贡献值满足《工业企业厂界环境噪声排放标准》(GB12348-2008)2类标准要求。项目运输路线远离敏感点，要求运输车辆限速行驶，对敏感目标噪声影响较小。</w:t>
      </w:r>
    </w:p>
    <w:p>
      <w:pPr>
        <w:ind w:firstLine="480"/>
        <w:textAlignment w:val="auto"/>
        <w:rPr>
          <w:kern w:val="2"/>
          <w:sz w:val="24"/>
          <w:szCs w:val="24"/>
          <w:highlight w:val="none"/>
        </w:rPr>
      </w:pPr>
      <w:r>
        <w:rPr>
          <w:rFonts w:hint="eastAsia"/>
          <w:kern w:val="2"/>
          <w:sz w:val="24"/>
          <w:szCs w:val="24"/>
          <w:highlight w:val="none"/>
          <w:lang w:val="zh-CN"/>
        </w:rPr>
        <w:t>以上分析表明，产噪设备采取以上降噪措施的降噪效果，本项目采取的降噪措施可行。</w:t>
      </w:r>
      <w:bookmarkEnd w:id="463"/>
      <w:bookmarkEnd w:id="464"/>
    </w:p>
    <w:p>
      <w:pPr>
        <w:pStyle w:val="6"/>
        <w:numPr>
          <w:ilvl w:val="2"/>
          <w:numId w:val="1"/>
        </w:numPr>
        <w:rPr>
          <w:szCs w:val="28"/>
          <w:highlight w:val="none"/>
        </w:rPr>
      </w:pPr>
      <w:bookmarkStart w:id="465" w:name="_Toc24295"/>
      <w:bookmarkStart w:id="466" w:name="_Toc521591815"/>
      <w:bookmarkStart w:id="467" w:name="_Hlk18932661"/>
      <w:r>
        <w:rPr>
          <w:szCs w:val="28"/>
          <w:highlight w:val="none"/>
        </w:rPr>
        <w:t>运营期固废处置措施</w:t>
      </w:r>
      <w:bookmarkEnd w:id="465"/>
      <w:bookmarkEnd w:id="466"/>
      <w:r>
        <w:rPr>
          <w:rFonts w:hint="eastAsia"/>
          <w:szCs w:val="28"/>
          <w:highlight w:val="none"/>
        </w:rPr>
        <w:t>及可行性分析</w:t>
      </w:r>
    </w:p>
    <w:p>
      <w:pPr>
        <w:ind w:firstLine="480"/>
        <w:jc w:val="both"/>
        <w:rPr>
          <w:bCs/>
          <w:sz w:val="24"/>
          <w:szCs w:val="24"/>
          <w:highlight w:val="none"/>
        </w:rPr>
      </w:pPr>
      <w:r>
        <w:rPr>
          <w:bCs/>
          <w:sz w:val="24"/>
          <w:szCs w:val="24"/>
          <w:highlight w:val="none"/>
        </w:rPr>
        <w:t>建设项目投产后产生的一般固体废物主要为尾矿砂、</w:t>
      </w:r>
      <w:r>
        <w:rPr>
          <w:rFonts w:hint="eastAsia"/>
          <w:bCs/>
          <w:sz w:val="24"/>
          <w:szCs w:val="24"/>
          <w:highlight w:val="none"/>
        </w:rPr>
        <w:t>泥饼、</w:t>
      </w:r>
      <w:r>
        <w:rPr>
          <w:bCs/>
          <w:sz w:val="24"/>
          <w:szCs w:val="24"/>
          <w:highlight w:val="none"/>
        </w:rPr>
        <w:t>废钢球</w:t>
      </w:r>
      <w:r>
        <w:rPr>
          <w:rFonts w:hint="eastAsia"/>
          <w:bCs/>
          <w:sz w:val="24"/>
          <w:szCs w:val="24"/>
          <w:highlight w:val="none"/>
        </w:rPr>
        <w:t>、除尘灰</w:t>
      </w:r>
      <w:r>
        <w:rPr>
          <w:bCs/>
          <w:sz w:val="24"/>
          <w:szCs w:val="24"/>
          <w:highlight w:val="none"/>
        </w:rPr>
        <w:t>，危险废物主要为废</w:t>
      </w:r>
      <w:r>
        <w:rPr>
          <w:rFonts w:hint="eastAsia"/>
          <w:bCs/>
          <w:sz w:val="24"/>
          <w:szCs w:val="24"/>
          <w:highlight w:val="none"/>
        </w:rPr>
        <w:t>矿物油</w:t>
      </w:r>
      <w:r>
        <w:rPr>
          <w:bCs/>
          <w:sz w:val="24"/>
          <w:szCs w:val="24"/>
          <w:highlight w:val="none"/>
        </w:rPr>
        <w:t>、废油桶。</w:t>
      </w:r>
    </w:p>
    <w:p>
      <w:pPr>
        <w:ind w:firstLine="480"/>
        <w:jc w:val="both"/>
        <w:rPr>
          <w:bCs/>
          <w:sz w:val="24"/>
          <w:szCs w:val="24"/>
          <w:highlight w:val="none"/>
        </w:rPr>
      </w:pPr>
      <w:r>
        <w:rPr>
          <w:bCs/>
          <w:sz w:val="24"/>
          <w:szCs w:val="24"/>
          <w:highlight w:val="none"/>
        </w:rPr>
        <w:t>（1）尾矿砂</w:t>
      </w:r>
      <w:r>
        <w:rPr>
          <w:rFonts w:hint="eastAsia"/>
          <w:bCs/>
          <w:sz w:val="24"/>
          <w:szCs w:val="24"/>
          <w:highlight w:val="none"/>
        </w:rPr>
        <w:t>、泥饼</w:t>
      </w:r>
    </w:p>
    <w:p>
      <w:pPr>
        <w:ind w:firstLine="480"/>
        <w:jc w:val="both"/>
        <w:rPr>
          <w:bCs/>
          <w:sz w:val="24"/>
          <w:szCs w:val="24"/>
          <w:highlight w:val="none"/>
        </w:rPr>
      </w:pPr>
      <w:r>
        <w:rPr>
          <w:bCs/>
          <w:sz w:val="24"/>
          <w:szCs w:val="24"/>
          <w:highlight w:val="none"/>
        </w:rPr>
        <w:t>根据《</w:t>
      </w:r>
      <w:r>
        <w:rPr>
          <w:rFonts w:hint="eastAsia"/>
          <w:bCs/>
          <w:sz w:val="24"/>
          <w:szCs w:val="24"/>
          <w:highlight w:val="none"/>
        </w:rPr>
        <w:t>一般工业固体废物贮存和填埋污染控制标准</w:t>
      </w:r>
      <w:r>
        <w:rPr>
          <w:bCs/>
          <w:sz w:val="24"/>
          <w:szCs w:val="24"/>
          <w:highlight w:val="none"/>
        </w:rPr>
        <w:t>》（GB18599-20</w:t>
      </w:r>
      <w:r>
        <w:rPr>
          <w:rFonts w:hint="eastAsia"/>
          <w:bCs/>
          <w:sz w:val="24"/>
          <w:szCs w:val="24"/>
          <w:highlight w:val="none"/>
        </w:rPr>
        <w:t>20</w:t>
      </w:r>
      <w:r>
        <w:rPr>
          <w:bCs/>
          <w:sz w:val="24"/>
          <w:szCs w:val="24"/>
          <w:highlight w:val="none"/>
        </w:rPr>
        <w:t>）、《危险废物鉴别标准》（GB5085.1-7-2007），本项目尾矿砂属于第Ⅰ类一般固体废物，主要成分为SiO</w:t>
      </w:r>
      <w:r>
        <w:rPr>
          <w:bCs/>
          <w:sz w:val="24"/>
          <w:szCs w:val="24"/>
          <w:highlight w:val="none"/>
          <w:vertAlign w:val="subscript"/>
        </w:rPr>
        <w:t>2</w:t>
      </w:r>
      <w:r>
        <w:rPr>
          <w:bCs/>
          <w:sz w:val="24"/>
          <w:szCs w:val="24"/>
          <w:highlight w:val="none"/>
        </w:rPr>
        <w:t>和Fe等元素，不含有毒有害物质，尾矿砂外售当地建材企业综合利用，外售当地建材企业综合利用。</w:t>
      </w:r>
    </w:p>
    <w:p>
      <w:pPr>
        <w:ind w:firstLine="480"/>
        <w:jc w:val="both"/>
        <w:rPr>
          <w:bCs/>
          <w:sz w:val="24"/>
          <w:szCs w:val="24"/>
          <w:highlight w:val="none"/>
        </w:rPr>
      </w:pPr>
      <w:r>
        <w:rPr>
          <w:bCs/>
          <w:sz w:val="24"/>
          <w:szCs w:val="24"/>
          <w:highlight w:val="none"/>
        </w:rPr>
        <w:t>（</w:t>
      </w:r>
      <w:r>
        <w:rPr>
          <w:rFonts w:hint="eastAsia"/>
          <w:bCs/>
          <w:sz w:val="24"/>
          <w:szCs w:val="24"/>
          <w:highlight w:val="none"/>
        </w:rPr>
        <w:t>2</w:t>
      </w:r>
      <w:r>
        <w:rPr>
          <w:bCs/>
          <w:sz w:val="24"/>
          <w:szCs w:val="24"/>
          <w:highlight w:val="none"/>
        </w:rPr>
        <w:t>）废钢球</w:t>
      </w:r>
    </w:p>
    <w:p>
      <w:pPr>
        <w:ind w:firstLine="480"/>
        <w:jc w:val="both"/>
        <w:rPr>
          <w:bCs/>
          <w:sz w:val="24"/>
          <w:szCs w:val="24"/>
          <w:highlight w:val="none"/>
        </w:rPr>
      </w:pPr>
      <w:r>
        <w:rPr>
          <w:bCs/>
          <w:sz w:val="24"/>
          <w:szCs w:val="24"/>
          <w:highlight w:val="none"/>
        </w:rPr>
        <w:t>废钢球由厂家回收处理。</w:t>
      </w:r>
    </w:p>
    <w:p>
      <w:pPr>
        <w:ind w:firstLine="480"/>
        <w:jc w:val="both"/>
        <w:rPr>
          <w:bCs/>
          <w:sz w:val="24"/>
          <w:szCs w:val="24"/>
          <w:highlight w:val="none"/>
        </w:rPr>
      </w:pPr>
      <w:r>
        <w:rPr>
          <w:bCs/>
          <w:sz w:val="24"/>
          <w:szCs w:val="24"/>
          <w:highlight w:val="none"/>
        </w:rPr>
        <w:t>（</w:t>
      </w:r>
      <w:r>
        <w:rPr>
          <w:rFonts w:hint="eastAsia"/>
          <w:bCs/>
          <w:sz w:val="24"/>
          <w:szCs w:val="24"/>
          <w:highlight w:val="none"/>
        </w:rPr>
        <w:t>3</w:t>
      </w:r>
      <w:r>
        <w:rPr>
          <w:bCs/>
          <w:sz w:val="24"/>
          <w:szCs w:val="24"/>
          <w:highlight w:val="none"/>
        </w:rPr>
        <w:t>）高效除尘器收尘</w:t>
      </w:r>
    </w:p>
    <w:p>
      <w:pPr>
        <w:ind w:firstLine="480"/>
        <w:jc w:val="both"/>
        <w:rPr>
          <w:bCs/>
          <w:sz w:val="24"/>
          <w:szCs w:val="24"/>
          <w:highlight w:val="none"/>
        </w:rPr>
      </w:pPr>
      <w:r>
        <w:rPr>
          <w:bCs/>
          <w:sz w:val="24"/>
          <w:szCs w:val="24"/>
          <w:highlight w:val="none"/>
        </w:rPr>
        <w:t>高效除尘器收集的粉尘，</w:t>
      </w:r>
      <w:r>
        <w:rPr>
          <w:rFonts w:hint="eastAsia"/>
          <w:bCs/>
          <w:sz w:val="24"/>
          <w:szCs w:val="24"/>
          <w:highlight w:val="none"/>
        </w:rPr>
        <w:t>灰仓底部设水箱，卸灰至水箱内，由渣浆泵打入球磨机回用于生产</w:t>
      </w:r>
      <w:r>
        <w:rPr>
          <w:bCs/>
          <w:sz w:val="24"/>
          <w:szCs w:val="24"/>
          <w:highlight w:val="none"/>
        </w:rPr>
        <w:t>。</w:t>
      </w:r>
    </w:p>
    <w:p>
      <w:pPr>
        <w:ind w:firstLine="480"/>
        <w:jc w:val="both"/>
        <w:rPr>
          <w:bCs/>
          <w:sz w:val="24"/>
          <w:szCs w:val="24"/>
          <w:highlight w:val="none"/>
        </w:rPr>
      </w:pPr>
      <w:r>
        <w:rPr>
          <w:bCs/>
          <w:sz w:val="24"/>
          <w:szCs w:val="24"/>
          <w:highlight w:val="none"/>
        </w:rPr>
        <w:t>（</w:t>
      </w:r>
      <w:r>
        <w:rPr>
          <w:rFonts w:hint="eastAsia"/>
          <w:bCs/>
          <w:sz w:val="24"/>
          <w:szCs w:val="24"/>
          <w:highlight w:val="none"/>
        </w:rPr>
        <w:t>4</w:t>
      </w:r>
      <w:r>
        <w:rPr>
          <w:bCs/>
          <w:sz w:val="24"/>
          <w:szCs w:val="24"/>
          <w:highlight w:val="none"/>
        </w:rPr>
        <w:t>）危险废物</w:t>
      </w:r>
    </w:p>
    <w:p>
      <w:pPr>
        <w:ind w:firstLine="480"/>
        <w:jc w:val="both"/>
        <w:rPr>
          <w:bCs/>
          <w:sz w:val="24"/>
          <w:szCs w:val="24"/>
          <w:highlight w:val="none"/>
        </w:rPr>
      </w:pPr>
      <w:r>
        <w:rPr>
          <w:bCs/>
          <w:sz w:val="24"/>
          <w:szCs w:val="24"/>
          <w:highlight w:val="none"/>
        </w:rPr>
        <w:t>本项目废</w:t>
      </w:r>
      <w:r>
        <w:rPr>
          <w:rFonts w:hint="eastAsia"/>
          <w:bCs/>
          <w:sz w:val="24"/>
          <w:szCs w:val="24"/>
          <w:highlight w:val="none"/>
        </w:rPr>
        <w:t>矿物油</w:t>
      </w:r>
      <w:r>
        <w:rPr>
          <w:bCs/>
          <w:sz w:val="24"/>
          <w:szCs w:val="24"/>
          <w:highlight w:val="none"/>
        </w:rPr>
        <w:t>、废油桶年产生量约为0.3t/a，根据《国家危险废物名录》（20</w:t>
      </w:r>
      <w:r>
        <w:rPr>
          <w:rFonts w:hint="eastAsia"/>
          <w:bCs/>
          <w:sz w:val="24"/>
          <w:szCs w:val="24"/>
          <w:highlight w:val="none"/>
        </w:rPr>
        <w:t>21</w:t>
      </w:r>
      <w:r>
        <w:rPr>
          <w:bCs/>
          <w:sz w:val="24"/>
          <w:szCs w:val="24"/>
          <w:highlight w:val="none"/>
        </w:rPr>
        <w:t>版），废</w:t>
      </w:r>
      <w:r>
        <w:rPr>
          <w:rFonts w:hint="eastAsia"/>
          <w:bCs/>
          <w:sz w:val="24"/>
          <w:szCs w:val="24"/>
          <w:highlight w:val="none"/>
        </w:rPr>
        <w:t>矿物油</w:t>
      </w:r>
      <w:r>
        <w:rPr>
          <w:bCs/>
          <w:sz w:val="24"/>
          <w:szCs w:val="24"/>
          <w:highlight w:val="none"/>
        </w:rPr>
        <w:t>（HW08废矿物油与含矿物油废物）、废油桶（HW49其他废物）为危险废物，将废</w:t>
      </w:r>
      <w:r>
        <w:rPr>
          <w:rFonts w:hint="eastAsia"/>
          <w:bCs/>
          <w:sz w:val="24"/>
          <w:szCs w:val="24"/>
          <w:highlight w:val="none"/>
        </w:rPr>
        <w:t>矿物油</w:t>
      </w:r>
      <w:r>
        <w:rPr>
          <w:bCs/>
          <w:sz w:val="24"/>
          <w:szCs w:val="24"/>
          <w:highlight w:val="none"/>
        </w:rPr>
        <w:t>用耐腐蚀容器统一收集后与废油桶分区存于厂区危废暂存间内，定期交由有资质的危险废物处置单位处理。</w:t>
      </w:r>
    </w:p>
    <w:p>
      <w:pPr>
        <w:snapToGrid w:val="0"/>
        <w:ind w:firstLine="480"/>
        <w:jc w:val="both"/>
        <w:rPr>
          <w:bCs/>
          <w:sz w:val="24"/>
          <w:szCs w:val="24"/>
          <w:highlight w:val="none"/>
        </w:rPr>
      </w:pPr>
      <w:r>
        <w:rPr>
          <w:bCs/>
          <w:sz w:val="24"/>
          <w:szCs w:val="24"/>
          <w:highlight w:val="none"/>
        </w:rPr>
        <w:t>（7）危废暂存间建设及管理要求</w:t>
      </w:r>
      <w:bookmarkEnd w:id="467"/>
    </w:p>
    <w:p>
      <w:pPr>
        <w:snapToGrid w:val="0"/>
        <w:ind w:firstLine="480"/>
        <w:jc w:val="both"/>
        <w:rPr>
          <w:bCs/>
          <w:sz w:val="24"/>
          <w:szCs w:val="24"/>
          <w:highlight w:val="none"/>
        </w:rPr>
      </w:pPr>
      <w:r>
        <w:rPr>
          <w:rFonts w:hint="eastAsia"/>
          <w:bCs/>
          <w:sz w:val="24"/>
          <w:szCs w:val="24"/>
          <w:highlight w:val="none"/>
        </w:rPr>
        <w:t>危险废物存储依托厂区现有危废间。</w:t>
      </w:r>
    </w:p>
    <w:p>
      <w:pPr>
        <w:snapToGrid w:val="0"/>
        <w:ind w:firstLine="480"/>
        <w:jc w:val="both"/>
        <w:rPr>
          <w:bCs/>
          <w:sz w:val="24"/>
          <w:szCs w:val="24"/>
          <w:highlight w:val="none"/>
        </w:rPr>
      </w:pPr>
      <w:r>
        <w:rPr>
          <w:bCs/>
          <w:sz w:val="24"/>
          <w:szCs w:val="24"/>
          <w:highlight w:val="none"/>
        </w:rPr>
        <w:t>危险废物在危废间暂存期间严格按照《危险废物贮存污染控制标准》（GB18597-20</w:t>
      </w:r>
      <w:r>
        <w:rPr>
          <w:rFonts w:hint="eastAsia"/>
          <w:bCs/>
          <w:sz w:val="24"/>
          <w:szCs w:val="24"/>
          <w:highlight w:val="none"/>
        </w:rPr>
        <w:t>23</w:t>
      </w:r>
      <w:r>
        <w:rPr>
          <w:bCs/>
          <w:sz w:val="24"/>
          <w:szCs w:val="24"/>
          <w:highlight w:val="none"/>
        </w:rPr>
        <w:t>）相关要求：</w:t>
      </w:r>
    </w:p>
    <w:p>
      <w:pPr>
        <w:snapToGrid w:val="0"/>
        <w:ind w:firstLine="480"/>
        <w:jc w:val="both"/>
        <w:rPr>
          <w:bCs/>
          <w:sz w:val="24"/>
          <w:szCs w:val="24"/>
          <w:highlight w:val="none"/>
        </w:rPr>
      </w:pPr>
      <w:r>
        <w:rPr>
          <w:rFonts w:hint="eastAsia" w:ascii="宋体" w:hAnsi="宋体" w:cs="宋体"/>
          <w:bCs/>
          <w:sz w:val="24"/>
          <w:szCs w:val="24"/>
          <w:highlight w:val="none"/>
        </w:rPr>
        <w:t>①</w:t>
      </w:r>
      <w:r>
        <w:rPr>
          <w:bCs/>
          <w:sz w:val="24"/>
          <w:szCs w:val="24"/>
          <w:highlight w:val="none"/>
        </w:rPr>
        <w:t>地面与裙脚采取防渗措施，同时设置泄漏液体的收集装置。防渗层渗透系数小于10</w:t>
      </w:r>
      <w:r>
        <w:rPr>
          <w:bCs/>
          <w:sz w:val="24"/>
          <w:szCs w:val="24"/>
          <w:highlight w:val="none"/>
          <w:vertAlign w:val="superscript"/>
        </w:rPr>
        <w:t>-10</w:t>
      </w:r>
      <w:r>
        <w:rPr>
          <w:bCs/>
          <w:sz w:val="24"/>
          <w:szCs w:val="24"/>
          <w:highlight w:val="none"/>
        </w:rPr>
        <w:t>cm/s。地面及四周裙脚均应耐腐蚀，耐热且表面无裂隙，同时设置泄漏液体的收集装置。危废暂存间设有隔离设施、报警装置和防风、防晒、防雨等安全设施。</w:t>
      </w:r>
    </w:p>
    <w:p>
      <w:pPr>
        <w:snapToGrid w:val="0"/>
        <w:ind w:firstLine="480"/>
        <w:jc w:val="both"/>
        <w:rPr>
          <w:bCs/>
          <w:sz w:val="24"/>
          <w:szCs w:val="24"/>
          <w:highlight w:val="none"/>
        </w:rPr>
      </w:pPr>
      <w:r>
        <w:rPr>
          <w:rFonts w:hint="eastAsia" w:ascii="宋体" w:hAnsi="宋体" w:cs="宋体"/>
          <w:bCs/>
          <w:sz w:val="24"/>
          <w:szCs w:val="24"/>
          <w:highlight w:val="none"/>
        </w:rPr>
        <w:t>②</w:t>
      </w:r>
      <w:r>
        <w:rPr>
          <w:bCs/>
          <w:sz w:val="24"/>
          <w:szCs w:val="24"/>
          <w:highlight w:val="none"/>
        </w:rPr>
        <w:t>有泄漏液体收集装置、气体导出口及气体净化装置；设施内有安全照明装置和观察窗口；并设置环保专用标志。</w:t>
      </w:r>
    </w:p>
    <w:p>
      <w:pPr>
        <w:snapToGrid w:val="0"/>
        <w:ind w:firstLine="480"/>
        <w:jc w:val="both"/>
        <w:rPr>
          <w:bCs/>
          <w:sz w:val="24"/>
          <w:szCs w:val="24"/>
          <w:highlight w:val="none"/>
        </w:rPr>
      </w:pPr>
      <w:r>
        <w:rPr>
          <w:rFonts w:hint="eastAsia" w:ascii="宋体" w:hAnsi="宋体" w:cs="宋体"/>
          <w:bCs/>
          <w:sz w:val="24"/>
          <w:szCs w:val="24"/>
          <w:highlight w:val="none"/>
        </w:rPr>
        <w:t>③</w:t>
      </w:r>
      <w:r>
        <w:rPr>
          <w:bCs/>
          <w:sz w:val="24"/>
          <w:szCs w:val="24"/>
          <w:highlight w:val="none"/>
        </w:rPr>
        <w:t>做好危险废物情况记录，记录上注明危险废物的名称、来源、数量、特性、包装容器的类别、入库日期、存放位置、出库日期、接收单位名称等。</w:t>
      </w:r>
    </w:p>
    <w:p>
      <w:pPr>
        <w:snapToGrid w:val="0"/>
        <w:ind w:firstLine="480"/>
        <w:jc w:val="both"/>
        <w:rPr>
          <w:bCs/>
          <w:sz w:val="24"/>
          <w:szCs w:val="24"/>
          <w:highlight w:val="none"/>
        </w:rPr>
      </w:pPr>
      <w:r>
        <w:rPr>
          <w:rFonts w:hint="eastAsia" w:ascii="宋体" w:hAnsi="宋体" w:cs="宋体"/>
          <w:bCs/>
          <w:sz w:val="24"/>
          <w:szCs w:val="24"/>
          <w:highlight w:val="none"/>
        </w:rPr>
        <w:t>④</w:t>
      </w:r>
      <w:r>
        <w:rPr>
          <w:bCs/>
          <w:sz w:val="24"/>
          <w:szCs w:val="24"/>
          <w:highlight w:val="none"/>
        </w:rPr>
        <w:t>定期对所贮存的危险废物包装容器及贮存设施进行检查，发现漏损及时清理更换。</w:t>
      </w:r>
    </w:p>
    <w:p>
      <w:pPr>
        <w:ind w:firstLine="480"/>
        <w:jc w:val="both"/>
        <w:rPr>
          <w:sz w:val="24"/>
          <w:szCs w:val="24"/>
          <w:highlight w:val="none"/>
        </w:rPr>
      </w:pPr>
      <w:r>
        <w:rPr>
          <w:sz w:val="24"/>
          <w:szCs w:val="24"/>
          <w:highlight w:val="none"/>
        </w:rPr>
        <w:t>经采取上述措施，固体废物均得到合理处置，不会对环境造成二次污染，措施可行。</w:t>
      </w:r>
    </w:p>
    <w:p>
      <w:pPr>
        <w:pStyle w:val="6"/>
        <w:numPr>
          <w:ilvl w:val="2"/>
          <w:numId w:val="1"/>
        </w:numPr>
        <w:rPr>
          <w:szCs w:val="28"/>
          <w:highlight w:val="none"/>
        </w:rPr>
      </w:pPr>
      <w:bookmarkStart w:id="468" w:name="_Toc521591816"/>
      <w:bookmarkStart w:id="469" w:name="_Toc8968"/>
      <w:r>
        <w:rPr>
          <w:szCs w:val="28"/>
          <w:highlight w:val="none"/>
        </w:rPr>
        <w:t>绿化</w:t>
      </w:r>
      <w:bookmarkEnd w:id="468"/>
      <w:bookmarkEnd w:id="469"/>
    </w:p>
    <w:p>
      <w:pPr>
        <w:spacing w:line="440" w:lineRule="exact"/>
        <w:ind w:firstLine="480"/>
        <w:jc w:val="both"/>
        <w:rPr>
          <w:sz w:val="24"/>
          <w:szCs w:val="24"/>
          <w:highlight w:val="none"/>
        </w:rPr>
      </w:pPr>
      <w:r>
        <w:rPr>
          <w:sz w:val="24"/>
          <w:szCs w:val="24"/>
          <w:highlight w:val="none"/>
        </w:rPr>
        <w:t>绿化具有许多特殊的环境功能，如调节温度及湿度、改良气候、净化空气、防风固沙、保持水土、隔音降噪等，还可以美化环境，给全公司职工创造一个舒适的工作和生活环境。结合本项目情况，使厂区的绿化工作能够有序地开展，本次评价提出具体建议如下：</w:t>
      </w:r>
    </w:p>
    <w:p>
      <w:pPr>
        <w:spacing w:line="440" w:lineRule="exact"/>
        <w:ind w:firstLine="480"/>
        <w:rPr>
          <w:sz w:val="24"/>
          <w:szCs w:val="24"/>
          <w:highlight w:val="none"/>
        </w:rPr>
      </w:pPr>
      <w:r>
        <w:rPr>
          <w:sz w:val="24"/>
          <w:szCs w:val="24"/>
          <w:highlight w:val="none"/>
        </w:rPr>
        <w:t>（1）在厂前区，选树形美观、观赏价值高的常绿灌木、无花絮乔木，并大量配置草皮等；</w:t>
      </w:r>
    </w:p>
    <w:p>
      <w:pPr>
        <w:spacing w:line="440" w:lineRule="exact"/>
        <w:ind w:firstLine="480"/>
        <w:rPr>
          <w:sz w:val="24"/>
          <w:szCs w:val="24"/>
          <w:highlight w:val="none"/>
        </w:rPr>
      </w:pPr>
      <w:r>
        <w:rPr>
          <w:sz w:val="24"/>
          <w:szCs w:val="24"/>
          <w:highlight w:val="none"/>
        </w:rPr>
        <w:t>（2）在有地下管沟的地段选用浅根性草皮、灌木等植物；</w:t>
      </w:r>
    </w:p>
    <w:p>
      <w:pPr>
        <w:spacing w:line="440" w:lineRule="exact"/>
        <w:ind w:firstLine="480"/>
        <w:rPr>
          <w:sz w:val="24"/>
          <w:szCs w:val="24"/>
          <w:highlight w:val="none"/>
        </w:rPr>
      </w:pPr>
      <w:r>
        <w:rPr>
          <w:sz w:val="24"/>
          <w:szCs w:val="24"/>
          <w:highlight w:val="none"/>
        </w:rPr>
        <w:t>（3）在厂区的各个建筑物之间，用绿化带协调和连接，多种植草皮、常青树木；</w:t>
      </w:r>
    </w:p>
    <w:p>
      <w:pPr>
        <w:ind w:firstLine="480"/>
        <w:rPr>
          <w:sz w:val="24"/>
          <w:szCs w:val="24"/>
          <w:highlight w:val="none"/>
        </w:rPr>
      </w:pPr>
      <w:r>
        <w:rPr>
          <w:sz w:val="24"/>
          <w:szCs w:val="24"/>
          <w:highlight w:val="none"/>
        </w:rPr>
        <w:t>（4）在厂界四周建绿化带，同时种植高大乔木，以过滤空气中的粉尘和有害气体，并兼有防火的作用，也可减小周围环境对本项目的影响；</w:t>
      </w:r>
    </w:p>
    <w:p>
      <w:pPr>
        <w:ind w:firstLine="480"/>
        <w:rPr>
          <w:sz w:val="24"/>
          <w:szCs w:val="24"/>
          <w:highlight w:val="none"/>
        </w:rPr>
      </w:pPr>
      <w:r>
        <w:rPr>
          <w:sz w:val="24"/>
          <w:szCs w:val="24"/>
          <w:highlight w:val="none"/>
        </w:rPr>
        <w:t>（5）厂区道路两侧选择易管理且抗旱性强的树种，如杨树、刺槐等。</w:t>
      </w:r>
    </w:p>
    <w:p>
      <w:pPr>
        <w:ind w:firstLine="480"/>
        <w:rPr>
          <w:sz w:val="24"/>
          <w:szCs w:val="24"/>
          <w:highlight w:val="none"/>
        </w:rPr>
      </w:pPr>
      <w:r>
        <w:rPr>
          <w:sz w:val="24"/>
          <w:szCs w:val="24"/>
          <w:highlight w:val="none"/>
        </w:rPr>
        <w:t>建设单位应加强对绿化工作及保护生态环境工作重要性的认识，配备专职人员对绿化工作进行管理，固定绿化投资，以保证绿化工作的长期开展。</w:t>
      </w:r>
    </w:p>
    <w:p>
      <w:pPr>
        <w:pStyle w:val="6"/>
        <w:numPr>
          <w:ilvl w:val="2"/>
          <w:numId w:val="1"/>
        </w:numPr>
        <w:rPr>
          <w:bCs w:val="0"/>
          <w:snapToGrid w:val="0"/>
          <w:kern w:val="0"/>
          <w:szCs w:val="28"/>
          <w:highlight w:val="none"/>
        </w:rPr>
      </w:pPr>
      <w:bookmarkStart w:id="470" w:name="_Toc524285114"/>
      <w:bookmarkStart w:id="471" w:name="_Toc521591817"/>
      <w:bookmarkStart w:id="472" w:name="_Toc18607"/>
      <w:bookmarkStart w:id="473" w:name="_Toc503218121"/>
      <w:bookmarkStart w:id="474" w:name="_Toc499651422"/>
      <w:bookmarkStart w:id="475" w:name="_Toc11511"/>
      <w:bookmarkStart w:id="476" w:name="_Toc8400"/>
      <w:r>
        <w:rPr>
          <w:bCs w:val="0"/>
          <w:snapToGrid w:val="0"/>
          <w:kern w:val="0"/>
          <w:szCs w:val="28"/>
          <w:highlight w:val="none"/>
        </w:rPr>
        <w:t>环境保护投资估算</w:t>
      </w:r>
      <w:bookmarkEnd w:id="470"/>
      <w:bookmarkEnd w:id="471"/>
      <w:bookmarkEnd w:id="472"/>
      <w:bookmarkEnd w:id="473"/>
      <w:bookmarkEnd w:id="474"/>
      <w:bookmarkEnd w:id="475"/>
      <w:bookmarkEnd w:id="476"/>
    </w:p>
    <w:p>
      <w:pPr>
        <w:autoSpaceDE w:val="0"/>
        <w:autoSpaceDN w:val="0"/>
        <w:ind w:firstLine="480"/>
        <w:jc w:val="both"/>
        <w:textAlignment w:val="auto"/>
        <w:rPr>
          <w:sz w:val="24"/>
          <w:szCs w:val="24"/>
          <w:highlight w:val="none"/>
        </w:rPr>
      </w:pPr>
      <w:r>
        <w:rPr>
          <w:sz w:val="24"/>
          <w:szCs w:val="24"/>
          <w:highlight w:val="none"/>
        </w:rPr>
        <w:t>本项目总投资为</w:t>
      </w:r>
      <w:r>
        <w:rPr>
          <w:rFonts w:hint="eastAsia"/>
          <w:sz w:val="24"/>
          <w:szCs w:val="24"/>
          <w:highlight w:val="none"/>
        </w:rPr>
        <w:t>28</w:t>
      </w:r>
      <w:r>
        <w:rPr>
          <w:sz w:val="24"/>
          <w:szCs w:val="24"/>
          <w:highlight w:val="none"/>
        </w:rPr>
        <w:t>00万元，其中环保投资</w:t>
      </w:r>
      <w:r>
        <w:rPr>
          <w:rFonts w:hint="eastAsia"/>
          <w:sz w:val="24"/>
          <w:szCs w:val="24"/>
          <w:highlight w:val="none"/>
        </w:rPr>
        <w:t>110万</w:t>
      </w:r>
      <w:r>
        <w:rPr>
          <w:sz w:val="24"/>
          <w:szCs w:val="24"/>
          <w:highlight w:val="none"/>
        </w:rPr>
        <w:t>元，占总投资的比例为</w:t>
      </w:r>
      <w:r>
        <w:rPr>
          <w:rFonts w:hint="eastAsia"/>
          <w:sz w:val="24"/>
          <w:szCs w:val="24"/>
          <w:highlight w:val="none"/>
        </w:rPr>
        <w:t>3.9</w:t>
      </w:r>
      <w:r>
        <w:rPr>
          <w:sz w:val="24"/>
          <w:szCs w:val="24"/>
          <w:highlight w:val="none"/>
        </w:rPr>
        <w:t>%</w:t>
      </w:r>
      <w:r>
        <w:rPr>
          <w:rFonts w:hint="eastAsia"/>
          <w:sz w:val="24"/>
          <w:szCs w:val="24"/>
          <w:highlight w:val="none"/>
        </w:rPr>
        <w:t>，</w:t>
      </w:r>
      <w:r>
        <w:rPr>
          <w:sz w:val="24"/>
          <w:szCs w:val="24"/>
          <w:highlight w:val="none"/>
        </w:rPr>
        <w:t>本项目环保投资明细见表6.2-</w:t>
      </w:r>
      <w:r>
        <w:rPr>
          <w:rFonts w:hint="eastAsia"/>
          <w:sz w:val="24"/>
          <w:szCs w:val="24"/>
          <w:highlight w:val="none"/>
        </w:rPr>
        <w:t>7</w:t>
      </w:r>
      <w:r>
        <w:rPr>
          <w:sz w:val="24"/>
          <w:szCs w:val="24"/>
          <w:highlight w:val="none"/>
        </w:rPr>
        <w:t>。</w:t>
      </w:r>
    </w:p>
    <w:p>
      <w:pPr>
        <w:spacing w:line="240" w:lineRule="auto"/>
        <w:ind w:firstLine="0" w:firstLineChars="0"/>
        <w:jc w:val="center"/>
        <w:textAlignment w:val="auto"/>
        <w:rPr>
          <w:rFonts w:eastAsia="黑体"/>
          <w:kern w:val="2"/>
          <w:sz w:val="21"/>
          <w:szCs w:val="21"/>
          <w:highlight w:val="none"/>
        </w:rPr>
      </w:pPr>
      <w:r>
        <w:rPr>
          <w:rFonts w:eastAsia="黑体"/>
          <w:kern w:val="2"/>
          <w:sz w:val="21"/>
          <w:szCs w:val="21"/>
          <w:highlight w:val="none"/>
        </w:rPr>
        <w:t>表6.2-</w:t>
      </w:r>
      <w:r>
        <w:rPr>
          <w:rFonts w:hint="eastAsia" w:eastAsia="黑体"/>
          <w:kern w:val="2"/>
          <w:sz w:val="21"/>
          <w:szCs w:val="21"/>
          <w:highlight w:val="none"/>
        </w:rPr>
        <w:t>7</w:t>
      </w:r>
      <w:r>
        <w:rPr>
          <w:rFonts w:eastAsia="黑体"/>
          <w:kern w:val="2"/>
          <w:sz w:val="21"/>
          <w:szCs w:val="21"/>
          <w:highlight w:val="none"/>
        </w:rPr>
        <w:t xml:space="preserve">    污染防治环保投资估算表</w:t>
      </w:r>
    </w:p>
    <w:tbl>
      <w:tblPr>
        <w:tblStyle w:val="56"/>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0"/>
        <w:gridCol w:w="1081"/>
        <w:gridCol w:w="869"/>
        <w:gridCol w:w="4680"/>
        <w:gridCol w:w="11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项目</w:t>
            </w:r>
          </w:p>
        </w:tc>
        <w:tc>
          <w:tcPr>
            <w:tcW w:w="1950"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污染源</w:t>
            </w:r>
          </w:p>
        </w:tc>
        <w:tc>
          <w:tcPr>
            <w:tcW w:w="468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措施内容</w:t>
            </w:r>
          </w:p>
        </w:tc>
        <w:tc>
          <w:tcPr>
            <w:tcW w:w="1152" w:type="dxa"/>
            <w:tcBorders>
              <w:tl2br w:val="nil"/>
              <w:tr2bl w:val="nil"/>
            </w:tcBorders>
            <w:vAlign w:val="center"/>
          </w:tcPr>
          <w:p>
            <w:pPr>
              <w:spacing w:line="240" w:lineRule="auto"/>
              <w:ind w:left="-70" w:leftChars="-25" w:right="-70" w:rightChars="-25" w:firstLine="0" w:firstLineChars="0"/>
              <w:jc w:val="center"/>
              <w:rPr>
                <w:spacing w:val="-4"/>
                <w:sz w:val="21"/>
                <w:szCs w:val="21"/>
                <w:highlight w:val="none"/>
              </w:rPr>
            </w:pPr>
            <w:r>
              <w:rPr>
                <w:spacing w:val="-4"/>
                <w:sz w:val="21"/>
                <w:szCs w:val="21"/>
                <w:highlight w:val="none"/>
              </w:rPr>
              <w:t>投资（万元）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废气</w:t>
            </w:r>
          </w:p>
        </w:tc>
        <w:tc>
          <w:tcPr>
            <w:tcW w:w="1081" w:type="dxa"/>
            <w:tcBorders>
              <w:tl2br w:val="nil"/>
              <w:tr2bl w:val="nil"/>
            </w:tcBorders>
            <w:vAlign w:val="center"/>
          </w:tcPr>
          <w:p>
            <w:pPr>
              <w:spacing w:line="240" w:lineRule="auto"/>
              <w:ind w:firstLine="0" w:firstLineChars="0"/>
              <w:jc w:val="center"/>
              <w:rPr>
                <w:bCs/>
                <w:kern w:val="2"/>
                <w:sz w:val="21"/>
                <w:szCs w:val="21"/>
                <w:highlight w:val="none"/>
              </w:rPr>
            </w:pPr>
            <w:r>
              <w:rPr>
                <w:rFonts w:hint="eastAsia"/>
                <w:bCs/>
                <w:kern w:val="2"/>
                <w:sz w:val="21"/>
                <w:szCs w:val="21"/>
                <w:highlight w:val="none"/>
              </w:rPr>
              <w:t>粗铁粉</w:t>
            </w:r>
            <w:r>
              <w:rPr>
                <w:bCs/>
                <w:kern w:val="2"/>
                <w:sz w:val="21"/>
                <w:szCs w:val="21"/>
                <w:highlight w:val="none"/>
              </w:rPr>
              <w:t>库</w:t>
            </w:r>
          </w:p>
        </w:tc>
        <w:tc>
          <w:tcPr>
            <w:tcW w:w="869"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粉尘</w:t>
            </w:r>
          </w:p>
        </w:tc>
        <w:tc>
          <w:tcPr>
            <w:tcW w:w="4680" w:type="dxa"/>
            <w:tcBorders>
              <w:tl2br w:val="nil"/>
              <w:tr2bl w:val="nil"/>
            </w:tcBorders>
            <w:vAlign w:val="center"/>
          </w:tcPr>
          <w:p>
            <w:pPr>
              <w:tabs>
                <w:tab w:val="left" w:pos="2745"/>
              </w:tabs>
              <w:adjustRightInd w:val="0"/>
              <w:snapToGrid w:val="0"/>
              <w:spacing w:line="240" w:lineRule="auto"/>
              <w:ind w:firstLine="0" w:firstLineChars="0"/>
              <w:jc w:val="center"/>
              <w:textAlignment w:val="auto"/>
              <w:rPr>
                <w:bCs/>
                <w:kern w:val="2"/>
                <w:sz w:val="21"/>
                <w:szCs w:val="21"/>
                <w:highlight w:val="none"/>
              </w:rPr>
            </w:pPr>
            <w:r>
              <w:rPr>
                <w:bCs/>
                <w:kern w:val="2"/>
                <w:sz w:val="21"/>
                <w:szCs w:val="21"/>
                <w:highlight w:val="none"/>
              </w:rPr>
              <w:t>地面全部硬化防渗，全封闭钢结构，水喷淋系统等</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81"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上料</w:t>
            </w:r>
          </w:p>
        </w:tc>
        <w:tc>
          <w:tcPr>
            <w:tcW w:w="869"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粉尘</w:t>
            </w:r>
          </w:p>
        </w:tc>
        <w:tc>
          <w:tcPr>
            <w:tcW w:w="4680" w:type="dxa"/>
            <w:tcBorders>
              <w:tl2br w:val="nil"/>
              <w:tr2bl w:val="nil"/>
            </w:tcBorders>
            <w:vAlign w:val="center"/>
          </w:tcPr>
          <w:p>
            <w:pPr>
              <w:spacing w:line="240" w:lineRule="auto"/>
              <w:ind w:firstLine="0" w:firstLineChars="0"/>
              <w:jc w:val="center"/>
              <w:rPr>
                <w:sz w:val="21"/>
                <w:szCs w:val="24"/>
                <w:highlight w:val="none"/>
              </w:rPr>
            </w:pPr>
            <w:r>
              <w:rPr>
                <w:rFonts w:hint="eastAsia"/>
                <w:sz w:val="21"/>
                <w:szCs w:val="24"/>
                <w:highlight w:val="none"/>
              </w:rPr>
              <w:t>设置满足要求的原料棚</w:t>
            </w:r>
            <w:r>
              <w:rPr>
                <w:sz w:val="21"/>
                <w:szCs w:val="24"/>
                <w:highlight w:val="none"/>
              </w:rPr>
              <w:t>，并设置喷淋系统</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81" w:type="dxa"/>
            <w:tcBorders>
              <w:tl2br w:val="nil"/>
              <w:tr2bl w:val="nil"/>
            </w:tcBorders>
            <w:vAlign w:val="center"/>
          </w:tcPr>
          <w:p>
            <w:pPr>
              <w:spacing w:line="240" w:lineRule="auto"/>
              <w:ind w:firstLine="0" w:firstLineChars="0"/>
              <w:jc w:val="center"/>
              <w:rPr>
                <w:bCs/>
                <w:kern w:val="2"/>
                <w:sz w:val="21"/>
                <w:szCs w:val="21"/>
                <w:highlight w:val="none"/>
              </w:rPr>
            </w:pPr>
            <w:r>
              <w:rPr>
                <w:bCs/>
                <w:kern w:val="2"/>
                <w:sz w:val="21"/>
                <w:szCs w:val="21"/>
                <w:highlight w:val="none"/>
              </w:rPr>
              <w:t>运输</w:t>
            </w:r>
          </w:p>
        </w:tc>
        <w:tc>
          <w:tcPr>
            <w:tcW w:w="869"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粉尘</w:t>
            </w:r>
          </w:p>
        </w:tc>
        <w:tc>
          <w:tcPr>
            <w:tcW w:w="4680" w:type="dxa"/>
            <w:tcBorders>
              <w:tl2br w:val="nil"/>
              <w:tr2bl w:val="nil"/>
            </w:tcBorders>
            <w:vAlign w:val="center"/>
          </w:tcPr>
          <w:p>
            <w:pPr>
              <w:spacing w:line="240" w:lineRule="auto"/>
              <w:ind w:firstLine="0" w:firstLineChars="0"/>
              <w:jc w:val="center"/>
              <w:rPr>
                <w:bCs/>
                <w:kern w:val="2"/>
                <w:sz w:val="21"/>
                <w:szCs w:val="21"/>
                <w:highlight w:val="none"/>
              </w:rPr>
            </w:pPr>
            <w:r>
              <w:rPr>
                <w:bCs/>
                <w:kern w:val="2"/>
                <w:sz w:val="21"/>
                <w:szCs w:val="21"/>
                <w:highlight w:val="none"/>
              </w:rPr>
              <w:t>运输车辆车顶加盖篷布、厂区路面硬化、及时清扫并洒水</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81" w:type="dxa"/>
            <w:tcBorders>
              <w:tl2br w:val="nil"/>
              <w:tr2bl w:val="nil"/>
            </w:tcBorders>
            <w:vAlign w:val="center"/>
          </w:tcPr>
          <w:p>
            <w:pPr>
              <w:spacing w:line="240" w:lineRule="auto"/>
              <w:ind w:firstLine="0" w:firstLineChars="0"/>
              <w:jc w:val="center"/>
              <w:rPr>
                <w:bCs/>
                <w:kern w:val="2"/>
                <w:sz w:val="21"/>
                <w:szCs w:val="21"/>
                <w:highlight w:val="none"/>
              </w:rPr>
            </w:pPr>
            <w:r>
              <w:rPr>
                <w:bCs/>
                <w:kern w:val="2"/>
                <w:sz w:val="21"/>
                <w:szCs w:val="21"/>
                <w:highlight w:val="none"/>
              </w:rPr>
              <w:t>物料输送</w:t>
            </w:r>
          </w:p>
        </w:tc>
        <w:tc>
          <w:tcPr>
            <w:tcW w:w="869"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粉尘</w:t>
            </w:r>
          </w:p>
        </w:tc>
        <w:tc>
          <w:tcPr>
            <w:tcW w:w="4680" w:type="dxa"/>
            <w:tcBorders>
              <w:tl2br w:val="nil"/>
              <w:tr2bl w:val="nil"/>
            </w:tcBorders>
            <w:vAlign w:val="center"/>
          </w:tcPr>
          <w:p>
            <w:pPr>
              <w:spacing w:line="240" w:lineRule="auto"/>
              <w:ind w:firstLine="0" w:firstLineChars="0"/>
              <w:jc w:val="center"/>
              <w:rPr>
                <w:bCs/>
                <w:kern w:val="2"/>
                <w:sz w:val="21"/>
                <w:szCs w:val="21"/>
                <w:highlight w:val="none"/>
              </w:rPr>
            </w:pPr>
            <w:r>
              <w:rPr>
                <w:bCs/>
                <w:kern w:val="2"/>
                <w:sz w:val="21"/>
                <w:szCs w:val="21"/>
                <w:highlight w:val="none"/>
              </w:rPr>
              <w:t>密闭输送廊道</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081" w:type="dxa"/>
            <w:tcBorders>
              <w:tl2br w:val="nil"/>
              <w:tr2bl w:val="nil"/>
            </w:tcBorders>
            <w:vAlign w:val="center"/>
          </w:tcPr>
          <w:p>
            <w:pPr>
              <w:spacing w:line="240" w:lineRule="auto"/>
              <w:ind w:firstLine="0" w:firstLineChars="0"/>
              <w:jc w:val="center"/>
              <w:rPr>
                <w:bCs/>
                <w:kern w:val="2"/>
                <w:sz w:val="21"/>
                <w:szCs w:val="21"/>
                <w:highlight w:val="none"/>
              </w:rPr>
            </w:pPr>
            <w:r>
              <w:rPr>
                <w:bCs/>
                <w:kern w:val="2"/>
                <w:sz w:val="21"/>
                <w:szCs w:val="21"/>
                <w:highlight w:val="none"/>
              </w:rPr>
              <w:t>破碎车间</w:t>
            </w:r>
          </w:p>
        </w:tc>
        <w:tc>
          <w:tcPr>
            <w:tcW w:w="869"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粉尘</w:t>
            </w:r>
          </w:p>
        </w:tc>
        <w:tc>
          <w:tcPr>
            <w:tcW w:w="4680" w:type="dxa"/>
            <w:tcBorders>
              <w:tl2br w:val="nil"/>
              <w:tr2bl w:val="nil"/>
            </w:tcBorders>
            <w:vAlign w:val="center"/>
          </w:tcPr>
          <w:p>
            <w:pPr>
              <w:spacing w:line="240" w:lineRule="auto"/>
              <w:ind w:firstLine="0" w:firstLineChars="0"/>
              <w:jc w:val="center"/>
              <w:rPr>
                <w:bCs/>
                <w:kern w:val="2"/>
                <w:sz w:val="21"/>
                <w:szCs w:val="21"/>
                <w:highlight w:val="none"/>
              </w:rPr>
            </w:pPr>
            <w:r>
              <w:rPr>
                <w:bCs/>
                <w:kern w:val="2"/>
                <w:sz w:val="21"/>
                <w:szCs w:val="21"/>
                <w:highlight w:val="none"/>
              </w:rPr>
              <w:t>封闭生产车间+集气罩+布袋除尘器+1</w:t>
            </w:r>
            <w:r>
              <w:rPr>
                <w:rFonts w:hint="eastAsia"/>
                <w:bCs/>
                <w:kern w:val="2"/>
                <w:sz w:val="21"/>
                <w:szCs w:val="21"/>
                <w:highlight w:val="none"/>
              </w:rPr>
              <w:t>8</w:t>
            </w:r>
            <w:r>
              <w:rPr>
                <w:bCs/>
                <w:kern w:val="2"/>
                <w:sz w:val="21"/>
                <w:szCs w:val="21"/>
                <w:highlight w:val="none"/>
              </w:rPr>
              <w:t>m高排气筒</w:t>
            </w:r>
            <w:r>
              <w:rPr>
                <w:rFonts w:hint="eastAsia"/>
                <w:bCs/>
                <w:kern w:val="2"/>
                <w:sz w:val="21"/>
                <w:szCs w:val="21"/>
                <w:highlight w:val="none"/>
              </w:rPr>
              <w:t>（1套）</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740"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废水</w:t>
            </w:r>
          </w:p>
        </w:tc>
        <w:tc>
          <w:tcPr>
            <w:tcW w:w="1950"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生产废水</w:t>
            </w:r>
          </w:p>
        </w:tc>
        <w:tc>
          <w:tcPr>
            <w:tcW w:w="4680" w:type="dxa"/>
            <w:tcBorders>
              <w:tl2br w:val="nil"/>
              <w:tr2bl w:val="nil"/>
            </w:tcBorders>
            <w:vAlign w:val="center"/>
          </w:tcPr>
          <w:p>
            <w:pPr>
              <w:spacing w:line="240" w:lineRule="auto"/>
              <w:ind w:firstLine="0" w:firstLineChars="0"/>
              <w:jc w:val="center"/>
              <w:rPr>
                <w:bCs/>
                <w:kern w:val="2"/>
                <w:sz w:val="21"/>
                <w:szCs w:val="21"/>
                <w:highlight w:val="none"/>
              </w:rPr>
            </w:pPr>
            <w:r>
              <w:rPr>
                <w:sz w:val="21"/>
                <w:szCs w:val="21"/>
                <w:highlight w:val="none"/>
              </w:rPr>
              <w:t>浓密池</w:t>
            </w:r>
            <w:r>
              <w:rPr>
                <w:rFonts w:hint="eastAsia"/>
                <w:sz w:val="21"/>
                <w:szCs w:val="21"/>
                <w:highlight w:val="none"/>
              </w:rPr>
              <w:t>1</w:t>
            </w:r>
            <w:r>
              <w:rPr>
                <w:sz w:val="21"/>
                <w:szCs w:val="21"/>
                <w:highlight w:val="none"/>
              </w:rPr>
              <w:t>座，清水池1座，压滤机1台，处理尾矿，得到尾矿砂，浓密池上清液和滤液回用于生产工序</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950"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洗车废水</w:t>
            </w:r>
          </w:p>
        </w:tc>
        <w:tc>
          <w:tcPr>
            <w:tcW w:w="4680" w:type="dxa"/>
            <w:tcBorders>
              <w:tl2br w:val="nil"/>
              <w:tr2bl w:val="nil"/>
            </w:tcBorders>
            <w:vAlign w:val="center"/>
          </w:tcPr>
          <w:p>
            <w:pPr>
              <w:spacing w:line="240" w:lineRule="auto"/>
              <w:ind w:firstLine="0" w:firstLineChars="0"/>
              <w:jc w:val="center"/>
              <w:rPr>
                <w:bCs/>
                <w:kern w:val="2"/>
                <w:sz w:val="21"/>
                <w:szCs w:val="21"/>
                <w:highlight w:val="none"/>
              </w:rPr>
            </w:pPr>
            <w:r>
              <w:rPr>
                <w:bCs/>
                <w:kern w:val="2"/>
                <w:sz w:val="21"/>
                <w:szCs w:val="21"/>
                <w:highlight w:val="none"/>
              </w:rPr>
              <w:t>洗车平台+冲洗废水沉淀池</w:t>
            </w:r>
            <w:r>
              <w:rPr>
                <w:rFonts w:hint="eastAsia"/>
                <w:bCs/>
                <w:kern w:val="2"/>
                <w:sz w:val="21"/>
                <w:szCs w:val="21"/>
                <w:highlight w:val="none"/>
              </w:rPr>
              <w:t>（1套）</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vMerge w:val="restart"/>
            <w:tcBorders>
              <w:tl2br w:val="nil"/>
              <w:tr2bl w:val="nil"/>
            </w:tcBorders>
            <w:vAlign w:val="center"/>
          </w:tcPr>
          <w:p>
            <w:pPr>
              <w:spacing w:line="240" w:lineRule="auto"/>
              <w:ind w:firstLine="0" w:firstLineChars="0"/>
              <w:jc w:val="center"/>
              <w:rPr>
                <w:sz w:val="21"/>
                <w:szCs w:val="21"/>
                <w:highlight w:val="none"/>
              </w:rPr>
            </w:pPr>
            <w:bookmarkStart w:id="477" w:name="OLE_LINK14"/>
            <w:bookmarkStart w:id="478" w:name="OLE_LINK13"/>
            <w:bookmarkStart w:id="479" w:name="_Hlk487034067"/>
            <w:r>
              <w:rPr>
                <w:sz w:val="21"/>
                <w:szCs w:val="21"/>
                <w:highlight w:val="none"/>
              </w:rPr>
              <w:t>固废</w:t>
            </w:r>
          </w:p>
        </w:tc>
        <w:tc>
          <w:tcPr>
            <w:tcW w:w="1950" w:type="dxa"/>
            <w:gridSpan w:val="2"/>
            <w:tcBorders>
              <w:tl2br w:val="nil"/>
              <w:tr2bl w:val="nil"/>
            </w:tcBorders>
            <w:vAlign w:val="center"/>
          </w:tcPr>
          <w:p>
            <w:pPr>
              <w:widowControl/>
              <w:spacing w:line="240" w:lineRule="auto"/>
              <w:ind w:firstLine="0" w:firstLineChars="0"/>
              <w:jc w:val="center"/>
              <w:rPr>
                <w:sz w:val="21"/>
                <w:szCs w:val="21"/>
                <w:highlight w:val="none"/>
              </w:rPr>
            </w:pPr>
            <w:r>
              <w:rPr>
                <w:sz w:val="21"/>
                <w:szCs w:val="21"/>
                <w:highlight w:val="none"/>
              </w:rPr>
              <w:t>生活垃圾</w:t>
            </w:r>
          </w:p>
        </w:tc>
        <w:tc>
          <w:tcPr>
            <w:tcW w:w="468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垃圾桶</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950" w:type="dxa"/>
            <w:gridSpan w:val="2"/>
            <w:tcBorders>
              <w:tl2br w:val="nil"/>
              <w:tr2bl w:val="nil"/>
            </w:tcBorders>
            <w:vAlign w:val="center"/>
          </w:tcPr>
          <w:p>
            <w:pPr>
              <w:widowControl/>
              <w:spacing w:line="240" w:lineRule="auto"/>
              <w:ind w:firstLine="0" w:firstLineChars="0"/>
              <w:jc w:val="center"/>
              <w:rPr>
                <w:sz w:val="21"/>
                <w:szCs w:val="21"/>
                <w:highlight w:val="none"/>
              </w:rPr>
            </w:pPr>
            <w:r>
              <w:rPr>
                <w:sz w:val="21"/>
                <w:szCs w:val="21"/>
                <w:highlight w:val="none"/>
              </w:rPr>
              <w:t>危险废物</w:t>
            </w:r>
          </w:p>
        </w:tc>
        <w:tc>
          <w:tcPr>
            <w:tcW w:w="468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危废暂存间</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4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噪声</w:t>
            </w:r>
          </w:p>
        </w:tc>
        <w:tc>
          <w:tcPr>
            <w:tcW w:w="1950" w:type="dxa"/>
            <w:gridSpan w:val="2"/>
            <w:tcBorders>
              <w:tl2br w:val="nil"/>
              <w:tr2bl w:val="nil"/>
            </w:tcBorders>
            <w:vAlign w:val="center"/>
          </w:tcPr>
          <w:p>
            <w:pPr>
              <w:widowControl/>
              <w:spacing w:line="240" w:lineRule="auto"/>
              <w:ind w:firstLine="0" w:firstLineChars="0"/>
              <w:jc w:val="center"/>
              <w:rPr>
                <w:sz w:val="21"/>
                <w:szCs w:val="21"/>
                <w:highlight w:val="none"/>
              </w:rPr>
            </w:pPr>
            <w:r>
              <w:rPr>
                <w:sz w:val="21"/>
                <w:szCs w:val="21"/>
                <w:highlight w:val="none"/>
              </w:rPr>
              <w:t>噪声设备</w:t>
            </w:r>
          </w:p>
        </w:tc>
        <w:tc>
          <w:tcPr>
            <w:tcW w:w="4680" w:type="dxa"/>
            <w:tcBorders>
              <w:tl2br w:val="nil"/>
              <w:tr2bl w:val="nil"/>
            </w:tcBorders>
            <w:vAlign w:val="center"/>
          </w:tcPr>
          <w:p>
            <w:pPr>
              <w:widowControl/>
              <w:spacing w:line="240" w:lineRule="auto"/>
              <w:ind w:firstLine="0" w:firstLineChars="0"/>
              <w:jc w:val="center"/>
              <w:rPr>
                <w:sz w:val="21"/>
                <w:szCs w:val="21"/>
                <w:highlight w:val="none"/>
              </w:rPr>
            </w:pPr>
            <w:r>
              <w:rPr>
                <w:sz w:val="21"/>
                <w:szCs w:val="21"/>
                <w:highlight w:val="none"/>
              </w:rPr>
              <w:t>减振、隔声、吸声等措施</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370" w:type="dxa"/>
            <w:gridSpan w:val="4"/>
            <w:tcBorders>
              <w:tl2br w:val="nil"/>
              <w:tr2bl w:val="nil"/>
            </w:tcBorders>
            <w:vAlign w:val="center"/>
          </w:tcPr>
          <w:p>
            <w:pPr>
              <w:widowControl/>
              <w:spacing w:line="240" w:lineRule="auto"/>
              <w:ind w:firstLine="0" w:firstLineChars="0"/>
              <w:jc w:val="center"/>
              <w:rPr>
                <w:sz w:val="21"/>
                <w:szCs w:val="21"/>
                <w:highlight w:val="none"/>
              </w:rPr>
            </w:pPr>
            <w:r>
              <w:rPr>
                <w:sz w:val="21"/>
                <w:szCs w:val="21"/>
                <w:highlight w:val="none"/>
              </w:rPr>
              <w:t>事故水池等</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3</w:t>
            </w:r>
          </w:p>
        </w:tc>
      </w:tr>
      <w:bookmarkEnd w:id="477"/>
      <w:bookmarkEnd w:id="478"/>
      <w:bookmarkEnd w:id="479"/>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370" w:type="dxa"/>
            <w:gridSpan w:val="4"/>
            <w:tcBorders>
              <w:tl2br w:val="nil"/>
              <w:tr2bl w:val="nil"/>
            </w:tcBorders>
            <w:vAlign w:val="center"/>
          </w:tcPr>
          <w:p>
            <w:pPr>
              <w:autoSpaceDE w:val="0"/>
              <w:autoSpaceDN w:val="0"/>
              <w:spacing w:line="240" w:lineRule="auto"/>
              <w:ind w:firstLine="0" w:firstLineChars="0"/>
              <w:jc w:val="center"/>
              <w:rPr>
                <w:sz w:val="21"/>
                <w:szCs w:val="21"/>
                <w:highlight w:val="none"/>
              </w:rPr>
            </w:pPr>
            <w:r>
              <w:rPr>
                <w:sz w:val="21"/>
                <w:szCs w:val="21"/>
                <w:highlight w:val="none"/>
              </w:rPr>
              <w:t>总计</w:t>
            </w:r>
          </w:p>
        </w:tc>
        <w:tc>
          <w:tcPr>
            <w:tcW w:w="1152"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110</w:t>
            </w:r>
          </w:p>
        </w:tc>
      </w:tr>
    </w:tbl>
    <w:p>
      <w:pPr>
        <w:spacing w:line="460" w:lineRule="exact"/>
        <w:ind w:firstLine="480"/>
        <w:rPr>
          <w:sz w:val="24"/>
          <w:szCs w:val="24"/>
          <w:highlight w:val="none"/>
        </w:rPr>
      </w:pPr>
    </w:p>
    <w:p>
      <w:pPr>
        <w:spacing w:line="460" w:lineRule="exact"/>
        <w:ind w:firstLine="480"/>
        <w:rPr>
          <w:sz w:val="24"/>
          <w:szCs w:val="24"/>
          <w:highlight w:val="none"/>
        </w:rPr>
        <w:sectPr>
          <w:pgSz w:w="11905" w:h="16838"/>
          <w:pgMar w:top="1440" w:right="1803" w:bottom="1134" w:left="1803" w:header="850" w:footer="992" w:gutter="0"/>
          <w:cols w:space="0" w:num="1"/>
          <w:docGrid w:linePitch="312" w:charSpace="0"/>
        </w:sectPr>
      </w:pPr>
    </w:p>
    <w:p>
      <w:pPr>
        <w:pStyle w:val="4"/>
        <w:numPr>
          <w:ilvl w:val="0"/>
          <w:numId w:val="1"/>
        </w:numPr>
        <w:rPr>
          <w:rFonts w:ascii="Times New Roman"/>
          <w:sz w:val="36"/>
          <w:highlight w:val="none"/>
        </w:rPr>
      </w:pPr>
      <w:bookmarkStart w:id="480" w:name="_Toc524285115"/>
      <w:bookmarkStart w:id="481" w:name="_Toc499651423"/>
      <w:bookmarkStart w:id="482" w:name="_Toc20032"/>
      <w:bookmarkStart w:id="483" w:name="_Toc521591818"/>
      <w:bookmarkStart w:id="484" w:name="_Toc477175434"/>
      <w:bookmarkStart w:id="485" w:name="_Toc7525"/>
      <w:bookmarkStart w:id="486" w:name="_Toc15353"/>
      <w:bookmarkStart w:id="487" w:name="_Toc503218122"/>
      <w:bookmarkStart w:id="488" w:name="_Toc18172"/>
      <w:r>
        <w:rPr>
          <w:rFonts w:ascii="Times New Roman"/>
          <w:sz w:val="36"/>
          <w:highlight w:val="none"/>
        </w:rPr>
        <w:t>环境影响经济损益分析</w:t>
      </w:r>
      <w:bookmarkEnd w:id="480"/>
      <w:bookmarkEnd w:id="481"/>
      <w:bookmarkEnd w:id="482"/>
      <w:bookmarkEnd w:id="483"/>
      <w:bookmarkEnd w:id="484"/>
      <w:bookmarkEnd w:id="485"/>
      <w:bookmarkEnd w:id="486"/>
      <w:bookmarkEnd w:id="487"/>
      <w:bookmarkEnd w:id="488"/>
    </w:p>
    <w:p>
      <w:pPr>
        <w:autoSpaceDE w:val="0"/>
        <w:autoSpaceDN w:val="0"/>
        <w:ind w:firstLine="480"/>
        <w:jc w:val="both"/>
        <w:textAlignment w:val="auto"/>
        <w:rPr>
          <w:sz w:val="24"/>
          <w:highlight w:val="none"/>
        </w:rPr>
      </w:pPr>
      <w:r>
        <w:rPr>
          <w:sz w:val="24"/>
          <w:highlight w:val="none"/>
        </w:rPr>
        <w:t>环境经济损益分析是建设项目环境影响评价的一个重要组成部分，它是综合评价建设项目的环保投资是否能够补偿或多大程度上补偿了由此可能造成的环境损失的重要依据，其主要任务是分析建设项目拟投入或投入的环保投资，所能收到的环境保护效果。因此，环境经济损益分析除了需计算用于治理控制污染所需的投资和费用外，还要同时核算项目建设可能收到的经济效益、环境效益和社会效益。</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489" w:name="_Toc503218123"/>
      <w:bookmarkStart w:id="490" w:name="_Toc11745"/>
      <w:bookmarkStart w:id="491" w:name="_Toc521591819"/>
      <w:bookmarkStart w:id="492" w:name="_Toc15701"/>
      <w:bookmarkStart w:id="493" w:name="_Toc524285116"/>
      <w:bookmarkStart w:id="494" w:name="_Toc10453"/>
      <w:bookmarkStart w:id="495" w:name="_Toc499651424"/>
      <w:bookmarkStart w:id="496" w:name="_Toc22558"/>
      <w:r>
        <w:rPr>
          <w:rFonts w:ascii="Times New Roman" w:hAnsi="Times New Roman" w:eastAsia="宋体"/>
          <w:bCs w:val="0"/>
          <w:snapToGrid w:val="0"/>
          <w:kern w:val="0"/>
          <w:sz w:val="28"/>
          <w:szCs w:val="28"/>
          <w:highlight w:val="none"/>
        </w:rPr>
        <w:t>环境影响经济损失分析</w:t>
      </w:r>
      <w:bookmarkEnd w:id="489"/>
      <w:bookmarkEnd w:id="490"/>
      <w:bookmarkEnd w:id="491"/>
      <w:bookmarkEnd w:id="492"/>
      <w:bookmarkEnd w:id="493"/>
      <w:bookmarkEnd w:id="494"/>
      <w:bookmarkEnd w:id="495"/>
      <w:bookmarkEnd w:id="496"/>
    </w:p>
    <w:p>
      <w:pPr>
        <w:pStyle w:val="6"/>
        <w:numPr>
          <w:ilvl w:val="2"/>
          <w:numId w:val="1"/>
        </w:numPr>
        <w:rPr>
          <w:szCs w:val="28"/>
          <w:highlight w:val="none"/>
        </w:rPr>
      </w:pPr>
      <w:bookmarkStart w:id="497" w:name="_Toc29126"/>
      <w:bookmarkStart w:id="498" w:name="_Toc521591820"/>
      <w:r>
        <w:rPr>
          <w:szCs w:val="28"/>
          <w:highlight w:val="none"/>
        </w:rPr>
        <w:t>环境空气影响经济损失</w:t>
      </w:r>
      <w:bookmarkEnd w:id="497"/>
      <w:bookmarkEnd w:id="498"/>
    </w:p>
    <w:p>
      <w:pPr>
        <w:autoSpaceDE w:val="0"/>
        <w:autoSpaceDN w:val="0"/>
        <w:ind w:firstLine="480"/>
        <w:jc w:val="both"/>
        <w:textAlignment w:val="auto"/>
        <w:rPr>
          <w:sz w:val="24"/>
          <w:highlight w:val="none"/>
        </w:rPr>
      </w:pPr>
      <w:r>
        <w:rPr>
          <w:sz w:val="24"/>
          <w:highlight w:val="none"/>
        </w:rPr>
        <w:t>营运期项目的环境空气影响主要表现在粉尘使周围居民的空气环境质量有所下降，有可能对居民健康产生一定的影响。但是目前尚无环境空气影响经济损失的定量计算方法，环境空气影响造成的损失还难以直接用货币衡量，因此，以下将对环境空气影响损失进行定性分析。</w:t>
      </w:r>
    </w:p>
    <w:p>
      <w:pPr>
        <w:autoSpaceDE w:val="0"/>
        <w:autoSpaceDN w:val="0"/>
        <w:ind w:firstLine="480"/>
        <w:jc w:val="both"/>
        <w:textAlignment w:val="auto"/>
        <w:rPr>
          <w:sz w:val="24"/>
          <w:highlight w:val="none"/>
        </w:rPr>
      </w:pPr>
      <w:r>
        <w:rPr>
          <w:sz w:val="24"/>
          <w:highlight w:val="none"/>
        </w:rPr>
        <w:t>本项目建设后，原料堆存等过程产生的粉尘，通过建设全封闭式结构，并设置洒水装置等措施可最大限度的减少粉尘排放；破碎干选过程通过封闭车间，并在车间内设置集尘罩+布袋除尘器等措施，粉尘排放量较少，对周围居民的影响可降至最低。</w:t>
      </w:r>
    </w:p>
    <w:p>
      <w:pPr>
        <w:pStyle w:val="6"/>
        <w:numPr>
          <w:ilvl w:val="2"/>
          <w:numId w:val="1"/>
        </w:numPr>
        <w:rPr>
          <w:szCs w:val="28"/>
          <w:highlight w:val="none"/>
        </w:rPr>
      </w:pPr>
      <w:bookmarkStart w:id="499" w:name="_Toc13814"/>
      <w:bookmarkStart w:id="500" w:name="_Toc521591821"/>
      <w:r>
        <w:rPr>
          <w:szCs w:val="28"/>
          <w:highlight w:val="none"/>
        </w:rPr>
        <w:t>水环境影响经济损失</w:t>
      </w:r>
      <w:bookmarkEnd w:id="499"/>
      <w:bookmarkEnd w:id="500"/>
    </w:p>
    <w:p>
      <w:pPr>
        <w:autoSpaceDE w:val="0"/>
        <w:autoSpaceDN w:val="0"/>
        <w:ind w:firstLine="480"/>
        <w:jc w:val="both"/>
        <w:textAlignment w:val="auto"/>
        <w:rPr>
          <w:sz w:val="24"/>
          <w:highlight w:val="none"/>
        </w:rPr>
      </w:pPr>
      <w:r>
        <w:rPr>
          <w:sz w:val="24"/>
          <w:highlight w:val="none"/>
        </w:rPr>
        <w:t>营运期本项目产生的污水主要是选矿废水、</w:t>
      </w:r>
      <w:r>
        <w:rPr>
          <w:rFonts w:hint="eastAsia"/>
          <w:sz w:val="24"/>
          <w:highlight w:val="none"/>
        </w:rPr>
        <w:t>车间地面冲洗废水、</w:t>
      </w:r>
      <w:r>
        <w:rPr>
          <w:sz w:val="24"/>
          <w:highlight w:val="none"/>
        </w:rPr>
        <w:t>洗车废水、职工生活污水。</w:t>
      </w:r>
      <w:r>
        <w:rPr>
          <w:kern w:val="2"/>
          <w:sz w:val="24"/>
          <w:szCs w:val="24"/>
          <w:highlight w:val="none"/>
        </w:rPr>
        <w:t>选矿废水</w:t>
      </w:r>
      <w:r>
        <w:rPr>
          <w:rFonts w:hint="eastAsia"/>
          <w:kern w:val="2"/>
          <w:sz w:val="24"/>
          <w:szCs w:val="24"/>
          <w:highlight w:val="none"/>
        </w:rPr>
        <w:t>和</w:t>
      </w:r>
      <w:r>
        <w:rPr>
          <w:rFonts w:hint="eastAsia"/>
          <w:sz w:val="24"/>
          <w:highlight w:val="none"/>
        </w:rPr>
        <w:t>车间地面冲洗废水</w:t>
      </w:r>
      <w:r>
        <w:rPr>
          <w:kern w:val="2"/>
          <w:sz w:val="24"/>
          <w:szCs w:val="24"/>
          <w:highlight w:val="none"/>
        </w:rPr>
        <w:t>经浓缩澄清后，回用于生产过程，不外排；洗车废水经沉淀池沉淀后回用于洗车；生活污水</w:t>
      </w:r>
      <w:r>
        <w:rPr>
          <w:bCs/>
          <w:kern w:val="2"/>
          <w:sz w:val="24"/>
          <w:szCs w:val="21"/>
          <w:highlight w:val="none"/>
        </w:rPr>
        <w:t>回用于厂区及道路洒水降尘，不外排。水环境经济损失很小。</w:t>
      </w:r>
    </w:p>
    <w:p>
      <w:pPr>
        <w:pStyle w:val="6"/>
        <w:numPr>
          <w:ilvl w:val="2"/>
          <w:numId w:val="1"/>
        </w:numPr>
        <w:rPr>
          <w:szCs w:val="28"/>
          <w:highlight w:val="none"/>
        </w:rPr>
      </w:pPr>
      <w:bookmarkStart w:id="501" w:name="_Toc521591822"/>
      <w:bookmarkStart w:id="502" w:name="_Toc10748"/>
      <w:r>
        <w:rPr>
          <w:szCs w:val="28"/>
          <w:highlight w:val="none"/>
        </w:rPr>
        <w:t>噪声影响经济损失</w:t>
      </w:r>
      <w:bookmarkEnd w:id="501"/>
      <w:bookmarkEnd w:id="502"/>
    </w:p>
    <w:p>
      <w:pPr>
        <w:autoSpaceDE w:val="0"/>
        <w:autoSpaceDN w:val="0"/>
        <w:ind w:firstLine="480"/>
        <w:jc w:val="both"/>
        <w:textAlignment w:val="auto"/>
        <w:rPr>
          <w:sz w:val="24"/>
          <w:highlight w:val="none"/>
        </w:rPr>
      </w:pPr>
      <w:r>
        <w:rPr>
          <w:sz w:val="24"/>
          <w:highlight w:val="none"/>
        </w:rPr>
        <w:t>有关噪声影响的人群调查以及流行病学研究发现，在我国，生活在70dB（A）以上环境中居民的人均医疗费用比70dB（A）以下的同类地方高；噪声级在70dB（A）以上环境的居民有66.7%睡眠受到干扰，而睡眠受到干扰的职工会表现出生产效率有所下降。根据前面的噪声预测结果，在采取降噪措施前，本项目昼夜间噪声值均未达到70dB（A），因此本项目的建设不会引起噪声影响经济损失。</w:t>
      </w:r>
    </w:p>
    <w:p>
      <w:pPr>
        <w:pStyle w:val="6"/>
        <w:numPr>
          <w:ilvl w:val="2"/>
          <w:numId w:val="1"/>
        </w:numPr>
        <w:rPr>
          <w:szCs w:val="28"/>
          <w:highlight w:val="none"/>
        </w:rPr>
      </w:pPr>
      <w:bookmarkStart w:id="503" w:name="_Toc521591823"/>
      <w:bookmarkStart w:id="504" w:name="_Toc31641"/>
      <w:r>
        <w:rPr>
          <w:szCs w:val="28"/>
          <w:highlight w:val="none"/>
        </w:rPr>
        <w:t>生态环境影响经济损失</w:t>
      </w:r>
      <w:bookmarkEnd w:id="503"/>
      <w:bookmarkEnd w:id="504"/>
    </w:p>
    <w:p>
      <w:pPr>
        <w:autoSpaceDE w:val="0"/>
        <w:autoSpaceDN w:val="0"/>
        <w:ind w:firstLine="480"/>
        <w:jc w:val="both"/>
        <w:textAlignment w:val="auto"/>
        <w:rPr>
          <w:sz w:val="24"/>
          <w:highlight w:val="none"/>
        </w:rPr>
      </w:pPr>
      <w:r>
        <w:rPr>
          <w:sz w:val="24"/>
          <w:highlight w:val="none"/>
        </w:rPr>
        <w:t>本项目用地不在河北省生态保护红线范围内，且用地为工业用地，占地范围内无植被覆盖，项目建设过程中注意防止水土流失，建成后及时绿化，项目建设不会造成生物量的损失，对生态环境不会造成严重影响。</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505" w:name="_Toc384552437"/>
      <w:bookmarkStart w:id="506" w:name="_Toc503218124"/>
      <w:bookmarkStart w:id="507" w:name="_Toc29090"/>
      <w:bookmarkStart w:id="508" w:name="_Toc477175436"/>
      <w:bookmarkStart w:id="509" w:name="_Toc468451745"/>
      <w:bookmarkStart w:id="510" w:name="_Toc387133348"/>
      <w:bookmarkStart w:id="511" w:name="_Toc499651425"/>
      <w:bookmarkStart w:id="512" w:name="_Toc382810946"/>
      <w:bookmarkStart w:id="513" w:name="_Toc3990"/>
      <w:bookmarkStart w:id="514" w:name="_Toc17699"/>
      <w:bookmarkStart w:id="515" w:name="_Toc521591825"/>
      <w:bookmarkStart w:id="516" w:name="_Toc1945"/>
      <w:bookmarkStart w:id="517" w:name="_Toc28527"/>
      <w:bookmarkStart w:id="518" w:name="_Toc524285117"/>
      <w:r>
        <w:rPr>
          <w:rFonts w:ascii="Times New Roman" w:hAnsi="Times New Roman" w:eastAsia="宋体"/>
          <w:bCs w:val="0"/>
          <w:snapToGrid w:val="0"/>
          <w:kern w:val="0"/>
          <w:sz w:val="28"/>
          <w:szCs w:val="28"/>
          <w:highlight w:val="none"/>
        </w:rPr>
        <w:t>经济效益</w:t>
      </w:r>
      <w:bookmarkEnd w:id="505"/>
      <w:bookmarkEnd w:id="506"/>
      <w:bookmarkEnd w:id="507"/>
      <w:bookmarkEnd w:id="508"/>
      <w:bookmarkEnd w:id="509"/>
      <w:bookmarkEnd w:id="510"/>
      <w:bookmarkEnd w:id="511"/>
      <w:bookmarkEnd w:id="512"/>
      <w:r>
        <w:rPr>
          <w:rFonts w:ascii="Times New Roman" w:hAnsi="Times New Roman" w:eastAsia="宋体"/>
          <w:bCs w:val="0"/>
          <w:snapToGrid w:val="0"/>
          <w:kern w:val="0"/>
          <w:sz w:val="28"/>
          <w:szCs w:val="28"/>
          <w:highlight w:val="none"/>
        </w:rPr>
        <w:t>分析</w:t>
      </w:r>
      <w:bookmarkEnd w:id="513"/>
      <w:bookmarkEnd w:id="514"/>
      <w:bookmarkEnd w:id="515"/>
      <w:bookmarkEnd w:id="516"/>
      <w:bookmarkEnd w:id="517"/>
      <w:bookmarkEnd w:id="518"/>
    </w:p>
    <w:p>
      <w:pPr>
        <w:autoSpaceDE w:val="0"/>
        <w:autoSpaceDN w:val="0"/>
        <w:ind w:firstLine="480"/>
        <w:jc w:val="both"/>
        <w:textAlignment w:val="auto"/>
        <w:rPr>
          <w:bCs/>
          <w:sz w:val="24"/>
          <w:highlight w:val="none"/>
        </w:rPr>
      </w:pPr>
      <w:r>
        <w:rPr>
          <w:bCs/>
          <w:sz w:val="24"/>
          <w:highlight w:val="none"/>
        </w:rPr>
        <w:t>本工程的建设具有产业链效益，能够带动一方经济的快速发展，并能促进钢铁等相关行业的发展。</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519" w:name="_Toc364090221"/>
      <w:bookmarkStart w:id="520" w:name="_Toc499651426"/>
      <w:bookmarkStart w:id="521" w:name="_Toc12232"/>
      <w:bookmarkStart w:id="522" w:name="_Toc382810949"/>
      <w:bookmarkStart w:id="523" w:name="_Toc12387"/>
      <w:bookmarkStart w:id="524" w:name="_Toc387133351"/>
      <w:bookmarkStart w:id="525" w:name="_Toc468451746"/>
      <w:bookmarkStart w:id="526" w:name="_Toc15271"/>
      <w:bookmarkStart w:id="527" w:name="_Toc10543"/>
      <w:bookmarkStart w:id="528" w:name="_Toc384552440"/>
      <w:bookmarkStart w:id="529" w:name="_Toc524285118"/>
      <w:bookmarkStart w:id="530" w:name="_Toc521591826"/>
      <w:bookmarkStart w:id="531" w:name="_Toc357926851"/>
      <w:bookmarkStart w:id="532" w:name="_Toc503218125"/>
      <w:bookmarkStart w:id="533" w:name="_Toc24104"/>
      <w:bookmarkStart w:id="534" w:name="_Toc477175437"/>
      <w:r>
        <w:rPr>
          <w:rFonts w:ascii="Times New Roman" w:hAnsi="Times New Roman" w:eastAsia="宋体"/>
          <w:bCs w:val="0"/>
          <w:snapToGrid w:val="0"/>
          <w:kern w:val="0"/>
          <w:sz w:val="28"/>
          <w:szCs w:val="28"/>
          <w:highlight w:val="none"/>
        </w:rPr>
        <w:t>环境效益分析</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pPr>
        <w:autoSpaceDE w:val="0"/>
        <w:autoSpaceDN w:val="0"/>
        <w:ind w:firstLine="480"/>
        <w:jc w:val="both"/>
        <w:textAlignment w:val="auto"/>
        <w:rPr>
          <w:bCs/>
          <w:sz w:val="24"/>
          <w:highlight w:val="none"/>
        </w:rPr>
      </w:pPr>
      <w:r>
        <w:rPr>
          <w:bCs/>
          <w:sz w:val="24"/>
          <w:highlight w:val="none"/>
        </w:rPr>
        <w:t>环境经济效益是指采取环保治理措施获取的直接经济效益。本项目在“三废”治理的过程中注重了对资源、能源的回收利用，从而大大减少了生产过程中的资源流失。结合本工程特点，应包括提高水重复利用量的节水经济效益、减少粉尘排放的经济效益、一定时期内改善区域生态环境的经济效益。</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535" w:name="_Toc7545"/>
      <w:bookmarkStart w:id="536" w:name="_Toc521591827"/>
      <w:bookmarkStart w:id="537" w:name="_Toc499651427"/>
      <w:bookmarkStart w:id="538" w:name="_Toc28288"/>
      <w:bookmarkStart w:id="539" w:name="_Toc11898"/>
      <w:bookmarkStart w:id="540" w:name="_Toc524285119"/>
      <w:bookmarkStart w:id="541" w:name="_Toc25520"/>
      <w:bookmarkStart w:id="542" w:name="_Toc503218126"/>
      <w:r>
        <w:rPr>
          <w:rFonts w:ascii="Times New Roman" w:hAnsi="Times New Roman" w:eastAsia="宋体"/>
          <w:bCs w:val="0"/>
          <w:snapToGrid w:val="0"/>
          <w:kern w:val="0"/>
          <w:sz w:val="28"/>
          <w:szCs w:val="28"/>
          <w:highlight w:val="none"/>
        </w:rPr>
        <w:t>社会效益分析</w:t>
      </w:r>
      <w:bookmarkEnd w:id="535"/>
      <w:bookmarkEnd w:id="536"/>
      <w:bookmarkEnd w:id="537"/>
      <w:bookmarkEnd w:id="538"/>
      <w:bookmarkEnd w:id="539"/>
      <w:bookmarkEnd w:id="540"/>
      <w:bookmarkEnd w:id="541"/>
      <w:bookmarkEnd w:id="542"/>
    </w:p>
    <w:p>
      <w:pPr>
        <w:autoSpaceDE w:val="0"/>
        <w:autoSpaceDN w:val="0"/>
        <w:ind w:firstLine="480"/>
        <w:jc w:val="both"/>
        <w:textAlignment w:val="auto"/>
        <w:rPr>
          <w:bCs/>
          <w:sz w:val="24"/>
          <w:highlight w:val="none"/>
        </w:rPr>
      </w:pPr>
      <w:r>
        <w:rPr>
          <w:bCs/>
          <w:sz w:val="24"/>
          <w:highlight w:val="none"/>
        </w:rPr>
        <w:t>本项目实施后将带来多方面的社会效益，其对社会的促进作用主要体现在以下几点：</w:t>
      </w:r>
    </w:p>
    <w:p>
      <w:pPr>
        <w:autoSpaceDE w:val="0"/>
        <w:autoSpaceDN w:val="0"/>
        <w:ind w:firstLine="480"/>
        <w:jc w:val="both"/>
        <w:textAlignment w:val="auto"/>
        <w:rPr>
          <w:bCs/>
          <w:sz w:val="24"/>
          <w:highlight w:val="none"/>
        </w:rPr>
      </w:pPr>
      <w:r>
        <w:rPr>
          <w:bCs/>
          <w:sz w:val="24"/>
          <w:highlight w:val="none"/>
        </w:rPr>
        <w:t>（1）提供就业机会，解决农村剩余劳动力</w:t>
      </w:r>
    </w:p>
    <w:p>
      <w:pPr>
        <w:autoSpaceDE w:val="0"/>
        <w:autoSpaceDN w:val="0"/>
        <w:ind w:firstLine="480"/>
        <w:jc w:val="both"/>
        <w:textAlignment w:val="auto"/>
        <w:rPr>
          <w:bCs/>
          <w:sz w:val="24"/>
          <w:highlight w:val="none"/>
        </w:rPr>
      </w:pPr>
      <w:r>
        <w:rPr>
          <w:bCs/>
          <w:sz w:val="24"/>
          <w:highlight w:val="none"/>
        </w:rPr>
        <w:t>本次建设项目劳动定员75人，其中除管理人员和技术人员外，其他人员人均可在当地解决。</w:t>
      </w:r>
    </w:p>
    <w:p>
      <w:pPr>
        <w:autoSpaceDE w:val="0"/>
        <w:autoSpaceDN w:val="0"/>
        <w:ind w:firstLine="480"/>
        <w:jc w:val="both"/>
        <w:textAlignment w:val="auto"/>
        <w:rPr>
          <w:bCs/>
          <w:sz w:val="24"/>
          <w:highlight w:val="none"/>
        </w:rPr>
      </w:pPr>
      <w:r>
        <w:rPr>
          <w:bCs/>
          <w:sz w:val="24"/>
          <w:highlight w:val="none"/>
        </w:rPr>
        <w:t>（2）增加农民收入，加快脱贫致富，促进农村经济繁荣。</w:t>
      </w:r>
    </w:p>
    <w:p>
      <w:pPr>
        <w:autoSpaceDE w:val="0"/>
        <w:autoSpaceDN w:val="0"/>
        <w:ind w:firstLine="480"/>
        <w:jc w:val="both"/>
        <w:textAlignment w:val="auto"/>
        <w:rPr>
          <w:bCs/>
          <w:sz w:val="24"/>
          <w:highlight w:val="none"/>
        </w:rPr>
      </w:pPr>
      <w:r>
        <w:rPr>
          <w:bCs/>
          <w:sz w:val="24"/>
          <w:highlight w:val="none"/>
        </w:rPr>
        <w:t>项目的实施改变了农村人口就业结构，随着农民收入的增加，有利于促进了农业进步和大农业发展。</w:t>
      </w:r>
    </w:p>
    <w:p>
      <w:pPr>
        <w:autoSpaceDE w:val="0"/>
        <w:autoSpaceDN w:val="0"/>
        <w:ind w:firstLine="480"/>
        <w:jc w:val="both"/>
        <w:textAlignment w:val="auto"/>
        <w:rPr>
          <w:bCs/>
          <w:sz w:val="24"/>
          <w:highlight w:val="none"/>
        </w:rPr>
      </w:pPr>
      <w:r>
        <w:rPr>
          <w:bCs/>
          <w:sz w:val="24"/>
          <w:highlight w:val="none"/>
        </w:rPr>
        <w:t>（3）带动相关产业的发展。</w:t>
      </w:r>
    </w:p>
    <w:p>
      <w:pPr>
        <w:autoSpaceDE w:val="0"/>
        <w:autoSpaceDN w:val="0"/>
        <w:ind w:firstLine="480"/>
        <w:jc w:val="both"/>
        <w:textAlignment w:val="auto"/>
        <w:rPr>
          <w:bCs/>
          <w:sz w:val="24"/>
          <w:highlight w:val="none"/>
        </w:rPr>
      </w:pPr>
      <w:r>
        <w:rPr>
          <w:bCs/>
          <w:sz w:val="24"/>
          <w:highlight w:val="none"/>
        </w:rPr>
        <w:t>本次建设项目的实施将带动建筑业、运输业以及服务业的发展，同时由于人口的聚集，对农产品的需求将会有所增加，可有效地推动农业种植结构的优化调整。</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543" w:name="_Toc499651429"/>
      <w:bookmarkStart w:id="544" w:name="_Toc521591828"/>
      <w:bookmarkStart w:id="545" w:name="_Toc28066"/>
      <w:bookmarkStart w:id="546" w:name="_Toc24291"/>
      <w:bookmarkStart w:id="547" w:name="_Toc2557"/>
      <w:bookmarkStart w:id="548" w:name="_Toc12052"/>
      <w:bookmarkStart w:id="549" w:name="_Toc524285120"/>
      <w:bookmarkStart w:id="550" w:name="_Toc503218128"/>
      <w:r>
        <w:rPr>
          <w:rFonts w:ascii="Times New Roman" w:hAnsi="Times New Roman" w:eastAsia="宋体"/>
          <w:bCs w:val="0"/>
          <w:snapToGrid w:val="0"/>
          <w:kern w:val="0"/>
          <w:sz w:val="28"/>
          <w:szCs w:val="28"/>
          <w:highlight w:val="none"/>
        </w:rPr>
        <w:t>分析结论</w:t>
      </w:r>
      <w:bookmarkEnd w:id="543"/>
      <w:bookmarkEnd w:id="544"/>
      <w:bookmarkEnd w:id="545"/>
      <w:bookmarkEnd w:id="546"/>
      <w:bookmarkEnd w:id="547"/>
      <w:bookmarkEnd w:id="548"/>
      <w:bookmarkEnd w:id="549"/>
      <w:bookmarkEnd w:id="550"/>
    </w:p>
    <w:p>
      <w:pPr>
        <w:autoSpaceDE w:val="0"/>
        <w:autoSpaceDN w:val="0"/>
        <w:ind w:firstLine="480"/>
        <w:jc w:val="both"/>
        <w:textAlignment w:val="auto"/>
        <w:rPr>
          <w:bCs/>
          <w:sz w:val="24"/>
          <w:highlight w:val="none"/>
        </w:rPr>
      </w:pPr>
      <w:r>
        <w:rPr>
          <w:bCs/>
          <w:sz w:val="24"/>
          <w:highlight w:val="none"/>
        </w:rPr>
        <w:t>综合以上分析，本项目具有较好经济、环境和社会效益，它的建成，将能够拉动地方经济的快速发展；废物资源化利用，将促进人类与社会的和谐发展。</w:t>
      </w:r>
    </w:p>
    <w:p>
      <w:pPr>
        <w:ind w:firstLine="0" w:firstLineChars="0"/>
        <w:rPr>
          <w:highlight w:val="none"/>
        </w:rPr>
        <w:sectPr>
          <w:pgSz w:w="11905" w:h="16838"/>
          <w:pgMar w:top="1440" w:right="1803" w:bottom="1134" w:left="1803" w:header="850" w:footer="992" w:gutter="0"/>
          <w:cols w:space="0" w:num="1"/>
          <w:docGrid w:linePitch="312" w:charSpace="0"/>
        </w:sectPr>
      </w:pPr>
    </w:p>
    <w:p>
      <w:pPr>
        <w:pStyle w:val="4"/>
        <w:numPr>
          <w:ilvl w:val="0"/>
          <w:numId w:val="1"/>
        </w:numPr>
        <w:rPr>
          <w:rFonts w:ascii="Times New Roman"/>
          <w:sz w:val="36"/>
          <w:highlight w:val="none"/>
        </w:rPr>
      </w:pPr>
      <w:bookmarkStart w:id="551" w:name="_Toc334831508"/>
      <w:bookmarkStart w:id="552" w:name="_Toc535351482"/>
      <w:bookmarkStart w:id="553" w:name="_Toc20860"/>
      <w:bookmarkStart w:id="554" w:name="_Toc11880"/>
      <w:bookmarkStart w:id="555" w:name="_Toc503218129"/>
      <w:bookmarkStart w:id="556" w:name="_Toc477175439"/>
      <w:bookmarkStart w:id="557" w:name="_Toc521591829"/>
      <w:bookmarkStart w:id="558" w:name="_Toc524285121"/>
      <w:bookmarkStart w:id="559" w:name="_Toc25918"/>
      <w:bookmarkStart w:id="560" w:name="_Toc19729"/>
      <w:bookmarkStart w:id="561" w:name="_Toc499651430"/>
      <w:r>
        <w:rPr>
          <w:rFonts w:ascii="Times New Roman"/>
          <w:sz w:val="36"/>
          <w:highlight w:val="none"/>
        </w:rPr>
        <w:t>环境管理和</w:t>
      </w:r>
      <w:bookmarkEnd w:id="551"/>
      <w:bookmarkEnd w:id="552"/>
      <w:r>
        <w:rPr>
          <w:rFonts w:ascii="Times New Roman"/>
          <w:sz w:val="36"/>
          <w:highlight w:val="none"/>
        </w:rPr>
        <w:t>环境监测</w:t>
      </w:r>
      <w:bookmarkEnd w:id="553"/>
      <w:bookmarkEnd w:id="554"/>
      <w:bookmarkEnd w:id="555"/>
      <w:bookmarkEnd w:id="556"/>
      <w:bookmarkEnd w:id="557"/>
      <w:bookmarkEnd w:id="558"/>
      <w:bookmarkEnd w:id="559"/>
      <w:bookmarkEnd w:id="560"/>
      <w:bookmarkEnd w:id="561"/>
    </w:p>
    <w:p>
      <w:pPr>
        <w:autoSpaceDE w:val="0"/>
        <w:autoSpaceDN w:val="0"/>
        <w:ind w:firstLine="480"/>
        <w:jc w:val="both"/>
        <w:textAlignment w:val="auto"/>
        <w:rPr>
          <w:bCs/>
          <w:sz w:val="24"/>
          <w:highlight w:val="none"/>
        </w:rPr>
      </w:pPr>
      <w:r>
        <w:rPr>
          <w:bCs/>
          <w:sz w:val="24"/>
          <w:highlight w:val="none"/>
        </w:rPr>
        <w:t>环境管理是以环境科学理论为基础，运用经济、法律、技术、行政、教育等手段对经济、社会发展过程中施加给环境的影响进行调节控制，实现经济、社会和环境效益的和谐统一。</w:t>
      </w:r>
    </w:p>
    <w:p>
      <w:pPr>
        <w:autoSpaceDE w:val="0"/>
        <w:autoSpaceDN w:val="0"/>
        <w:ind w:firstLine="480"/>
        <w:jc w:val="both"/>
        <w:textAlignment w:val="auto"/>
        <w:rPr>
          <w:bCs/>
          <w:sz w:val="24"/>
          <w:highlight w:val="none"/>
        </w:rPr>
      </w:pPr>
      <w:r>
        <w:rPr>
          <w:bCs/>
          <w:sz w:val="24"/>
          <w:highlight w:val="none"/>
        </w:rPr>
        <w:t>企业的环境管理和环境监测机构的建立，是从保护环境出发，根据建设项目特点，尤其是企业内部的重大环境因素，以及相应环保措施的落实，以一定的管理机构、制度确保环保措施实施的环境管理和监测计划，监督各项环保措施的实施，监测各项环保设施运行效果，更好地为环境管理提供科学依据。</w:t>
      </w:r>
    </w:p>
    <w:p>
      <w:pPr>
        <w:autoSpaceDE w:val="0"/>
        <w:autoSpaceDN w:val="0"/>
        <w:ind w:firstLine="480"/>
        <w:jc w:val="both"/>
        <w:textAlignment w:val="auto"/>
        <w:rPr>
          <w:bCs/>
          <w:sz w:val="24"/>
          <w:highlight w:val="none"/>
        </w:rPr>
      </w:pPr>
      <w:r>
        <w:rPr>
          <w:bCs/>
          <w:sz w:val="24"/>
          <w:highlight w:val="none"/>
        </w:rPr>
        <w:t>本项目环境管理计划力求针对项目存在的主要环境问题以及应采取的环保工程措施，提出本项目环境管理和监测计划，也供各级环保部门对该项目进行环境管理时参考。</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562" w:name="_Toc8045570"/>
      <w:bookmarkStart w:id="563" w:name="_Toc13156"/>
      <w:bookmarkStart w:id="564" w:name="_Toc13216555"/>
      <w:r>
        <w:rPr>
          <w:rFonts w:ascii="Times New Roman" w:hAnsi="Times New Roman" w:eastAsia="宋体"/>
          <w:bCs w:val="0"/>
          <w:snapToGrid w:val="0"/>
          <w:kern w:val="0"/>
          <w:sz w:val="28"/>
          <w:szCs w:val="28"/>
          <w:highlight w:val="none"/>
        </w:rPr>
        <w:t>施工期环境管理</w:t>
      </w:r>
      <w:bookmarkEnd w:id="562"/>
      <w:bookmarkEnd w:id="563"/>
      <w:bookmarkEnd w:id="564"/>
    </w:p>
    <w:p>
      <w:pPr>
        <w:autoSpaceDE w:val="0"/>
        <w:autoSpaceDN w:val="0"/>
        <w:ind w:firstLine="480"/>
        <w:jc w:val="both"/>
        <w:textAlignment w:val="auto"/>
        <w:rPr>
          <w:bCs/>
          <w:sz w:val="24"/>
          <w:szCs w:val="22"/>
          <w:highlight w:val="none"/>
        </w:rPr>
      </w:pPr>
      <w:r>
        <w:rPr>
          <w:rFonts w:hint="eastAsia"/>
          <w:bCs/>
          <w:sz w:val="24"/>
          <w:szCs w:val="22"/>
          <w:highlight w:val="none"/>
        </w:rPr>
        <w:t>为加强施工现场管理，防治施工扬尘污染和施工噪声污染，本评价对项目施工期环境管理提出如下要求：</w:t>
      </w:r>
    </w:p>
    <w:p>
      <w:pPr>
        <w:autoSpaceDE w:val="0"/>
        <w:autoSpaceDN w:val="0"/>
        <w:ind w:firstLine="480"/>
        <w:jc w:val="both"/>
        <w:textAlignment w:val="auto"/>
        <w:rPr>
          <w:bCs/>
          <w:sz w:val="24"/>
          <w:szCs w:val="22"/>
          <w:highlight w:val="none"/>
        </w:rPr>
      </w:pPr>
      <w:r>
        <w:rPr>
          <w:rFonts w:hint="eastAsia"/>
          <w:bCs/>
          <w:sz w:val="24"/>
          <w:szCs w:val="22"/>
          <w:highlight w:val="none"/>
        </w:rPr>
        <w:t>⑴项目建设单位应配备</w:t>
      </w:r>
      <w:r>
        <w:rPr>
          <w:bCs/>
          <w:sz w:val="24"/>
          <w:szCs w:val="22"/>
          <w:highlight w:val="none"/>
        </w:rPr>
        <w:t>1</w:t>
      </w:r>
      <w:r>
        <w:rPr>
          <w:rFonts w:hint="eastAsia"/>
          <w:bCs/>
          <w:sz w:val="24"/>
          <w:szCs w:val="22"/>
          <w:highlight w:val="none"/>
        </w:rPr>
        <w:t>名具有环保专业知识的技术人员，专职或兼职负责施工期的环境保护工作，其主要职责如下：</w:t>
      </w:r>
    </w:p>
    <w:p>
      <w:pPr>
        <w:autoSpaceDE w:val="0"/>
        <w:autoSpaceDN w:val="0"/>
        <w:ind w:firstLine="480"/>
        <w:jc w:val="both"/>
        <w:textAlignment w:val="auto"/>
        <w:rPr>
          <w:bCs/>
          <w:sz w:val="24"/>
          <w:szCs w:val="22"/>
          <w:highlight w:val="none"/>
        </w:rPr>
      </w:pPr>
      <w:r>
        <w:rPr>
          <w:rFonts w:hint="eastAsia"/>
          <w:bCs/>
          <w:sz w:val="24"/>
          <w:szCs w:val="22"/>
          <w:highlight w:val="none"/>
        </w:rPr>
        <w:t>①根据国家及地方政策有关施工管理调理和施工操作规范，结合项目的特点，制定施工环境管理调理，为施工单位的施工活动提出具体要求；</w:t>
      </w:r>
    </w:p>
    <w:p>
      <w:pPr>
        <w:autoSpaceDE w:val="0"/>
        <w:autoSpaceDN w:val="0"/>
        <w:ind w:firstLine="480"/>
        <w:jc w:val="both"/>
        <w:textAlignment w:val="auto"/>
        <w:rPr>
          <w:bCs/>
          <w:sz w:val="24"/>
          <w:szCs w:val="22"/>
          <w:highlight w:val="none"/>
        </w:rPr>
      </w:pPr>
      <w:r>
        <w:rPr>
          <w:rFonts w:hint="eastAsia"/>
          <w:bCs/>
          <w:sz w:val="24"/>
          <w:szCs w:val="22"/>
          <w:highlight w:val="none"/>
        </w:rPr>
        <w:t>②监督、检查施工单位对防污和治污的执行情况；</w:t>
      </w:r>
    </w:p>
    <w:p>
      <w:pPr>
        <w:autoSpaceDE w:val="0"/>
        <w:autoSpaceDN w:val="0"/>
        <w:ind w:firstLine="480"/>
        <w:jc w:val="both"/>
        <w:textAlignment w:val="auto"/>
        <w:rPr>
          <w:bCs/>
          <w:sz w:val="24"/>
          <w:szCs w:val="22"/>
          <w:highlight w:val="none"/>
        </w:rPr>
      </w:pPr>
      <w:r>
        <w:rPr>
          <w:rFonts w:hint="eastAsia"/>
          <w:bCs/>
          <w:sz w:val="24"/>
          <w:szCs w:val="22"/>
          <w:highlight w:val="none"/>
        </w:rPr>
        <w:t>③参与有关环境纠纷和污染事故的调查处理工作。</w:t>
      </w:r>
    </w:p>
    <w:p>
      <w:pPr>
        <w:autoSpaceDE w:val="0"/>
        <w:autoSpaceDN w:val="0"/>
        <w:ind w:firstLine="480"/>
        <w:jc w:val="both"/>
        <w:textAlignment w:val="auto"/>
        <w:rPr>
          <w:bCs/>
          <w:sz w:val="24"/>
          <w:szCs w:val="22"/>
          <w:highlight w:val="none"/>
        </w:rPr>
      </w:pPr>
      <w:r>
        <w:rPr>
          <w:rFonts w:hint="eastAsia"/>
          <w:bCs/>
          <w:sz w:val="24"/>
          <w:szCs w:val="22"/>
          <w:highlight w:val="none"/>
        </w:rPr>
        <w:t>⑵施工单位设置一名专职或兼职环境保护人员，其主要职责为：</w:t>
      </w:r>
    </w:p>
    <w:p>
      <w:pPr>
        <w:autoSpaceDE w:val="0"/>
        <w:autoSpaceDN w:val="0"/>
        <w:ind w:firstLine="480"/>
        <w:jc w:val="both"/>
        <w:textAlignment w:val="auto"/>
        <w:rPr>
          <w:bCs/>
          <w:sz w:val="24"/>
          <w:szCs w:val="22"/>
          <w:highlight w:val="none"/>
        </w:rPr>
      </w:pPr>
      <w:r>
        <w:rPr>
          <w:rFonts w:hint="eastAsia"/>
          <w:bCs/>
          <w:sz w:val="24"/>
          <w:szCs w:val="22"/>
          <w:highlight w:val="none"/>
        </w:rPr>
        <w:t>①与建设单位环保人员一同制定工程施工环境管理条例；</w:t>
      </w:r>
    </w:p>
    <w:p>
      <w:pPr>
        <w:autoSpaceDE w:val="0"/>
        <w:autoSpaceDN w:val="0"/>
        <w:ind w:firstLine="480"/>
        <w:jc w:val="both"/>
        <w:textAlignment w:val="auto"/>
        <w:rPr>
          <w:bCs/>
          <w:sz w:val="24"/>
          <w:szCs w:val="22"/>
          <w:highlight w:val="none"/>
        </w:rPr>
      </w:pPr>
      <w:r>
        <w:rPr>
          <w:rFonts w:hint="eastAsia"/>
          <w:bCs/>
          <w:sz w:val="24"/>
          <w:szCs w:val="22"/>
          <w:highlight w:val="none"/>
        </w:rPr>
        <w:t>②定期检查施工工程中环境管理条例设施情况，并督促有关人员进行整改；</w:t>
      </w:r>
    </w:p>
    <w:p>
      <w:pPr>
        <w:autoSpaceDE w:val="0"/>
        <w:autoSpaceDN w:val="0"/>
        <w:ind w:firstLine="480"/>
        <w:jc w:val="both"/>
        <w:textAlignment w:val="auto"/>
        <w:rPr>
          <w:bCs/>
          <w:sz w:val="24"/>
          <w:szCs w:val="22"/>
          <w:highlight w:val="none"/>
        </w:rPr>
      </w:pPr>
      <w:r>
        <w:rPr>
          <w:rFonts w:hint="eastAsia"/>
          <w:bCs/>
          <w:sz w:val="24"/>
          <w:szCs w:val="22"/>
          <w:highlight w:val="none"/>
        </w:rPr>
        <w:t>③定期听取环保部门、建设单位和周围居民对施工污染影响的意见，以便进一步加强文明施工。</w:t>
      </w:r>
    </w:p>
    <w:p>
      <w:pPr>
        <w:autoSpaceDE w:val="0"/>
        <w:autoSpaceDN w:val="0"/>
        <w:ind w:firstLine="480"/>
        <w:jc w:val="both"/>
        <w:textAlignment w:val="auto"/>
        <w:rPr>
          <w:bCs/>
          <w:sz w:val="24"/>
          <w:szCs w:val="22"/>
          <w:highlight w:val="none"/>
        </w:rPr>
      </w:pPr>
      <w:r>
        <w:rPr>
          <w:rFonts w:hint="eastAsia"/>
          <w:bCs/>
          <w:sz w:val="24"/>
          <w:szCs w:val="22"/>
          <w:highlight w:val="none"/>
        </w:rPr>
        <w:t>为减小施工期对环境的影响，环评要求设置专人对施工期进行环境管理，施工期环境管理一览表，见表8.1-1。</w:t>
      </w:r>
    </w:p>
    <w:p>
      <w:pPr>
        <w:autoSpaceDE w:val="0"/>
        <w:autoSpaceDN w:val="0"/>
        <w:ind w:firstLine="480"/>
        <w:jc w:val="both"/>
        <w:textAlignment w:val="auto"/>
        <w:rPr>
          <w:bCs/>
          <w:sz w:val="24"/>
          <w:highlight w:val="none"/>
        </w:rPr>
      </w:pPr>
    </w:p>
    <w:p>
      <w:pPr>
        <w:autoSpaceDE w:val="0"/>
        <w:autoSpaceDN w:val="0"/>
        <w:ind w:firstLine="480"/>
        <w:jc w:val="both"/>
        <w:textAlignment w:val="auto"/>
        <w:rPr>
          <w:bCs/>
          <w:sz w:val="24"/>
          <w:highlight w:val="none"/>
        </w:rPr>
      </w:pPr>
    </w:p>
    <w:p>
      <w:pPr>
        <w:spacing w:line="240" w:lineRule="auto"/>
        <w:ind w:firstLine="0" w:firstLineChars="0"/>
        <w:jc w:val="center"/>
        <w:textAlignment w:val="auto"/>
        <w:rPr>
          <w:rFonts w:eastAsia="黑体"/>
          <w:kern w:val="2"/>
          <w:sz w:val="21"/>
          <w:szCs w:val="21"/>
          <w:highlight w:val="none"/>
        </w:rPr>
      </w:pPr>
      <w:bookmarkStart w:id="565" w:name="_Ref6908867"/>
      <w:r>
        <w:rPr>
          <w:rFonts w:hint="eastAsia" w:eastAsia="黑体"/>
          <w:kern w:val="2"/>
          <w:sz w:val="21"/>
          <w:szCs w:val="21"/>
          <w:highlight w:val="none"/>
        </w:rPr>
        <w:t>表8.1-1</w:t>
      </w:r>
      <w:r>
        <w:rPr>
          <w:rFonts w:eastAsia="黑体"/>
          <w:kern w:val="2"/>
          <w:sz w:val="21"/>
          <w:szCs w:val="21"/>
          <w:highlight w:val="none"/>
        </w:rPr>
        <w:t xml:space="preserve"> </w:t>
      </w:r>
      <w:bookmarkEnd w:id="565"/>
      <w:r>
        <w:rPr>
          <w:rFonts w:eastAsia="黑体"/>
          <w:kern w:val="2"/>
          <w:sz w:val="21"/>
          <w:szCs w:val="21"/>
          <w:highlight w:val="none"/>
        </w:rPr>
        <w:t xml:space="preserve">  </w:t>
      </w:r>
      <w:r>
        <w:rPr>
          <w:rFonts w:hint="eastAsia" w:eastAsia="黑体"/>
          <w:kern w:val="2"/>
          <w:sz w:val="21"/>
          <w:szCs w:val="21"/>
          <w:highlight w:val="none"/>
        </w:rPr>
        <w:t>施工期环境管理一览表</w:t>
      </w:r>
    </w:p>
    <w:tbl>
      <w:tblPr>
        <w:tblStyle w:val="56"/>
        <w:tblpPr w:leftFromText="180" w:rightFromText="180" w:vertAnchor="text" w:horzAnchor="page" w:tblpX="1875" w:tblpY="39"/>
        <w:tblOverlap w:val="never"/>
        <w:tblW w:w="8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5593"/>
        <w:gridCol w:w="1134"/>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lang w:val="zh-CN"/>
              </w:rPr>
            </w:pPr>
            <w:r>
              <w:rPr>
                <w:rFonts w:hint="eastAsia"/>
                <w:highlight w:val="none"/>
              </w:rPr>
              <w:t>污染物</w:t>
            </w:r>
          </w:p>
        </w:tc>
        <w:tc>
          <w:tcPr>
            <w:tcW w:w="559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rPr>
            </w:pPr>
            <w:r>
              <w:rPr>
                <w:rFonts w:hint="eastAsia"/>
                <w:highlight w:val="none"/>
              </w:rPr>
              <w:t>防治或控制措施</w:t>
            </w:r>
          </w:p>
        </w:tc>
        <w:tc>
          <w:tcPr>
            <w:tcW w:w="2252" w:type="dxa"/>
            <w:gridSpan w:val="2"/>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rPr>
            </w:pPr>
            <w:r>
              <w:rPr>
                <w:rFonts w:hint="eastAsia"/>
                <w:highlight w:val="none"/>
              </w:rPr>
              <w:t>环境管理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rPr>
            </w:pPr>
            <w:r>
              <w:rPr>
                <w:rFonts w:hint="eastAsia"/>
                <w:highlight w:val="none"/>
              </w:rPr>
              <w:t>施</w:t>
            </w:r>
          </w:p>
          <w:p>
            <w:pPr>
              <w:pStyle w:val="417"/>
              <w:spacing w:line="240" w:lineRule="auto"/>
              <w:rPr>
                <w:highlight w:val="none"/>
              </w:rPr>
            </w:pPr>
            <w:r>
              <w:rPr>
                <w:rFonts w:hint="eastAsia"/>
                <w:highlight w:val="none"/>
              </w:rPr>
              <w:t>工</w:t>
            </w:r>
          </w:p>
          <w:p>
            <w:pPr>
              <w:pStyle w:val="417"/>
              <w:spacing w:line="240" w:lineRule="auto"/>
              <w:rPr>
                <w:highlight w:val="none"/>
              </w:rPr>
            </w:pPr>
            <w:r>
              <w:rPr>
                <w:rFonts w:hint="eastAsia"/>
                <w:highlight w:val="none"/>
              </w:rPr>
              <w:t>扬</w:t>
            </w:r>
          </w:p>
          <w:p>
            <w:pPr>
              <w:pStyle w:val="417"/>
              <w:spacing w:line="240" w:lineRule="auto"/>
              <w:rPr>
                <w:highlight w:val="none"/>
              </w:rPr>
            </w:pPr>
            <w:r>
              <w:rPr>
                <w:rFonts w:hint="eastAsia"/>
                <w:highlight w:val="none"/>
              </w:rPr>
              <w:t>尘</w:t>
            </w:r>
          </w:p>
        </w:tc>
        <w:tc>
          <w:tcPr>
            <w:tcW w:w="559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jc w:val="left"/>
              <w:rPr>
                <w:highlight w:val="none"/>
              </w:rPr>
            </w:pPr>
            <w:r>
              <w:rPr>
                <w:highlight w:val="none"/>
              </w:rPr>
              <w:t>1.</w:t>
            </w:r>
            <w:r>
              <w:rPr>
                <w:rFonts w:hint="eastAsia"/>
                <w:highlight w:val="none"/>
              </w:rPr>
              <w:t>加强现场执法检查，强化土方作业时段监督管理，增加检查频次，加大处罚力度；</w:t>
            </w:r>
            <w:r>
              <w:rPr>
                <w:highlight w:val="none"/>
              </w:rPr>
              <w:t>2.</w:t>
            </w:r>
            <w:r>
              <w:rPr>
                <w:rFonts w:hint="eastAsia"/>
                <w:highlight w:val="none"/>
              </w:rPr>
              <w:t>建设工程施工现场必须全封闭设置围挡墙，严禁敞开式作业；</w:t>
            </w:r>
            <w:r>
              <w:rPr>
                <w:highlight w:val="none"/>
              </w:rPr>
              <w:t>3.</w:t>
            </w:r>
            <w:r>
              <w:rPr>
                <w:rFonts w:hint="eastAsia"/>
                <w:highlight w:val="none"/>
              </w:rPr>
              <w:t>施工现场道路、作业区、生活区必须进行地面硬化；</w:t>
            </w:r>
            <w:r>
              <w:rPr>
                <w:highlight w:val="none"/>
              </w:rPr>
              <w:t>4.</w:t>
            </w:r>
            <w:r>
              <w:rPr>
                <w:rFonts w:hint="eastAsia"/>
                <w:highlight w:val="none"/>
              </w:rPr>
              <w:t>材料运输过程中加盖苫布，防止物料洒落。</w:t>
            </w:r>
            <w:r>
              <w:rPr>
                <w:highlight w:val="none"/>
              </w:rPr>
              <w:t>5.</w:t>
            </w:r>
            <w:r>
              <w:rPr>
                <w:rFonts w:hint="eastAsia"/>
                <w:highlight w:val="none"/>
              </w:rPr>
              <w:t>对因堆放、装卸、运输、搅拌等易产生扬尘的污染源，应采取遮盖、洒水、封闭等控制措施；</w:t>
            </w:r>
            <w:r>
              <w:rPr>
                <w:highlight w:val="none"/>
              </w:rPr>
              <w:t>6.</w:t>
            </w:r>
            <w:r>
              <w:rPr>
                <w:rFonts w:hint="eastAsia"/>
                <w:highlight w:val="none"/>
              </w:rPr>
              <w:t>施工现场的垃圾、渣土、沙石等要及时清运，建筑施工场地出口设置冲洗平台；</w:t>
            </w:r>
            <w:r>
              <w:rPr>
                <w:highlight w:val="none"/>
              </w:rPr>
              <w:t>7.</w:t>
            </w:r>
            <w:r>
              <w:rPr>
                <w:rFonts w:hint="eastAsia"/>
                <w:highlight w:val="none"/>
              </w:rPr>
              <w:t>施工扬尘污染控制情况纳入建筑企业信用管理系统，作为招投标重要依据；</w:t>
            </w:r>
            <w:r>
              <w:rPr>
                <w:highlight w:val="none"/>
              </w:rPr>
              <w:t>8.</w:t>
            </w:r>
            <w:r>
              <w:rPr>
                <w:rFonts w:hint="eastAsia"/>
                <w:highlight w:val="none"/>
              </w:rPr>
              <w:t>建筑工地要达到《河北省建筑施工扬尘防治强化措施</w:t>
            </w:r>
            <w:r>
              <w:rPr>
                <w:highlight w:val="none"/>
              </w:rPr>
              <w:t>18</w:t>
            </w:r>
            <w:r>
              <w:rPr>
                <w:rFonts w:hint="eastAsia"/>
                <w:highlight w:val="none"/>
              </w:rPr>
              <w:t>条》（冀建安</w:t>
            </w:r>
            <w:r>
              <w:rPr>
                <w:highlight w:val="none"/>
              </w:rPr>
              <w:t>[2016]27</w:t>
            </w:r>
            <w:r>
              <w:rPr>
                <w:rFonts w:hint="eastAsia"/>
                <w:highlight w:val="none"/>
              </w:rPr>
              <w:t>号）标准要求，防止扬尘污染。</w:t>
            </w:r>
          </w:p>
        </w:tc>
        <w:tc>
          <w:tcPr>
            <w:tcW w:w="1134"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rPr>
            </w:pPr>
            <w:r>
              <w:rPr>
                <w:rFonts w:hint="eastAsia"/>
                <w:highlight w:val="none"/>
              </w:rPr>
              <w:t>施工单位环保措施上墙，落实到人，作好施工场地环境管理和保洁工作</w:t>
            </w:r>
          </w:p>
        </w:tc>
        <w:tc>
          <w:tcPr>
            <w:tcW w:w="1118"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szCs w:val="20"/>
                <w:highlight w:val="none"/>
              </w:rPr>
            </w:pPr>
            <w:r>
              <w:rPr>
                <w:rFonts w:hint="eastAsia"/>
                <w:highlight w:val="none"/>
              </w:rPr>
              <w:t>建筑行政管理部门及环境管理部门进行定期检查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rPr>
            </w:pPr>
            <w:r>
              <w:rPr>
                <w:rFonts w:hint="eastAsia"/>
                <w:highlight w:val="none"/>
              </w:rPr>
              <w:t>施工噪声</w:t>
            </w:r>
          </w:p>
        </w:tc>
        <w:tc>
          <w:tcPr>
            <w:tcW w:w="559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jc w:val="left"/>
              <w:rPr>
                <w:highlight w:val="none"/>
              </w:rPr>
            </w:pPr>
            <w:r>
              <w:rPr>
                <w:highlight w:val="none"/>
              </w:rPr>
              <w:t>1.</w:t>
            </w:r>
            <w:r>
              <w:rPr>
                <w:rFonts w:hint="eastAsia"/>
                <w:highlight w:val="none"/>
              </w:rPr>
              <w:t>合理安排施工时间，尽量避免同时使用大量动力机械设备；</w:t>
            </w:r>
          </w:p>
          <w:p>
            <w:pPr>
              <w:pStyle w:val="417"/>
              <w:spacing w:line="240" w:lineRule="auto"/>
              <w:jc w:val="left"/>
              <w:rPr>
                <w:highlight w:val="none"/>
              </w:rPr>
            </w:pPr>
            <w:r>
              <w:rPr>
                <w:highlight w:val="none"/>
              </w:rPr>
              <w:t>2.</w:t>
            </w:r>
            <w:r>
              <w:rPr>
                <w:rFonts w:hint="eastAsia"/>
                <w:highlight w:val="none"/>
              </w:rPr>
              <w:t>施工单位开工</w:t>
            </w:r>
            <w:r>
              <w:rPr>
                <w:highlight w:val="none"/>
              </w:rPr>
              <w:t>15</w:t>
            </w:r>
            <w:r>
              <w:rPr>
                <w:rFonts w:hint="eastAsia"/>
                <w:highlight w:val="none"/>
              </w:rPr>
              <w:t>日前，携带施工资料等到所在地县级以上地方人民政府环境保护行政主管部门申报《建设施工环保审批表》，经批准后方可施工；</w:t>
            </w:r>
          </w:p>
          <w:p>
            <w:pPr>
              <w:pStyle w:val="417"/>
              <w:spacing w:line="240" w:lineRule="auto"/>
              <w:jc w:val="left"/>
              <w:rPr>
                <w:highlight w:val="none"/>
              </w:rPr>
            </w:pPr>
            <w:r>
              <w:rPr>
                <w:highlight w:val="none"/>
              </w:rPr>
              <w:t>3.</w:t>
            </w:r>
            <w:r>
              <w:rPr>
                <w:rFonts w:hint="eastAsia"/>
                <w:highlight w:val="none"/>
              </w:rPr>
              <w:t>建设招投标单位将投标方的低噪声、低振动施工设备和相应技术作为中标的考虑内容；</w:t>
            </w:r>
          </w:p>
          <w:p>
            <w:pPr>
              <w:pStyle w:val="417"/>
              <w:spacing w:line="240" w:lineRule="auto"/>
              <w:jc w:val="left"/>
              <w:rPr>
                <w:highlight w:val="none"/>
              </w:rPr>
            </w:pPr>
            <w:r>
              <w:rPr>
                <w:highlight w:val="none"/>
              </w:rPr>
              <w:t>4.</w:t>
            </w:r>
            <w:r>
              <w:rPr>
                <w:rFonts w:hint="eastAsia"/>
                <w:highlight w:val="none"/>
              </w:rPr>
              <w:t>合理安排施工场地；</w:t>
            </w:r>
          </w:p>
          <w:p>
            <w:pPr>
              <w:pStyle w:val="417"/>
              <w:spacing w:line="240" w:lineRule="auto"/>
              <w:jc w:val="both"/>
              <w:rPr>
                <w:highlight w:val="none"/>
              </w:rPr>
            </w:pPr>
            <w:r>
              <w:rPr>
                <w:highlight w:val="none"/>
              </w:rPr>
              <w:t>5.</w:t>
            </w:r>
            <w:r>
              <w:rPr>
                <w:rFonts w:hint="eastAsia"/>
                <w:highlight w:val="none"/>
              </w:rPr>
              <w:t>合理选择运输路线，尽量避开沿途的环境敏感点。</w:t>
            </w:r>
          </w:p>
        </w:tc>
        <w:tc>
          <w:tcPr>
            <w:tcW w:w="1134"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rPr>
            </w:pPr>
            <w:r>
              <w:rPr>
                <w:spacing w:val="-4"/>
                <w:highlight w:val="none"/>
              </w:rPr>
              <w:t>-</w:t>
            </w:r>
          </w:p>
        </w:tc>
        <w:tc>
          <w:tcPr>
            <w:tcW w:w="1118" w:type="dxa"/>
            <w:vMerge w:val="restart"/>
            <w:tcBorders>
              <w:top w:val="single" w:color="auto" w:sz="4" w:space="0"/>
              <w:left w:val="single" w:color="auto" w:sz="4" w:space="0"/>
              <w:bottom w:val="single" w:color="auto" w:sz="4" w:space="0"/>
              <w:right w:val="single" w:color="auto" w:sz="4" w:space="0"/>
            </w:tcBorders>
            <w:vAlign w:val="center"/>
          </w:tcPr>
          <w:p>
            <w:pPr>
              <w:pStyle w:val="417"/>
              <w:spacing w:line="240" w:lineRule="auto"/>
              <w:rPr>
                <w:szCs w:val="22"/>
                <w:highlight w:val="none"/>
              </w:rPr>
            </w:pPr>
            <w:r>
              <w:rPr>
                <w:rFonts w:hint="eastAsia"/>
                <w:highlight w:val="none"/>
              </w:rPr>
              <w:t>建筑行政管理部门及环境管理部门进行定期检查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rPr>
            </w:pPr>
            <w:r>
              <w:rPr>
                <w:rFonts w:hint="eastAsia"/>
                <w:highlight w:val="none"/>
              </w:rPr>
              <w:t>建筑</w:t>
            </w:r>
          </w:p>
          <w:p>
            <w:pPr>
              <w:pStyle w:val="417"/>
              <w:spacing w:line="240" w:lineRule="auto"/>
              <w:rPr>
                <w:highlight w:val="none"/>
              </w:rPr>
            </w:pPr>
            <w:r>
              <w:rPr>
                <w:rFonts w:hint="eastAsia"/>
                <w:highlight w:val="none"/>
              </w:rPr>
              <w:t>垃圾</w:t>
            </w:r>
          </w:p>
        </w:tc>
        <w:tc>
          <w:tcPr>
            <w:tcW w:w="559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jc w:val="left"/>
              <w:rPr>
                <w:highlight w:val="none"/>
              </w:rPr>
            </w:pPr>
            <w:r>
              <w:rPr>
                <w:rFonts w:hint="eastAsia"/>
                <w:highlight w:val="none"/>
              </w:rPr>
              <w:t>建筑垃圾多余弃土及时清运，不得长期堆存，作到随有随清，车辆用毡布遮盖，防治撒落。</w:t>
            </w:r>
          </w:p>
        </w:tc>
        <w:tc>
          <w:tcPr>
            <w:tcW w:w="1134"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spacing w:val="-4"/>
                <w:highlight w:val="none"/>
              </w:rPr>
            </w:pPr>
            <w:r>
              <w:rPr>
                <w:rFonts w:hint="eastAsia"/>
                <w:spacing w:val="-4"/>
                <w:highlight w:val="none"/>
              </w:rPr>
              <w:t>渣土清运至指定地点填埋</w:t>
            </w:r>
          </w:p>
        </w:tc>
        <w:tc>
          <w:tcPr>
            <w:tcW w:w="1118" w:type="dxa"/>
            <w:vMerge w:val="continue"/>
            <w:tcBorders>
              <w:top w:val="single" w:color="auto" w:sz="4" w:space="0"/>
              <w:left w:val="single" w:color="auto" w:sz="4" w:space="0"/>
              <w:bottom w:val="single" w:color="auto" w:sz="4" w:space="0"/>
              <w:right w:val="single" w:color="auto" w:sz="4" w:space="0"/>
            </w:tcBorders>
            <w:vAlign w:val="center"/>
          </w:tcPr>
          <w:p>
            <w:pPr>
              <w:pStyle w:val="417"/>
              <w:spacing w:line="240" w:lineRule="auto"/>
              <w:rPr>
                <w:sz w:val="22"/>
                <w:szCs w:val="22"/>
                <w:highlight w:val="none"/>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highlight w:val="none"/>
              </w:rPr>
            </w:pPr>
            <w:r>
              <w:rPr>
                <w:rFonts w:hint="eastAsia"/>
                <w:highlight w:val="none"/>
              </w:rPr>
              <w:t>防渗</w:t>
            </w:r>
          </w:p>
          <w:p>
            <w:pPr>
              <w:pStyle w:val="417"/>
              <w:spacing w:line="240" w:lineRule="auto"/>
              <w:rPr>
                <w:highlight w:val="none"/>
              </w:rPr>
            </w:pPr>
            <w:r>
              <w:rPr>
                <w:rFonts w:hint="eastAsia"/>
                <w:highlight w:val="none"/>
              </w:rPr>
              <w:t>工程</w:t>
            </w:r>
          </w:p>
        </w:tc>
        <w:tc>
          <w:tcPr>
            <w:tcW w:w="5593"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jc w:val="left"/>
              <w:rPr>
                <w:highlight w:val="none"/>
              </w:rPr>
            </w:pPr>
            <w:r>
              <w:rPr>
                <w:rFonts w:hint="eastAsia"/>
                <w:highlight w:val="none"/>
              </w:rPr>
              <w:t>重点防渗区包括：危废间；一般防渗区包括：精粉库、沉淀池、清水池、压滤机设备间、球磨车间、事故池；简单防渗区包括车库、配电室、办公区、旱厕和洗车平台等。</w:t>
            </w:r>
          </w:p>
        </w:tc>
        <w:tc>
          <w:tcPr>
            <w:tcW w:w="1134" w:type="dxa"/>
            <w:tcBorders>
              <w:top w:val="single" w:color="auto" w:sz="4" w:space="0"/>
              <w:left w:val="single" w:color="auto" w:sz="4" w:space="0"/>
              <w:bottom w:val="single" w:color="auto" w:sz="4" w:space="0"/>
              <w:right w:val="single" w:color="auto" w:sz="4" w:space="0"/>
            </w:tcBorders>
            <w:vAlign w:val="center"/>
          </w:tcPr>
          <w:p>
            <w:pPr>
              <w:pStyle w:val="417"/>
              <w:spacing w:line="240" w:lineRule="auto"/>
              <w:rPr>
                <w:spacing w:val="-4"/>
                <w:highlight w:val="none"/>
              </w:rPr>
            </w:pPr>
            <w:r>
              <w:rPr>
                <w:spacing w:val="-4"/>
                <w:highlight w:val="none"/>
              </w:rPr>
              <w:t>-</w:t>
            </w:r>
          </w:p>
        </w:tc>
        <w:tc>
          <w:tcPr>
            <w:tcW w:w="1118" w:type="dxa"/>
            <w:vMerge w:val="continue"/>
            <w:tcBorders>
              <w:top w:val="single" w:color="auto" w:sz="4" w:space="0"/>
              <w:left w:val="single" w:color="auto" w:sz="4" w:space="0"/>
              <w:bottom w:val="single" w:color="auto" w:sz="4" w:space="0"/>
              <w:right w:val="single" w:color="auto" w:sz="4" w:space="0"/>
            </w:tcBorders>
            <w:vAlign w:val="center"/>
          </w:tcPr>
          <w:p>
            <w:pPr>
              <w:pStyle w:val="417"/>
              <w:spacing w:line="240" w:lineRule="auto"/>
              <w:rPr>
                <w:sz w:val="22"/>
                <w:szCs w:val="22"/>
                <w:highlight w:val="none"/>
                <w:lang w:val="zh-CN" w:bidi="zh-CN"/>
              </w:rPr>
            </w:pPr>
          </w:p>
        </w:tc>
      </w:tr>
    </w:tbl>
    <w:p>
      <w:pPr>
        <w:autoSpaceDE w:val="0"/>
        <w:autoSpaceDN w:val="0"/>
        <w:ind w:firstLine="0" w:firstLineChars="0"/>
        <w:jc w:val="both"/>
        <w:textAlignment w:val="auto"/>
        <w:rPr>
          <w:bCs/>
          <w:sz w:val="24"/>
          <w:highlight w:val="none"/>
        </w:rPr>
      </w:pP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566" w:name="_Toc321984021"/>
      <w:bookmarkStart w:id="567" w:name="_Toc499651431"/>
      <w:bookmarkStart w:id="568" w:name="_Toc25288"/>
      <w:bookmarkStart w:id="569" w:name="_Toc25892"/>
      <w:bookmarkStart w:id="570" w:name="_Toc27383"/>
      <w:bookmarkStart w:id="571" w:name="_Toc521591831"/>
      <w:bookmarkStart w:id="572" w:name="_Toc503218130"/>
      <w:bookmarkStart w:id="573" w:name="_Toc477175440"/>
      <w:bookmarkStart w:id="574" w:name="_Toc524285123"/>
      <w:bookmarkStart w:id="575" w:name="_Toc186367930"/>
      <w:bookmarkStart w:id="576" w:name="_Toc27492"/>
      <w:bookmarkStart w:id="577" w:name="_Toc176578296"/>
      <w:r>
        <w:rPr>
          <w:rFonts w:ascii="Times New Roman" w:hAnsi="Times New Roman" w:eastAsia="宋体"/>
          <w:bCs w:val="0"/>
          <w:snapToGrid w:val="0"/>
          <w:kern w:val="0"/>
          <w:sz w:val="28"/>
          <w:szCs w:val="28"/>
          <w:highlight w:val="none"/>
        </w:rPr>
        <w:t>运营期环境管理</w:t>
      </w:r>
      <w:bookmarkEnd w:id="566"/>
      <w:bookmarkEnd w:id="567"/>
      <w:bookmarkEnd w:id="568"/>
      <w:bookmarkEnd w:id="569"/>
      <w:bookmarkEnd w:id="570"/>
      <w:bookmarkEnd w:id="571"/>
      <w:bookmarkEnd w:id="572"/>
      <w:bookmarkEnd w:id="573"/>
      <w:bookmarkEnd w:id="574"/>
      <w:bookmarkEnd w:id="575"/>
      <w:bookmarkEnd w:id="576"/>
      <w:bookmarkEnd w:id="577"/>
    </w:p>
    <w:p>
      <w:pPr>
        <w:autoSpaceDE w:val="0"/>
        <w:autoSpaceDN w:val="0"/>
        <w:ind w:firstLine="480"/>
        <w:jc w:val="both"/>
        <w:textAlignment w:val="auto"/>
        <w:rPr>
          <w:sz w:val="24"/>
          <w:highlight w:val="none"/>
        </w:rPr>
      </w:pPr>
      <w:r>
        <w:rPr>
          <w:sz w:val="24"/>
          <w:highlight w:val="none"/>
        </w:rPr>
        <w:t>环境管理是企业管理工作重要组成部分。其主要目的是通过环境管理工作的开展，提高全体员工环保意识，促进企业积极主动地预防和治理污染，避免因管理不善产生环境污染。因此，企业要贯彻落实国家和地方有关法律和法规，正确处理企业发展与环境保护的关系，实现清洁生产，从而真正达到持续发展的战略目标。</w:t>
      </w:r>
    </w:p>
    <w:p>
      <w:pPr>
        <w:pStyle w:val="6"/>
        <w:numPr>
          <w:ilvl w:val="2"/>
          <w:numId w:val="1"/>
        </w:numPr>
        <w:rPr>
          <w:szCs w:val="28"/>
          <w:highlight w:val="none"/>
        </w:rPr>
      </w:pPr>
      <w:bookmarkStart w:id="578" w:name="_Toc521591832"/>
      <w:bookmarkStart w:id="579" w:name="_Toc5636"/>
      <w:r>
        <w:rPr>
          <w:szCs w:val="28"/>
          <w:highlight w:val="none"/>
        </w:rPr>
        <w:t>机构组成</w:t>
      </w:r>
      <w:bookmarkEnd w:id="578"/>
      <w:bookmarkEnd w:id="579"/>
    </w:p>
    <w:p>
      <w:pPr>
        <w:autoSpaceDE w:val="0"/>
        <w:autoSpaceDN w:val="0"/>
        <w:ind w:firstLine="480"/>
        <w:jc w:val="both"/>
        <w:textAlignment w:val="auto"/>
        <w:rPr>
          <w:sz w:val="24"/>
          <w:highlight w:val="none"/>
        </w:rPr>
      </w:pPr>
      <w:r>
        <w:rPr>
          <w:sz w:val="24"/>
          <w:highlight w:val="none"/>
        </w:rPr>
        <w:t>建立环境管理机构是环境管理工作科学化、制度化、经常化的组织保障，是将环境保护纳入企业管理和生产计划并制定合理的污染控制指标，使企业排污符合国家和地方有关排放标准，并实现“一控双达标”，企业内部必须建立环境管理机构。</w:t>
      </w:r>
    </w:p>
    <w:p>
      <w:pPr>
        <w:autoSpaceDE w:val="0"/>
        <w:autoSpaceDN w:val="0"/>
        <w:ind w:firstLine="480"/>
        <w:jc w:val="both"/>
        <w:textAlignment w:val="auto"/>
        <w:rPr>
          <w:sz w:val="24"/>
          <w:highlight w:val="none"/>
        </w:rPr>
      </w:pPr>
      <w:r>
        <w:rPr>
          <w:sz w:val="24"/>
          <w:highlight w:val="none"/>
        </w:rPr>
        <w:t>根据项目实际情况，企业应当建立环保机构，负责项目施工、运营期间的安全生产和环境管理工作。由公司总经理负责，1名副经理分管主抓，成员由各生产岗位领导组成，专门研究、决策有关环境保护方面的事宜。同时配备1专职环保员，担负起全厂环境管理工作，使各项环保措施、制度得以贯彻落实。</w:t>
      </w:r>
    </w:p>
    <w:p>
      <w:pPr>
        <w:pStyle w:val="6"/>
        <w:numPr>
          <w:ilvl w:val="2"/>
          <w:numId w:val="1"/>
        </w:numPr>
        <w:rPr>
          <w:szCs w:val="28"/>
          <w:highlight w:val="none"/>
        </w:rPr>
      </w:pPr>
      <w:bookmarkStart w:id="580" w:name="_Toc9134"/>
      <w:bookmarkStart w:id="581" w:name="_Toc521591833"/>
      <w:r>
        <w:rPr>
          <w:szCs w:val="28"/>
          <w:highlight w:val="none"/>
        </w:rPr>
        <w:t>机构职责</w:t>
      </w:r>
      <w:bookmarkEnd w:id="580"/>
      <w:bookmarkEnd w:id="581"/>
    </w:p>
    <w:p>
      <w:pPr>
        <w:autoSpaceDE w:val="0"/>
        <w:autoSpaceDN w:val="0"/>
        <w:ind w:firstLine="480"/>
        <w:jc w:val="both"/>
        <w:textAlignment w:val="auto"/>
        <w:rPr>
          <w:sz w:val="24"/>
          <w:highlight w:val="none"/>
        </w:rPr>
      </w:pPr>
      <w:r>
        <w:rPr>
          <w:sz w:val="24"/>
          <w:highlight w:val="none"/>
        </w:rPr>
        <w:t>企业环保机构应具有厂内行使环保执法的权利，并接受当地环保管理部门的指导和监督。其主要职责如下：</w:t>
      </w:r>
    </w:p>
    <w:p>
      <w:pPr>
        <w:autoSpaceDE w:val="0"/>
        <w:autoSpaceDN w:val="0"/>
        <w:ind w:firstLine="480"/>
        <w:jc w:val="both"/>
        <w:textAlignment w:val="auto"/>
        <w:rPr>
          <w:sz w:val="24"/>
          <w:highlight w:val="none"/>
        </w:rPr>
      </w:pPr>
      <w:r>
        <w:rPr>
          <w:sz w:val="24"/>
          <w:highlight w:val="none"/>
        </w:rPr>
        <w:t>（1）贯彻、宣传国家的环保方针、政策和法律法规。</w:t>
      </w:r>
    </w:p>
    <w:p>
      <w:pPr>
        <w:autoSpaceDE w:val="0"/>
        <w:autoSpaceDN w:val="0"/>
        <w:ind w:firstLine="480"/>
        <w:jc w:val="both"/>
        <w:textAlignment w:val="auto"/>
        <w:rPr>
          <w:sz w:val="24"/>
          <w:highlight w:val="none"/>
        </w:rPr>
      </w:pPr>
      <w:r>
        <w:rPr>
          <w:sz w:val="24"/>
          <w:highlight w:val="none"/>
        </w:rPr>
        <w:t>（2）制定本厂的环保管理制度。建立和健全企业内部环境保护目标责任制度和考核制度，严格考核各环保设施处理效果，要有相应的奖惩制度。</w:t>
      </w:r>
    </w:p>
    <w:p>
      <w:pPr>
        <w:autoSpaceDE w:val="0"/>
        <w:autoSpaceDN w:val="0"/>
        <w:ind w:firstLine="480"/>
        <w:jc w:val="both"/>
        <w:textAlignment w:val="auto"/>
        <w:rPr>
          <w:sz w:val="24"/>
          <w:highlight w:val="none"/>
        </w:rPr>
      </w:pPr>
      <w:r>
        <w:rPr>
          <w:sz w:val="24"/>
          <w:highlight w:val="none"/>
        </w:rPr>
        <w:t>（3）监督检查本项目执行“三同时”规定的情况。</w:t>
      </w:r>
    </w:p>
    <w:p>
      <w:pPr>
        <w:tabs>
          <w:tab w:val="left" w:pos="1395"/>
        </w:tabs>
        <w:autoSpaceDE w:val="0"/>
        <w:autoSpaceDN w:val="0"/>
        <w:ind w:firstLine="480"/>
        <w:jc w:val="both"/>
        <w:textAlignment w:val="auto"/>
        <w:rPr>
          <w:sz w:val="24"/>
          <w:highlight w:val="none"/>
        </w:rPr>
      </w:pPr>
      <w:r>
        <w:rPr>
          <w:sz w:val="24"/>
          <w:highlight w:val="none"/>
        </w:rPr>
        <w:t>（4）定期进行环保设备检查、维修和保养工作，确保环保设施长期、稳定、达标运转。建立并管理好环保设施档案资料。</w:t>
      </w:r>
    </w:p>
    <w:p>
      <w:pPr>
        <w:tabs>
          <w:tab w:val="left" w:pos="1395"/>
        </w:tabs>
        <w:autoSpaceDE w:val="0"/>
        <w:autoSpaceDN w:val="0"/>
        <w:ind w:firstLine="480"/>
        <w:jc w:val="both"/>
        <w:textAlignment w:val="auto"/>
        <w:rPr>
          <w:sz w:val="24"/>
          <w:highlight w:val="none"/>
        </w:rPr>
      </w:pPr>
      <w:r>
        <w:rPr>
          <w:sz w:val="24"/>
          <w:highlight w:val="none"/>
        </w:rPr>
        <w:t>（5）负责选矿厂环保设施的日常运行管理工作，制定事故防范措施。</w:t>
      </w:r>
    </w:p>
    <w:p>
      <w:pPr>
        <w:tabs>
          <w:tab w:val="left" w:pos="1395"/>
        </w:tabs>
        <w:autoSpaceDE w:val="0"/>
        <w:autoSpaceDN w:val="0"/>
        <w:ind w:firstLine="480"/>
        <w:jc w:val="both"/>
        <w:textAlignment w:val="auto"/>
        <w:rPr>
          <w:sz w:val="24"/>
          <w:highlight w:val="none"/>
        </w:rPr>
      </w:pPr>
      <w:r>
        <w:rPr>
          <w:sz w:val="24"/>
          <w:highlight w:val="none"/>
        </w:rPr>
        <w:t>（6）有计划地做好普及环境科学知识和环境法律知识的宣传教育工作，对场内环保人员和附近居民进行环境保护教育，不断提高居民的环境意识和环保人员的业务素质。</w:t>
      </w:r>
    </w:p>
    <w:p>
      <w:pPr>
        <w:autoSpaceDE w:val="0"/>
        <w:autoSpaceDN w:val="0"/>
        <w:ind w:firstLine="480"/>
        <w:jc w:val="both"/>
        <w:textAlignment w:val="auto"/>
        <w:rPr>
          <w:sz w:val="24"/>
          <w:highlight w:val="none"/>
        </w:rPr>
      </w:pPr>
      <w:r>
        <w:rPr>
          <w:sz w:val="24"/>
          <w:highlight w:val="none"/>
        </w:rPr>
        <w:t>（7）负责与本项目污染源监测工作对接，了解掌握本项目污染动态，发现异常要及时查找原因，并反馈给生产工段，防止污染事故发生。</w:t>
      </w:r>
    </w:p>
    <w:p>
      <w:pPr>
        <w:pStyle w:val="6"/>
        <w:numPr>
          <w:ilvl w:val="2"/>
          <w:numId w:val="1"/>
        </w:numPr>
        <w:rPr>
          <w:szCs w:val="28"/>
          <w:highlight w:val="none"/>
        </w:rPr>
      </w:pPr>
      <w:bookmarkStart w:id="582" w:name="_Toc32579"/>
      <w:bookmarkStart w:id="583" w:name="_Toc521591834"/>
      <w:r>
        <w:rPr>
          <w:szCs w:val="28"/>
          <w:highlight w:val="none"/>
        </w:rPr>
        <w:t>环境管理制度</w:t>
      </w:r>
      <w:bookmarkEnd w:id="582"/>
      <w:bookmarkEnd w:id="583"/>
    </w:p>
    <w:p>
      <w:pPr>
        <w:autoSpaceDE w:val="0"/>
        <w:autoSpaceDN w:val="0"/>
        <w:ind w:firstLine="480"/>
        <w:jc w:val="both"/>
        <w:textAlignment w:val="auto"/>
        <w:rPr>
          <w:sz w:val="24"/>
          <w:highlight w:val="none"/>
        </w:rPr>
      </w:pPr>
      <w:r>
        <w:rPr>
          <w:sz w:val="24"/>
          <w:highlight w:val="none"/>
        </w:rPr>
        <w:t>企业应建立健全必要的环境管理规章制度，并把它作为企业领导和全体职工必须严格遵守的一种规范和总则。“有规可循、执规必严”是环境管理得以顺利实施的重要保证。各项规章制度要体现环境管理的任务、内容和准则，使环境管理特点和要求渗透到企业的各项管理工作之中。</w:t>
      </w:r>
    </w:p>
    <w:p>
      <w:pPr>
        <w:autoSpaceDE w:val="0"/>
        <w:autoSpaceDN w:val="0"/>
        <w:ind w:firstLine="480"/>
        <w:jc w:val="both"/>
        <w:textAlignment w:val="auto"/>
        <w:rPr>
          <w:sz w:val="24"/>
          <w:highlight w:val="none"/>
        </w:rPr>
      </w:pPr>
      <w:r>
        <w:rPr>
          <w:sz w:val="24"/>
          <w:highlight w:val="none"/>
        </w:rPr>
        <w:t>最基本的环境管理制度有以下几方面：</w:t>
      </w:r>
    </w:p>
    <w:p>
      <w:pPr>
        <w:autoSpaceDE w:val="0"/>
        <w:autoSpaceDN w:val="0"/>
        <w:ind w:firstLine="480"/>
        <w:jc w:val="both"/>
        <w:textAlignment w:val="auto"/>
        <w:rPr>
          <w:sz w:val="24"/>
          <w:highlight w:val="none"/>
        </w:rPr>
      </w:pPr>
      <w:r>
        <w:rPr>
          <w:sz w:val="24"/>
          <w:highlight w:val="none"/>
        </w:rPr>
        <w:t>（1）环境保护职责管理制度</w:t>
      </w:r>
    </w:p>
    <w:p>
      <w:pPr>
        <w:autoSpaceDE w:val="0"/>
        <w:autoSpaceDN w:val="0"/>
        <w:ind w:firstLine="480"/>
        <w:jc w:val="both"/>
        <w:textAlignment w:val="auto"/>
        <w:rPr>
          <w:sz w:val="24"/>
          <w:highlight w:val="none"/>
        </w:rPr>
      </w:pPr>
      <w:r>
        <w:rPr>
          <w:sz w:val="24"/>
          <w:highlight w:val="none"/>
        </w:rPr>
        <w:t>（2）废水、废气、固体废物排放管理制度</w:t>
      </w:r>
    </w:p>
    <w:p>
      <w:pPr>
        <w:autoSpaceDE w:val="0"/>
        <w:autoSpaceDN w:val="0"/>
        <w:ind w:firstLine="480"/>
        <w:jc w:val="both"/>
        <w:textAlignment w:val="auto"/>
        <w:rPr>
          <w:sz w:val="24"/>
          <w:highlight w:val="none"/>
        </w:rPr>
      </w:pPr>
      <w:r>
        <w:rPr>
          <w:sz w:val="24"/>
          <w:highlight w:val="none"/>
        </w:rPr>
        <w:t>（3）处理装置日常运行管理制度</w:t>
      </w:r>
    </w:p>
    <w:p>
      <w:pPr>
        <w:autoSpaceDE w:val="0"/>
        <w:autoSpaceDN w:val="0"/>
        <w:ind w:firstLine="480"/>
        <w:jc w:val="both"/>
        <w:textAlignment w:val="auto"/>
        <w:rPr>
          <w:sz w:val="24"/>
          <w:highlight w:val="none"/>
        </w:rPr>
      </w:pPr>
      <w:r>
        <w:rPr>
          <w:sz w:val="24"/>
          <w:highlight w:val="none"/>
        </w:rPr>
        <w:t>（4）排污情况报告制度</w:t>
      </w:r>
    </w:p>
    <w:p>
      <w:pPr>
        <w:autoSpaceDE w:val="0"/>
        <w:autoSpaceDN w:val="0"/>
        <w:ind w:firstLine="480"/>
        <w:jc w:val="both"/>
        <w:textAlignment w:val="auto"/>
        <w:rPr>
          <w:sz w:val="24"/>
          <w:highlight w:val="none"/>
        </w:rPr>
      </w:pPr>
      <w:r>
        <w:rPr>
          <w:sz w:val="24"/>
          <w:highlight w:val="none"/>
        </w:rPr>
        <w:t>（5）污染事故处理制度</w:t>
      </w:r>
    </w:p>
    <w:p>
      <w:pPr>
        <w:ind w:firstLine="480"/>
        <w:jc w:val="both"/>
        <w:rPr>
          <w:sz w:val="24"/>
          <w:highlight w:val="none"/>
        </w:rPr>
      </w:pPr>
      <w:r>
        <w:rPr>
          <w:sz w:val="24"/>
          <w:highlight w:val="none"/>
        </w:rPr>
        <w:t>（6）环保教育制度</w:t>
      </w:r>
    </w:p>
    <w:p>
      <w:pPr>
        <w:ind w:firstLine="480"/>
        <w:jc w:val="both"/>
        <w:rPr>
          <w:sz w:val="24"/>
          <w:highlight w:val="none"/>
        </w:rPr>
      </w:pPr>
      <w:r>
        <w:rPr>
          <w:sz w:val="24"/>
          <w:highlight w:val="none"/>
        </w:rPr>
        <w:t>通过对各项环境管理制度建立和严格执行，形成目标管理、监督反馈紧密配合的环保工作管理体系，可有效防止非正常生产和突发性事故造成的危害。</w:t>
      </w:r>
    </w:p>
    <w:p>
      <w:pPr>
        <w:pStyle w:val="6"/>
        <w:numPr>
          <w:ilvl w:val="2"/>
          <w:numId w:val="1"/>
        </w:numPr>
        <w:rPr>
          <w:szCs w:val="28"/>
          <w:highlight w:val="none"/>
        </w:rPr>
      </w:pPr>
      <w:bookmarkStart w:id="584" w:name="_Toc521591835"/>
      <w:bookmarkStart w:id="585" w:name="_Toc5945"/>
      <w:r>
        <w:rPr>
          <w:szCs w:val="28"/>
          <w:highlight w:val="none"/>
        </w:rPr>
        <w:t>建设单位公开信息内容</w:t>
      </w:r>
    </w:p>
    <w:p>
      <w:pPr>
        <w:ind w:firstLine="480"/>
        <w:rPr>
          <w:sz w:val="24"/>
          <w:highlight w:val="none"/>
        </w:rPr>
      </w:pPr>
      <w:r>
        <w:rPr>
          <w:rFonts w:hint="eastAsia"/>
          <w:sz w:val="24"/>
          <w:highlight w:val="none"/>
        </w:rPr>
        <w:t>建设单位公开信息内容见下表。</w:t>
      </w:r>
    </w:p>
    <w:p>
      <w:pPr>
        <w:spacing w:line="240" w:lineRule="auto"/>
        <w:ind w:firstLine="0" w:firstLineChars="0"/>
        <w:jc w:val="center"/>
        <w:rPr>
          <w:rFonts w:eastAsia="黑体"/>
          <w:bCs/>
          <w:kern w:val="2"/>
          <w:sz w:val="21"/>
          <w:szCs w:val="21"/>
          <w:highlight w:val="none"/>
        </w:rPr>
      </w:pPr>
      <w:r>
        <w:rPr>
          <w:rFonts w:hint="eastAsia" w:eastAsia="黑体"/>
          <w:bCs/>
          <w:kern w:val="2"/>
          <w:sz w:val="21"/>
          <w:szCs w:val="21"/>
          <w:highlight w:val="none"/>
        </w:rPr>
        <w:t>表8.2-1     建设单位公开信息内容一览表</w:t>
      </w:r>
    </w:p>
    <w:tbl>
      <w:tblPr>
        <w:tblStyle w:val="5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59"/>
        <w:gridCol w:w="6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vAlign w:val="center"/>
          </w:tcPr>
          <w:p>
            <w:pPr>
              <w:spacing w:line="240" w:lineRule="auto"/>
              <w:ind w:firstLine="0" w:firstLineChars="0"/>
              <w:jc w:val="center"/>
              <w:rPr>
                <w:sz w:val="21"/>
                <w:szCs w:val="21"/>
                <w:highlight w:val="none"/>
              </w:rPr>
            </w:pPr>
            <w:r>
              <w:rPr>
                <w:rFonts w:hint="eastAsia"/>
                <w:sz w:val="21"/>
                <w:szCs w:val="21"/>
                <w:highlight w:val="none"/>
              </w:rPr>
              <w:t>序号</w:t>
            </w:r>
          </w:p>
        </w:tc>
        <w:tc>
          <w:tcPr>
            <w:tcW w:w="1559" w:type="dxa"/>
            <w:vAlign w:val="center"/>
          </w:tcPr>
          <w:p>
            <w:pPr>
              <w:spacing w:line="240" w:lineRule="auto"/>
              <w:ind w:firstLine="0" w:firstLineChars="0"/>
              <w:jc w:val="center"/>
              <w:rPr>
                <w:sz w:val="21"/>
                <w:szCs w:val="21"/>
                <w:highlight w:val="none"/>
              </w:rPr>
            </w:pPr>
            <w:r>
              <w:rPr>
                <w:rFonts w:hint="eastAsia"/>
                <w:sz w:val="21"/>
                <w:szCs w:val="21"/>
                <w:highlight w:val="none"/>
              </w:rPr>
              <w:t>公开信息</w:t>
            </w:r>
          </w:p>
        </w:tc>
        <w:tc>
          <w:tcPr>
            <w:tcW w:w="6152" w:type="dxa"/>
            <w:vAlign w:val="center"/>
          </w:tcPr>
          <w:p>
            <w:pPr>
              <w:spacing w:line="240" w:lineRule="auto"/>
              <w:ind w:firstLine="0" w:firstLineChars="0"/>
              <w:jc w:val="center"/>
              <w:rPr>
                <w:sz w:val="21"/>
                <w:szCs w:val="21"/>
                <w:highlight w:val="none"/>
              </w:rPr>
            </w:pPr>
            <w:r>
              <w:rPr>
                <w:rFonts w:hint="eastAsia"/>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vAlign w:val="center"/>
          </w:tcPr>
          <w:p>
            <w:pPr>
              <w:spacing w:line="240" w:lineRule="auto"/>
              <w:ind w:firstLine="0" w:firstLineChars="0"/>
              <w:jc w:val="center"/>
              <w:rPr>
                <w:sz w:val="21"/>
                <w:szCs w:val="21"/>
                <w:highlight w:val="none"/>
              </w:rPr>
            </w:pPr>
            <w:r>
              <w:rPr>
                <w:rFonts w:hint="eastAsia"/>
                <w:sz w:val="21"/>
                <w:szCs w:val="21"/>
                <w:highlight w:val="none"/>
              </w:rPr>
              <w:t>1</w:t>
            </w:r>
          </w:p>
        </w:tc>
        <w:tc>
          <w:tcPr>
            <w:tcW w:w="1559" w:type="dxa"/>
            <w:vAlign w:val="center"/>
          </w:tcPr>
          <w:p>
            <w:pPr>
              <w:spacing w:line="240" w:lineRule="auto"/>
              <w:ind w:firstLine="0" w:firstLineChars="0"/>
              <w:jc w:val="center"/>
              <w:rPr>
                <w:sz w:val="21"/>
                <w:szCs w:val="21"/>
                <w:highlight w:val="none"/>
              </w:rPr>
            </w:pPr>
            <w:r>
              <w:rPr>
                <w:rFonts w:hint="eastAsia"/>
                <w:sz w:val="21"/>
                <w:szCs w:val="21"/>
                <w:highlight w:val="none"/>
              </w:rPr>
              <w:t>基础信息</w:t>
            </w:r>
          </w:p>
        </w:tc>
        <w:tc>
          <w:tcPr>
            <w:tcW w:w="6152" w:type="dxa"/>
            <w:vAlign w:val="center"/>
          </w:tcPr>
          <w:p>
            <w:pPr>
              <w:spacing w:line="240" w:lineRule="auto"/>
              <w:ind w:firstLine="0" w:firstLineChars="0"/>
              <w:jc w:val="center"/>
              <w:rPr>
                <w:sz w:val="21"/>
                <w:szCs w:val="21"/>
                <w:highlight w:val="none"/>
              </w:rPr>
            </w:pPr>
            <w:r>
              <w:rPr>
                <w:rFonts w:hint="eastAsia"/>
                <w:sz w:val="21"/>
                <w:szCs w:val="21"/>
                <w:highlight w:val="none"/>
              </w:rPr>
              <w:t>单位名称、组织机构代码、法定代表人、生产地址、联系方式，以及生产经营和管理服务的主要内容、产品及规模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vAlign w:val="center"/>
          </w:tcPr>
          <w:p>
            <w:pPr>
              <w:spacing w:line="240" w:lineRule="auto"/>
              <w:ind w:firstLine="0" w:firstLineChars="0"/>
              <w:jc w:val="center"/>
              <w:rPr>
                <w:sz w:val="21"/>
                <w:szCs w:val="21"/>
                <w:highlight w:val="none"/>
              </w:rPr>
            </w:pPr>
            <w:r>
              <w:rPr>
                <w:rFonts w:hint="eastAsia"/>
                <w:sz w:val="21"/>
                <w:szCs w:val="21"/>
                <w:highlight w:val="none"/>
              </w:rPr>
              <w:t>2</w:t>
            </w:r>
          </w:p>
        </w:tc>
        <w:tc>
          <w:tcPr>
            <w:tcW w:w="1559" w:type="dxa"/>
            <w:vAlign w:val="center"/>
          </w:tcPr>
          <w:p>
            <w:pPr>
              <w:spacing w:line="240" w:lineRule="auto"/>
              <w:ind w:firstLine="0" w:firstLineChars="0"/>
              <w:jc w:val="center"/>
              <w:rPr>
                <w:sz w:val="21"/>
                <w:szCs w:val="21"/>
                <w:highlight w:val="none"/>
              </w:rPr>
            </w:pPr>
            <w:r>
              <w:rPr>
                <w:rFonts w:hint="eastAsia"/>
                <w:sz w:val="21"/>
                <w:szCs w:val="21"/>
                <w:highlight w:val="none"/>
              </w:rPr>
              <w:t>排污信息</w:t>
            </w:r>
          </w:p>
        </w:tc>
        <w:tc>
          <w:tcPr>
            <w:tcW w:w="6152" w:type="dxa"/>
            <w:vAlign w:val="center"/>
          </w:tcPr>
          <w:p>
            <w:pPr>
              <w:spacing w:line="240" w:lineRule="auto"/>
              <w:ind w:firstLine="0" w:firstLineChars="0"/>
              <w:jc w:val="center"/>
              <w:rPr>
                <w:sz w:val="21"/>
                <w:szCs w:val="21"/>
                <w:highlight w:val="none"/>
              </w:rPr>
            </w:pPr>
            <w:r>
              <w:rPr>
                <w:rFonts w:hint="eastAsia"/>
                <w:sz w:val="21"/>
                <w:szCs w:val="21"/>
                <w:highlight w:val="none"/>
              </w:rPr>
              <w:t>主要污染物及特征污染物的名称、排放方式、排放口数量和分布情况、排放浓度和总量、超标情况，以及执行的污染物排放标准、核定的排放总量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vAlign w:val="center"/>
          </w:tcPr>
          <w:p>
            <w:pPr>
              <w:spacing w:line="240" w:lineRule="auto"/>
              <w:ind w:firstLine="0" w:firstLineChars="0"/>
              <w:jc w:val="center"/>
              <w:rPr>
                <w:sz w:val="21"/>
                <w:szCs w:val="21"/>
                <w:highlight w:val="none"/>
              </w:rPr>
            </w:pPr>
            <w:r>
              <w:rPr>
                <w:rFonts w:hint="eastAsia"/>
                <w:sz w:val="21"/>
                <w:szCs w:val="21"/>
                <w:highlight w:val="none"/>
              </w:rPr>
              <w:t>3</w:t>
            </w:r>
          </w:p>
        </w:tc>
        <w:tc>
          <w:tcPr>
            <w:tcW w:w="1559" w:type="dxa"/>
            <w:vAlign w:val="center"/>
          </w:tcPr>
          <w:p>
            <w:pPr>
              <w:spacing w:line="240" w:lineRule="auto"/>
              <w:ind w:firstLine="0" w:firstLineChars="0"/>
              <w:jc w:val="center"/>
              <w:rPr>
                <w:sz w:val="21"/>
                <w:szCs w:val="21"/>
                <w:highlight w:val="none"/>
              </w:rPr>
            </w:pPr>
            <w:r>
              <w:rPr>
                <w:rFonts w:hint="eastAsia"/>
                <w:sz w:val="21"/>
                <w:szCs w:val="21"/>
                <w:highlight w:val="none"/>
              </w:rPr>
              <w:t>污染防治设施</w:t>
            </w:r>
          </w:p>
        </w:tc>
        <w:tc>
          <w:tcPr>
            <w:tcW w:w="6152" w:type="dxa"/>
            <w:vAlign w:val="center"/>
          </w:tcPr>
          <w:p>
            <w:pPr>
              <w:spacing w:line="240" w:lineRule="auto"/>
              <w:ind w:firstLine="0" w:firstLineChars="0"/>
              <w:jc w:val="center"/>
              <w:rPr>
                <w:sz w:val="21"/>
                <w:szCs w:val="21"/>
                <w:highlight w:val="none"/>
              </w:rPr>
            </w:pPr>
            <w:r>
              <w:rPr>
                <w:rFonts w:hint="eastAsia"/>
                <w:sz w:val="21"/>
                <w:szCs w:val="21"/>
                <w:highlight w:val="none"/>
              </w:rPr>
              <w:t>污染防治设施的建设和运行情况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vAlign w:val="center"/>
          </w:tcPr>
          <w:p>
            <w:pPr>
              <w:spacing w:line="240" w:lineRule="auto"/>
              <w:ind w:firstLine="0" w:firstLineChars="0"/>
              <w:jc w:val="center"/>
              <w:rPr>
                <w:sz w:val="21"/>
                <w:szCs w:val="21"/>
                <w:highlight w:val="none"/>
              </w:rPr>
            </w:pPr>
            <w:r>
              <w:rPr>
                <w:rFonts w:hint="eastAsia"/>
                <w:sz w:val="21"/>
                <w:szCs w:val="21"/>
                <w:highlight w:val="none"/>
              </w:rPr>
              <w:t>4</w:t>
            </w:r>
          </w:p>
        </w:tc>
        <w:tc>
          <w:tcPr>
            <w:tcW w:w="1559" w:type="dxa"/>
            <w:vAlign w:val="center"/>
          </w:tcPr>
          <w:p>
            <w:pPr>
              <w:spacing w:line="240" w:lineRule="auto"/>
              <w:ind w:firstLine="0" w:firstLineChars="0"/>
              <w:jc w:val="center"/>
              <w:rPr>
                <w:sz w:val="21"/>
                <w:szCs w:val="21"/>
                <w:highlight w:val="none"/>
              </w:rPr>
            </w:pPr>
            <w:r>
              <w:rPr>
                <w:rFonts w:hint="eastAsia"/>
                <w:sz w:val="21"/>
                <w:szCs w:val="21"/>
                <w:highlight w:val="none"/>
              </w:rPr>
              <w:t>环保手续</w:t>
            </w:r>
          </w:p>
        </w:tc>
        <w:tc>
          <w:tcPr>
            <w:tcW w:w="6152" w:type="dxa"/>
            <w:vAlign w:val="center"/>
          </w:tcPr>
          <w:p>
            <w:pPr>
              <w:spacing w:line="240" w:lineRule="auto"/>
              <w:ind w:firstLine="0" w:firstLineChars="0"/>
              <w:jc w:val="center"/>
              <w:rPr>
                <w:sz w:val="21"/>
                <w:szCs w:val="21"/>
                <w:highlight w:val="none"/>
              </w:rPr>
            </w:pPr>
            <w:r>
              <w:rPr>
                <w:rFonts w:hint="eastAsia"/>
                <w:sz w:val="21"/>
                <w:szCs w:val="21"/>
                <w:highlight w:val="none"/>
              </w:rPr>
              <w:t>建设项目环境影响评价及其他环境保护行政许可情况</w:t>
            </w:r>
          </w:p>
        </w:tc>
      </w:tr>
    </w:tbl>
    <w:p>
      <w:pPr>
        <w:pStyle w:val="6"/>
        <w:numPr>
          <w:ilvl w:val="2"/>
          <w:numId w:val="1"/>
        </w:numPr>
        <w:rPr>
          <w:szCs w:val="28"/>
          <w:highlight w:val="none"/>
        </w:rPr>
      </w:pPr>
      <w:r>
        <w:rPr>
          <w:szCs w:val="28"/>
          <w:highlight w:val="none"/>
        </w:rPr>
        <w:t>排污口规范化</w:t>
      </w:r>
      <w:bookmarkEnd w:id="584"/>
      <w:bookmarkEnd w:id="585"/>
    </w:p>
    <w:p>
      <w:pPr>
        <w:ind w:firstLine="480"/>
        <w:jc w:val="both"/>
        <w:rPr>
          <w:sz w:val="24"/>
          <w:highlight w:val="none"/>
        </w:rPr>
      </w:pPr>
      <w:r>
        <w:rPr>
          <w:sz w:val="24"/>
          <w:highlight w:val="none"/>
        </w:rPr>
        <w:t>排污口是企业污染物进入环境，污染环境的通道，强化排污口的管理是实施污染物总量控制的基础工作之一，也是区域环境管理逐步实现污染物排放科学化、定量化的重要手段。具体管理原则如下：</w:t>
      </w:r>
    </w:p>
    <w:p>
      <w:pPr>
        <w:ind w:firstLine="480"/>
        <w:jc w:val="both"/>
        <w:rPr>
          <w:sz w:val="24"/>
          <w:highlight w:val="none"/>
        </w:rPr>
      </w:pPr>
      <w:r>
        <w:rPr>
          <w:sz w:val="24"/>
          <w:highlight w:val="none"/>
        </w:rPr>
        <w:t>（1）向环境排放污染物的排放口必须规范化；</w:t>
      </w:r>
    </w:p>
    <w:p>
      <w:pPr>
        <w:ind w:firstLine="480"/>
        <w:jc w:val="both"/>
        <w:rPr>
          <w:sz w:val="24"/>
          <w:highlight w:val="none"/>
        </w:rPr>
      </w:pPr>
      <w:r>
        <w:rPr>
          <w:sz w:val="24"/>
          <w:highlight w:val="none"/>
        </w:rPr>
        <w:t>在场区“三废”及噪声排放点设置明显标志，标志的设置应执行《环境保护图形标志排放口（源）》（GB15562.1—1995）及《环境保护图形固体废物贮存（处置）场》（GB15562.2—1995）中有关规定。排放口图形标志见图8.</w:t>
      </w:r>
      <w:r>
        <w:rPr>
          <w:rFonts w:hint="eastAsia"/>
          <w:sz w:val="24"/>
          <w:highlight w:val="none"/>
        </w:rPr>
        <w:t>2</w:t>
      </w:r>
      <w:r>
        <w:rPr>
          <w:sz w:val="24"/>
          <w:highlight w:val="none"/>
        </w:rPr>
        <w:t>-1。</w:t>
      </w:r>
    </w:p>
    <w:tbl>
      <w:tblPr>
        <w:tblStyle w:val="56"/>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930"/>
        <w:gridCol w:w="1686"/>
        <w:gridCol w:w="1626"/>
        <w:gridCol w:w="1566"/>
        <w:gridCol w:w="2695"/>
        <w:gridCol w:w="12"/>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56" w:type="pct"/>
            <w:vAlign w:val="center"/>
          </w:tcPr>
          <w:p>
            <w:pPr>
              <w:pStyle w:val="22"/>
              <w:spacing w:after="0" w:line="240" w:lineRule="auto"/>
              <w:ind w:firstLine="0" w:firstLineChars="0"/>
              <w:jc w:val="center"/>
              <w:rPr>
                <w:spacing w:val="21"/>
                <w:sz w:val="21"/>
                <w:szCs w:val="21"/>
                <w:highlight w:val="none"/>
              </w:rPr>
            </w:pPr>
            <w:bookmarkStart w:id="586" w:name="_Hlk3797884"/>
            <w:r>
              <w:rPr>
                <w:spacing w:val="21"/>
                <w:sz w:val="21"/>
                <w:szCs w:val="21"/>
                <w:highlight w:val="none"/>
              </w:rPr>
              <w:t>排放口</w:t>
            </w:r>
          </w:p>
        </w:tc>
        <w:tc>
          <w:tcPr>
            <w:tcW w:w="1016" w:type="pct"/>
            <w:vAlign w:val="center"/>
          </w:tcPr>
          <w:p>
            <w:pPr>
              <w:pStyle w:val="22"/>
              <w:spacing w:after="0" w:line="240" w:lineRule="auto"/>
              <w:ind w:firstLine="0" w:firstLineChars="0"/>
              <w:jc w:val="center"/>
              <w:rPr>
                <w:spacing w:val="21"/>
                <w:sz w:val="21"/>
                <w:szCs w:val="21"/>
                <w:highlight w:val="none"/>
              </w:rPr>
            </w:pPr>
            <w:r>
              <w:rPr>
                <w:spacing w:val="21"/>
                <w:sz w:val="21"/>
                <w:szCs w:val="21"/>
                <w:highlight w:val="none"/>
              </w:rPr>
              <w:t>噪声源</w:t>
            </w:r>
          </w:p>
        </w:tc>
        <w:tc>
          <w:tcPr>
            <w:tcW w:w="1010" w:type="pct"/>
            <w:vAlign w:val="center"/>
          </w:tcPr>
          <w:p>
            <w:pPr>
              <w:pStyle w:val="22"/>
              <w:spacing w:after="0" w:line="240" w:lineRule="auto"/>
              <w:ind w:left="-70" w:leftChars="-25" w:right="-70" w:rightChars="-25" w:firstLine="0" w:firstLineChars="0"/>
              <w:jc w:val="center"/>
              <w:rPr>
                <w:spacing w:val="21"/>
                <w:sz w:val="21"/>
                <w:szCs w:val="21"/>
                <w:highlight w:val="none"/>
              </w:rPr>
            </w:pPr>
            <w:r>
              <w:rPr>
                <w:spacing w:val="21"/>
                <w:sz w:val="21"/>
                <w:szCs w:val="21"/>
                <w:highlight w:val="none"/>
              </w:rPr>
              <w:t>废气排放口</w:t>
            </w:r>
          </w:p>
        </w:tc>
        <w:tc>
          <w:tcPr>
            <w:tcW w:w="1097" w:type="pct"/>
            <w:vAlign w:val="center"/>
          </w:tcPr>
          <w:p>
            <w:pPr>
              <w:pStyle w:val="22"/>
              <w:spacing w:after="0" w:line="240" w:lineRule="auto"/>
              <w:ind w:firstLine="0" w:firstLineChars="0"/>
              <w:jc w:val="center"/>
              <w:rPr>
                <w:spacing w:val="21"/>
                <w:sz w:val="21"/>
                <w:szCs w:val="21"/>
                <w:highlight w:val="none"/>
              </w:rPr>
            </w:pPr>
            <w:r>
              <w:rPr>
                <w:spacing w:val="21"/>
                <w:sz w:val="21"/>
                <w:szCs w:val="21"/>
                <w:highlight w:val="none"/>
              </w:rPr>
              <w:t>固体废物</w:t>
            </w:r>
          </w:p>
          <w:p>
            <w:pPr>
              <w:pStyle w:val="22"/>
              <w:spacing w:after="0" w:line="240" w:lineRule="auto"/>
              <w:ind w:firstLine="0" w:firstLineChars="0"/>
              <w:jc w:val="center"/>
              <w:rPr>
                <w:spacing w:val="21"/>
                <w:sz w:val="21"/>
                <w:szCs w:val="21"/>
                <w:highlight w:val="none"/>
              </w:rPr>
            </w:pPr>
            <w:r>
              <w:rPr>
                <w:spacing w:val="21"/>
                <w:sz w:val="21"/>
                <w:szCs w:val="21"/>
                <w:highlight w:val="none"/>
              </w:rPr>
              <w:t>堆放场</w:t>
            </w:r>
          </w:p>
        </w:tc>
        <w:tc>
          <w:tcPr>
            <w:tcW w:w="1021" w:type="pct"/>
            <w:gridSpan w:val="2"/>
            <w:vAlign w:val="center"/>
          </w:tcPr>
          <w:p>
            <w:pPr>
              <w:pStyle w:val="22"/>
              <w:spacing w:after="0" w:line="240" w:lineRule="auto"/>
              <w:ind w:firstLine="0" w:firstLineChars="0"/>
              <w:jc w:val="center"/>
              <w:rPr>
                <w:spacing w:val="21"/>
                <w:sz w:val="21"/>
                <w:szCs w:val="21"/>
                <w:highlight w:val="none"/>
              </w:rPr>
            </w:pPr>
            <w:r>
              <w:rPr>
                <w:rFonts w:hint="eastAsia"/>
                <w:spacing w:val="21"/>
                <w:sz w:val="21"/>
                <w:szCs w:val="21"/>
                <w:highlight w:val="none"/>
              </w:rPr>
              <w:t>危险废物</w:t>
            </w:r>
          </w:p>
          <w:p>
            <w:pPr>
              <w:pStyle w:val="22"/>
              <w:spacing w:after="0" w:line="240" w:lineRule="auto"/>
              <w:ind w:firstLine="0" w:firstLineChars="0"/>
              <w:jc w:val="center"/>
              <w:rPr>
                <w:spacing w:val="21"/>
                <w:sz w:val="21"/>
                <w:szCs w:val="21"/>
                <w:highlight w:val="none"/>
              </w:rPr>
            </w:pPr>
            <w:r>
              <w:rPr>
                <w:rFonts w:hint="eastAsia"/>
                <w:spacing w:val="21"/>
                <w:sz w:val="21"/>
                <w:szCs w:val="21"/>
                <w:highlight w:val="none"/>
              </w:rPr>
              <w:t>暂存间</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521" w:hRule="atLeast"/>
          <w:jc w:val="center"/>
        </w:trPr>
        <w:tc>
          <w:tcPr>
            <w:tcW w:w="851" w:type="pct"/>
            <w:vAlign w:val="center"/>
          </w:tcPr>
          <w:p>
            <w:pPr>
              <w:pStyle w:val="22"/>
              <w:spacing w:after="0" w:line="240" w:lineRule="auto"/>
              <w:ind w:firstLine="0" w:firstLineChars="0"/>
              <w:jc w:val="center"/>
              <w:rPr>
                <w:spacing w:val="21"/>
                <w:sz w:val="21"/>
                <w:szCs w:val="21"/>
                <w:highlight w:val="none"/>
              </w:rPr>
            </w:pPr>
            <w:r>
              <w:rPr>
                <w:spacing w:val="21"/>
                <w:sz w:val="21"/>
                <w:szCs w:val="21"/>
                <w:highlight w:val="none"/>
              </w:rPr>
              <w:t>图形</w:t>
            </w:r>
          </w:p>
          <w:p>
            <w:pPr>
              <w:pStyle w:val="22"/>
              <w:spacing w:after="0" w:line="240" w:lineRule="auto"/>
              <w:ind w:firstLine="0" w:firstLineChars="0"/>
              <w:jc w:val="center"/>
              <w:rPr>
                <w:spacing w:val="21"/>
                <w:sz w:val="21"/>
                <w:szCs w:val="21"/>
                <w:highlight w:val="none"/>
              </w:rPr>
            </w:pPr>
            <w:r>
              <w:rPr>
                <w:spacing w:val="21"/>
                <w:sz w:val="21"/>
                <w:szCs w:val="21"/>
                <w:highlight w:val="none"/>
              </w:rPr>
              <w:t>符号</w:t>
            </w:r>
          </w:p>
        </w:tc>
        <w:tc>
          <w:tcPr>
            <w:tcW w:w="1016" w:type="pct"/>
            <w:vAlign w:val="center"/>
          </w:tcPr>
          <w:p>
            <w:pPr>
              <w:pStyle w:val="22"/>
              <w:adjustRightInd w:val="0"/>
              <w:spacing w:after="0" w:line="240" w:lineRule="auto"/>
              <w:ind w:firstLine="0" w:firstLineChars="0"/>
              <w:jc w:val="center"/>
              <w:rPr>
                <w:spacing w:val="21"/>
                <w:sz w:val="21"/>
                <w:szCs w:val="21"/>
                <w:highlight w:val="none"/>
              </w:rPr>
            </w:pPr>
            <w:r>
              <w:rPr>
                <w:spacing w:val="21"/>
                <w:sz w:val="21"/>
                <w:szCs w:val="21"/>
                <w:highlight w:val="none"/>
              </w:rPr>
              <w:drawing>
                <wp:inline distT="0" distB="0" distL="0" distR="0">
                  <wp:extent cx="933450" cy="8763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933580" cy="876422"/>
                          </a:xfrm>
                          <a:prstGeom prst="rect">
                            <a:avLst/>
                          </a:prstGeom>
                        </pic:spPr>
                      </pic:pic>
                    </a:graphicData>
                  </a:graphic>
                </wp:inline>
              </w:drawing>
            </w:r>
          </w:p>
        </w:tc>
        <w:tc>
          <w:tcPr>
            <w:tcW w:w="1010" w:type="pct"/>
            <w:vAlign w:val="center"/>
          </w:tcPr>
          <w:p>
            <w:pPr>
              <w:pStyle w:val="22"/>
              <w:adjustRightInd w:val="0"/>
              <w:spacing w:after="0" w:line="240" w:lineRule="auto"/>
              <w:ind w:firstLine="0" w:firstLineChars="0"/>
              <w:jc w:val="center"/>
              <w:rPr>
                <w:spacing w:val="21"/>
                <w:sz w:val="21"/>
                <w:szCs w:val="21"/>
                <w:highlight w:val="none"/>
              </w:rPr>
            </w:pPr>
            <w:r>
              <w:rPr>
                <w:spacing w:val="21"/>
                <w:sz w:val="21"/>
                <w:szCs w:val="21"/>
                <w:highlight w:val="none"/>
              </w:rPr>
              <w:drawing>
                <wp:inline distT="0" distB="0" distL="0" distR="0">
                  <wp:extent cx="895350" cy="828675"/>
                  <wp:effectExtent l="0" t="0" r="0" b="952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895475" cy="828791"/>
                          </a:xfrm>
                          <a:prstGeom prst="rect">
                            <a:avLst/>
                          </a:prstGeom>
                        </pic:spPr>
                      </pic:pic>
                    </a:graphicData>
                  </a:graphic>
                </wp:inline>
              </w:drawing>
            </w:r>
          </w:p>
        </w:tc>
        <w:tc>
          <w:tcPr>
            <w:tcW w:w="1097" w:type="pct"/>
            <w:vAlign w:val="center"/>
          </w:tcPr>
          <w:p>
            <w:pPr>
              <w:pStyle w:val="22"/>
              <w:adjustRightInd w:val="0"/>
              <w:spacing w:after="0" w:line="240" w:lineRule="auto"/>
              <w:ind w:firstLine="0" w:firstLineChars="0"/>
              <w:jc w:val="center"/>
              <w:rPr>
                <w:spacing w:val="21"/>
                <w:sz w:val="21"/>
                <w:szCs w:val="21"/>
                <w:highlight w:val="none"/>
              </w:rPr>
            </w:pPr>
            <w:r>
              <w:rPr>
                <w:spacing w:val="21"/>
                <w:sz w:val="21"/>
                <w:szCs w:val="21"/>
                <w:highlight w:val="none"/>
              </w:rPr>
              <w:drawing>
                <wp:inline distT="0" distB="0" distL="0" distR="0">
                  <wp:extent cx="857250" cy="8286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857370" cy="828791"/>
                          </a:xfrm>
                          <a:prstGeom prst="rect">
                            <a:avLst/>
                          </a:prstGeom>
                        </pic:spPr>
                      </pic:pic>
                    </a:graphicData>
                  </a:graphic>
                </wp:inline>
              </w:drawing>
            </w:r>
          </w:p>
        </w:tc>
        <w:tc>
          <w:tcPr>
            <w:tcW w:w="1021" w:type="pct"/>
            <w:gridSpan w:val="2"/>
            <w:vAlign w:val="center"/>
          </w:tcPr>
          <w:p>
            <w:pPr>
              <w:pStyle w:val="22"/>
              <w:adjustRightInd w:val="0"/>
              <w:spacing w:after="0" w:line="240" w:lineRule="auto"/>
              <w:ind w:firstLine="0" w:firstLineChars="0"/>
              <w:jc w:val="center"/>
              <w:rPr>
                <w:spacing w:val="21"/>
                <w:sz w:val="21"/>
                <w:szCs w:val="21"/>
                <w:highlight w:val="none"/>
              </w:rPr>
            </w:pPr>
            <w:r>
              <w:rPr>
                <w:highlight w:val="none"/>
              </w:rPr>
              <w:drawing>
                <wp:inline distT="0" distB="0" distL="114300" distR="114300">
                  <wp:extent cx="1562735" cy="984885"/>
                  <wp:effectExtent l="0" t="0" r="18415" b="5715"/>
                  <wp:docPr id="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pic:cNvPicPr>
                            <a:picLocks noChangeAspect="1"/>
                          </pic:cNvPicPr>
                        </pic:nvPicPr>
                        <pic:blipFill>
                          <a:blip r:embed="rId108"/>
                          <a:stretch>
                            <a:fillRect/>
                          </a:stretch>
                        </pic:blipFill>
                        <pic:spPr>
                          <a:xfrm>
                            <a:off x="0" y="0"/>
                            <a:ext cx="1562735" cy="984885"/>
                          </a:xfrm>
                          <a:prstGeom prst="rect">
                            <a:avLst/>
                          </a:prstGeom>
                          <a:noFill/>
                          <a:ln>
                            <a:noFill/>
                          </a:ln>
                        </pic:spPr>
                      </pic:pic>
                    </a:graphicData>
                  </a:graphic>
                </wp:inline>
              </w:drawing>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4" w:type="pct"/>
          <w:jc w:val="center"/>
        </w:trPr>
        <w:tc>
          <w:tcPr>
            <w:tcW w:w="851" w:type="pct"/>
            <w:vAlign w:val="center"/>
          </w:tcPr>
          <w:p>
            <w:pPr>
              <w:pStyle w:val="22"/>
              <w:spacing w:after="0" w:line="240" w:lineRule="auto"/>
              <w:ind w:left="-70" w:leftChars="-25" w:right="-70" w:rightChars="-25" w:firstLine="0" w:firstLineChars="0"/>
              <w:jc w:val="center"/>
              <w:rPr>
                <w:spacing w:val="21"/>
                <w:sz w:val="21"/>
                <w:szCs w:val="21"/>
                <w:highlight w:val="none"/>
              </w:rPr>
            </w:pPr>
            <w:r>
              <w:rPr>
                <w:spacing w:val="21"/>
                <w:sz w:val="21"/>
                <w:szCs w:val="21"/>
                <w:highlight w:val="none"/>
              </w:rPr>
              <w:t>背景颜色</w:t>
            </w:r>
          </w:p>
        </w:tc>
        <w:tc>
          <w:tcPr>
            <w:tcW w:w="3119" w:type="pct"/>
            <w:gridSpan w:val="3"/>
            <w:vAlign w:val="center"/>
          </w:tcPr>
          <w:p>
            <w:pPr>
              <w:pStyle w:val="22"/>
              <w:spacing w:after="0" w:line="240" w:lineRule="auto"/>
              <w:ind w:firstLine="504"/>
              <w:jc w:val="center"/>
              <w:rPr>
                <w:spacing w:val="21"/>
                <w:sz w:val="21"/>
                <w:szCs w:val="21"/>
                <w:highlight w:val="none"/>
              </w:rPr>
            </w:pPr>
            <w:r>
              <w:rPr>
                <w:spacing w:val="21"/>
                <w:sz w:val="21"/>
                <w:szCs w:val="21"/>
                <w:highlight w:val="none"/>
              </w:rPr>
              <w:t>绿色</w:t>
            </w:r>
          </w:p>
        </w:tc>
        <w:tc>
          <w:tcPr>
            <w:tcW w:w="1021" w:type="pct"/>
            <w:vAlign w:val="center"/>
          </w:tcPr>
          <w:p>
            <w:pPr>
              <w:pStyle w:val="22"/>
              <w:spacing w:after="0" w:line="240" w:lineRule="auto"/>
              <w:ind w:firstLine="0" w:firstLineChars="0"/>
              <w:jc w:val="center"/>
              <w:rPr>
                <w:spacing w:val="21"/>
                <w:sz w:val="21"/>
                <w:szCs w:val="21"/>
                <w:highlight w:val="none"/>
              </w:rPr>
            </w:pPr>
            <w:r>
              <w:rPr>
                <w:spacing w:val="21"/>
                <w:sz w:val="21"/>
                <w:szCs w:val="21"/>
                <w:highlight w:val="none"/>
              </w:rPr>
              <w:t>黄色</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4" w:type="pct"/>
          <w:jc w:val="center"/>
        </w:trPr>
        <w:tc>
          <w:tcPr>
            <w:tcW w:w="851" w:type="pct"/>
            <w:vAlign w:val="center"/>
          </w:tcPr>
          <w:p>
            <w:pPr>
              <w:pStyle w:val="22"/>
              <w:spacing w:after="0" w:line="240" w:lineRule="auto"/>
              <w:ind w:left="-70" w:leftChars="-25" w:right="-70" w:rightChars="-25" w:firstLine="0" w:firstLineChars="0"/>
              <w:jc w:val="center"/>
              <w:rPr>
                <w:spacing w:val="21"/>
                <w:sz w:val="21"/>
                <w:szCs w:val="21"/>
                <w:highlight w:val="none"/>
              </w:rPr>
            </w:pPr>
            <w:r>
              <w:rPr>
                <w:spacing w:val="21"/>
                <w:sz w:val="21"/>
                <w:szCs w:val="21"/>
                <w:highlight w:val="none"/>
              </w:rPr>
              <w:t>图形颜色</w:t>
            </w:r>
          </w:p>
        </w:tc>
        <w:tc>
          <w:tcPr>
            <w:tcW w:w="3119" w:type="pct"/>
            <w:gridSpan w:val="3"/>
            <w:vAlign w:val="center"/>
          </w:tcPr>
          <w:p>
            <w:pPr>
              <w:pStyle w:val="22"/>
              <w:spacing w:after="0" w:line="240" w:lineRule="auto"/>
              <w:ind w:firstLine="504"/>
              <w:jc w:val="center"/>
              <w:rPr>
                <w:spacing w:val="21"/>
                <w:sz w:val="21"/>
                <w:szCs w:val="21"/>
                <w:highlight w:val="none"/>
              </w:rPr>
            </w:pPr>
            <w:r>
              <w:rPr>
                <w:spacing w:val="21"/>
                <w:sz w:val="21"/>
                <w:szCs w:val="21"/>
                <w:highlight w:val="none"/>
              </w:rPr>
              <w:t>白色</w:t>
            </w:r>
          </w:p>
        </w:tc>
        <w:tc>
          <w:tcPr>
            <w:tcW w:w="1021" w:type="pct"/>
            <w:vAlign w:val="center"/>
          </w:tcPr>
          <w:p>
            <w:pPr>
              <w:pStyle w:val="22"/>
              <w:spacing w:after="0" w:line="240" w:lineRule="auto"/>
              <w:ind w:firstLine="0" w:firstLineChars="0"/>
              <w:jc w:val="center"/>
              <w:rPr>
                <w:spacing w:val="21"/>
                <w:sz w:val="21"/>
                <w:szCs w:val="21"/>
                <w:highlight w:val="none"/>
              </w:rPr>
            </w:pPr>
            <w:r>
              <w:rPr>
                <w:rFonts w:hint="eastAsia"/>
                <w:spacing w:val="21"/>
                <w:sz w:val="21"/>
                <w:szCs w:val="21"/>
                <w:highlight w:val="none"/>
              </w:rPr>
              <w:t>黑色</w:t>
            </w:r>
          </w:p>
        </w:tc>
      </w:tr>
      <w:bookmarkEnd w:id="586"/>
    </w:tbl>
    <w:p>
      <w:pPr>
        <w:ind w:firstLine="0" w:firstLineChars="0"/>
        <w:jc w:val="center"/>
        <w:rPr>
          <w:rFonts w:eastAsia="黑体"/>
          <w:sz w:val="21"/>
          <w:szCs w:val="21"/>
          <w:highlight w:val="none"/>
        </w:rPr>
      </w:pPr>
      <w:r>
        <w:rPr>
          <w:rFonts w:eastAsia="黑体"/>
          <w:bCs/>
          <w:kern w:val="2"/>
          <w:sz w:val="21"/>
          <w:szCs w:val="21"/>
          <w:highlight w:val="none"/>
        </w:rPr>
        <w:t>图8.</w:t>
      </w:r>
      <w:r>
        <w:rPr>
          <w:rFonts w:hint="eastAsia" w:eastAsia="黑体"/>
          <w:bCs/>
          <w:kern w:val="2"/>
          <w:sz w:val="21"/>
          <w:szCs w:val="21"/>
          <w:highlight w:val="none"/>
        </w:rPr>
        <w:t>2</w:t>
      </w:r>
      <w:r>
        <w:rPr>
          <w:rFonts w:eastAsia="黑体"/>
          <w:bCs/>
          <w:kern w:val="2"/>
          <w:sz w:val="21"/>
          <w:szCs w:val="21"/>
          <w:highlight w:val="none"/>
        </w:rPr>
        <w:t>-1  排放口图形标志</w:t>
      </w:r>
    </w:p>
    <w:p>
      <w:pPr>
        <w:ind w:firstLine="480"/>
        <w:jc w:val="both"/>
        <w:rPr>
          <w:sz w:val="24"/>
          <w:highlight w:val="none"/>
        </w:rPr>
      </w:pPr>
      <w:r>
        <w:rPr>
          <w:sz w:val="24"/>
          <w:highlight w:val="none"/>
        </w:rPr>
        <w:t>（2）列入总量控制污染物、排污口列为管理重点；</w:t>
      </w:r>
    </w:p>
    <w:p>
      <w:pPr>
        <w:ind w:firstLine="480"/>
        <w:jc w:val="both"/>
        <w:rPr>
          <w:sz w:val="24"/>
          <w:highlight w:val="none"/>
        </w:rPr>
      </w:pPr>
      <w:r>
        <w:rPr>
          <w:sz w:val="24"/>
          <w:highlight w:val="none"/>
        </w:rPr>
        <w:t>（3）排污口应便于采样与计量监测，便于日常现场监督检查。</w:t>
      </w:r>
    </w:p>
    <w:p>
      <w:pPr>
        <w:ind w:firstLine="480"/>
        <w:jc w:val="both"/>
        <w:rPr>
          <w:sz w:val="24"/>
          <w:highlight w:val="none"/>
        </w:rPr>
      </w:pPr>
      <w:r>
        <w:rPr>
          <w:sz w:val="24"/>
          <w:highlight w:val="none"/>
        </w:rPr>
        <w:t>（4）如实向环保管理部门申报排污口数量、位置及所排放的主要污染物种类、数量、浓度、排放去向等情况；</w:t>
      </w:r>
    </w:p>
    <w:p>
      <w:pPr>
        <w:ind w:firstLine="480"/>
        <w:jc w:val="both"/>
        <w:rPr>
          <w:sz w:val="24"/>
          <w:highlight w:val="none"/>
        </w:rPr>
      </w:pPr>
      <w:r>
        <w:rPr>
          <w:sz w:val="24"/>
          <w:highlight w:val="none"/>
        </w:rPr>
        <w:t>（5）废气排气装置应设置便于采样、监测的采样孔和采样平台，设置应符合《污染源监测技术规范》</w:t>
      </w:r>
      <w:r>
        <w:rPr>
          <w:rFonts w:hint="eastAsia"/>
          <w:sz w:val="24"/>
          <w:highlight w:val="none"/>
        </w:rPr>
        <w:t>；</w:t>
      </w:r>
    </w:p>
    <w:p>
      <w:pPr>
        <w:ind w:firstLine="480"/>
        <w:jc w:val="both"/>
        <w:rPr>
          <w:sz w:val="24"/>
          <w:highlight w:val="none"/>
        </w:rPr>
      </w:pPr>
      <w:r>
        <w:rPr>
          <w:rFonts w:hint="eastAsia"/>
          <w:sz w:val="24"/>
          <w:highlight w:val="none"/>
        </w:rPr>
        <w:t>（6）危险废物暂存间应张贴危险废物标识</w:t>
      </w:r>
      <w:r>
        <w:rPr>
          <w:sz w:val="24"/>
          <w:highlight w:val="none"/>
        </w:rPr>
        <w:t>。</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587" w:name="_Toc10112"/>
      <w:bookmarkStart w:id="588" w:name="_Toc26087"/>
      <w:bookmarkStart w:id="589" w:name="_Toc521591836"/>
      <w:bookmarkStart w:id="590" w:name="_Toc11774"/>
      <w:bookmarkStart w:id="591" w:name="_Toc503218131"/>
      <w:bookmarkStart w:id="592" w:name="_Toc482171393"/>
      <w:bookmarkStart w:id="593" w:name="_Toc1914"/>
      <w:bookmarkStart w:id="594" w:name="_Toc524285124"/>
      <w:bookmarkStart w:id="595" w:name="_Toc499651432"/>
      <w:bookmarkStart w:id="596" w:name="_Toc176578297"/>
      <w:bookmarkStart w:id="597" w:name="_Toc321984022"/>
      <w:bookmarkStart w:id="598" w:name="_Toc477175441"/>
      <w:bookmarkStart w:id="599" w:name="_Toc186367931"/>
      <w:r>
        <w:rPr>
          <w:rFonts w:ascii="Times New Roman" w:hAnsi="Times New Roman" w:eastAsia="宋体"/>
          <w:bCs w:val="0"/>
          <w:snapToGrid w:val="0"/>
          <w:kern w:val="0"/>
          <w:sz w:val="28"/>
          <w:szCs w:val="28"/>
          <w:highlight w:val="none"/>
        </w:rPr>
        <w:t>污染物排放清单</w:t>
      </w:r>
      <w:bookmarkEnd w:id="587"/>
      <w:bookmarkEnd w:id="588"/>
      <w:bookmarkEnd w:id="589"/>
      <w:bookmarkEnd w:id="590"/>
      <w:bookmarkEnd w:id="591"/>
      <w:bookmarkEnd w:id="592"/>
      <w:bookmarkEnd w:id="593"/>
      <w:bookmarkEnd w:id="594"/>
      <w:bookmarkEnd w:id="595"/>
    </w:p>
    <w:p>
      <w:pPr>
        <w:ind w:firstLine="480"/>
        <w:rPr>
          <w:sz w:val="24"/>
          <w:szCs w:val="24"/>
          <w:highlight w:val="none"/>
        </w:rPr>
      </w:pPr>
      <w:r>
        <w:rPr>
          <w:sz w:val="24"/>
          <w:szCs w:val="24"/>
          <w:highlight w:val="none"/>
        </w:rPr>
        <w:t>本项目建成后，主要污染物排放量统计情况见表8.</w:t>
      </w:r>
      <w:r>
        <w:rPr>
          <w:rFonts w:hint="eastAsia"/>
          <w:sz w:val="24"/>
          <w:szCs w:val="24"/>
          <w:highlight w:val="none"/>
        </w:rPr>
        <w:t>3</w:t>
      </w:r>
      <w:r>
        <w:rPr>
          <w:sz w:val="24"/>
          <w:szCs w:val="24"/>
          <w:highlight w:val="none"/>
        </w:rPr>
        <w:t>-1。</w:t>
      </w:r>
    </w:p>
    <w:p>
      <w:pPr>
        <w:autoSpaceDE w:val="0"/>
        <w:autoSpaceDN w:val="0"/>
        <w:ind w:firstLine="480"/>
        <w:textAlignment w:val="auto"/>
        <w:rPr>
          <w:sz w:val="24"/>
          <w:szCs w:val="24"/>
          <w:highlight w:val="none"/>
        </w:rPr>
      </w:pPr>
    </w:p>
    <w:p>
      <w:pPr>
        <w:spacing w:line="460" w:lineRule="exact"/>
        <w:ind w:firstLine="480"/>
        <w:rPr>
          <w:sz w:val="24"/>
          <w:szCs w:val="24"/>
          <w:highlight w:val="none"/>
        </w:rPr>
      </w:pPr>
    </w:p>
    <w:p>
      <w:pPr>
        <w:ind w:left="560" w:firstLine="0" w:firstLineChars="0"/>
        <w:rPr>
          <w:highlight w:val="none"/>
        </w:rPr>
        <w:sectPr>
          <w:pgSz w:w="11905" w:h="16838"/>
          <w:pgMar w:top="1440" w:right="1803" w:bottom="1134" w:left="1803" w:header="850" w:footer="992" w:gutter="0"/>
          <w:cols w:space="0" w:num="1"/>
          <w:docGrid w:linePitch="312" w:charSpace="0"/>
        </w:sectPr>
      </w:pPr>
    </w:p>
    <w:p>
      <w:pPr>
        <w:spacing w:line="240" w:lineRule="auto"/>
        <w:ind w:firstLine="420" w:firstLineChars="0"/>
        <w:jc w:val="center"/>
        <w:textAlignment w:val="baseline"/>
        <w:rPr>
          <w:rFonts w:eastAsia="黑体"/>
          <w:bCs/>
          <w:kern w:val="2"/>
          <w:sz w:val="21"/>
          <w:szCs w:val="21"/>
          <w:highlight w:val="none"/>
        </w:rPr>
      </w:pPr>
      <w:r>
        <w:rPr>
          <w:rFonts w:eastAsia="黑体"/>
          <w:bCs/>
          <w:kern w:val="2"/>
          <w:sz w:val="21"/>
          <w:szCs w:val="21"/>
          <w:highlight w:val="none"/>
        </w:rPr>
        <w:t>表8.</w:t>
      </w:r>
      <w:r>
        <w:rPr>
          <w:rFonts w:hint="eastAsia" w:eastAsia="黑体"/>
          <w:bCs/>
          <w:kern w:val="2"/>
          <w:sz w:val="21"/>
          <w:szCs w:val="21"/>
          <w:highlight w:val="none"/>
        </w:rPr>
        <w:t>3</w:t>
      </w:r>
      <w:r>
        <w:rPr>
          <w:rFonts w:eastAsia="黑体"/>
          <w:bCs/>
          <w:kern w:val="2"/>
          <w:sz w:val="21"/>
          <w:szCs w:val="21"/>
          <w:highlight w:val="none"/>
        </w:rPr>
        <w:t>-1污染物排放清单</w:t>
      </w:r>
    </w:p>
    <w:tbl>
      <w:tblPr>
        <w:tblStyle w:val="56"/>
        <w:tblW w:w="13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903"/>
        <w:gridCol w:w="917"/>
        <w:gridCol w:w="1636"/>
        <w:gridCol w:w="2572"/>
        <w:gridCol w:w="1333"/>
        <w:gridCol w:w="1134"/>
        <w:gridCol w:w="1130"/>
        <w:gridCol w:w="997"/>
        <w:gridCol w:w="1842"/>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工程类别</w:t>
            </w:r>
          </w:p>
        </w:tc>
        <w:tc>
          <w:tcPr>
            <w:tcW w:w="1636"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工程名称</w:t>
            </w:r>
          </w:p>
        </w:tc>
        <w:tc>
          <w:tcPr>
            <w:tcW w:w="9780" w:type="dxa"/>
            <w:gridSpan w:val="7"/>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主体工程</w:t>
            </w:r>
          </w:p>
        </w:tc>
        <w:tc>
          <w:tcPr>
            <w:tcW w:w="1636"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年处理 60 万吨铁矿石、120万吨粗精矿项目</w:t>
            </w:r>
          </w:p>
        </w:tc>
        <w:tc>
          <w:tcPr>
            <w:tcW w:w="9780" w:type="dxa"/>
            <w:gridSpan w:val="7"/>
            <w:tcBorders>
              <w:tl2br w:val="nil"/>
              <w:tr2bl w:val="nil"/>
            </w:tcBorders>
            <w:vAlign w:val="center"/>
          </w:tcPr>
          <w:p>
            <w:pPr>
              <w:spacing w:line="240" w:lineRule="auto"/>
              <w:ind w:firstLine="0" w:firstLineChars="0"/>
              <w:rPr>
                <w:sz w:val="21"/>
                <w:szCs w:val="21"/>
                <w:highlight w:val="none"/>
              </w:rPr>
            </w:pPr>
            <w:r>
              <w:rPr>
                <w:rFonts w:hint="eastAsia"/>
                <w:sz w:val="21"/>
                <w:szCs w:val="21"/>
                <w:highlight w:val="none"/>
              </w:rPr>
              <w:t>本项目在遵化恒新矿业有限公司现有厂区内利用现有厂房进行建设，不新增占地，主要对现有破碎筛分设备进行升级改造，同时新增2套精选设备，现有粗选设备保持不变，项目建成后全厂年处理60万吨铁矿石、120万吨粗精矿，年产66%铁精粉100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68" w:type="dxa"/>
            <w:gridSpan w:val="11"/>
            <w:tcBorders>
              <w:tl2br w:val="nil"/>
              <w:tr2bl w:val="nil"/>
            </w:tcBorders>
            <w:vAlign w:val="center"/>
          </w:tcPr>
          <w:p>
            <w:pPr>
              <w:spacing w:line="240" w:lineRule="auto"/>
              <w:ind w:firstLine="0" w:firstLineChars="0"/>
              <w:jc w:val="center"/>
              <w:rPr>
                <w:sz w:val="21"/>
                <w:szCs w:val="21"/>
                <w:highlight w:val="none"/>
              </w:rPr>
            </w:pPr>
            <w:r>
              <w:rPr>
                <w:sz w:val="21"/>
                <w:szCs w:val="21"/>
                <w:highlight w:val="none"/>
                <w:lang w:val="zh-CN"/>
              </w:rPr>
              <w:t>产品及产能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tcBorders>
              <w:tl2br w:val="nil"/>
              <w:tr2bl w:val="nil"/>
            </w:tcBorders>
            <w:vAlign w:val="center"/>
          </w:tcPr>
          <w:p>
            <w:pPr>
              <w:spacing w:line="240" w:lineRule="auto"/>
              <w:ind w:firstLine="0" w:firstLineChars="0"/>
              <w:jc w:val="center"/>
              <w:rPr>
                <w:sz w:val="21"/>
                <w:szCs w:val="21"/>
                <w:highlight w:val="none"/>
              </w:rPr>
            </w:pPr>
            <w:r>
              <w:rPr>
                <w:sz w:val="21"/>
                <w:szCs w:val="21"/>
                <w:highlight w:val="none"/>
                <w:lang w:val="zh-CN"/>
              </w:rPr>
              <w:t>产品名称</w:t>
            </w:r>
          </w:p>
        </w:tc>
        <w:tc>
          <w:tcPr>
            <w:tcW w:w="4208"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lang w:val="zh-CN"/>
              </w:rPr>
              <w:t>产量</w:t>
            </w:r>
          </w:p>
        </w:tc>
        <w:tc>
          <w:tcPr>
            <w:tcW w:w="4594" w:type="dxa"/>
            <w:gridSpan w:val="4"/>
            <w:tcBorders>
              <w:tl2br w:val="nil"/>
              <w:tr2bl w:val="nil"/>
            </w:tcBorders>
            <w:vAlign w:val="center"/>
          </w:tcPr>
          <w:p>
            <w:pPr>
              <w:spacing w:line="240" w:lineRule="auto"/>
              <w:ind w:firstLine="0" w:firstLineChars="0"/>
              <w:jc w:val="center"/>
              <w:rPr>
                <w:sz w:val="21"/>
                <w:szCs w:val="21"/>
                <w:highlight w:val="none"/>
              </w:rPr>
            </w:pPr>
            <w:r>
              <w:rPr>
                <w:sz w:val="21"/>
                <w:szCs w:val="21"/>
                <w:highlight w:val="none"/>
                <w:lang w:val="zh-CN"/>
              </w:rPr>
              <w:t>设计年生产的时间（</w:t>
            </w:r>
            <w:r>
              <w:rPr>
                <w:sz w:val="21"/>
                <w:szCs w:val="21"/>
                <w:highlight w:val="none"/>
              </w:rPr>
              <w:t>h</w:t>
            </w:r>
            <w:r>
              <w:rPr>
                <w:sz w:val="21"/>
                <w:szCs w:val="21"/>
                <w:highlight w:val="none"/>
                <w:lang w:val="zh-CN"/>
              </w:rPr>
              <w:t>）</w:t>
            </w:r>
          </w:p>
        </w:tc>
        <w:tc>
          <w:tcPr>
            <w:tcW w:w="2614"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lang w:val="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tcBorders>
              <w:tl2br w:val="nil"/>
              <w:tr2bl w:val="nil"/>
            </w:tcBorders>
            <w:vAlign w:val="center"/>
          </w:tcPr>
          <w:p>
            <w:pPr>
              <w:spacing w:line="240" w:lineRule="auto"/>
              <w:ind w:firstLine="0" w:firstLineChars="0"/>
              <w:jc w:val="center"/>
              <w:rPr>
                <w:sz w:val="21"/>
                <w:szCs w:val="21"/>
                <w:highlight w:val="none"/>
              </w:rPr>
            </w:pPr>
            <w:r>
              <w:rPr>
                <w:sz w:val="21"/>
                <w:szCs w:val="21"/>
                <w:highlight w:val="none"/>
                <w:lang w:val="zh-CN"/>
              </w:rPr>
              <w:t>铁精粉</w:t>
            </w:r>
          </w:p>
        </w:tc>
        <w:tc>
          <w:tcPr>
            <w:tcW w:w="4208"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年产品位</w:t>
            </w:r>
            <w:r>
              <w:rPr>
                <w:rFonts w:hint="eastAsia"/>
                <w:sz w:val="21"/>
                <w:szCs w:val="21"/>
                <w:highlight w:val="none"/>
              </w:rPr>
              <w:t>66</w:t>
            </w:r>
            <w:r>
              <w:rPr>
                <w:sz w:val="21"/>
                <w:szCs w:val="21"/>
                <w:highlight w:val="none"/>
              </w:rPr>
              <w:t>%铁精粉</w:t>
            </w:r>
            <w:r>
              <w:rPr>
                <w:rFonts w:hint="eastAsia"/>
                <w:sz w:val="21"/>
                <w:szCs w:val="21"/>
                <w:highlight w:val="none"/>
              </w:rPr>
              <w:t>100</w:t>
            </w:r>
            <w:r>
              <w:rPr>
                <w:sz w:val="21"/>
                <w:szCs w:val="21"/>
                <w:highlight w:val="none"/>
              </w:rPr>
              <w:t>万吨</w:t>
            </w:r>
          </w:p>
        </w:tc>
        <w:tc>
          <w:tcPr>
            <w:tcW w:w="4594" w:type="dxa"/>
            <w:gridSpan w:val="4"/>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破碎工序4480、球磨工序6720</w:t>
            </w:r>
          </w:p>
        </w:tc>
        <w:tc>
          <w:tcPr>
            <w:tcW w:w="2614"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类别</w:t>
            </w:r>
          </w:p>
        </w:tc>
        <w:tc>
          <w:tcPr>
            <w:tcW w:w="90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工程</w:t>
            </w:r>
          </w:p>
          <w:p>
            <w:pPr>
              <w:spacing w:line="240" w:lineRule="auto"/>
              <w:ind w:firstLine="0" w:firstLineChars="0"/>
              <w:jc w:val="center"/>
              <w:rPr>
                <w:sz w:val="21"/>
                <w:szCs w:val="21"/>
                <w:highlight w:val="none"/>
              </w:rPr>
            </w:pPr>
            <w:r>
              <w:rPr>
                <w:sz w:val="21"/>
                <w:szCs w:val="21"/>
                <w:highlight w:val="none"/>
              </w:rPr>
              <w:t>组成</w:t>
            </w:r>
          </w:p>
        </w:tc>
        <w:tc>
          <w:tcPr>
            <w:tcW w:w="91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原辅材料组分</w:t>
            </w:r>
          </w:p>
        </w:tc>
        <w:tc>
          <w:tcPr>
            <w:tcW w:w="1636"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污染物</w:t>
            </w:r>
          </w:p>
        </w:tc>
        <w:tc>
          <w:tcPr>
            <w:tcW w:w="25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环保措施</w:t>
            </w:r>
          </w:p>
        </w:tc>
        <w:tc>
          <w:tcPr>
            <w:tcW w:w="133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产生量</w:t>
            </w:r>
          </w:p>
        </w:tc>
        <w:tc>
          <w:tcPr>
            <w:tcW w:w="11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排放浓度</w:t>
            </w:r>
          </w:p>
        </w:tc>
        <w:tc>
          <w:tcPr>
            <w:tcW w:w="1130"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排放速率</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排放量</w:t>
            </w:r>
          </w:p>
        </w:tc>
        <w:tc>
          <w:tcPr>
            <w:tcW w:w="184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执行标准</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restart"/>
            <w:tcBorders>
              <w:tl2br w:val="nil"/>
              <w:tr2bl w:val="nil"/>
            </w:tcBorders>
            <w:vAlign w:val="center"/>
          </w:tcPr>
          <w:p>
            <w:pPr>
              <w:spacing w:line="240" w:lineRule="auto"/>
              <w:ind w:firstLine="420"/>
              <w:jc w:val="center"/>
              <w:rPr>
                <w:sz w:val="21"/>
                <w:szCs w:val="21"/>
                <w:highlight w:val="none"/>
              </w:rPr>
            </w:pPr>
            <w:r>
              <w:rPr>
                <w:sz w:val="21"/>
                <w:szCs w:val="21"/>
                <w:highlight w:val="none"/>
              </w:rPr>
              <w:t>废废气</w:t>
            </w:r>
          </w:p>
        </w:tc>
        <w:tc>
          <w:tcPr>
            <w:tcW w:w="903"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破碎生产线</w:t>
            </w:r>
          </w:p>
        </w:tc>
        <w:tc>
          <w:tcPr>
            <w:tcW w:w="917"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铁矿石</w:t>
            </w:r>
          </w:p>
        </w:tc>
        <w:tc>
          <w:tcPr>
            <w:tcW w:w="1636"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颗粒物</w:t>
            </w:r>
          </w:p>
        </w:tc>
        <w:tc>
          <w:tcPr>
            <w:tcW w:w="25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封闭厂房+集气罩+布袋除尘器+1</w:t>
            </w:r>
            <w:r>
              <w:rPr>
                <w:rFonts w:hint="eastAsia"/>
                <w:sz w:val="21"/>
                <w:szCs w:val="21"/>
                <w:highlight w:val="none"/>
              </w:rPr>
              <w:t>8</w:t>
            </w:r>
            <w:r>
              <w:rPr>
                <w:sz w:val="21"/>
                <w:szCs w:val="21"/>
                <w:highlight w:val="none"/>
              </w:rPr>
              <w:t>m高排气筒</w:t>
            </w:r>
          </w:p>
        </w:tc>
        <w:tc>
          <w:tcPr>
            <w:tcW w:w="1333" w:type="dxa"/>
            <w:vMerge w:val="restar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816</w:t>
            </w:r>
            <w:r>
              <w:rPr>
                <w:sz w:val="21"/>
                <w:szCs w:val="21"/>
                <w:highlight w:val="none"/>
              </w:rPr>
              <w:t>t/a</w:t>
            </w:r>
          </w:p>
        </w:tc>
        <w:tc>
          <w:tcPr>
            <w:tcW w:w="1134"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w:t>
            </w:r>
            <w:r>
              <w:rPr>
                <w:rFonts w:hint="eastAsia"/>
                <w:sz w:val="21"/>
                <w:szCs w:val="21"/>
                <w:highlight w:val="none"/>
                <w:lang w:val="en-US" w:eastAsia="zh-CN"/>
              </w:rPr>
              <w:t>66</w:t>
            </w:r>
            <w:r>
              <w:rPr>
                <w:sz w:val="21"/>
                <w:szCs w:val="21"/>
                <w:highlight w:val="none"/>
              </w:rPr>
              <w:t>mg/m</w:t>
            </w:r>
            <w:r>
              <w:rPr>
                <w:rStyle w:val="150"/>
                <w:color w:val="auto"/>
                <w:highlight w:val="none"/>
                <w:vertAlign w:val="superscript"/>
              </w:rPr>
              <w:t>3</w:t>
            </w:r>
          </w:p>
        </w:tc>
        <w:tc>
          <w:tcPr>
            <w:tcW w:w="1130"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0.17</w:t>
            </w:r>
            <w:r>
              <w:rPr>
                <w:sz w:val="21"/>
                <w:szCs w:val="21"/>
                <w:highlight w:val="none"/>
              </w:rPr>
              <w:t>kg/h</w:t>
            </w:r>
          </w:p>
        </w:tc>
        <w:tc>
          <w:tcPr>
            <w:tcW w:w="997"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0.77</w:t>
            </w:r>
            <w:r>
              <w:rPr>
                <w:sz w:val="21"/>
                <w:szCs w:val="21"/>
                <w:highlight w:val="none"/>
              </w:rPr>
              <w:t>t/a</w:t>
            </w:r>
          </w:p>
        </w:tc>
        <w:tc>
          <w:tcPr>
            <w:tcW w:w="1842"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《铁矿采选工业污染物排放标准》（GB28661-2012）</w:t>
            </w:r>
          </w:p>
        </w:tc>
        <w:tc>
          <w:tcPr>
            <w:tcW w:w="772"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排至环境空气中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420"/>
              <w:jc w:val="center"/>
              <w:rPr>
                <w:sz w:val="21"/>
                <w:szCs w:val="21"/>
                <w:highlight w:val="none"/>
              </w:rPr>
            </w:pPr>
          </w:p>
        </w:tc>
        <w:tc>
          <w:tcPr>
            <w:tcW w:w="903"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917"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636" w:type="dxa"/>
            <w:tcBorders>
              <w:tl2br w:val="nil"/>
              <w:tr2bl w:val="nil"/>
            </w:tcBorders>
            <w:vAlign w:val="center"/>
          </w:tcPr>
          <w:p>
            <w:pPr>
              <w:spacing w:line="240" w:lineRule="auto"/>
              <w:ind w:firstLine="0" w:firstLineChars="0"/>
              <w:jc w:val="center"/>
              <w:rPr>
                <w:sz w:val="21"/>
                <w:szCs w:val="21"/>
                <w:highlight w:val="none"/>
              </w:rPr>
            </w:pPr>
            <w:r>
              <w:rPr>
                <w:snapToGrid w:val="0"/>
                <w:sz w:val="21"/>
                <w:szCs w:val="21"/>
                <w:highlight w:val="none"/>
              </w:rPr>
              <w:t>颗粒物</w:t>
            </w:r>
          </w:p>
        </w:tc>
        <w:tc>
          <w:tcPr>
            <w:tcW w:w="25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车间进出口逸散</w:t>
            </w:r>
          </w:p>
        </w:tc>
        <w:tc>
          <w:tcPr>
            <w:tcW w:w="1333"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11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1130"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0.09</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w:t>
            </w:r>
            <w:r>
              <w:rPr>
                <w:rFonts w:hint="eastAsia"/>
                <w:sz w:val="21"/>
                <w:szCs w:val="21"/>
                <w:highlight w:val="none"/>
              </w:rPr>
              <w:t>408</w:t>
            </w:r>
            <w:r>
              <w:rPr>
                <w:sz w:val="21"/>
                <w:szCs w:val="21"/>
                <w:highlight w:val="none"/>
              </w:rPr>
              <w:t>t/a</w:t>
            </w:r>
          </w:p>
        </w:tc>
        <w:tc>
          <w:tcPr>
            <w:tcW w:w="184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772"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420"/>
              <w:jc w:val="center"/>
              <w:rPr>
                <w:sz w:val="21"/>
                <w:szCs w:val="21"/>
                <w:highlight w:val="none"/>
              </w:rPr>
            </w:pPr>
          </w:p>
        </w:tc>
        <w:tc>
          <w:tcPr>
            <w:tcW w:w="903"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物料</w:t>
            </w:r>
          </w:p>
          <w:p>
            <w:pPr>
              <w:spacing w:line="240" w:lineRule="auto"/>
              <w:ind w:firstLine="0" w:firstLineChars="0"/>
              <w:jc w:val="center"/>
              <w:rPr>
                <w:sz w:val="21"/>
                <w:szCs w:val="21"/>
                <w:highlight w:val="none"/>
              </w:rPr>
            </w:pPr>
            <w:r>
              <w:rPr>
                <w:rFonts w:hint="eastAsia"/>
                <w:sz w:val="21"/>
                <w:szCs w:val="21"/>
                <w:highlight w:val="none"/>
              </w:rPr>
              <w:t>装卸、堆存</w:t>
            </w:r>
          </w:p>
        </w:tc>
        <w:tc>
          <w:tcPr>
            <w:tcW w:w="91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1636" w:type="dxa"/>
            <w:tcBorders>
              <w:tl2br w:val="nil"/>
              <w:tr2bl w:val="nil"/>
            </w:tcBorders>
            <w:vAlign w:val="center"/>
          </w:tcPr>
          <w:p>
            <w:pPr>
              <w:spacing w:line="240" w:lineRule="auto"/>
              <w:ind w:firstLine="0" w:firstLineChars="0"/>
              <w:jc w:val="center"/>
              <w:rPr>
                <w:snapToGrid w:val="0"/>
                <w:sz w:val="21"/>
                <w:szCs w:val="21"/>
                <w:highlight w:val="none"/>
              </w:rPr>
            </w:pPr>
            <w:r>
              <w:rPr>
                <w:snapToGrid w:val="0"/>
                <w:sz w:val="21"/>
                <w:szCs w:val="21"/>
                <w:highlight w:val="none"/>
              </w:rPr>
              <w:t>颗粒物</w:t>
            </w:r>
          </w:p>
        </w:tc>
        <w:tc>
          <w:tcPr>
            <w:tcW w:w="25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封闭，喷淋系统</w:t>
            </w:r>
          </w:p>
        </w:tc>
        <w:tc>
          <w:tcPr>
            <w:tcW w:w="1333"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121.62</w:t>
            </w:r>
            <w:r>
              <w:rPr>
                <w:sz w:val="21"/>
                <w:szCs w:val="21"/>
                <w:highlight w:val="none"/>
              </w:rPr>
              <w:t>t/a</w:t>
            </w:r>
          </w:p>
        </w:tc>
        <w:tc>
          <w:tcPr>
            <w:tcW w:w="1134"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1130"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0.06</w:t>
            </w:r>
          </w:p>
        </w:tc>
        <w:tc>
          <w:tcPr>
            <w:tcW w:w="997"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0.27</w:t>
            </w:r>
            <w:r>
              <w:rPr>
                <w:sz w:val="21"/>
                <w:szCs w:val="21"/>
                <w:highlight w:val="none"/>
              </w:rPr>
              <w:t>t/a</w:t>
            </w:r>
          </w:p>
        </w:tc>
        <w:tc>
          <w:tcPr>
            <w:tcW w:w="184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772" w:type="dxa"/>
            <w:vMerge w:val="continue"/>
            <w:tcBorders>
              <w:tl2br w:val="nil"/>
              <w:tr2bl w:val="nil"/>
            </w:tcBorders>
            <w:vAlign w:val="center"/>
          </w:tcPr>
          <w:p>
            <w:pPr>
              <w:spacing w:line="240" w:lineRule="auto"/>
              <w:ind w:firstLine="42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废水</w:t>
            </w:r>
          </w:p>
        </w:tc>
        <w:tc>
          <w:tcPr>
            <w:tcW w:w="903" w:type="dxa"/>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球磨、磁选</w:t>
            </w:r>
          </w:p>
        </w:tc>
        <w:tc>
          <w:tcPr>
            <w:tcW w:w="2553"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lang w:val="zh-CN"/>
              </w:rPr>
              <w:t>选矿废水</w:t>
            </w:r>
          </w:p>
        </w:tc>
        <w:tc>
          <w:tcPr>
            <w:tcW w:w="2572" w:type="dxa"/>
            <w:tcBorders>
              <w:tl2br w:val="nil"/>
              <w:tr2bl w:val="nil"/>
            </w:tcBorders>
            <w:vAlign w:val="center"/>
          </w:tcPr>
          <w:p>
            <w:pPr>
              <w:spacing w:line="240" w:lineRule="auto"/>
              <w:ind w:firstLine="0" w:firstLineChars="0"/>
              <w:rPr>
                <w:bCs/>
                <w:sz w:val="21"/>
                <w:szCs w:val="21"/>
                <w:highlight w:val="none"/>
              </w:rPr>
            </w:pPr>
            <w:r>
              <w:rPr>
                <w:sz w:val="21"/>
                <w:szCs w:val="21"/>
                <w:highlight w:val="none"/>
              </w:rPr>
              <w:t>选矿废水经沉淀、过滤、脱水等处理后回用于选矿，不外排</w:t>
            </w:r>
          </w:p>
        </w:tc>
        <w:tc>
          <w:tcPr>
            <w:tcW w:w="1333"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222.6万</w:t>
            </w:r>
            <w:r>
              <w:rPr>
                <w:sz w:val="21"/>
                <w:szCs w:val="21"/>
                <w:highlight w:val="none"/>
              </w:rPr>
              <w:t>m</w:t>
            </w:r>
            <w:r>
              <w:rPr>
                <w:sz w:val="21"/>
                <w:szCs w:val="21"/>
                <w:highlight w:val="none"/>
                <w:vertAlign w:val="superscript"/>
              </w:rPr>
              <w:t>3</w:t>
            </w:r>
            <w:r>
              <w:rPr>
                <w:sz w:val="21"/>
                <w:szCs w:val="21"/>
                <w:highlight w:val="none"/>
              </w:rPr>
              <w:t>/</w:t>
            </w:r>
            <w:r>
              <w:rPr>
                <w:rFonts w:hint="eastAsia"/>
                <w:sz w:val="21"/>
                <w:szCs w:val="21"/>
                <w:highlight w:val="none"/>
              </w:rPr>
              <w:t>a</w:t>
            </w:r>
          </w:p>
        </w:tc>
        <w:tc>
          <w:tcPr>
            <w:tcW w:w="2264" w:type="dxa"/>
            <w:gridSpan w:val="2"/>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sz w:val="21"/>
                <w:szCs w:val="21"/>
                <w:highlight w:val="none"/>
              </w:rPr>
            </w:pPr>
            <w:r>
              <w:rPr>
                <w:kern w:val="24"/>
                <w:sz w:val="21"/>
                <w:szCs w:val="21"/>
                <w:highlight w:val="none"/>
              </w:rPr>
              <w:t>/</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903" w:type="dxa"/>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车间冲洗</w:t>
            </w:r>
          </w:p>
        </w:tc>
        <w:tc>
          <w:tcPr>
            <w:tcW w:w="2553" w:type="dxa"/>
            <w:gridSpan w:val="2"/>
            <w:tcBorders>
              <w:tl2br w:val="nil"/>
              <w:tr2bl w:val="nil"/>
            </w:tcBorders>
            <w:vAlign w:val="center"/>
          </w:tcPr>
          <w:p>
            <w:pPr>
              <w:spacing w:line="240" w:lineRule="auto"/>
              <w:ind w:firstLine="0" w:firstLineChars="0"/>
              <w:jc w:val="center"/>
              <w:rPr>
                <w:sz w:val="21"/>
                <w:szCs w:val="21"/>
                <w:highlight w:val="none"/>
                <w:lang w:val="zh-CN"/>
              </w:rPr>
            </w:pPr>
            <w:r>
              <w:rPr>
                <w:rFonts w:hint="eastAsia"/>
                <w:sz w:val="21"/>
                <w:szCs w:val="21"/>
                <w:highlight w:val="none"/>
                <w:lang w:val="zh-CN"/>
              </w:rPr>
              <w:t>冲洗废水</w:t>
            </w:r>
          </w:p>
        </w:tc>
        <w:tc>
          <w:tcPr>
            <w:tcW w:w="2572" w:type="dxa"/>
            <w:tcBorders>
              <w:tl2br w:val="nil"/>
              <w:tr2bl w:val="nil"/>
            </w:tcBorders>
            <w:vAlign w:val="center"/>
          </w:tcPr>
          <w:p>
            <w:pPr>
              <w:spacing w:line="240" w:lineRule="auto"/>
              <w:ind w:firstLine="0" w:firstLineChars="0"/>
              <w:rPr>
                <w:sz w:val="21"/>
                <w:szCs w:val="21"/>
                <w:highlight w:val="none"/>
              </w:rPr>
            </w:pPr>
            <w:r>
              <w:rPr>
                <w:rFonts w:hint="eastAsia"/>
                <w:sz w:val="21"/>
                <w:szCs w:val="21"/>
                <w:highlight w:val="none"/>
              </w:rPr>
              <w:t>进入浓密池处理后回用于生产</w:t>
            </w:r>
          </w:p>
        </w:tc>
        <w:tc>
          <w:tcPr>
            <w:tcW w:w="1333"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1120</w:t>
            </w:r>
            <w:r>
              <w:rPr>
                <w:sz w:val="21"/>
                <w:szCs w:val="21"/>
                <w:highlight w:val="none"/>
              </w:rPr>
              <w:t xml:space="preserve"> m</w:t>
            </w:r>
            <w:r>
              <w:rPr>
                <w:sz w:val="21"/>
                <w:szCs w:val="21"/>
                <w:highlight w:val="none"/>
                <w:vertAlign w:val="superscript"/>
              </w:rPr>
              <w:t>3</w:t>
            </w:r>
            <w:r>
              <w:rPr>
                <w:sz w:val="21"/>
                <w:szCs w:val="21"/>
                <w:highlight w:val="none"/>
              </w:rPr>
              <w:t>/</w:t>
            </w:r>
            <w:r>
              <w:rPr>
                <w:rFonts w:hint="eastAsia"/>
                <w:sz w:val="21"/>
                <w:szCs w:val="21"/>
                <w:highlight w:val="none"/>
              </w:rPr>
              <w:t>a</w:t>
            </w:r>
          </w:p>
        </w:tc>
        <w:tc>
          <w:tcPr>
            <w:tcW w:w="2264" w:type="dxa"/>
            <w:gridSpan w:val="2"/>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903" w:type="dxa"/>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车辆</w:t>
            </w:r>
          </w:p>
          <w:p>
            <w:pPr>
              <w:spacing w:line="240" w:lineRule="auto"/>
              <w:ind w:firstLine="0" w:firstLineChars="0"/>
              <w:jc w:val="center"/>
              <w:rPr>
                <w:sz w:val="21"/>
                <w:szCs w:val="21"/>
                <w:highlight w:val="none"/>
                <w:lang w:val="zh-CN"/>
              </w:rPr>
            </w:pPr>
            <w:r>
              <w:rPr>
                <w:sz w:val="21"/>
                <w:szCs w:val="21"/>
                <w:highlight w:val="none"/>
                <w:lang w:val="zh-CN"/>
              </w:rPr>
              <w:t>清洗</w:t>
            </w:r>
          </w:p>
        </w:tc>
        <w:tc>
          <w:tcPr>
            <w:tcW w:w="2553" w:type="dxa"/>
            <w:gridSpan w:val="2"/>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洗车废水</w:t>
            </w:r>
          </w:p>
        </w:tc>
        <w:tc>
          <w:tcPr>
            <w:tcW w:w="25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洗车废水经沉淀池沉淀后回用，不外排；</w:t>
            </w:r>
          </w:p>
        </w:tc>
        <w:tc>
          <w:tcPr>
            <w:tcW w:w="1333"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1400</w:t>
            </w:r>
            <w:r>
              <w:rPr>
                <w:sz w:val="21"/>
                <w:szCs w:val="21"/>
                <w:highlight w:val="none"/>
              </w:rPr>
              <w:t>m</w:t>
            </w:r>
            <w:r>
              <w:rPr>
                <w:sz w:val="21"/>
                <w:szCs w:val="21"/>
                <w:highlight w:val="none"/>
                <w:vertAlign w:val="superscript"/>
              </w:rPr>
              <w:t>3</w:t>
            </w:r>
            <w:r>
              <w:rPr>
                <w:sz w:val="21"/>
                <w:szCs w:val="21"/>
                <w:highlight w:val="none"/>
              </w:rPr>
              <w:t>/</w:t>
            </w:r>
            <w:r>
              <w:rPr>
                <w:rFonts w:hint="eastAsia"/>
                <w:sz w:val="21"/>
                <w:szCs w:val="21"/>
                <w:highlight w:val="none"/>
              </w:rPr>
              <w:t>a</w:t>
            </w:r>
          </w:p>
        </w:tc>
        <w:tc>
          <w:tcPr>
            <w:tcW w:w="2264" w:type="dxa"/>
            <w:gridSpan w:val="2"/>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kern w:val="24"/>
                <w:sz w:val="21"/>
                <w:szCs w:val="21"/>
                <w:highlight w:val="none"/>
              </w:rPr>
            </w:pPr>
            <w:r>
              <w:rPr>
                <w:kern w:val="24"/>
                <w:sz w:val="21"/>
                <w:szCs w:val="21"/>
                <w:highlight w:val="none"/>
              </w:rPr>
              <w:t>/</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固废</w:t>
            </w:r>
          </w:p>
        </w:tc>
        <w:tc>
          <w:tcPr>
            <w:tcW w:w="903" w:type="dxa"/>
            <w:vMerge w:val="restart"/>
            <w:tcBorders>
              <w:tl2br w:val="nil"/>
              <w:tr2bl w:val="nil"/>
            </w:tcBorders>
            <w:vAlign w:val="center"/>
          </w:tcPr>
          <w:p>
            <w:pPr>
              <w:spacing w:line="240" w:lineRule="auto"/>
              <w:ind w:firstLine="0" w:firstLineChars="0"/>
              <w:jc w:val="center"/>
              <w:rPr>
                <w:sz w:val="21"/>
                <w:szCs w:val="21"/>
                <w:highlight w:val="none"/>
                <w:lang w:val="zh-CN"/>
              </w:rPr>
            </w:pPr>
            <w:r>
              <w:rPr>
                <w:sz w:val="21"/>
                <w:szCs w:val="21"/>
                <w:highlight w:val="none"/>
                <w:lang w:val="zh-CN"/>
              </w:rPr>
              <w:t>选矿</w:t>
            </w:r>
          </w:p>
        </w:tc>
        <w:tc>
          <w:tcPr>
            <w:tcW w:w="2553"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尾矿砂</w:t>
            </w:r>
          </w:p>
        </w:tc>
        <w:tc>
          <w:tcPr>
            <w:tcW w:w="2572" w:type="dxa"/>
            <w:tcBorders>
              <w:tl2br w:val="nil"/>
              <w:tr2bl w:val="nil"/>
            </w:tcBorders>
            <w:vAlign w:val="center"/>
          </w:tcPr>
          <w:p>
            <w:pPr>
              <w:spacing w:line="240" w:lineRule="auto"/>
              <w:ind w:firstLine="0" w:firstLineChars="0"/>
              <w:rPr>
                <w:bCs/>
                <w:sz w:val="21"/>
                <w:szCs w:val="21"/>
                <w:highlight w:val="none"/>
              </w:rPr>
            </w:pPr>
            <w:r>
              <w:rPr>
                <w:bCs/>
                <w:sz w:val="21"/>
                <w:szCs w:val="21"/>
                <w:highlight w:val="none"/>
              </w:rPr>
              <w:t>作为建筑材料外售综合利用</w:t>
            </w:r>
          </w:p>
        </w:tc>
        <w:tc>
          <w:tcPr>
            <w:tcW w:w="1333"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207594</w:t>
            </w:r>
            <w:r>
              <w:rPr>
                <w:sz w:val="21"/>
                <w:szCs w:val="21"/>
                <w:highlight w:val="none"/>
              </w:rPr>
              <w:t>t/a</w:t>
            </w:r>
          </w:p>
        </w:tc>
        <w:tc>
          <w:tcPr>
            <w:tcW w:w="2264" w:type="dxa"/>
            <w:gridSpan w:val="2"/>
            <w:tcBorders>
              <w:tl2br w:val="nil"/>
              <w:tr2bl w:val="nil"/>
            </w:tcBorders>
            <w:vAlign w:val="center"/>
          </w:tcPr>
          <w:p>
            <w:pPr>
              <w:spacing w:line="240" w:lineRule="auto"/>
              <w:ind w:firstLine="37" w:firstLineChars="18"/>
              <w:jc w:val="center"/>
              <w:rPr>
                <w:bCs/>
                <w:sz w:val="21"/>
                <w:szCs w:val="21"/>
                <w:highlight w:val="none"/>
              </w:rPr>
            </w:pPr>
            <w:r>
              <w:rPr>
                <w:bCs/>
                <w:sz w:val="21"/>
                <w:szCs w:val="21"/>
                <w:highlight w:val="none"/>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sz w:val="21"/>
                <w:szCs w:val="21"/>
                <w:highlight w:val="none"/>
              </w:rPr>
            </w:pPr>
            <w:r>
              <w:rPr>
                <w:bCs/>
                <w:sz w:val="21"/>
                <w:szCs w:val="21"/>
                <w:highlight w:val="none"/>
              </w:rPr>
              <w:t>/</w:t>
            </w:r>
          </w:p>
        </w:tc>
        <w:tc>
          <w:tcPr>
            <w:tcW w:w="772" w:type="dxa"/>
            <w:vMerge w:val="restart"/>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全部妥善处置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903" w:type="dxa"/>
            <w:vMerge w:val="continue"/>
            <w:tcBorders>
              <w:tl2br w:val="nil"/>
              <w:tr2bl w:val="nil"/>
            </w:tcBorders>
            <w:vAlign w:val="center"/>
          </w:tcPr>
          <w:p>
            <w:pPr>
              <w:spacing w:line="240" w:lineRule="auto"/>
              <w:ind w:firstLine="0" w:firstLineChars="0"/>
              <w:jc w:val="center"/>
              <w:rPr>
                <w:sz w:val="21"/>
                <w:szCs w:val="21"/>
                <w:highlight w:val="none"/>
                <w:lang w:val="zh-CN"/>
              </w:rPr>
            </w:pPr>
          </w:p>
        </w:tc>
        <w:tc>
          <w:tcPr>
            <w:tcW w:w="2553" w:type="dxa"/>
            <w:gridSpan w:val="2"/>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砂石料</w:t>
            </w:r>
          </w:p>
        </w:tc>
        <w:tc>
          <w:tcPr>
            <w:tcW w:w="2572" w:type="dxa"/>
            <w:tcBorders>
              <w:tl2br w:val="nil"/>
              <w:tr2bl w:val="nil"/>
            </w:tcBorders>
            <w:vAlign w:val="center"/>
          </w:tcPr>
          <w:p>
            <w:pPr>
              <w:spacing w:line="240" w:lineRule="auto"/>
              <w:ind w:firstLine="0" w:firstLineChars="0"/>
              <w:rPr>
                <w:bCs/>
                <w:sz w:val="21"/>
                <w:szCs w:val="21"/>
                <w:highlight w:val="none"/>
              </w:rPr>
            </w:pPr>
            <w:r>
              <w:rPr>
                <w:bCs/>
                <w:sz w:val="21"/>
                <w:szCs w:val="21"/>
                <w:highlight w:val="none"/>
              </w:rPr>
              <w:t>作为建筑材料外售综合利用</w:t>
            </w:r>
          </w:p>
        </w:tc>
        <w:tc>
          <w:tcPr>
            <w:tcW w:w="1333"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290093.552</w:t>
            </w:r>
          </w:p>
          <w:p>
            <w:pPr>
              <w:widowControl/>
              <w:spacing w:line="240" w:lineRule="auto"/>
              <w:ind w:firstLine="0" w:firstLineChars="0"/>
              <w:jc w:val="center"/>
              <w:textAlignment w:val="auto"/>
              <w:rPr>
                <w:sz w:val="21"/>
                <w:szCs w:val="21"/>
                <w:highlight w:val="none"/>
              </w:rPr>
            </w:pPr>
            <w:r>
              <w:rPr>
                <w:sz w:val="21"/>
                <w:szCs w:val="21"/>
                <w:highlight w:val="none"/>
              </w:rPr>
              <w:t>t/a</w:t>
            </w:r>
          </w:p>
        </w:tc>
        <w:tc>
          <w:tcPr>
            <w:tcW w:w="2264" w:type="dxa"/>
            <w:gridSpan w:val="2"/>
            <w:tcBorders>
              <w:tl2br w:val="nil"/>
              <w:tr2bl w:val="nil"/>
            </w:tcBorders>
            <w:vAlign w:val="center"/>
          </w:tcPr>
          <w:p>
            <w:pPr>
              <w:spacing w:line="240" w:lineRule="auto"/>
              <w:ind w:firstLine="37" w:firstLineChars="18"/>
              <w:jc w:val="center"/>
              <w:rPr>
                <w:bCs/>
                <w:sz w:val="21"/>
                <w:szCs w:val="21"/>
                <w:highlight w:val="none"/>
              </w:rPr>
            </w:pPr>
            <w:r>
              <w:rPr>
                <w:bCs/>
                <w:sz w:val="21"/>
                <w:szCs w:val="21"/>
                <w:highlight w:val="none"/>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sz w:val="21"/>
                <w:szCs w:val="21"/>
                <w:highlight w:val="none"/>
              </w:rPr>
            </w:pPr>
            <w:r>
              <w:rPr>
                <w:bCs/>
                <w:sz w:val="21"/>
                <w:szCs w:val="21"/>
                <w:highlight w:val="none"/>
              </w:rPr>
              <w:t>/</w:t>
            </w:r>
          </w:p>
        </w:tc>
        <w:tc>
          <w:tcPr>
            <w:tcW w:w="772"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903" w:type="dxa"/>
            <w:vMerge w:val="continue"/>
            <w:tcBorders>
              <w:tl2br w:val="nil"/>
              <w:tr2bl w:val="nil"/>
            </w:tcBorders>
            <w:vAlign w:val="center"/>
          </w:tcPr>
          <w:p>
            <w:pPr>
              <w:spacing w:line="240" w:lineRule="auto"/>
              <w:ind w:firstLine="0" w:firstLineChars="0"/>
              <w:jc w:val="center"/>
              <w:rPr>
                <w:sz w:val="21"/>
                <w:szCs w:val="21"/>
                <w:highlight w:val="none"/>
                <w:lang w:val="zh-CN"/>
              </w:rPr>
            </w:pPr>
          </w:p>
        </w:tc>
        <w:tc>
          <w:tcPr>
            <w:tcW w:w="2553" w:type="dxa"/>
            <w:gridSpan w:val="2"/>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泥饼</w:t>
            </w:r>
          </w:p>
        </w:tc>
        <w:tc>
          <w:tcPr>
            <w:tcW w:w="2572" w:type="dxa"/>
            <w:tcBorders>
              <w:tl2br w:val="nil"/>
              <w:tr2bl w:val="nil"/>
            </w:tcBorders>
            <w:vAlign w:val="center"/>
          </w:tcPr>
          <w:p>
            <w:pPr>
              <w:spacing w:line="240" w:lineRule="auto"/>
              <w:ind w:firstLine="0" w:firstLineChars="0"/>
              <w:rPr>
                <w:bCs/>
                <w:sz w:val="21"/>
                <w:szCs w:val="21"/>
                <w:highlight w:val="none"/>
              </w:rPr>
            </w:pPr>
            <w:r>
              <w:rPr>
                <w:bCs/>
                <w:sz w:val="21"/>
                <w:szCs w:val="21"/>
                <w:highlight w:val="none"/>
              </w:rPr>
              <w:t>作为建筑材料外售综合利用</w:t>
            </w:r>
          </w:p>
        </w:tc>
        <w:tc>
          <w:tcPr>
            <w:tcW w:w="1333"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rPr>
              <w:t>42500</w:t>
            </w:r>
            <w:r>
              <w:rPr>
                <w:sz w:val="21"/>
                <w:szCs w:val="21"/>
                <w:highlight w:val="none"/>
              </w:rPr>
              <w:t>t/a</w:t>
            </w:r>
          </w:p>
        </w:tc>
        <w:tc>
          <w:tcPr>
            <w:tcW w:w="2264" w:type="dxa"/>
            <w:gridSpan w:val="2"/>
            <w:tcBorders>
              <w:tl2br w:val="nil"/>
              <w:tr2bl w:val="nil"/>
            </w:tcBorders>
            <w:vAlign w:val="center"/>
          </w:tcPr>
          <w:p>
            <w:pPr>
              <w:spacing w:line="240" w:lineRule="auto"/>
              <w:ind w:firstLine="37" w:firstLineChars="18"/>
              <w:jc w:val="center"/>
              <w:rPr>
                <w:bCs/>
                <w:sz w:val="21"/>
                <w:szCs w:val="21"/>
                <w:highlight w:val="none"/>
              </w:rPr>
            </w:pPr>
            <w:r>
              <w:rPr>
                <w:bCs/>
                <w:sz w:val="21"/>
                <w:szCs w:val="21"/>
                <w:highlight w:val="none"/>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p>
        </w:tc>
        <w:tc>
          <w:tcPr>
            <w:tcW w:w="772"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903" w:type="dxa"/>
            <w:vMerge w:val="continue"/>
            <w:tcBorders>
              <w:tl2br w:val="nil"/>
              <w:tr2bl w:val="nil"/>
            </w:tcBorders>
            <w:vAlign w:val="center"/>
          </w:tcPr>
          <w:p>
            <w:pPr>
              <w:spacing w:line="240" w:lineRule="auto"/>
              <w:ind w:firstLine="0" w:firstLineChars="0"/>
              <w:jc w:val="center"/>
              <w:rPr>
                <w:sz w:val="21"/>
                <w:szCs w:val="21"/>
                <w:highlight w:val="none"/>
                <w:lang w:val="zh-CN"/>
              </w:rPr>
            </w:pPr>
          </w:p>
        </w:tc>
        <w:tc>
          <w:tcPr>
            <w:tcW w:w="2553"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除尘器收尘</w:t>
            </w:r>
          </w:p>
        </w:tc>
        <w:tc>
          <w:tcPr>
            <w:tcW w:w="25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返回球磨系统</w:t>
            </w:r>
          </w:p>
        </w:tc>
        <w:tc>
          <w:tcPr>
            <w:tcW w:w="1333"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774.4</w:t>
            </w:r>
            <w:r>
              <w:rPr>
                <w:sz w:val="21"/>
                <w:szCs w:val="21"/>
                <w:highlight w:val="none"/>
              </w:rPr>
              <w:t xml:space="preserve"> t/a</w:t>
            </w:r>
          </w:p>
        </w:tc>
        <w:tc>
          <w:tcPr>
            <w:tcW w:w="2264" w:type="dxa"/>
            <w:gridSpan w:val="2"/>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sz w:val="21"/>
                <w:szCs w:val="21"/>
                <w:highlight w:val="none"/>
              </w:rPr>
            </w:pPr>
            <w:r>
              <w:rPr>
                <w:bCs/>
                <w:sz w:val="21"/>
                <w:szCs w:val="21"/>
                <w:highlight w:val="none"/>
              </w:rPr>
              <w:t>/</w:t>
            </w:r>
          </w:p>
        </w:tc>
        <w:tc>
          <w:tcPr>
            <w:tcW w:w="772"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903" w:type="dxa"/>
            <w:vMerge w:val="continue"/>
            <w:tcBorders>
              <w:tl2br w:val="nil"/>
              <w:tr2bl w:val="nil"/>
            </w:tcBorders>
            <w:vAlign w:val="center"/>
          </w:tcPr>
          <w:p>
            <w:pPr>
              <w:spacing w:line="240" w:lineRule="auto"/>
              <w:ind w:firstLine="0" w:firstLineChars="0"/>
              <w:jc w:val="center"/>
              <w:rPr>
                <w:sz w:val="21"/>
                <w:szCs w:val="21"/>
                <w:highlight w:val="none"/>
                <w:lang w:val="zh-CN"/>
              </w:rPr>
            </w:pPr>
          </w:p>
        </w:tc>
        <w:tc>
          <w:tcPr>
            <w:tcW w:w="2553"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lang w:val="zh-CN"/>
              </w:rPr>
              <w:t>废钢球</w:t>
            </w:r>
          </w:p>
        </w:tc>
        <w:tc>
          <w:tcPr>
            <w:tcW w:w="25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由供应厂家回收利用</w:t>
            </w:r>
          </w:p>
        </w:tc>
        <w:tc>
          <w:tcPr>
            <w:tcW w:w="1333"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21</w:t>
            </w:r>
            <w:r>
              <w:rPr>
                <w:sz w:val="21"/>
                <w:szCs w:val="21"/>
                <w:highlight w:val="none"/>
              </w:rPr>
              <w:t>t/a</w:t>
            </w:r>
          </w:p>
        </w:tc>
        <w:tc>
          <w:tcPr>
            <w:tcW w:w="2264" w:type="dxa"/>
            <w:gridSpan w:val="2"/>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772"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903" w:type="dxa"/>
            <w:vMerge w:val="continue"/>
            <w:tcBorders>
              <w:tl2br w:val="nil"/>
              <w:tr2bl w:val="nil"/>
            </w:tcBorders>
            <w:vAlign w:val="center"/>
          </w:tcPr>
          <w:p>
            <w:pPr>
              <w:spacing w:line="240" w:lineRule="auto"/>
              <w:ind w:firstLine="0" w:firstLineChars="0"/>
              <w:jc w:val="center"/>
              <w:rPr>
                <w:sz w:val="21"/>
                <w:szCs w:val="21"/>
                <w:highlight w:val="none"/>
                <w:lang w:val="zh-CN"/>
              </w:rPr>
            </w:pPr>
          </w:p>
        </w:tc>
        <w:tc>
          <w:tcPr>
            <w:tcW w:w="2553" w:type="dxa"/>
            <w:gridSpan w:val="2"/>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废</w:t>
            </w:r>
            <w:r>
              <w:rPr>
                <w:rFonts w:hint="eastAsia"/>
                <w:sz w:val="21"/>
                <w:szCs w:val="21"/>
                <w:highlight w:val="none"/>
              </w:rPr>
              <w:t>矿物油</w:t>
            </w:r>
            <w:r>
              <w:rPr>
                <w:sz w:val="21"/>
                <w:szCs w:val="21"/>
                <w:highlight w:val="none"/>
              </w:rPr>
              <w:t>、废油桶</w:t>
            </w:r>
          </w:p>
        </w:tc>
        <w:tc>
          <w:tcPr>
            <w:tcW w:w="2572" w:type="dxa"/>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危废暂存间暂存，定期送危废处理单位处理</w:t>
            </w:r>
          </w:p>
        </w:tc>
        <w:tc>
          <w:tcPr>
            <w:tcW w:w="1333"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0.3t/a</w:t>
            </w:r>
          </w:p>
        </w:tc>
        <w:tc>
          <w:tcPr>
            <w:tcW w:w="2264" w:type="dxa"/>
            <w:gridSpan w:val="2"/>
            <w:tcBorders>
              <w:tl2br w:val="nil"/>
              <w:tr2bl w:val="nil"/>
            </w:tcBorders>
            <w:vAlign w:val="center"/>
          </w:tcPr>
          <w:p>
            <w:pPr>
              <w:spacing w:line="240" w:lineRule="auto"/>
              <w:ind w:firstLine="0" w:firstLineChars="0"/>
              <w:jc w:val="center"/>
              <w:rPr>
                <w:bCs/>
                <w:sz w:val="21"/>
                <w:szCs w:val="21"/>
                <w:highlight w:val="none"/>
              </w:rPr>
            </w:pPr>
            <w:r>
              <w:rPr>
                <w:bCs/>
                <w:sz w:val="21"/>
                <w:szCs w:val="21"/>
                <w:highlight w:val="none"/>
              </w:rPr>
              <w:t>/</w:t>
            </w:r>
          </w:p>
        </w:tc>
        <w:tc>
          <w:tcPr>
            <w:tcW w:w="997"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0t/a</w:t>
            </w:r>
          </w:p>
        </w:tc>
        <w:tc>
          <w:tcPr>
            <w:tcW w:w="184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c>
          <w:tcPr>
            <w:tcW w:w="772" w:type="dxa"/>
            <w:vMerge w:val="continue"/>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tcBorders>
              <w:tl2br w:val="nil"/>
              <w:tr2bl w:val="nil"/>
            </w:tcBorders>
            <w:vAlign w:val="center"/>
          </w:tcPr>
          <w:p>
            <w:pPr>
              <w:pStyle w:val="417"/>
              <w:spacing w:line="240" w:lineRule="auto"/>
              <w:rPr>
                <w:highlight w:val="none"/>
                <w:lang w:val="zh-CN"/>
              </w:rPr>
            </w:pPr>
            <w:r>
              <w:rPr>
                <w:rFonts w:hint="eastAsia"/>
                <w:highlight w:val="none"/>
                <w:lang w:val="zh-CN" w:bidi="zh-CN"/>
              </w:rPr>
              <w:t>风险防范措施</w:t>
            </w:r>
          </w:p>
        </w:tc>
        <w:tc>
          <w:tcPr>
            <w:tcW w:w="10644" w:type="dxa"/>
            <w:gridSpan w:val="7"/>
            <w:tcBorders>
              <w:tl2br w:val="nil"/>
              <w:tr2bl w:val="nil"/>
            </w:tcBorders>
            <w:vAlign w:val="center"/>
          </w:tcPr>
          <w:p>
            <w:pPr>
              <w:pStyle w:val="417"/>
              <w:spacing w:line="240" w:lineRule="auto"/>
              <w:rPr>
                <w:highlight w:val="none"/>
              </w:rPr>
            </w:pPr>
            <w:r>
              <w:rPr>
                <w:rFonts w:hint="eastAsia"/>
                <w:highlight w:val="none"/>
                <w:lang w:val="zh-CN" w:bidi="zh-CN"/>
              </w:rPr>
              <w:t>1、如发现废矿物油桶发生泄漏，立即对废矿物没进行倒桶处理，更换完好不泄漏的容器进行储存；2、地面及裙角均采取抗渗水泥防渗，地面水泥厚度为20cm；裙角高度1.5m，厚度20cm，地面及四周裙脚均应耐腐蚀，耐热且表面无裂隙，同时设置泄漏液体的收集装置。防渗层渗透系数小于10</w:t>
            </w:r>
            <w:r>
              <w:rPr>
                <w:rFonts w:hint="eastAsia"/>
                <w:highlight w:val="none"/>
                <w:vertAlign w:val="superscript"/>
                <w:lang w:val="zh-CN" w:bidi="zh-CN"/>
              </w:rPr>
              <w:t>-10</w:t>
            </w:r>
            <w:r>
              <w:rPr>
                <w:rFonts w:hint="eastAsia"/>
                <w:highlight w:val="none"/>
                <w:lang w:val="zh-CN" w:bidi="zh-CN"/>
              </w:rPr>
              <w:t>cm/s。3、如发现废矿物油泄漏已对厂区土壤和地下水造成的污染，立即启动应急预案，报当地环保部门。</w:t>
            </w:r>
          </w:p>
        </w:tc>
        <w:tc>
          <w:tcPr>
            <w:tcW w:w="772" w:type="dxa"/>
            <w:tcBorders>
              <w:tl2br w:val="nil"/>
              <w:tr2bl w:val="nil"/>
            </w:tcBorders>
            <w:vAlign w:val="center"/>
          </w:tcPr>
          <w:p>
            <w:pPr>
              <w:pStyle w:val="417"/>
              <w:spacing w:line="240" w:lineRule="auto"/>
              <w:rPr>
                <w:highlight w:val="none"/>
              </w:rPr>
            </w:pPr>
            <w:r>
              <w:rPr>
                <w:rFonts w:hint="eastAsia"/>
                <w:highlight w:val="none"/>
                <w:lang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tcBorders>
              <w:tl2br w:val="nil"/>
              <w:tr2bl w:val="nil"/>
            </w:tcBorders>
            <w:vAlign w:val="center"/>
          </w:tcPr>
          <w:p>
            <w:pPr>
              <w:autoSpaceDE w:val="0"/>
              <w:autoSpaceDN w:val="0"/>
              <w:adjustRightInd w:val="0"/>
              <w:spacing w:line="240" w:lineRule="auto"/>
              <w:ind w:firstLine="0" w:firstLineChars="0"/>
              <w:jc w:val="center"/>
              <w:rPr>
                <w:snapToGrid w:val="0"/>
                <w:sz w:val="21"/>
                <w:szCs w:val="21"/>
                <w:highlight w:val="none"/>
                <w:lang w:val="zh-CN"/>
              </w:rPr>
            </w:pPr>
            <w:r>
              <w:rPr>
                <w:snapToGrid w:val="0"/>
                <w:sz w:val="21"/>
                <w:szCs w:val="21"/>
                <w:highlight w:val="none"/>
                <w:lang w:val="zh-CN"/>
              </w:rPr>
              <w:t>绿化、硬化</w:t>
            </w:r>
          </w:p>
        </w:tc>
        <w:tc>
          <w:tcPr>
            <w:tcW w:w="10644" w:type="dxa"/>
            <w:gridSpan w:val="7"/>
            <w:tcBorders>
              <w:tl2br w:val="nil"/>
              <w:tr2bl w:val="nil"/>
            </w:tcBorders>
            <w:vAlign w:val="center"/>
          </w:tcPr>
          <w:p>
            <w:pPr>
              <w:autoSpaceDE w:val="0"/>
              <w:autoSpaceDN w:val="0"/>
              <w:adjustRightInd w:val="0"/>
              <w:spacing w:line="240" w:lineRule="auto"/>
              <w:ind w:firstLine="0" w:firstLineChars="0"/>
              <w:jc w:val="center"/>
              <w:rPr>
                <w:snapToGrid w:val="0"/>
                <w:sz w:val="21"/>
                <w:szCs w:val="21"/>
                <w:highlight w:val="none"/>
              </w:rPr>
            </w:pPr>
            <w:r>
              <w:rPr>
                <w:sz w:val="21"/>
                <w:szCs w:val="21"/>
                <w:highlight w:val="none"/>
              </w:rPr>
              <w:t>厂区内地面进行硬化或绿化，无裸露地面</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tcBorders>
              <w:tl2br w:val="nil"/>
              <w:tr2bl w:val="nil"/>
            </w:tcBorders>
            <w:vAlign w:val="center"/>
          </w:tcPr>
          <w:p>
            <w:pPr>
              <w:autoSpaceDE w:val="0"/>
              <w:autoSpaceDN w:val="0"/>
              <w:adjustRightInd w:val="0"/>
              <w:snapToGrid w:val="0"/>
              <w:spacing w:line="240" w:lineRule="auto"/>
              <w:ind w:firstLine="0" w:firstLineChars="0"/>
              <w:jc w:val="center"/>
              <w:rPr>
                <w:snapToGrid w:val="0"/>
                <w:sz w:val="21"/>
                <w:szCs w:val="21"/>
                <w:highlight w:val="none"/>
              </w:rPr>
            </w:pPr>
            <w:r>
              <w:rPr>
                <w:snapToGrid w:val="0"/>
                <w:sz w:val="21"/>
                <w:szCs w:val="21"/>
                <w:highlight w:val="none"/>
              </w:rPr>
              <w:t>厂区抑尘</w:t>
            </w:r>
          </w:p>
        </w:tc>
        <w:tc>
          <w:tcPr>
            <w:tcW w:w="10644" w:type="dxa"/>
            <w:gridSpan w:val="7"/>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r>
              <w:rPr>
                <w:sz w:val="21"/>
                <w:szCs w:val="21"/>
                <w:highlight w:val="none"/>
              </w:rPr>
              <w:t>定期洒水，大风天气增加洒水次数</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tcBorders>
              <w:tl2br w:val="nil"/>
              <w:tr2bl w:val="nil"/>
            </w:tcBorders>
            <w:vAlign w:val="center"/>
          </w:tcPr>
          <w:p>
            <w:pPr>
              <w:autoSpaceDE w:val="0"/>
              <w:autoSpaceDN w:val="0"/>
              <w:adjustRightInd w:val="0"/>
              <w:snapToGrid w:val="0"/>
              <w:spacing w:line="240" w:lineRule="auto"/>
              <w:ind w:firstLine="420"/>
              <w:jc w:val="center"/>
              <w:rPr>
                <w:snapToGrid w:val="0"/>
                <w:sz w:val="21"/>
                <w:szCs w:val="21"/>
                <w:highlight w:val="none"/>
              </w:rPr>
            </w:pPr>
            <w:r>
              <w:rPr>
                <w:snapToGrid w:val="0"/>
                <w:sz w:val="21"/>
                <w:szCs w:val="21"/>
                <w:highlight w:val="none"/>
              </w:rPr>
              <w:t>视频监控</w:t>
            </w:r>
          </w:p>
        </w:tc>
        <w:tc>
          <w:tcPr>
            <w:tcW w:w="10644" w:type="dxa"/>
            <w:gridSpan w:val="7"/>
            <w:tcBorders>
              <w:tl2br w:val="nil"/>
              <w:tr2bl w:val="nil"/>
            </w:tcBorders>
            <w:vAlign w:val="center"/>
          </w:tcPr>
          <w:p>
            <w:pPr>
              <w:autoSpaceDE w:val="0"/>
              <w:autoSpaceDN w:val="0"/>
              <w:adjustRightInd w:val="0"/>
              <w:spacing w:line="240" w:lineRule="auto"/>
              <w:ind w:firstLine="420"/>
              <w:jc w:val="center"/>
              <w:rPr>
                <w:sz w:val="21"/>
                <w:szCs w:val="21"/>
                <w:highlight w:val="none"/>
              </w:rPr>
            </w:pPr>
            <w:r>
              <w:rPr>
                <w:sz w:val="21"/>
                <w:szCs w:val="21"/>
                <w:highlight w:val="none"/>
              </w:rPr>
              <w:t>在</w:t>
            </w:r>
            <w:r>
              <w:rPr>
                <w:rFonts w:hint="eastAsia"/>
                <w:sz w:val="21"/>
                <w:szCs w:val="21"/>
                <w:highlight w:val="none"/>
              </w:rPr>
              <w:t>破碎车间</w:t>
            </w:r>
            <w:r>
              <w:rPr>
                <w:sz w:val="21"/>
                <w:szCs w:val="21"/>
                <w:highlight w:val="none"/>
              </w:rPr>
              <w:t>门口</w:t>
            </w:r>
            <w:r>
              <w:rPr>
                <w:rFonts w:hint="eastAsia"/>
                <w:sz w:val="21"/>
                <w:szCs w:val="21"/>
                <w:highlight w:val="none"/>
              </w:rPr>
              <w:t>、</w:t>
            </w:r>
            <w:r>
              <w:rPr>
                <w:sz w:val="21"/>
                <w:szCs w:val="21"/>
                <w:highlight w:val="none"/>
              </w:rPr>
              <w:t>成品库</w:t>
            </w:r>
            <w:r>
              <w:rPr>
                <w:rFonts w:hint="eastAsia"/>
                <w:sz w:val="21"/>
                <w:szCs w:val="21"/>
                <w:highlight w:val="none"/>
              </w:rPr>
              <w:t>内</w:t>
            </w:r>
            <w:r>
              <w:rPr>
                <w:sz w:val="21"/>
                <w:szCs w:val="21"/>
                <w:highlight w:val="none"/>
              </w:rPr>
              <w:t>、</w:t>
            </w:r>
            <w:r>
              <w:rPr>
                <w:rFonts w:hint="eastAsia"/>
                <w:sz w:val="21"/>
                <w:szCs w:val="21"/>
                <w:highlight w:val="none"/>
              </w:rPr>
              <w:t>选矿车间</w:t>
            </w:r>
            <w:r>
              <w:rPr>
                <w:sz w:val="21"/>
                <w:szCs w:val="21"/>
                <w:highlight w:val="none"/>
              </w:rPr>
              <w:t>门口</w:t>
            </w:r>
            <w:r>
              <w:rPr>
                <w:rFonts w:hint="eastAsia"/>
                <w:sz w:val="21"/>
                <w:szCs w:val="21"/>
                <w:highlight w:val="none"/>
              </w:rPr>
              <w:t>、压滤车间门口，各</w:t>
            </w:r>
            <w:r>
              <w:rPr>
                <w:sz w:val="21"/>
                <w:szCs w:val="21"/>
                <w:highlight w:val="none"/>
              </w:rPr>
              <w:t>生产车间内、布袋除尘器、厂区道路设置视频监控，并与唐山市</w:t>
            </w:r>
            <w:r>
              <w:rPr>
                <w:rFonts w:hint="eastAsia"/>
                <w:sz w:val="21"/>
                <w:szCs w:val="21"/>
                <w:highlight w:val="none"/>
              </w:rPr>
              <w:t>生态环境</w:t>
            </w:r>
            <w:r>
              <w:rPr>
                <w:sz w:val="21"/>
                <w:szCs w:val="21"/>
                <w:highlight w:val="none"/>
              </w:rPr>
              <w:t>局遵化市分局联网，实现24小时视频监控。</w:t>
            </w:r>
          </w:p>
        </w:tc>
        <w:tc>
          <w:tcPr>
            <w:tcW w:w="772" w:type="dxa"/>
            <w:tcBorders>
              <w:tl2br w:val="nil"/>
              <w:tr2bl w:val="nil"/>
            </w:tcBorders>
            <w:vAlign w:val="center"/>
          </w:tcPr>
          <w:p>
            <w:pPr>
              <w:spacing w:line="240" w:lineRule="auto"/>
              <w:ind w:firstLine="0" w:firstLineChars="0"/>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vMerge w:val="restart"/>
            <w:tcBorders>
              <w:tl2br w:val="nil"/>
              <w:tr2bl w:val="nil"/>
            </w:tcBorders>
            <w:vAlign w:val="center"/>
          </w:tcPr>
          <w:p>
            <w:pPr>
              <w:autoSpaceDE w:val="0"/>
              <w:autoSpaceDN w:val="0"/>
              <w:adjustRightInd w:val="0"/>
              <w:snapToGrid w:val="0"/>
              <w:spacing w:line="240" w:lineRule="auto"/>
              <w:ind w:firstLine="0" w:firstLineChars="0"/>
              <w:jc w:val="center"/>
              <w:rPr>
                <w:snapToGrid w:val="0"/>
                <w:sz w:val="21"/>
                <w:szCs w:val="21"/>
                <w:highlight w:val="none"/>
              </w:rPr>
            </w:pPr>
            <w:r>
              <w:rPr>
                <w:snapToGrid w:val="0"/>
                <w:sz w:val="21"/>
                <w:szCs w:val="21"/>
                <w:highlight w:val="none"/>
              </w:rPr>
              <w:t>环境管理内容</w:t>
            </w:r>
          </w:p>
        </w:tc>
        <w:tc>
          <w:tcPr>
            <w:tcW w:w="10644" w:type="dxa"/>
            <w:gridSpan w:val="7"/>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公司设有专职环保管理人员，熟悉环保业务，具备相关管理经验</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vMerge w:val="continue"/>
            <w:tcBorders>
              <w:tl2br w:val="nil"/>
              <w:tr2bl w:val="nil"/>
            </w:tcBorders>
            <w:vAlign w:val="center"/>
          </w:tcPr>
          <w:p>
            <w:pPr>
              <w:autoSpaceDE w:val="0"/>
              <w:autoSpaceDN w:val="0"/>
              <w:adjustRightInd w:val="0"/>
              <w:snapToGrid w:val="0"/>
              <w:spacing w:line="240" w:lineRule="auto"/>
              <w:ind w:firstLine="0" w:firstLineChars="0"/>
              <w:jc w:val="center"/>
              <w:rPr>
                <w:snapToGrid w:val="0"/>
                <w:sz w:val="21"/>
                <w:szCs w:val="21"/>
                <w:highlight w:val="none"/>
              </w:rPr>
            </w:pPr>
          </w:p>
        </w:tc>
        <w:tc>
          <w:tcPr>
            <w:tcW w:w="10644" w:type="dxa"/>
            <w:gridSpan w:val="7"/>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制定企业环境管理制度，明确了岗位环保职责和日常环保行为规范、建立和落实环保岗位考核制度</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2" w:type="dxa"/>
            <w:gridSpan w:val="3"/>
            <w:vMerge w:val="continue"/>
            <w:tcBorders>
              <w:tl2br w:val="nil"/>
              <w:tr2bl w:val="nil"/>
            </w:tcBorders>
            <w:vAlign w:val="center"/>
          </w:tcPr>
          <w:p>
            <w:pPr>
              <w:autoSpaceDE w:val="0"/>
              <w:autoSpaceDN w:val="0"/>
              <w:adjustRightInd w:val="0"/>
              <w:snapToGrid w:val="0"/>
              <w:spacing w:line="240" w:lineRule="auto"/>
              <w:ind w:firstLine="0" w:firstLineChars="0"/>
              <w:jc w:val="center"/>
              <w:rPr>
                <w:snapToGrid w:val="0"/>
                <w:sz w:val="21"/>
                <w:szCs w:val="21"/>
                <w:highlight w:val="none"/>
              </w:rPr>
            </w:pPr>
          </w:p>
        </w:tc>
        <w:tc>
          <w:tcPr>
            <w:tcW w:w="10644" w:type="dxa"/>
            <w:gridSpan w:val="7"/>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制定《环保管理制度》、《环保岗位考核制度》、《环保设备管理制度》、《污染防治设施运行管理制度》，建立环保设施运行台账，各项设备设施稳定、正常运行</w:t>
            </w:r>
          </w:p>
        </w:tc>
        <w:tc>
          <w:tcPr>
            <w:tcW w:w="772" w:type="dxa"/>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w:t>
            </w:r>
          </w:p>
        </w:tc>
      </w:tr>
    </w:tbl>
    <w:p>
      <w:pPr>
        <w:spacing w:line="240" w:lineRule="auto"/>
        <w:ind w:firstLine="420" w:firstLineChars="0"/>
        <w:jc w:val="center"/>
        <w:textAlignment w:val="baseline"/>
        <w:rPr>
          <w:b/>
          <w:bCs/>
          <w:kern w:val="2"/>
          <w:sz w:val="24"/>
          <w:szCs w:val="24"/>
          <w:highlight w:val="none"/>
        </w:rPr>
      </w:pPr>
    </w:p>
    <w:p>
      <w:pPr>
        <w:ind w:left="560" w:firstLine="0" w:firstLineChars="0"/>
        <w:rPr>
          <w:highlight w:val="none"/>
        </w:rPr>
        <w:sectPr>
          <w:pgSz w:w="16838" w:h="11905" w:orient="landscape"/>
          <w:pgMar w:top="1803" w:right="1440" w:bottom="1803" w:left="1134" w:header="850" w:footer="992" w:gutter="0"/>
          <w:cols w:space="0" w:num="1"/>
          <w:docGrid w:linePitch="312" w:charSpace="0"/>
        </w:sectPr>
      </w:pP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600" w:name="_Toc5796"/>
      <w:bookmarkStart w:id="601" w:name="_Toc503218132"/>
      <w:bookmarkStart w:id="602" w:name="_Toc2957"/>
      <w:bookmarkStart w:id="603" w:name="_Toc12834"/>
      <w:bookmarkStart w:id="604" w:name="_Toc19617"/>
      <w:bookmarkStart w:id="605" w:name="_Toc499651433"/>
      <w:bookmarkStart w:id="606" w:name="_Toc524285125"/>
      <w:bookmarkStart w:id="607" w:name="_Toc521591837"/>
      <w:r>
        <w:rPr>
          <w:rFonts w:ascii="Times New Roman" w:hAnsi="Times New Roman" w:eastAsia="宋体"/>
          <w:bCs w:val="0"/>
          <w:snapToGrid w:val="0"/>
          <w:kern w:val="0"/>
          <w:sz w:val="28"/>
          <w:szCs w:val="28"/>
          <w:highlight w:val="none"/>
        </w:rPr>
        <w:t>环境监测</w:t>
      </w:r>
      <w:bookmarkEnd w:id="596"/>
      <w:bookmarkEnd w:id="597"/>
      <w:bookmarkEnd w:id="598"/>
      <w:bookmarkEnd w:id="599"/>
      <w:bookmarkEnd w:id="600"/>
      <w:bookmarkEnd w:id="601"/>
      <w:bookmarkEnd w:id="602"/>
      <w:bookmarkEnd w:id="603"/>
      <w:bookmarkEnd w:id="604"/>
      <w:bookmarkEnd w:id="605"/>
      <w:bookmarkEnd w:id="606"/>
      <w:bookmarkEnd w:id="607"/>
    </w:p>
    <w:p>
      <w:pPr>
        <w:pStyle w:val="6"/>
        <w:numPr>
          <w:ilvl w:val="2"/>
          <w:numId w:val="1"/>
        </w:numPr>
        <w:rPr>
          <w:szCs w:val="28"/>
          <w:highlight w:val="none"/>
        </w:rPr>
      </w:pPr>
      <w:bookmarkStart w:id="608" w:name="_Toc521591838"/>
      <w:bookmarkStart w:id="609" w:name="_Toc28879"/>
      <w:r>
        <w:rPr>
          <w:szCs w:val="28"/>
          <w:highlight w:val="none"/>
        </w:rPr>
        <w:t>环境监测目的</w:t>
      </w:r>
      <w:bookmarkEnd w:id="608"/>
      <w:bookmarkEnd w:id="609"/>
    </w:p>
    <w:p>
      <w:pPr>
        <w:autoSpaceDE w:val="0"/>
        <w:autoSpaceDN w:val="0"/>
        <w:ind w:firstLine="480"/>
        <w:jc w:val="both"/>
        <w:textAlignment w:val="auto"/>
        <w:rPr>
          <w:sz w:val="24"/>
          <w:szCs w:val="24"/>
          <w:highlight w:val="none"/>
        </w:rPr>
      </w:pPr>
      <w:r>
        <w:rPr>
          <w:sz w:val="24"/>
          <w:szCs w:val="24"/>
          <w:highlight w:val="none"/>
        </w:rPr>
        <w:t>环境监测是环境管理技术的支持。同时，环境监测还是企业搞好环境管理，促进污染治理设施正常运行的主要保障。通过定期的环境监测，了解当地的环境质量状况，可以及时发现问题、解决问题，从而有利于监督各项环保措施的落实，并根据监测结果适时调整环境保护计划。</w:t>
      </w:r>
    </w:p>
    <w:p>
      <w:pPr>
        <w:pStyle w:val="6"/>
        <w:numPr>
          <w:ilvl w:val="2"/>
          <w:numId w:val="1"/>
        </w:numPr>
        <w:rPr>
          <w:szCs w:val="28"/>
          <w:highlight w:val="none"/>
        </w:rPr>
      </w:pPr>
      <w:bookmarkStart w:id="610" w:name="_Toc9752"/>
      <w:bookmarkStart w:id="611" w:name="_Toc521591839"/>
      <w:r>
        <w:rPr>
          <w:szCs w:val="28"/>
          <w:highlight w:val="none"/>
        </w:rPr>
        <w:t>环境监测机构</w:t>
      </w:r>
      <w:bookmarkEnd w:id="610"/>
      <w:bookmarkEnd w:id="611"/>
    </w:p>
    <w:p>
      <w:pPr>
        <w:autoSpaceDE w:val="0"/>
        <w:autoSpaceDN w:val="0"/>
        <w:ind w:firstLine="480"/>
        <w:jc w:val="both"/>
        <w:textAlignment w:val="auto"/>
        <w:rPr>
          <w:sz w:val="24"/>
          <w:szCs w:val="24"/>
          <w:highlight w:val="none"/>
        </w:rPr>
      </w:pPr>
      <w:r>
        <w:rPr>
          <w:sz w:val="24"/>
          <w:szCs w:val="24"/>
          <w:highlight w:val="none"/>
        </w:rPr>
        <w:t>环境监测为企业自行监测行为，监测方式由建设单位决定，可委托有资质的监测单位，也可由公司内部执行。</w:t>
      </w:r>
    </w:p>
    <w:p>
      <w:pPr>
        <w:pStyle w:val="6"/>
        <w:numPr>
          <w:ilvl w:val="2"/>
          <w:numId w:val="1"/>
        </w:numPr>
        <w:rPr>
          <w:szCs w:val="28"/>
          <w:highlight w:val="none"/>
        </w:rPr>
      </w:pPr>
      <w:bookmarkStart w:id="612" w:name="_Toc24574"/>
      <w:bookmarkStart w:id="613" w:name="_Toc521591840"/>
      <w:r>
        <w:rPr>
          <w:szCs w:val="28"/>
          <w:highlight w:val="none"/>
        </w:rPr>
        <w:t>监测项目及监测计划</w:t>
      </w:r>
      <w:bookmarkEnd w:id="612"/>
      <w:bookmarkEnd w:id="613"/>
    </w:p>
    <w:p>
      <w:pPr>
        <w:widowControl/>
        <w:ind w:firstLine="480"/>
        <w:textAlignment w:val="auto"/>
        <w:rPr>
          <w:kern w:val="2"/>
          <w:sz w:val="24"/>
          <w:szCs w:val="24"/>
          <w:highlight w:val="none"/>
        </w:rPr>
      </w:pPr>
      <w:bookmarkStart w:id="614" w:name="_Toc499651434"/>
      <w:bookmarkStart w:id="615" w:name="_Toc503218133"/>
      <w:bookmarkStart w:id="616" w:name="_Toc454955463"/>
      <w:bookmarkStart w:id="617" w:name="_Toc450148608"/>
      <w:r>
        <w:rPr>
          <w:kern w:val="2"/>
          <w:sz w:val="24"/>
          <w:szCs w:val="24"/>
          <w:highlight w:val="none"/>
        </w:rPr>
        <w:t>根据《排污单位自行监测技术指南总则》（HJ819-2017），本项目属于非重点排污单位，本项目主要排放口为破碎车间排气筒、厂界无组织废气、厂界噪声，主要监测指标为颗粒物，</w:t>
      </w:r>
      <w:r>
        <w:rPr>
          <w:rFonts w:hint="eastAsia"/>
          <w:kern w:val="2"/>
          <w:sz w:val="24"/>
          <w:szCs w:val="24"/>
          <w:highlight w:val="none"/>
        </w:rPr>
        <w:t>本项目建设完成后全厂</w:t>
      </w:r>
      <w:r>
        <w:rPr>
          <w:kern w:val="2"/>
          <w:sz w:val="24"/>
          <w:szCs w:val="24"/>
          <w:highlight w:val="none"/>
        </w:rPr>
        <w:t>具体监测计划详见表8.</w:t>
      </w:r>
      <w:r>
        <w:rPr>
          <w:rFonts w:hint="eastAsia"/>
          <w:kern w:val="2"/>
          <w:sz w:val="24"/>
          <w:szCs w:val="24"/>
          <w:highlight w:val="none"/>
        </w:rPr>
        <w:t>4</w:t>
      </w:r>
      <w:r>
        <w:rPr>
          <w:kern w:val="2"/>
          <w:sz w:val="24"/>
          <w:szCs w:val="24"/>
          <w:highlight w:val="none"/>
        </w:rPr>
        <w:t>-1。</w:t>
      </w:r>
    </w:p>
    <w:p>
      <w:pPr>
        <w:widowControl/>
        <w:spacing w:line="240" w:lineRule="auto"/>
        <w:ind w:firstLine="0" w:firstLineChars="0"/>
        <w:jc w:val="center"/>
        <w:textAlignment w:val="auto"/>
        <w:rPr>
          <w:rFonts w:eastAsia="黑体"/>
          <w:kern w:val="24"/>
          <w:sz w:val="21"/>
          <w:szCs w:val="21"/>
          <w:highlight w:val="none"/>
        </w:rPr>
      </w:pPr>
      <w:r>
        <w:rPr>
          <w:rFonts w:eastAsia="黑体"/>
          <w:kern w:val="24"/>
          <w:sz w:val="21"/>
          <w:szCs w:val="21"/>
          <w:highlight w:val="none"/>
        </w:rPr>
        <w:t>表8.</w:t>
      </w:r>
      <w:r>
        <w:rPr>
          <w:rFonts w:hint="eastAsia" w:eastAsia="黑体"/>
          <w:kern w:val="24"/>
          <w:sz w:val="21"/>
          <w:szCs w:val="21"/>
          <w:highlight w:val="none"/>
        </w:rPr>
        <w:t>4</w:t>
      </w:r>
      <w:r>
        <w:rPr>
          <w:rFonts w:eastAsia="黑体"/>
          <w:kern w:val="24"/>
          <w:sz w:val="21"/>
          <w:szCs w:val="21"/>
          <w:highlight w:val="none"/>
        </w:rPr>
        <w:t xml:space="preserve">-1   </w:t>
      </w:r>
      <w:r>
        <w:rPr>
          <w:rFonts w:hint="eastAsia" w:eastAsia="黑体"/>
          <w:kern w:val="24"/>
          <w:sz w:val="21"/>
          <w:szCs w:val="21"/>
          <w:highlight w:val="none"/>
        </w:rPr>
        <w:t>全厂</w:t>
      </w:r>
      <w:r>
        <w:rPr>
          <w:rFonts w:eastAsia="黑体"/>
          <w:kern w:val="24"/>
          <w:sz w:val="21"/>
          <w:szCs w:val="21"/>
          <w:highlight w:val="none"/>
        </w:rPr>
        <w:t>环境监测计划一览表</w:t>
      </w:r>
    </w:p>
    <w:tbl>
      <w:tblPr>
        <w:tblStyle w:val="56"/>
        <w:tblW w:w="8368" w:type="dxa"/>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65"/>
        <w:gridCol w:w="1608"/>
        <w:gridCol w:w="2370"/>
        <w:gridCol w:w="1490"/>
        <w:gridCol w:w="1635"/>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5" w:type="dxa"/>
            <w:tcBorders>
              <w:left w:val="single" w:color="auto" w:sz="6" w:space="0"/>
            </w:tcBorders>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类别</w:t>
            </w:r>
          </w:p>
        </w:tc>
        <w:tc>
          <w:tcPr>
            <w:tcW w:w="1608"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监测位置</w:t>
            </w:r>
          </w:p>
        </w:tc>
        <w:tc>
          <w:tcPr>
            <w:tcW w:w="2370"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监测项目</w:t>
            </w:r>
          </w:p>
        </w:tc>
        <w:tc>
          <w:tcPr>
            <w:tcW w:w="1490"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监测频率</w:t>
            </w:r>
          </w:p>
        </w:tc>
        <w:tc>
          <w:tcPr>
            <w:tcW w:w="1635" w:type="dxa"/>
            <w:tcBorders>
              <w:right w:val="single" w:color="auto" w:sz="6" w:space="0"/>
            </w:tcBorders>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实施单位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5" w:type="dxa"/>
            <w:vMerge w:val="restart"/>
            <w:tcBorders>
              <w:left w:val="single" w:color="auto" w:sz="6" w:space="0"/>
            </w:tcBorders>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废</w:t>
            </w:r>
          </w:p>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气</w:t>
            </w:r>
          </w:p>
        </w:tc>
        <w:tc>
          <w:tcPr>
            <w:tcW w:w="1608"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破碎车间</w:t>
            </w:r>
          </w:p>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排气筒</w:t>
            </w:r>
          </w:p>
        </w:tc>
        <w:tc>
          <w:tcPr>
            <w:tcW w:w="2370"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颗粒物</w:t>
            </w:r>
          </w:p>
        </w:tc>
        <w:tc>
          <w:tcPr>
            <w:tcW w:w="1490"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rFonts w:hint="eastAsia"/>
                <w:kern w:val="2"/>
                <w:sz w:val="21"/>
                <w:szCs w:val="21"/>
                <w:highlight w:val="none"/>
              </w:rPr>
              <w:t>每年</w:t>
            </w:r>
            <w:r>
              <w:rPr>
                <w:kern w:val="2"/>
                <w:sz w:val="21"/>
                <w:szCs w:val="21"/>
                <w:highlight w:val="none"/>
              </w:rPr>
              <w:t>1次</w:t>
            </w:r>
          </w:p>
        </w:tc>
        <w:tc>
          <w:tcPr>
            <w:tcW w:w="1635" w:type="dxa"/>
            <w:vMerge w:val="restart"/>
            <w:tcBorders>
              <w:right w:val="single" w:color="auto" w:sz="6" w:space="0"/>
            </w:tcBorders>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委托当地环境</w:t>
            </w:r>
          </w:p>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监测站或有资质</w:t>
            </w:r>
          </w:p>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的检测单位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5" w:type="dxa"/>
            <w:vMerge w:val="continue"/>
            <w:tcBorders>
              <w:left w:val="single" w:color="auto" w:sz="6" w:space="0"/>
            </w:tcBorders>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p>
        </w:tc>
        <w:tc>
          <w:tcPr>
            <w:tcW w:w="1608"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厂界外无组织浓度监控点</w:t>
            </w:r>
          </w:p>
        </w:tc>
        <w:tc>
          <w:tcPr>
            <w:tcW w:w="2370"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颗粒物</w:t>
            </w:r>
          </w:p>
        </w:tc>
        <w:tc>
          <w:tcPr>
            <w:tcW w:w="1490"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rFonts w:hint="eastAsia"/>
                <w:kern w:val="2"/>
                <w:sz w:val="21"/>
                <w:szCs w:val="21"/>
                <w:highlight w:val="none"/>
              </w:rPr>
              <w:t>每</w:t>
            </w:r>
            <w:r>
              <w:rPr>
                <w:kern w:val="2"/>
                <w:sz w:val="21"/>
                <w:szCs w:val="21"/>
                <w:highlight w:val="none"/>
              </w:rPr>
              <w:t>年1次</w:t>
            </w:r>
          </w:p>
        </w:tc>
        <w:tc>
          <w:tcPr>
            <w:tcW w:w="1635" w:type="dxa"/>
            <w:vMerge w:val="continue"/>
            <w:tcBorders>
              <w:right w:val="single" w:color="auto" w:sz="6" w:space="0"/>
            </w:tcBorders>
            <w:tcMar>
              <w:left w:w="28" w:type="dxa"/>
              <w:right w:w="28" w:type="dxa"/>
            </w:tcMar>
            <w:vAlign w:val="center"/>
          </w:tcPr>
          <w:p>
            <w:pPr>
              <w:widowControl/>
              <w:spacing w:line="240" w:lineRule="auto"/>
              <w:ind w:firstLine="0" w:firstLineChars="0"/>
              <w:jc w:val="center"/>
              <w:textAlignment w:val="auto"/>
              <w:rPr>
                <w:rFonts w:eastAsia="等线"/>
                <w:b/>
                <w:bCs/>
                <w:kern w:val="2"/>
                <w:sz w:val="21"/>
                <w:szCs w:val="21"/>
                <w:highlight w:val="none"/>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5" w:type="dxa"/>
            <w:tcBorders>
              <w:left w:val="single" w:color="auto" w:sz="6" w:space="0"/>
            </w:tcBorders>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噪</w:t>
            </w:r>
          </w:p>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声</w:t>
            </w:r>
          </w:p>
        </w:tc>
        <w:tc>
          <w:tcPr>
            <w:tcW w:w="1608"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四周厂界外1m</w:t>
            </w:r>
          </w:p>
        </w:tc>
        <w:tc>
          <w:tcPr>
            <w:tcW w:w="2370"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等效A声级</w:t>
            </w:r>
          </w:p>
        </w:tc>
        <w:tc>
          <w:tcPr>
            <w:tcW w:w="1490" w:type="dxa"/>
            <w:tcMar>
              <w:left w:w="28" w:type="dxa"/>
              <w:right w:w="28" w:type="dxa"/>
            </w:tcMar>
            <w:vAlign w:val="center"/>
          </w:tcPr>
          <w:p>
            <w:pPr>
              <w:widowControl/>
              <w:adjustRightInd w:val="0"/>
              <w:spacing w:line="240" w:lineRule="auto"/>
              <w:ind w:firstLine="0" w:firstLineChars="0"/>
              <w:jc w:val="center"/>
              <w:textAlignment w:val="baseline"/>
              <w:rPr>
                <w:kern w:val="2"/>
                <w:sz w:val="21"/>
                <w:szCs w:val="21"/>
                <w:highlight w:val="none"/>
              </w:rPr>
            </w:pPr>
            <w:r>
              <w:rPr>
                <w:kern w:val="2"/>
                <w:sz w:val="21"/>
                <w:szCs w:val="21"/>
                <w:highlight w:val="none"/>
              </w:rPr>
              <w:t>每季度1次</w:t>
            </w:r>
          </w:p>
        </w:tc>
        <w:tc>
          <w:tcPr>
            <w:tcW w:w="1635" w:type="dxa"/>
            <w:vMerge w:val="continue"/>
            <w:tcBorders>
              <w:right w:val="single" w:color="auto" w:sz="6" w:space="0"/>
            </w:tcBorders>
            <w:tcMar>
              <w:left w:w="28" w:type="dxa"/>
              <w:right w:w="28" w:type="dxa"/>
            </w:tcMar>
            <w:vAlign w:val="center"/>
          </w:tcPr>
          <w:p>
            <w:pPr>
              <w:widowControl/>
              <w:spacing w:line="240" w:lineRule="auto"/>
              <w:ind w:firstLine="0" w:firstLineChars="0"/>
              <w:jc w:val="center"/>
              <w:textAlignment w:val="auto"/>
              <w:rPr>
                <w:rFonts w:eastAsia="等线"/>
                <w:b/>
                <w:bCs/>
                <w:kern w:val="2"/>
                <w:sz w:val="21"/>
                <w:szCs w:val="21"/>
                <w:highlight w:val="none"/>
              </w:rPr>
            </w:pPr>
          </w:p>
        </w:tc>
      </w:tr>
      <w:bookmarkEnd w:id="614"/>
      <w:bookmarkEnd w:id="615"/>
      <w:bookmarkEnd w:id="616"/>
      <w:bookmarkEnd w:id="617"/>
    </w:tbl>
    <w:p>
      <w:pPr>
        <w:adjustRightInd w:val="0"/>
        <w:snapToGrid w:val="0"/>
        <w:spacing w:line="240" w:lineRule="auto"/>
        <w:ind w:firstLine="420"/>
        <w:jc w:val="center"/>
        <w:rPr>
          <w:rFonts w:eastAsia="黑体"/>
          <w:sz w:val="21"/>
          <w:szCs w:val="21"/>
          <w:highlight w:val="none"/>
          <w:lang w:val="zh-CN"/>
        </w:rPr>
      </w:pPr>
      <w:bookmarkStart w:id="618" w:name="_Toc12251"/>
      <w:bookmarkStart w:id="619" w:name="_Toc355198002"/>
    </w:p>
    <w:p>
      <w:pPr>
        <w:widowControl/>
        <w:spacing w:line="240" w:lineRule="auto"/>
        <w:ind w:firstLine="0" w:firstLineChars="0"/>
        <w:jc w:val="center"/>
        <w:textAlignment w:val="auto"/>
        <w:rPr>
          <w:rFonts w:eastAsia="黑体"/>
          <w:bCs/>
          <w:sz w:val="21"/>
          <w:szCs w:val="21"/>
          <w:highlight w:val="none"/>
        </w:rPr>
      </w:pPr>
      <w:r>
        <w:rPr>
          <w:rFonts w:eastAsia="黑体"/>
          <w:sz w:val="21"/>
          <w:szCs w:val="21"/>
          <w:highlight w:val="none"/>
          <w:lang w:val="zh-CN"/>
        </w:rPr>
        <w:t>表8.</w:t>
      </w:r>
      <w:r>
        <w:rPr>
          <w:rFonts w:hint="eastAsia" w:eastAsia="黑体"/>
          <w:sz w:val="21"/>
          <w:szCs w:val="21"/>
          <w:highlight w:val="none"/>
        </w:rPr>
        <w:t>4</w:t>
      </w:r>
      <w:r>
        <w:rPr>
          <w:rFonts w:eastAsia="黑体"/>
          <w:sz w:val="21"/>
          <w:szCs w:val="21"/>
          <w:highlight w:val="none"/>
          <w:lang w:val="zh-CN"/>
        </w:rPr>
        <w:t xml:space="preserve">-2  </w:t>
      </w:r>
      <w:r>
        <w:rPr>
          <w:rFonts w:eastAsia="黑体"/>
          <w:bCs/>
          <w:sz w:val="21"/>
          <w:szCs w:val="21"/>
          <w:highlight w:val="none"/>
        </w:rPr>
        <w:t>运营期污染源监测计划一览表（地下水）</w:t>
      </w:r>
    </w:p>
    <w:tbl>
      <w:tblPr>
        <w:tblStyle w:val="56"/>
        <w:tblW w:w="852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4"/>
        <w:gridCol w:w="1297"/>
        <w:gridCol w:w="1083"/>
        <w:gridCol w:w="1017"/>
        <w:gridCol w:w="1617"/>
        <w:gridCol w:w="13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8" w:type="dxa"/>
            <w:vMerge w:val="restart"/>
            <w:tcBorders>
              <w:left w:val="single" w:color="auto" w:sz="4" w:space="0"/>
            </w:tcBorders>
            <w:vAlign w:val="center"/>
          </w:tcPr>
          <w:p>
            <w:pPr>
              <w:ind w:firstLine="0" w:firstLineChars="0"/>
              <w:jc w:val="center"/>
              <w:rPr>
                <w:sz w:val="21"/>
                <w:szCs w:val="21"/>
                <w:highlight w:val="none"/>
              </w:rPr>
            </w:pPr>
            <w:r>
              <w:rPr>
                <w:sz w:val="21"/>
                <w:szCs w:val="21"/>
                <w:highlight w:val="none"/>
              </w:rPr>
              <w:t>井编号</w:t>
            </w:r>
          </w:p>
        </w:tc>
        <w:tc>
          <w:tcPr>
            <w:tcW w:w="1414" w:type="dxa"/>
            <w:vMerge w:val="restart"/>
            <w:vAlign w:val="center"/>
          </w:tcPr>
          <w:p>
            <w:pPr>
              <w:ind w:firstLine="0" w:firstLineChars="0"/>
              <w:jc w:val="center"/>
              <w:rPr>
                <w:sz w:val="21"/>
                <w:szCs w:val="21"/>
                <w:highlight w:val="none"/>
              </w:rPr>
            </w:pPr>
            <w:r>
              <w:rPr>
                <w:sz w:val="21"/>
                <w:szCs w:val="21"/>
                <w:highlight w:val="none"/>
              </w:rPr>
              <w:t>和厂区关系</w:t>
            </w:r>
          </w:p>
        </w:tc>
        <w:tc>
          <w:tcPr>
            <w:tcW w:w="1297" w:type="dxa"/>
            <w:vMerge w:val="restart"/>
            <w:vAlign w:val="center"/>
          </w:tcPr>
          <w:p>
            <w:pPr>
              <w:ind w:firstLine="0" w:firstLineChars="0"/>
              <w:jc w:val="center"/>
              <w:rPr>
                <w:sz w:val="21"/>
                <w:szCs w:val="21"/>
                <w:highlight w:val="none"/>
              </w:rPr>
            </w:pPr>
            <w:r>
              <w:rPr>
                <w:sz w:val="21"/>
                <w:szCs w:val="21"/>
                <w:highlight w:val="none"/>
              </w:rPr>
              <w:t>监测井功能</w:t>
            </w:r>
          </w:p>
        </w:tc>
        <w:tc>
          <w:tcPr>
            <w:tcW w:w="1083" w:type="dxa"/>
            <w:vMerge w:val="restart"/>
            <w:vAlign w:val="center"/>
          </w:tcPr>
          <w:p>
            <w:pPr>
              <w:ind w:firstLine="0" w:firstLineChars="0"/>
              <w:jc w:val="center"/>
              <w:rPr>
                <w:sz w:val="21"/>
                <w:szCs w:val="21"/>
                <w:highlight w:val="none"/>
              </w:rPr>
            </w:pPr>
            <w:r>
              <w:rPr>
                <w:sz w:val="21"/>
                <w:szCs w:val="21"/>
                <w:highlight w:val="none"/>
              </w:rPr>
              <w:t>监测因子</w:t>
            </w:r>
          </w:p>
        </w:tc>
        <w:tc>
          <w:tcPr>
            <w:tcW w:w="1017" w:type="dxa"/>
            <w:vMerge w:val="restart"/>
            <w:vAlign w:val="center"/>
          </w:tcPr>
          <w:p>
            <w:pPr>
              <w:ind w:firstLine="0" w:firstLineChars="0"/>
              <w:jc w:val="center"/>
              <w:rPr>
                <w:sz w:val="21"/>
                <w:szCs w:val="21"/>
                <w:highlight w:val="none"/>
              </w:rPr>
            </w:pPr>
            <w:r>
              <w:rPr>
                <w:rFonts w:hint="eastAsia"/>
                <w:sz w:val="21"/>
                <w:szCs w:val="21"/>
                <w:highlight w:val="none"/>
              </w:rPr>
              <w:t>监测频率</w:t>
            </w:r>
          </w:p>
        </w:tc>
        <w:tc>
          <w:tcPr>
            <w:tcW w:w="2979" w:type="dxa"/>
            <w:gridSpan w:val="2"/>
            <w:tcBorders>
              <w:right w:val="single" w:color="auto" w:sz="4" w:space="0"/>
            </w:tcBorders>
            <w:vAlign w:val="center"/>
          </w:tcPr>
          <w:p>
            <w:pPr>
              <w:ind w:firstLine="0" w:firstLineChars="0"/>
              <w:jc w:val="center"/>
              <w:rPr>
                <w:sz w:val="21"/>
                <w:szCs w:val="21"/>
                <w:highlight w:val="none"/>
              </w:rPr>
            </w:pPr>
            <w:r>
              <w:rPr>
                <w:sz w:val="21"/>
                <w:szCs w:val="21"/>
                <w:highlight w:val="none"/>
              </w:rPr>
              <w:t>绝对位置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8" w:type="dxa"/>
            <w:vMerge w:val="continue"/>
            <w:tcBorders>
              <w:left w:val="single" w:color="auto" w:sz="4" w:space="0"/>
            </w:tcBorders>
            <w:vAlign w:val="center"/>
          </w:tcPr>
          <w:p>
            <w:pPr>
              <w:ind w:firstLine="0" w:firstLineChars="0"/>
              <w:jc w:val="center"/>
              <w:rPr>
                <w:sz w:val="21"/>
                <w:szCs w:val="21"/>
                <w:highlight w:val="none"/>
              </w:rPr>
            </w:pPr>
          </w:p>
        </w:tc>
        <w:tc>
          <w:tcPr>
            <w:tcW w:w="1414" w:type="dxa"/>
            <w:vMerge w:val="continue"/>
            <w:vAlign w:val="center"/>
          </w:tcPr>
          <w:p>
            <w:pPr>
              <w:ind w:firstLine="0" w:firstLineChars="0"/>
              <w:jc w:val="center"/>
              <w:rPr>
                <w:sz w:val="21"/>
                <w:szCs w:val="21"/>
                <w:highlight w:val="none"/>
              </w:rPr>
            </w:pPr>
          </w:p>
        </w:tc>
        <w:tc>
          <w:tcPr>
            <w:tcW w:w="1297" w:type="dxa"/>
            <w:vMerge w:val="continue"/>
            <w:vAlign w:val="center"/>
          </w:tcPr>
          <w:p>
            <w:pPr>
              <w:ind w:firstLine="0" w:firstLineChars="0"/>
              <w:jc w:val="center"/>
              <w:rPr>
                <w:sz w:val="21"/>
                <w:szCs w:val="21"/>
                <w:highlight w:val="none"/>
              </w:rPr>
            </w:pPr>
          </w:p>
        </w:tc>
        <w:tc>
          <w:tcPr>
            <w:tcW w:w="1083" w:type="dxa"/>
            <w:vMerge w:val="continue"/>
            <w:vAlign w:val="center"/>
          </w:tcPr>
          <w:p>
            <w:pPr>
              <w:ind w:firstLine="0" w:firstLineChars="0"/>
              <w:jc w:val="center"/>
              <w:rPr>
                <w:sz w:val="21"/>
                <w:szCs w:val="21"/>
                <w:highlight w:val="none"/>
              </w:rPr>
            </w:pPr>
          </w:p>
        </w:tc>
        <w:tc>
          <w:tcPr>
            <w:tcW w:w="1017" w:type="dxa"/>
            <w:vMerge w:val="continue"/>
            <w:vAlign w:val="center"/>
          </w:tcPr>
          <w:p>
            <w:pPr>
              <w:ind w:firstLine="0" w:firstLineChars="0"/>
              <w:jc w:val="center"/>
              <w:rPr>
                <w:sz w:val="21"/>
                <w:szCs w:val="21"/>
                <w:highlight w:val="none"/>
              </w:rPr>
            </w:pPr>
          </w:p>
        </w:tc>
        <w:tc>
          <w:tcPr>
            <w:tcW w:w="1617" w:type="dxa"/>
            <w:vAlign w:val="center"/>
          </w:tcPr>
          <w:p>
            <w:pPr>
              <w:ind w:firstLine="0" w:firstLineChars="0"/>
              <w:jc w:val="center"/>
              <w:rPr>
                <w:sz w:val="21"/>
                <w:szCs w:val="21"/>
                <w:highlight w:val="none"/>
              </w:rPr>
            </w:pPr>
            <w:r>
              <w:rPr>
                <w:sz w:val="21"/>
                <w:szCs w:val="21"/>
                <w:highlight w:val="none"/>
              </w:rPr>
              <w:t>X</w:t>
            </w:r>
          </w:p>
        </w:tc>
        <w:tc>
          <w:tcPr>
            <w:tcW w:w="1362" w:type="dxa"/>
            <w:tcBorders>
              <w:right w:val="single" w:color="auto" w:sz="4" w:space="0"/>
            </w:tcBorders>
            <w:vAlign w:val="center"/>
          </w:tcPr>
          <w:p>
            <w:pPr>
              <w:ind w:firstLine="0" w:firstLineChars="0"/>
              <w:jc w:val="center"/>
              <w:rPr>
                <w:sz w:val="21"/>
                <w:szCs w:val="21"/>
                <w:highlight w:val="none"/>
              </w:rPr>
            </w:pPr>
            <w:r>
              <w:rPr>
                <w:sz w:val="21"/>
                <w:szCs w:val="21"/>
                <w:highlight w:val="none"/>
              </w:rPr>
              <w:t>Y</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38" w:type="dxa"/>
            <w:tcBorders>
              <w:left w:val="single" w:color="auto" w:sz="4" w:space="0"/>
            </w:tcBorders>
            <w:vAlign w:val="center"/>
          </w:tcPr>
          <w:p>
            <w:pPr>
              <w:ind w:firstLine="0" w:firstLineChars="0"/>
              <w:jc w:val="center"/>
              <w:rPr>
                <w:sz w:val="21"/>
                <w:szCs w:val="21"/>
                <w:highlight w:val="none"/>
              </w:rPr>
            </w:pPr>
            <w:r>
              <w:rPr>
                <w:sz w:val="21"/>
                <w:szCs w:val="21"/>
                <w:highlight w:val="none"/>
              </w:rPr>
              <w:t>J</w:t>
            </w:r>
            <w:r>
              <w:rPr>
                <w:rFonts w:hint="eastAsia"/>
                <w:sz w:val="21"/>
                <w:szCs w:val="21"/>
                <w:highlight w:val="none"/>
              </w:rPr>
              <w:t>C</w:t>
            </w:r>
            <w:r>
              <w:rPr>
                <w:sz w:val="21"/>
                <w:szCs w:val="21"/>
                <w:highlight w:val="none"/>
              </w:rPr>
              <w:t>1</w:t>
            </w:r>
          </w:p>
        </w:tc>
        <w:tc>
          <w:tcPr>
            <w:tcW w:w="1414" w:type="dxa"/>
            <w:vAlign w:val="center"/>
          </w:tcPr>
          <w:p>
            <w:pPr>
              <w:ind w:firstLine="0" w:firstLineChars="0"/>
              <w:jc w:val="center"/>
              <w:rPr>
                <w:sz w:val="21"/>
                <w:szCs w:val="21"/>
                <w:highlight w:val="none"/>
              </w:rPr>
            </w:pPr>
            <w:r>
              <w:rPr>
                <w:sz w:val="21"/>
                <w:szCs w:val="21"/>
                <w:highlight w:val="none"/>
              </w:rPr>
              <w:t>厂区上游</w:t>
            </w:r>
          </w:p>
        </w:tc>
        <w:tc>
          <w:tcPr>
            <w:tcW w:w="1297" w:type="dxa"/>
            <w:vAlign w:val="center"/>
          </w:tcPr>
          <w:p>
            <w:pPr>
              <w:ind w:firstLine="0" w:firstLineChars="0"/>
              <w:jc w:val="center"/>
              <w:rPr>
                <w:sz w:val="21"/>
                <w:szCs w:val="21"/>
                <w:highlight w:val="none"/>
              </w:rPr>
            </w:pPr>
            <w:r>
              <w:rPr>
                <w:sz w:val="21"/>
                <w:szCs w:val="21"/>
                <w:highlight w:val="none"/>
              </w:rPr>
              <w:t>地下水上游背景值</w:t>
            </w:r>
          </w:p>
        </w:tc>
        <w:tc>
          <w:tcPr>
            <w:tcW w:w="1083" w:type="dxa"/>
            <w:vMerge w:val="restart"/>
            <w:vAlign w:val="center"/>
          </w:tcPr>
          <w:p>
            <w:pPr>
              <w:widowControl/>
              <w:ind w:firstLine="0" w:firstLineChars="0"/>
              <w:jc w:val="center"/>
              <w:rPr>
                <w:sz w:val="21"/>
                <w:szCs w:val="21"/>
                <w:highlight w:val="none"/>
              </w:rPr>
            </w:pPr>
            <w:r>
              <w:rPr>
                <w:sz w:val="21"/>
                <w:szCs w:val="21"/>
                <w:highlight w:val="none"/>
              </w:rPr>
              <w:t>pH、耗氧量、铁</w:t>
            </w:r>
            <w:r>
              <w:rPr>
                <w:rFonts w:hint="eastAsia"/>
                <w:sz w:val="21"/>
                <w:szCs w:val="21"/>
                <w:highlight w:val="none"/>
              </w:rPr>
              <w:t>、石油类</w:t>
            </w:r>
          </w:p>
        </w:tc>
        <w:tc>
          <w:tcPr>
            <w:tcW w:w="1017" w:type="dxa"/>
            <w:vAlign w:val="center"/>
          </w:tcPr>
          <w:p>
            <w:pPr>
              <w:widowControl/>
              <w:adjustRightInd w:val="0"/>
              <w:spacing w:line="240" w:lineRule="auto"/>
              <w:ind w:firstLine="0" w:firstLineChars="0"/>
              <w:jc w:val="center"/>
              <w:textAlignment w:val="baseline"/>
              <w:rPr>
                <w:kern w:val="2"/>
                <w:sz w:val="21"/>
                <w:szCs w:val="21"/>
                <w:highlight w:val="none"/>
              </w:rPr>
            </w:pPr>
            <w:r>
              <w:rPr>
                <w:rFonts w:hint="eastAsia"/>
                <w:kern w:val="2"/>
                <w:sz w:val="21"/>
                <w:szCs w:val="21"/>
                <w:highlight w:val="none"/>
              </w:rPr>
              <w:t>每年枯水期一次</w:t>
            </w:r>
          </w:p>
        </w:tc>
        <w:tc>
          <w:tcPr>
            <w:tcW w:w="1617" w:type="dxa"/>
            <w:vAlign w:val="center"/>
          </w:tcPr>
          <w:p>
            <w:pPr>
              <w:ind w:firstLine="0" w:firstLineChars="0"/>
              <w:jc w:val="center"/>
              <w:rPr>
                <w:sz w:val="21"/>
                <w:szCs w:val="21"/>
                <w:highlight w:val="none"/>
              </w:rPr>
            </w:pPr>
            <w:r>
              <w:rPr>
                <w:sz w:val="21"/>
                <w:szCs w:val="21"/>
                <w:highlight w:val="none"/>
              </w:rPr>
              <w:t>117°59′29.40″</w:t>
            </w:r>
          </w:p>
        </w:tc>
        <w:tc>
          <w:tcPr>
            <w:tcW w:w="1362" w:type="dxa"/>
            <w:tcBorders>
              <w:right w:val="single" w:color="auto" w:sz="4" w:space="0"/>
            </w:tcBorders>
            <w:vAlign w:val="center"/>
          </w:tcPr>
          <w:p>
            <w:pPr>
              <w:ind w:firstLine="0" w:firstLineChars="0"/>
              <w:jc w:val="center"/>
              <w:rPr>
                <w:sz w:val="21"/>
                <w:szCs w:val="21"/>
                <w:highlight w:val="none"/>
              </w:rPr>
            </w:pPr>
            <w:r>
              <w:rPr>
                <w:sz w:val="21"/>
                <w:szCs w:val="21"/>
                <w:highlight w:val="none"/>
              </w:rPr>
              <w:t>40°06′28.57″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8" w:type="dxa"/>
            <w:tcBorders>
              <w:left w:val="single" w:color="auto" w:sz="4" w:space="0"/>
            </w:tcBorders>
            <w:vAlign w:val="center"/>
          </w:tcPr>
          <w:p>
            <w:pPr>
              <w:ind w:firstLine="0" w:firstLineChars="0"/>
              <w:jc w:val="center"/>
              <w:rPr>
                <w:sz w:val="21"/>
                <w:szCs w:val="21"/>
                <w:highlight w:val="none"/>
              </w:rPr>
            </w:pPr>
            <w:r>
              <w:rPr>
                <w:sz w:val="21"/>
                <w:szCs w:val="21"/>
                <w:highlight w:val="none"/>
              </w:rPr>
              <w:t>J</w:t>
            </w:r>
            <w:r>
              <w:rPr>
                <w:rFonts w:hint="eastAsia"/>
                <w:sz w:val="21"/>
                <w:szCs w:val="21"/>
                <w:highlight w:val="none"/>
              </w:rPr>
              <w:t>C2</w:t>
            </w:r>
          </w:p>
        </w:tc>
        <w:tc>
          <w:tcPr>
            <w:tcW w:w="1414" w:type="dxa"/>
            <w:vAlign w:val="center"/>
          </w:tcPr>
          <w:p>
            <w:pPr>
              <w:ind w:firstLine="0" w:firstLineChars="0"/>
              <w:jc w:val="center"/>
              <w:rPr>
                <w:sz w:val="21"/>
                <w:szCs w:val="21"/>
                <w:highlight w:val="none"/>
              </w:rPr>
            </w:pPr>
            <w:r>
              <w:rPr>
                <w:sz w:val="21"/>
                <w:szCs w:val="21"/>
                <w:highlight w:val="none"/>
              </w:rPr>
              <w:t>厂区</w:t>
            </w:r>
            <w:r>
              <w:rPr>
                <w:rFonts w:hint="eastAsia"/>
                <w:sz w:val="21"/>
                <w:szCs w:val="21"/>
                <w:highlight w:val="none"/>
              </w:rPr>
              <w:t>下游</w:t>
            </w:r>
          </w:p>
        </w:tc>
        <w:tc>
          <w:tcPr>
            <w:tcW w:w="1297" w:type="dxa"/>
            <w:vMerge w:val="restart"/>
            <w:vAlign w:val="center"/>
          </w:tcPr>
          <w:p>
            <w:pPr>
              <w:ind w:firstLine="0" w:firstLineChars="0"/>
              <w:jc w:val="center"/>
              <w:rPr>
                <w:sz w:val="21"/>
                <w:szCs w:val="21"/>
                <w:highlight w:val="none"/>
              </w:rPr>
            </w:pPr>
            <w:r>
              <w:rPr>
                <w:sz w:val="21"/>
                <w:szCs w:val="21"/>
                <w:highlight w:val="none"/>
              </w:rPr>
              <w:t>污染扩散监测点</w:t>
            </w:r>
          </w:p>
        </w:tc>
        <w:tc>
          <w:tcPr>
            <w:tcW w:w="1083" w:type="dxa"/>
            <w:vMerge w:val="continue"/>
            <w:vAlign w:val="center"/>
          </w:tcPr>
          <w:p>
            <w:pPr>
              <w:autoSpaceDN w:val="0"/>
              <w:ind w:firstLine="0" w:firstLineChars="0"/>
              <w:jc w:val="center"/>
              <w:textAlignment w:val="center"/>
              <w:rPr>
                <w:sz w:val="21"/>
                <w:szCs w:val="21"/>
                <w:highlight w:val="none"/>
              </w:rPr>
            </w:pPr>
          </w:p>
        </w:tc>
        <w:tc>
          <w:tcPr>
            <w:tcW w:w="1017" w:type="dxa"/>
            <w:vMerge w:val="restart"/>
            <w:vAlign w:val="center"/>
          </w:tcPr>
          <w:p>
            <w:pPr>
              <w:widowControl/>
              <w:adjustRightInd w:val="0"/>
              <w:spacing w:line="240" w:lineRule="auto"/>
              <w:ind w:firstLine="0" w:firstLineChars="0"/>
              <w:jc w:val="center"/>
              <w:textAlignment w:val="baseline"/>
              <w:rPr>
                <w:kern w:val="2"/>
                <w:sz w:val="21"/>
                <w:szCs w:val="21"/>
                <w:highlight w:val="none"/>
              </w:rPr>
            </w:pPr>
            <w:r>
              <w:rPr>
                <w:rFonts w:hint="eastAsia"/>
                <w:kern w:val="2"/>
                <w:sz w:val="21"/>
                <w:szCs w:val="21"/>
                <w:highlight w:val="none"/>
              </w:rPr>
              <w:t>每年枯丰水期各一次</w:t>
            </w:r>
          </w:p>
        </w:tc>
        <w:tc>
          <w:tcPr>
            <w:tcW w:w="1617" w:type="dxa"/>
            <w:vAlign w:val="center"/>
          </w:tcPr>
          <w:p>
            <w:pPr>
              <w:ind w:firstLine="0" w:firstLineChars="0"/>
              <w:jc w:val="center"/>
              <w:rPr>
                <w:sz w:val="21"/>
                <w:szCs w:val="21"/>
                <w:highlight w:val="none"/>
              </w:rPr>
            </w:pPr>
            <w:r>
              <w:rPr>
                <w:sz w:val="21"/>
                <w:szCs w:val="21"/>
                <w:highlight w:val="none"/>
              </w:rPr>
              <w:t>117°58′40.39″</w:t>
            </w:r>
          </w:p>
        </w:tc>
        <w:tc>
          <w:tcPr>
            <w:tcW w:w="1362" w:type="dxa"/>
            <w:tcBorders>
              <w:right w:val="single" w:color="auto" w:sz="4" w:space="0"/>
            </w:tcBorders>
            <w:vAlign w:val="center"/>
          </w:tcPr>
          <w:p>
            <w:pPr>
              <w:ind w:firstLine="0" w:firstLineChars="0"/>
              <w:jc w:val="center"/>
              <w:rPr>
                <w:sz w:val="21"/>
                <w:szCs w:val="21"/>
                <w:highlight w:val="none"/>
              </w:rPr>
            </w:pPr>
            <w:r>
              <w:rPr>
                <w:sz w:val="21"/>
                <w:szCs w:val="21"/>
                <w:highlight w:val="none"/>
              </w:rPr>
              <w:t>40°06′14.18″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8" w:type="dxa"/>
            <w:tcBorders>
              <w:left w:val="single" w:color="auto" w:sz="4" w:space="0"/>
            </w:tcBorders>
            <w:vAlign w:val="center"/>
          </w:tcPr>
          <w:p>
            <w:pPr>
              <w:widowControl/>
              <w:autoSpaceDN w:val="0"/>
              <w:ind w:firstLine="0" w:firstLineChars="0"/>
              <w:jc w:val="center"/>
              <w:rPr>
                <w:sz w:val="21"/>
                <w:szCs w:val="21"/>
                <w:highlight w:val="none"/>
              </w:rPr>
            </w:pPr>
            <w:r>
              <w:rPr>
                <w:sz w:val="21"/>
                <w:szCs w:val="21"/>
                <w:highlight w:val="none"/>
              </w:rPr>
              <w:t>J</w:t>
            </w:r>
            <w:r>
              <w:rPr>
                <w:rFonts w:hint="eastAsia"/>
                <w:sz w:val="21"/>
                <w:szCs w:val="21"/>
                <w:highlight w:val="none"/>
              </w:rPr>
              <w:t>C3</w:t>
            </w:r>
          </w:p>
        </w:tc>
        <w:tc>
          <w:tcPr>
            <w:tcW w:w="1414" w:type="dxa"/>
            <w:vAlign w:val="center"/>
          </w:tcPr>
          <w:p>
            <w:pPr>
              <w:widowControl/>
              <w:autoSpaceDN w:val="0"/>
              <w:ind w:firstLine="0" w:firstLineChars="0"/>
              <w:jc w:val="center"/>
              <w:rPr>
                <w:sz w:val="21"/>
                <w:szCs w:val="21"/>
                <w:highlight w:val="none"/>
              </w:rPr>
            </w:pPr>
            <w:r>
              <w:rPr>
                <w:sz w:val="21"/>
                <w:szCs w:val="21"/>
                <w:highlight w:val="none"/>
              </w:rPr>
              <w:t>厂区</w:t>
            </w:r>
            <w:r>
              <w:rPr>
                <w:rFonts w:hint="eastAsia"/>
                <w:sz w:val="21"/>
                <w:szCs w:val="21"/>
                <w:highlight w:val="none"/>
              </w:rPr>
              <w:t>内</w:t>
            </w:r>
          </w:p>
        </w:tc>
        <w:tc>
          <w:tcPr>
            <w:tcW w:w="1297" w:type="dxa"/>
            <w:vMerge w:val="continue"/>
            <w:vAlign w:val="center"/>
          </w:tcPr>
          <w:p>
            <w:pPr>
              <w:widowControl/>
              <w:autoSpaceDN w:val="0"/>
              <w:ind w:firstLine="0" w:firstLineChars="0"/>
              <w:jc w:val="center"/>
              <w:rPr>
                <w:sz w:val="21"/>
                <w:szCs w:val="21"/>
                <w:highlight w:val="none"/>
              </w:rPr>
            </w:pPr>
          </w:p>
        </w:tc>
        <w:tc>
          <w:tcPr>
            <w:tcW w:w="1083" w:type="dxa"/>
            <w:vMerge w:val="continue"/>
            <w:vAlign w:val="center"/>
          </w:tcPr>
          <w:p>
            <w:pPr>
              <w:widowControl/>
              <w:autoSpaceDN w:val="0"/>
              <w:ind w:firstLine="0" w:firstLineChars="0"/>
              <w:jc w:val="center"/>
              <w:rPr>
                <w:sz w:val="21"/>
                <w:szCs w:val="21"/>
                <w:highlight w:val="none"/>
              </w:rPr>
            </w:pPr>
          </w:p>
        </w:tc>
        <w:tc>
          <w:tcPr>
            <w:tcW w:w="1017" w:type="dxa"/>
            <w:vMerge w:val="continue"/>
            <w:vAlign w:val="center"/>
          </w:tcPr>
          <w:p>
            <w:pPr>
              <w:widowControl/>
              <w:autoSpaceDN w:val="0"/>
              <w:ind w:firstLine="0" w:firstLineChars="0"/>
              <w:jc w:val="center"/>
              <w:rPr>
                <w:sz w:val="21"/>
                <w:szCs w:val="21"/>
                <w:highlight w:val="none"/>
              </w:rPr>
            </w:pPr>
          </w:p>
        </w:tc>
        <w:tc>
          <w:tcPr>
            <w:tcW w:w="1617" w:type="dxa"/>
            <w:vAlign w:val="center"/>
          </w:tcPr>
          <w:p>
            <w:pPr>
              <w:ind w:firstLine="0" w:firstLineChars="0"/>
              <w:jc w:val="center"/>
              <w:rPr>
                <w:sz w:val="21"/>
                <w:szCs w:val="21"/>
                <w:highlight w:val="none"/>
              </w:rPr>
            </w:pPr>
            <w:r>
              <w:rPr>
                <w:sz w:val="21"/>
                <w:szCs w:val="21"/>
                <w:highlight w:val="none"/>
              </w:rPr>
              <w:t>117°58′44.32″</w:t>
            </w:r>
          </w:p>
        </w:tc>
        <w:tc>
          <w:tcPr>
            <w:tcW w:w="1362" w:type="dxa"/>
            <w:tcBorders>
              <w:right w:val="single" w:color="auto" w:sz="4" w:space="0"/>
            </w:tcBorders>
            <w:vAlign w:val="center"/>
          </w:tcPr>
          <w:p>
            <w:pPr>
              <w:ind w:firstLine="0" w:firstLineChars="0"/>
              <w:jc w:val="center"/>
              <w:rPr>
                <w:sz w:val="21"/>
                <w:szCs w:val="21"/>
                <w:highlight w:val="none"/>
              </w:rPr>
            </w:pPr>
            <w:r>
              <w:rPr>
                <w:sz w:val="21"/>
                <w:szCs w:val="21"/>
                <w:highlight w:val="none"/>
              </w:rPr>
              <w:t>40°06′34.23″</w:t>
            </w:r>
          </w:p>
        </w:tc>
      </w:tr>
    </w:tbl>
    <w:p>
      <w:pPr>
        <w:widowControl/>
        <w:adjustRightInd w:val="0"/>
        <w:spacing w:line="240" w:lineRule="auto"/>
        <w:ind w:firstLine="0" w:firstLineChars="0"/>
        <w:jc w:val="center"/>
        <w:textAlignment w:val="baseline"/>
        <w:rPr>
          <w:kern w:val="2"/>
          <w:sz w:val="21"/>
          <w:szCs w:val="21"/>
          <w:highlight w:val="none"/>
        </w:rPr>
      </w:pPr>
    </w:p>
    <w:bookmarkEnd w:id="618"/>
    <w:bookmarkEnd w:id="619"/>
    <w:p>
      <w:pPr>
        <w:pStyle w:val="5"/>
        <w:keepLines w:val="0"/>
        <w:widowControl/>
        <w:numPr>
          <w:ilvl w:val="1"/>
          <w:numId w:val="1"/>
        </w:numPr>
        <w:tabs>
          <w:tab w:val="left" w:pos="482"/>
        </w:tabs>
        <w:spacing w:before="0" w:after="0" w:line="360" w:lineRule="auto"/>
        <w:rPr>
          <w:rFonts w:ascii="Times New Roman" w:hAnsi="Times New Roman"/>
          <w:snapToGrid w:val="0"/>
          <w:szCs w:val="28"/>
          <w:highlight w:val="none"/>
        </w:rPr>
      </w:pPr>
      <w:bookmarkStart w:id="620" w:name="_Toc23546"/>
      <w:bookmarkStart w:id="621" w:name="_Toc14710"/>
      <w:bookmarkStart w:id="622" w:name="_Toc26604"/>
      <w:bookmarkStart w:id="623" w:name="_Toc524285126"/>
      <w:bookmarkStart w:id="624" w:name="_Toc521591841"/>
      <w:bookmarkStart w:id="625" w:name="_Toc16358"/>
      <w:bookmarkStart w:id="626" w:name="_Hlk18933307"/>
      <w:r>
        <w:rPr>
          <w:rFonts w:ascii="Times New Roman" w:hAnsi="Times New Roman" w:eastAsia="宋体"/>
          <w:bCs w:val="0"/>
          <w:snapToGrid w:val="0"/>
          <w:kern w:val="0"/>
          <w:sz w:val="28"/>
          <w:szCs w:val="28"/>
          <w:highlight w:val="none"/>
        </w:rPr>
        <w:t>环境保护三同时验收</w:t>
      </w:r>
      <w:bookmarkEnd w:id="620"/>
      <w:bookmarkEnd w:id="621"/>
      <w:bookmarkEnd w:id="622"/>
      <w:bookmarkEnd w:id="623"/>
      <w:bookmarkEnd w:id="624"/>
      <w:bookmarkEnd w:id="625"/>
    </w:p>
    <w:p>
      <w:pPr>
        <w:autoSpaceDE w:val="0"/>
        <w:autoSpaceDN w:val="0"/>
        <w:ind w:firstLine="480"/>
        <w:textAlignment w:val="auto"/>
        <w:rPr>
          <w:sz w:val="24"/>
          <w:szCs w:val="24"/>
          <w:highlight w:val="none"/>
        </w:rPr>
        <w:sectPr>
          <w:pgSz w:w="11905" w:h="16838"/>
          <w:pgMar w:top="1440" w:right="1803" w:bottom="1134" w:left="1803" w:header="850" w:footer="992" w:gutter="0"/>
          <w:cols w:space="0" w:num="1"/>
          <w:docGrid w:linePitch="312" w:charSpace="0"/>
        </w:sectPr>
      </w:pPr>
      <w:r>
        <w:rPr>
          <w:sz w:val="24"/>
          <w:szCs w:val="24"/>
          <w:highlight w:val="none"/>
        </w:rPr>
        <w:t>根据建设项目环境管理办法，环境污染物防治设施必须与主体工程同时设计、同时施工、同时投入使用，项目运营期“三同时”环保验收清单见表8.5-1。</w:t>
      </w:r>
    </w:p>
    <w:p>
      <w:pPr>
        <w:autoSpaceDE w:val="0"/>
        <w:autoSpaceDN w:val="0"/>
        <w:spacing w:line="240" w:lineRule="auto"/>
        <w:ind w:firstLine="420" w:firstLineChars="0"/>
        <w:jc w:val="center"/>
        <w:textAlignment w:val="auto"/>
        <w:rPr>
          <w:rFonts w:eastAsia="黑体"/>
          <w:bCs/>
          <w:kern w:val="2"/>
          <w:sz w:val="21"/>
          <w:szCs w:val="21"/>
          <w:highlight w:val="none"/>
        </w:rPr>
      </w:pPr>
      <w:r>
        <w:rPr>
          <w:rFonts w:eastAsia="黑体"/>
          <w:bCs/>
          <w:kern w:val="2"/>
          <w:sz w:val="21"/>
          <w:szCs w:val="21"/>
          <w:highlight w:val="none"/>
        </w:rPr>
        <w:t>表8.</w:t>
      </w:r>
      <w:r>
        <w:rPr>
          <w:rFonts w:hint="eastAsia" w:eastAsia="黑体"/>
          <w:bCs/>
          <w:kern w:val="2"/>
          <w:sz w:val="21"/>
          <w:szCs w:val="21"/>
          <w:highlight w:val="none"/>
        </w:rPr>
        <w:t>5-</w:t>
      </w:r>
      <w:r>
        <w:rPr>
          <w:rFonts w:eastAsia="黑体"/>
          <w:bCs/>
          <w:kern w:val="2"/>
          <w:sz w:val="21"/>
          <w:szCs w:val="21"/>
          <w:highlight w:val="none"/>
        </w:rPr>
        <w:t>1 “三同时”环保验收一览表</w:t>
      </w:r>
    </w:p>
    <w:bookmarkEnd w:id="626"/>
    <w:tbl>
      <w:tblPr>
        <w:tblStyle w:val="56"/>
        <w:tblW w:w="1406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842"/>
        <w:gridCol w:w="1276"/>
        <w:gridCol w:w="3975"/>
        <w:gridCol w:w="1695"/>
        <w:gridCol w:w="1113"/>
        <w:gridCol w:w="944"/>
        <w:gridCol w:w="1093"/>
        <w:gridCol w:w="1244"/>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2694" w:type="dxa"/>
            <w:gridSpan w:val="3"/>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污染源</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治理措施</w:t>
            </w: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治理对象</w:t>
            </w:r>
          </w:p>
        </w:tc>
        <w:tc>
          <w:tcPr>
            <w:tcW w:w="944"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数量</w:t>
            </w:r>
          </w:p>
        </w:tc>
        <w:tc>
          <w:tcPr>
            <w:tcW w:w="109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处理能力</w:t>
            </w:r>
          </w:p>
        </w:tc>
        <w:tc>
          <w:tcPr>
            <w:tcW w:w="1244"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处理效果</w:t>
            </w:r>
          </w:p>
        </w:tc>
        <w:tc>
          <w:tcPr>
            <w:tcW w:w="1308"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restart"/>
            <w:tcBorders>
              <w:tl2br w:val="nil"/>
              <w:tr2bl w:val="nil"/>
            </w:tcBorders>
            <w:shd w:val="clear" w:color="auto" w:fill="auto"/>
            <w:noWrap/>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废气</w:t>
            </w:r>
          </w:p>
        </w:tc>
        <w:tc>
          <w:tcPr>
            <w:tcW w:w="842" w:type="dxa"/>
            <w:vMerge w:val="restart"/>
            <w:tcBorders>
              <w:tl2br w:val="nil"/>
              <w:tr2bl w:val="nil"/>
            </w:tcBorders>
            <w:shd w:val="clear" w:color="auto" w:fill="auto"/>
            <w:noWrap/>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破碎</w:t>
            </w:r>
            <w:r>
              <w:rPr>
                <w:rFonts w:hint="eastAsia"/>
                <w:sz w:val="18"/>
                <w:szCs w:val="18"/>
                <w:highlight w:val="none"/>
              </w:rPr>
              <w:t>粗选</w:t>
            </w:r>
            <w:r>
              <w:rPr>
                <w:sz w:val="18"/>
                <w:szCs w:val="18"/>
                <w:highlight w:val="none"/>
              </w:rPr>
              <w:t>生产线</w:t>
            </w:r>
          </w:p>
        </w:tc>
        <w:tc>
          <w:tcPr>
            <w:tcW w:w="1276"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1#</w:t>
            </w:r>
            <w:r>
              <w:rPr>
                <w:sz w:val="18"/>
                <w:szCs w:val="18"/>
                <w:highlight w:val="none"/>
              </w:rPr>
              <w:t>鄂破工序</w:t>
            </w:r>
          </w:p>
        </w:tc>
        <w:tc>
          <w:tcPr>
            <w:tcW w:w="3975"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入料口皮质软帘封闭</w:t>
            </w:r>
            <w:r>
              <w:rPr>
                <w:rFonts w:hint="eastAsia"/>
                <w:sz w:val="18"/>
                <w:szCs w:val="18"/>
                <w:highlight w:val="none"/>
              </w:rPr>
              <w:t>+喷雾抑尘</w:t>
            </w:r>
            <w:r>
              <w:rPr>
                <w:sz w:val="18"/>
                <w:szCs w:val="18"/>
                <w:highlight w:val="none"/>
              </w:rPr>
              <w:t>；出料口设置</w:t>
            </w:r>
            <w:r>
              <w:rPr>
                <w:rFonts w:hint="eastAsia"/>
                <w:sz w:val="18"/>
                <w:szCs w:val="18"/>
                <w:highlight w:val="none"/>
              </w:rPr>
              <w:t>皮带封</w:t>
            </w:r>
            <w:r>
              <w:rPr>
                <w:sz w:val="18"/>
                <w:szCs w:val="18"/>
                <w:highlight w:val="none"/>
              </w:rPr>
              <w:t>+集尘管道</w:t>
            </w:r>
          </w:p>
        </w:tc>
        <w:tc>
          <w:tcPr>
            <w:tcW w:w="1695" w:type="dxa"/>
            <w:vMerge w:val="restart"/>
            <w:tcBorders>
              <w:tl2br w:val="nil"/>
              <w:tr2bl w:val="nil"/>
            </w:tcBorders>
            <w:shd w:val="clear" w:color="auto" w:fill="auto"/>
            <w:noWrap/>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1套脉冲布袋除尘器+1</w:t>
            </w:r>
            <w:r>
              <w:rPr>
                <w:rFonts w:hint="eastAsia"/>
                <w:sz w:val="18"/>
                <w:szCs w:val="18"/>
                <w:highlight w:val="none"/>
              </w:rPr>
              <w:t>8</w:t>
            </w:r>
            <w:r>
              <w:rPr>
                <w:sz w:val="18"/>
                <w:szCs w:val="18"/>
                <w:highlight w:val="none"/>
              </w:rPr>
              <w:t>m高排气筒</w:t>
            </w:r>
          </w:p>
        </w:tc>
        <w:tc>
          <w:tcPr>
            <w:tcW w:w="1113" w:type="dxa"/>
            <w:vMerge w:val="restart"/>
            <w:tcBorders>
              <w:tl2br w:val="nil"/>
              <w:tr2bl w:val="nil"/>
            </w:tcBorders>
            <w:shd w:val="clear" w:color="auto" w:fill="auto"/>
            <w:noWrap/>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颗粒物</w:t>
            </w:r>
          </w:p>
        </w:tc>
        <w:tc>
          <w:tcPr>
            <w:tcW w:w="944" w:type="dxa"/>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1套</w:t>
            </w:r>
          </w:p>
        </w:tc>
        <w:tc>
          <w:tcPr>
            <w:tcW w:w="1093" w:type="dxa"/>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65</w:t>
            </w:r>
            <w:r>
              <w:rPr>
                <w:sz w:val="18"/>
                <w:szCs w:val="18"/>
                <w:highlight w:val="none"/>
              </w:rPr>
              <w:t>000m</w:t>
            </w:r>
            <w:r>
              <w:rPr>
                <w:sz w:val="18"/>
                <w:szCs w:val="18"/>
                <w:highlight w:val="none"/>
                <w:vertAlign w:val="superscript"/>
              </w:rPr>
              <w:t>3</w:t>
            </w:r>
            <w:r>
              <w:rPr>
                <w:sz w:val="18"/>
                <w:szCs w:val="18"/>
                <w:highlight w:val="none"/>
              </w:rPr>
              <w:t>/h</w:t>
            </w:r>
          </w:p>
        </w:tc>
        <w:tc>
          <w:tcPr>
            <w:tcW w:w="1244" w:type="dxa"/>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≤10mg/m</w:t>
            </w:r>
            <w:r>
              <w:rPr>
                <w:sz w:val="18"/>
                <w:szCs w:val="18"/>
                <w:highlight w:val="none"/>
                <w:vertAlign w:val="superscript"/>
              </w:rPr>
              <w:t>3</w:t>
            </w:r>
          </w:p>
        </w:tc>
        <w:tc>
          <w:tcPr>
            <w:tcW w:w="1308" w:type="dxa"/>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《铁矿采选工业污染物排放标准》（GB28661-2012）表6中特别限值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shd w:val="clear" w:color="auto" w:fill="auto"/>
            <w:noWrap/>
            <w:vAlign w:val="center"/>
          </w:tcPr>
          <w:p>
            <w:pPr>
              <w:widowControl/>
              <w:snapToGrid w:val="0"/>
              <w:spacing w:line="240" w:lineRule="auto"/>
              <w:ind w:firstLine="0" w:firstLineChars="0"/>
              <w:jc w:val="center"/>
              <w:textAlignment w:val="auto"/>
              <w:rPr>
                <w:sz w:val="18"/>
                <w:szCs w:val="18"/>
                <w:highlight w:val="none"/>
              </w:rPr>
            </w:pPr>
          </w:p>
        </w:tc>
        <w:tc>
          <w:tcPr>
            <w:tcW w:w="842" w:type="dxa"/>
            <w:vMerge w:val="continue"/>
            <w:tcBorders>
              <w:tl2br w:val="nil"/>
              <w:tr2bl w:val="nil"/>
            </w:tcBorders>
            <w:shd w:val="clear" w:color="auto" w:fill="auto"/>
            <w:noWrap/>
            <w:vAlign w:val="center"/>
          </w:tcPr>
          <w:p>
            <w:pPr>
              <w:widowControl/>
              <w:snapToGrid w:val="0"/>
              <w:spacing w:line="240" w:lineRule="auto"/>
              <w:ind w:firstLine="0" w:firstLineChars="0"/>
              <w:jc w:val="center"/>
              <w:textAlignment w:val="auto"/>
              <w:rPr>
                <w:sz w:val="18"/>
                <w:szCs w:val="18"/>
                <w:highlight w:val="none"/>
              </w:rPr>
            </w:pPr>
          </w:p>
        </w:tc>
        <w:tc>
          <w:tcPr>
            <w:tcW w:w="1276"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2#</w:t>
            </w:r>
            <w:r>
              <w:rPr>
                <w:sz w:val="18"/>
                <w:szCs w:val="18"/>
                <w:highlight w:val="none"/>
              </w:rPr>
              <w:t>鄂破工序</w:t>
            </w:r>
          </w:p>
        </w:tc>
        <w:tc>
          <w:tcPr>
            <w:tcW w:w="3975"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入料口上方设置集气罩+集尘管道；出料口设置</w:t>
            </w:r>
            <w:r>
              <w:rPr>
                <w:rFonts w:hint="eastAsia"/>
                <w:sz w:val="18"/>
                <w:szCs w:val="18"/>
                <w:highlight w:val="none"/>
              </w:rPr>
              <w:t>皮带封</w:t>
            </w:r>
            <w:r>
              <w:rPr>
                <w:sz w:val="18"/>
                <w:szCs w:val="18"/>
                <w:highlight w:val="none"/>
              </w:rPr>
              <w:t>+集尘管道</w:t>
            </w:r>
          </w:p>
        </w:tc>
        <w:tc>
          <w:tcPr>
            <w:tcW w:w="1695" w:type="dxa"/>
            <w:vMerge w:val="continue"/>
            <w:tcBorders>
              <w:tl2br w:val="nil"/>
              <w:tr2bl w:val="nil"/>
            </w:tcBorders>
            <w:shd w:val="clear" w:color="auto" w:fill="auto"/>
            <w:noWrap/>
            <w:vAlign w:val="center"/>
          </w:tcPr>
          <w:p>
            <w:pPr>
              <w:widowControl/>
              <w:snapToGrid w:val="0"/>
              <w:spacing w:line="240" w:lineRule="auto"/>
              <w:ind w:firstLine="0" w:firstLineChars="0"/>
              <w:jc w:val="center"/>
              <w:textAlignment w:val="auto"/>
              <w:rPr>
                <w:sz w:val="18"/>
                <w:szCs w:val="18"/>
                <w:highlight w:val="none"/>
              </w:rPr>
            </w:pPr>
          </w:p>
        </w:tc>
        <w:tc>
          <w:tcPr>
            <w:tcW w:w="1113" w:type="dxa"/>
            <w:vMerge w:val="continue"/>
            <w:tcBorders>
              <w:tl2br w:val="nil"/>
              <w:tr2bl w:val="nil"/>
            </w:tcBorders>
            <w:shd w:val="clear" w:color="auto" w:fill="auto"/>
            <w:noWrap/>
            <w:vAlign w:val="center"/>
          </w:tcPr>
          <w:p>
            <w:pPr>
              <w:widowControl/>
              <w:snapToGrid w:val="0"/>
              <w:spacing w:line="240" w:lineRule="auto"/>
              <w:ind w:firstLine="0" w:firstLineChars="0"/>
              <w:jc w:val="center"/>
              <w:textAlignment w:val="auto"/>
              <w:rPr>
                <w:sz w:val="18"/>
                <w:szCs w:val="18"/>
                <w:highlight w:val="none"/>
              </w:rPr>
            </w:pPr>
          </w:p>
        </w:tc>
        <w:tc>
          <w:tcPr>
            <w:tcW w:w="944"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093"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244"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842"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276"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锤</w:t>
            </w:r>
            <w:r>
              <w:rPr>
                <w:sz w:val="18"/>
                <w:szCs w:val="18"/>
                <w:highlight w:val="none"/>
              </w:rPr>
              <w:t>破工序</w:t>
            </w:r>
          </w:p>
        </w:tc>
        <w:tc>
          <w:tcPr>
            <w:tcW w:w="3975"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入料口上方设置集气罩+集尘管道；出料口设置</w:t>
            </w:r>
            <w:r>
              <w:rPr>
                <w:rFonts w:hint="eastAsia"/>
                <w:sz w:val="18"/>
                <w:szCs w:val="18"/>
                <w:highlight w:val="none"/>
              </w:rPr>
              <w:t>皮带封</w:t>
            </w:r>
            <w:r>
              <w:rPr>
                <w:sz w:val="18"/>
                <w:szCs w:val="18"/>
                <w:highlight w:val="none"/>
              </w:rPr>
              <w:t>+集尘管道</w:t>
            </w:r>
          </w:p>
        </w:tc>
        <w:tc>
          <w:tcPr>
            <w:tcW w:w="1695"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11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944"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09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244"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308"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842"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276"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1#</w:t>
            </w:r>
            <w:r>
              <w:rPr>
                <w:sz w:val="18"/>
                <w:szCs w:val="18"/>
                <w:highlight w:val="none"/>
              </w:rPr>
              <w:t>筛分</w:t>
            </w:r>
          </w:p>
        </w:tc>
        <w:tc>
          <w:tcPr>
            <w:tcW w:w="3975"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入料口设置集气罩、筛面封闭+集尘管道；出料口设置</w:t>
            </w:r>
            <w:r>
              <w:rPr>
                <w:rFonts w:hint="eastAsia"/>
                <w:sz w:val="18"/>
                <w:szCs w:val="18"/>
                <w:highlight w:val="none"/>
              </w:rPr>
              <w:t>皮带封</w:t>
            </w:r>
            <w:r>
              <w:rPr>
                <w:sz w:val="18"/>
                <w:szCs w:val="18"/>
                <w:highlight w:val="none"/>
              </w:rPr>
              <w:t>+集尘管道</w:t>
            </w:r>
          </w:p>
        </w:tc>
        <w:tc>
          <w:tcPr>
            <w:tcW w:w="1695"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11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944"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09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244"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308"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842"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276"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2#</w:t>
            </w:r>
            <w:r>
              <w:rPr>
                <w:sz w:val="18"/>
                <w:szCs w:val="18"/>
                <w:highlight w:val="none"/>
              </w:rPr>
              <w:t>筛分</w:t>
            </w:r>
          </w:p>
        </w:tc>
        <w:tc>
          <w:tcPr>
            <w:tcW w:w="3975"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入料口设置集气罩、筛面封闭+集尘管道；出料口设置</w:t>
            </w:r>
            <w:r>
              <w:rPr>
                <w:rFonts w:hint="eastAsia"/>
                <w:sz w:val="18"/>
                <w:szCs w:val="18"/>
                <w:highlight w:val="none"/>
              </w:rPr>
              <w:t>皮带封</w:t>
            </w:r>
            <w:r>
              <w:rPr>
                <w:sz w:val="18"/>
                <w:szCs w:val="18"/>
                <w:highlight w:val="none"/>
              </w:rPr>
              <w:t>+集尘管道</w:t>
            </w:r>
          </w:p>
        </w:tc>
        <w:tc>
          <w:tcPr>
            <w:tcW w:w="1695"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11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944"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09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244"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308"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842"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276"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上料、</w:t>
            </w:r>
            <w:r>
              <w:rPr>
                <w:sz w:val="18"/>
                <w:szCs w:val="18"/>
                <w:highlight w:val="none"/>
              </w:rPr>
              <w:t>破碎粉尘集尘过程逸散</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破碎车间封闭+喷雾抑尘</w:t>
            </w:r>
          </w:p>
        </w:tc>
        <w:tc>
          <w:tcPr>
            <w:tcW w:w="111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944"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c>
          <w:tcPr>
            <w:tcW w:w="109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c>
          <w:tcPr>
            <w:tcW w:w="1244" w:type="dxa"/>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厂界无组织监控点浓度≤1.0mg/m3</w:t>
            </w:r>
          </w:p>
        </w:tc>
        <w:tc>
          <w:tcPr>
            <w:tcW w:w="1308" w:type="dxa"/>
            <w:vMerge w:val="restart"/>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铁矿采选工业污染物排放标准》（GB28661-2012）表7中无组织排放浓度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842"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物料</w:t>
            </w:r>
          </w:p>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存储</w:t>
            </w:r>
          </w:p>
        </w:tc>
        <w:tc>
          <w:tcPr>
            <w:tcW w:w="1276"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成品装车、储存、转运过程</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物料存储于全封闭车间内，并设置</w:t>
            </w:r>
            <w:r>
              <w:rPr>
                <w:sz w:val="18"/>
                <w:szCs w:val="18"/>
                <w:highlight w:val="none"/>
              </w:rPr>
              <w:t>喷雾抑尘</w:t>
            </w:r>
            <w:r>
              <w:rPr>
                <w:rFonts w:hint="eastAsia"/>
                <w:sz w:val="18"/>
                <w:szCs w:val="18"/>
                <w:highlight w:val="none"/>
              </w:rPr>
              <w:t>装置，成品库门口设</w:t>
            </w:r>
            <w:r>
              <w:rPr>
                <w:sz w:val="18"/>
                <w:szCs w:val="18"/>
                <w:highlight w:val="none"/>
              </w:rPr>
              <w:t>清洗装置使用高压喷雾清洗轮胎及车身</w:t>
            </w:r>
          </w:p>
        </w:tc>
        <w:tc>
          <w:tcPr>
            <w:tcW w:w="111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944"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c>
          <w:tcPr>
            <w:tcW w:w="109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c>
          <w:tcPr>
            <w:tcW w:w="1244"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576" w:type="dxa"/>
            <w:vMerge w:val="restart"/>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废水</w:t>
            </w:r>
          </w:p>
        </w:tc>
        <w:tc>
          <w:tcPr>
            <w:tcW w:w="842"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生产废水、车间地面冲洗废水</w:t>
            </w:r>
          </w:p>
        </w:tc>
        <w:tc>
          <w:tcPr>
            <w:tcW w:w="6946" w:type="dxa"/>
            <w:gridSpan w:val="3"/>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排入浓密池内，上清液排入清水池回用于生产</w:t>
            </w:r>
          </w:p>
        </w:tc>
        <w:tc>
          <w:tcPr>
            <w:tcW w:w="1113" w:type="dxa"/>
            <w:vMerge w:val="restart"/>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SS</w:t>
            </w:r>
          </w:p>
        </w:tc>
        <w:tc>
          <w:tcPr>
            <w:tcW w:w="944"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c>
          <w:tcPr>
            <w:tcW w:w="109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c>
          <w:tcPr>
            <w:tcW w:w="1244" w:type="dxa"/>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全部循环利用，不外排</w:t>
            </w:r>
          </w:p>
        </w:tc>
        <w:tc>
          <w:tcPr>
            <w:tcW w:w="1308" w:type="dxa"/>
            <w:vMerge w:val="restart"/>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842"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洗车废水</w:t>
            </w:r>
          </w:p>
        </w:tc>
        <w:tc>
          <w:tcPr>
            <w:tcW w:w="6946" w:type="dxa"/>
            <w:gridSpan w:val="3"/>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成品库门口设</w:t>
            </w:r>
            <w:r>
              <w:rPr>
                <w:sz w:val="18"/>
                <w:szCs w:val="18"/>
                <w:highlight w:val="none"/>
              </w:rPr>
              <w:t>洗车装置废水流入沉淀池，经沉淀后上清液流入清水池内，循环使用</w:t>
            </w:r>
          </w:p>
        </w:tc>
        <w:tc>
          <w:tcPr>
            <w:tcW w:w="1113"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944" w:type="dxa"/>
            <w:tcBorders>
              <w:tl2br w:val="nil"/>
              <w:tr2bl w:val="nil"/>
            </w:tcBorders>
            <w:shd w:val="clear" w:color="auto" w:fill="auto"/>
            <w:vAlign w:val="center"/>
          </w:tcPr>
          <w:p>
            <w:pPr>
              <w:widowControl/>
              <w:snapToGrid w:val="0"/>
              <w:spacing w:line="240" w:lineRule="auto"/>
              <w:ind w:firstLine="180" w:firstLineChars="100"/>
              <w:jc w:val="both"/>
              <w:textAlignment w:val="auto"/>
              <w:rPr>
                <w:sz w:val="18"/>
                <w:szCs w:val="18"/>
                <w:highlight w:val="none"/>
              </w:rPr>
            </w:pPr>
            <w:r>
              <w:rPr>
                <w:rFonts w:hint="eastAsia"/>
                <w:sz w:val="18"/>
                <w:szCs w:val="18"/>
                <w:highlight w:val="none"/>
              </w:rPr>
              <w:t>1</w:t>
            </w:r>
            <w:r>
              <w:rPr>
                <w:sz w:val="18"/>
                <w:szCs w:val="18"/>
                <w:highlight w:val="none"/>
              </w:rPr>
              <w:t>套</w:t>
            </w:r>
          </w:p>
        </w:tc>
        <w:tc>
          <w:tcPr>
            <w:tcW w:w="1093" w:type="dxa"/>
            <w:tcBorders>
              <w:tl2br w:val="nil"/>
              <w:tr2bl w:val="nil"/>
            </w:tcBorders>
            <w:shd w:val="clear" w:color="auto" w:fill="auto"/>
            <w:vAlign w:val="center"/>
          </w:tcPr>
          <w:p>
            <w:pPr>
              <w:widowControl/>
              <w:snapToGrid w:val="0"/>
              <w:spacing w:line="240" w:lineRule="auto"/>
              <w:ind w:firstLine="360"/>
              <w:jc w:val="center"/>
              <w:textAlignment w:val="auto"/>
              <w:rPr>
                <w:sz w:val="18"/>
                <w:szCs w:val="18"/>
                <w:highlight w:val="none"/>
              </w:rPr>
            </w:pPr>
            <w:r>
              <w:rPr>
                <w:sz w:val="18"/>
                <w:szCs w:val="18"/>
                <w:highlight w:val="none"/>
              </w:rPr>
              <w:t>/</w:t>
            </w:r>
          </w:p>
        </w:tc>
        <w:tc>
          <w:tcPr>
            <w:tcW w:w="1244"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2118"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事故废水</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选矿车间内</w:t>
            </w:r>
            <w:r>
              <w:rPr>
                <w:sz w:val="18"/>
                <w:szCs w:val="18"/>
                <w:highlight w:val="none"/>
              </w:rPr>
              <w:t>设置</w:t>
            </w:r>
            <w:r>
              <w:rPr>
                <w:rFonts w:hint="eastAsia"/>
                <w:sz w:val="18"/>
                <w:szCs w:val="18"/>
                <w:highlight w:val="none"/>
              </w:rPr>
              <w:t>3座25</w:t>
            </w:r>
            <w:r>
              <w:rPr>
                <w:sz w:val="18"/>
                <w:szCs w:val="18"/>
                <w:highlight w:val="none"/>
              </w:rPr>
              <w:t>m</w:t>
            </w:r>
            <w:r>
              <w:rPr>
                <w:sz w:val="18"/>
                <w:szCs w:val="18"/>
                <w:highlight w:val="none"/>
                <w:vertAlign w:val="superscript"/>
              </w:rPr>
              <w:t>3</w:t>
            </w:r>
            <w:r>
              <w:rPr>
                <w:sz w:val="18"/>
                <w:szCs w:val="18"/>
                <w:highlight w:val="none"/>
              </w:rPr>
              <w:t>事故池，配套搅拌装置和泵</w:t>
            </w:r>
          </w:p>
        </w:tc>
        <w:tc>
          <w:tcPr>
            <w:tcW w:w="1113"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944"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3座</w:t>
            </w:r>
          </w:p>
        </w:tc>
        <w:tc>
          <w:tcPr>
            <w:tcW w:w="109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25</w:t>
            </w:r>
            <w:r>
              <w:rPr>
                <w:sz w:val="18"/>
                <w:szCs w:val="18"/>
                <w:highlight w:val="none"/>
              </w:rPr>
              <w:t>m</w:t>
            </w:r>
            <w:r>
              <w:rPr>
                <w:sz w:val="18"/>
                <w:szCs w:val="18"/>
                <w:highlight w:val="none"/>
                <w:vertAlign w:val="superscript"/>
              </w:rPr>
              <w:t>3</w:t>
            </w:r>
          </w:p>
        </w:tc>
        <w:tc>
          <w:tcPr>
            <w:tcW w:w="1244"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噪声</w:t>
            </w:r>
          </w:p>
        </w:tc>
        <w:tc>
          <w:tcPr>
            <w:tcW w:w="2118"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颚式破碎机、</w:t>
            </w:r>
            <w:r>
              <w:rPr>
                <w:rFonts w:hint="eastAsia"/>
                <w:sz w:val="18"/>
                <w:szCs w:val="18"/>
                <w:highlight w:val="none"/>
              </w:rPr>
              <w:t>锤式</w:t>
            </w:r>
            <w:r>
              <w:rPr>
                <w:sz w:val="18"/>
                <w:szCs w:val="18"/>
                <w:highlight w:val="none"/>
              </w:rPr>
              <w:t>破碎机、</w:t>
            </w:r>
            <w:r>
              <w:rPr>
                <w:rFonts w:hint="eastAsia"/>
                <w:sz w:val="18"/>
                <w:szCs w:val="18"/>
                <w:highlight w:val="none"/>
              </w:rPr>
              <w:t>振动筛、</w:t>
            </w:r>
            <w:r>
              <w:rPr>
                <w:sz w:val="18"/>
                <w:szCs w:val="18"/>
                <w:highlight w:val="none"/>
              </w:rPr>
              <w:t>皮带输送机、球磨机、磁选机、高频筛、泵类、风机等</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各设备置于封闭车间内，基础减</w:t>
            </w:r>
            <w:r>
              <w:rPr>
                <w:rFonts w:hint="eastAsia"/>
                <w:sz w:val="18"/>
                <w:szCs w:val="18"/>
                <w:highlight w:val="none"/>
              </w:rPr>
              <w:t>振</w:t>
            </w:r>
            <w:r>
              <w:rPr>
                <w:sz w:val="18"/>
                <w:szCs w:val="18"/>
                <w:highlight w:val="none"/>
              </w:rPr>
              <w:t>，泵类设置软连接等</w:t>
            </w: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噪声</w:t>
            </w:r>
          </w:p>
        </w:tc>
        <w:tc>
          <w:tcPr>
            <w:tcW w:w="2037"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c>
          <w:tcPr>
            <w:tcW w:w="1244"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达标排放</w:t>
            </w:r>
          </w:p>
        </w:tc>
        <w:tc>
          <w:tcPr>
            <w:tcW w:w="1308"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《工业企业厂界环境噪声排放标准》（GB12348- 2008）2类标准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restart"/>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固废</w:t>
            </w:r>
          </w:p>
        </w:tc>
        <w:tc>
          <w:tcPr>
            <w:tcW w:w="2118"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除尘器收尘</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返回球磨系统</w:t>
            </w: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除尘灰</w:t>
            </w:r>
          </w:p>
        </w:tc>
        <w:tc>
          <w:tcPr>
            <w:tcW w:w="3281" w:type="dxa"/>
            <w:gridSpan w:val="3"/>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全部得到妥善处置</w:t>
            </w:r>
          </w:p>
        </w:tc>
        <w:tc>
          <w:tcPr>
            <w:tcW w:w="1308" w:type="dxa"/>
            <w:vMerge w:val="restart"/>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2118"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生产过程</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外售当地建材厂综合利用</w:t>
            </w: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尾矿砂</w:t>
            </w:r>
          </w:p>
        </w:tc>
        <w:tc>
          <w:tcPr>
            <w:tcW w:w="3281" w:type="dxa"/>
            <w:gridSpan w:val="3"/>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2118"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生产过程</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外售当地建材厂综合利用</w:t>
            </w: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砂石料</w:t>
            </w:r>
          </w:p>
        </w:tc>
        <w:tc>
          <w:tcPr>
            <w:tcW w:w="3281" w:type="dxa"/>
            <w:gridSpan w:val="3"/>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2118"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生产过程</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外售当地建材厂综合利用</w:t>
            </w: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泥饼</w:t>
            </w:r>
          </w:p>
        </w:tc>
        <w:tc>
          <w:tcPr>
            <w:tcW w:w="3281" w:type="dxa"/>
            <w:gridSpan w:val="3"/>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2118"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生产过程</w:t>
            </w:r>
          </w:p>
        </w:tc>
        <w:tc>
          <w:tcPr>
            <w:tcW w:w="5670" w:type="dxa"/>
            <w:gridSpan w:val="2"/>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由厂家回收利用</w:t>
            </w: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废钢球</w:t>
            </w:r>
          </w:p>
        </w:tc>
        <w:tc>
          <w:tcPr>
            <w:tcW w:w="3281" w:type="dxa"/>
            <w:gridSpan w:val="3"/>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2118" w:type="dxa"/>
            <w:gridSpan w:val="2"/>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设备养护</w:t>
            </w:r>
          </w:p>
        </w:tc>
        <w:tc>
          <w:tcPr>
            <w:tcW w:w="5670" w:type="dxa"/>
            <w:gridSpan w:val="2"/>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用耐腐蚀的容器储存，暂存在危废</w:t>
            </w:r>
            <w:r>
              <w:rPr>
                <w:rFonts w:hint="eastAsia"/>
                <w:sz w:val="18"/>
                <w:szCs w:val="18"/>
                <w:highlight w:val="none"/>
              </w:rPr>
              <w:t>暂存</w:t>
            </w:r>
            <w:r>
              <w:rPr>
                <w:sz w:val="18"/>
                <w:szCs w:val="18"/>
                <w:highlight w:val="none"/>
              </w:rPr>
              <w:t>间内，定期委托有危废处理资质的单位进行处理</w:t>
            </w: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废</w:t>
            </w:r>
            <w:r>
              <w:rPr>
                <w:rFonts w:hint="eastAsia"/>
                <w:sz w:val="18"/>
                <w:szCs w:val="18"/>
                <w:highlight w:val="none"/>
              </w:rPr>
              <w:t>矿物油</w:t>
            </w:r>
          </w:p>
        </w:tc>
        <w:tc>
          <w:tcPr>
            <w:tcW w:w="3281" w:type="dxa"/>
            <w:gridSpan w:val="3"/>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dxa"/>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2118" w:type="dxa"/>
            <w:gridSpan w:val="2"/>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5670" w:type="dxa"/>
            <w:gridSpan w:val="2"/>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113"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废油桶</w:t>
            </w:r>
          </w:p>
        </w:tc>
        <w:tc>
          <w:tcPr>
            <w:tcW w:w="3281" w:type="dxa"/>
            <w:gridSpan w:val="3"/>
            <w:vMerge w:val="continue"/>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p>
        </w:tc>
        <w:tc>
          <w:tcPr>
            <w:tcW w:w="1308" w:type="dxa"/>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防渗</w:t>
            </w: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破碎车间、选矿车间、压滤间、事故池等地</w:t>
            </w:r>
            <w:r>
              <w:rPr>
                <w:sz w:val="18"/>
                <w:szCs w:val="18"/>
                <w:highlight w:val="none"/>
              </w:rPr>
              <w:t>面采用防渗混凝土结构，厚度为20cm，渗透系数≤10</w:t>
            </w:r>
            <w:r>
              <w:rPr>
                <w:sz w:val="18"/>
                <w:szCs w:val="18"/>
                <w:highlight w:val="none"/>
                <w:vertAlign w:val="superscript"/>
              </w:rPr>
              <w:t>-7</w:t>
            </w:r>
            <w:r>
              <w:rPr>
                <w:sz w:val="18"/>
                <w:szCs w:val="18"/>
                <w:highlight w:val="none"/>
              </w:rPr>
              <w:t>cm/s；浓密池、清水池、车辆清洗沉淀池和清水池池底部及四壁均采用混凝土浇筑防渗，厚度为20cm，渗透系数小于1×10</w:t>
            </w:r>
            <w:r>
              <w:rPr>
                <w:sz w:val="18"/>
                <w:szCs w:val="18"/>
                <w:highlight w:val="none"/>
                <w:vertAlign w:val="superscript"/>
              </w:rPr>
              <w:t>-7</w:t>
            </w:r>
            <w:r>
              <w:rPr>
                <w:sz w:val="18"/>
                <w:szCs w:val="18"/>
                <w:highlight w:val="none"/>
              </w:rPr>
              <w:t xml:space="preserve"> cm/s</w:t>
            </w:r>
            <w:r>
              <w:rPr>
                <w:rFonts w:hint="eastAsia"/>
                <w:sz w:val="18"/>
                <w:szCs w:val="18"/>
                <w:highlight w:val="none"/>
              </w:rPr>
              <w:t>；危废间</w:t>
            </w:r>
            <w:r>
              <w:rPr>
                <w:sz w:val="18"/>
                <w:szCs w:val="18"/>
                <w:highlight w:val="none"/>
              </w:rPr>
              <w:t>渗透系数小于1×10</w:t>
            </w:r>
            <w:r>
              <w:rPr>
                <w:sz w:val="18"/>
                <w:szCs w:val="18"/>
                <w:highlight w:val="none"/>
                <w:vertAlign w:val="superscript"/>
              </w:rPr>
              <w:t>-</w:t>
            </w:r>
            <w:r>
              <w:rPr>
                <w:rFonts w:hint="eastAsia"/>
                <w:sz w:val="18"/>
                <w:szCs w:val="18"/>
                <w:highlight w:val="none"/>
                <w:vertAlign w:val="superscript"/>
              </w:rPr>
              <w:t>10</w:t>
            </w:r>
            <w:r>
              <w:rPr>
                <w:sz w:val="18"/>
                <w:szCs w:val="18"/>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物料输送管采用PVC管；尾矿浆输送使用PVC管或排水沟，集水沟槽均为混凝土结构，防渗层渗透系数小于1×10</w:t>
            </w:r>
            <w:r>
              <w:rPr>
                <w:sz w:val="18"/>
                <w:szCs w:val="18"/>
                <w:highlight w:val="none"/>
                <w:vertAlign w:val="superscript"/>
              </w:rPr>
              <w:t>-7</w:t>
            </w:r>
            <w:r>
              <w:rPr>
                <w:sz w:val="18"/>
                <w:szCs w:val="18"/>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绿化、硬化</w:t>
            </w: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厂区内地面进行硬化或绿化，无裸露地面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厂区抑尘</w:t>
            </w: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配备洒水车、清扫车各一辆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视频监控</w:t>
            </w: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在</w:t>
            </w:r>
            <w:r>
              <w:rPr>
                <w:rFonts w:hint="eastAsia"/>
                <w:sz w:val="18"/>
                <w:szCs w:val="18"/>
                <w:highlight w:val="none"/>
              </w:rPr>
              <w:t>破碎车间及</w:t>
            </w:r>
            <w:r>
              <w:rPr>
                <w:sz w:val="18"/>
                <w:szCs w:val="18"/>
                <w:highlight w:val="none"/>
              </w:rPr>
              <w:t>门口</w:t>
            </w:r>
            <w:r>
              <w:rPr>
                <w:rFonts w:hint="eastAsia"/>
                <w:sz w:val="18"/>
                <w:szCs w:val="18"/>
                <w:highlight w:val="none"/>
              </w:rPr>
              <w:t>、选矿车间及</w:t>
            </w:r>
            <w:r>
              <w:rPr>
                <w:sz w:val="18"/>
                <w:szCs w:val="18"/>
                <w:highlight w:val="none"/>
              </w:rPr>
              <w:t>门口</w:t>
            </w:r>
            <w:r>
              <w:rPr>
                <w:rFonts w:hint="eastAsia"/>
                <w:sz w:val="18"/>
                <w:szCs w:val="18"/>
                <w:highlight w:val="none"/>
              </w:rPr>
              <w:t>、压滤车间内</w:t>
            </w:r>
            <w:r>
              <w:rPr>
                <w:sz w:val="18"/>
                <w:szCs w:val="18"/>
                <w:highlight w:val="none"/>
              </w:rPr>
              <w:t>、布袋除尘器、厂区道路设置视频监控，并与唐山市</w:t>
            </w:r>
            <w:r>
              <w:rPr>
                <w:rFonts w:hint="eastAsia"/>
                <w:sz w:val="18"/>
                <w:szCs w:val="18"/>
                <w:highlight w:val="none"/>
              </w:rPr>
              <w:t>生态环境局</w:t>
            </w:r>
            <w:r>
              <w:rPr>
                <w:sz w:val="18"/>
                <w:szCs w:val="18"/>
                <w:highlight w:val="none"/>
              </w:rPr>
              <w:t>遵化市分局联网，实现24小时视频监控。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tcBorders>
              <w:tl2br w:val="nil"/>
              <w:tr2bl w:val="nil"/>
            </w:tcBorders>
            <w:shd w:val="clear" w:color="auto" w:fill="auto"/>
            <w:vAlign w:val="center"/>
          </w:tcPr>
          <w:p>
            <w:pPr>
              <w:widowControl/>
              <w:snapToGrid w:val="0"/>
              <w:spacing w:line="240" w:lineRule="auto"/>
              <w:ind w:firstLine="0" w:firstLineChars="0"/>
              <w:jc w:val="center"/>
              <w:textAlignment w:val="auto"/>
              <w:rPr>
                <w:rFonts w:hint="default" w:eastAsia="宋体"/>
                <w:sz w:val="18"/>
                <w:szCs w:val="18"/>
                <w:highlight w:val="none"/>
                <w:lang w:val="en-US" w:eastAsia="zh-CN"/>
              </w:rPr>
            </w:pPr>
            <w:r>
              <w:rPr>
                <w:rFonts w:hint="eastAsia"/>
                <w:sz w:val="18"/>
                <w:szCs w:val="18"/>
                <w:highlight w:val="none"/>
                <w:lang w:val="en-US" w:eastAsia="zh-CN"/>
              </w:rPr>
              <w:t>现有环境问题</w:t>
            </w:r>
          </w:p>
        </w:tc>
        <w:tc>
          <w:tcPr>
            <w:tcW w:w="11372" w:type="dxa"/>
            <w:gridSpan w:val="7"/>
            <w:tcBorders>
              <w:tl2br w:val="nil"/>
              <w:tr2bl w:val="nil"/>
            </w:tcBorders>
            <w:shd w:val="clear" w:color="auto" w:fill="auto"/>
            <w:vAlign w:val="center"/>
          </w:tcPr>
          <w:p>
            <w:pPr>
              <w:widowControl/>
              <w:snapToGrid w:val="0"/>
              <w:spacing w:line="240" w:lineRule="auto"/>
              <w:ind w:firstLine="0" w:firstLineChars="0"/>
              <w:textAlignment w:val="auto"/>
              <w:rPr>
                <w:rFonts w:hint="default"/>
                <w:sz w:val="18"/>
                <w:szCs w:val="18"/>
                <w:highlight w:val="none"/>
                <w:lang w:val="en-US" w:eastAsia="zh-CN"/>
              </w:rPr>
            </w:pPr>
            <w:r>
              <w:rPr>
                <w:rFonts w:hint="eastAsia"/>
                <w:sz w:val="18"/>
                <w:szCs w:val="18"/>
                <w:highlight w:val="none"/>
                <w:lang w:val="en-US" w:eastAsia="zh-CN"/>
              </w:rPr>
              <w:t>通过本项目环评文件编制期间现场踏勘排查出</w:t>
            </w:r>
            <w:r>
              <w:rPr>
                <w:rFonts w:hint="eastAsia"/>
                <w:sz w:val="18"/>
                <w:szCs w:val="18"/>
                <w:highlight w:val="none"/>
              </w:rPr>
              <w:t>遵化恒新矿业有限公司</w:t>
            </w:r>
            <w:r>
              <w:rPr>
                <w:rFonts w:hint="eastAsia"/>
                <w:sz w:val="18"/>
                <w:szCs w:val="18"/>
                <w:highlight w:val="none"/>
                <w:lang w:val="en-US" w:eastAsia="zh-CN"/>
              </w:rPr>
              <w:t>厂区存在的现有环境问题，并提出了相应的整改措施，建设单位应积极针对现有环境问题进行整改，并在本项目环评文件批复之日起一个月内完成现有环境问题的整改。</w:t>
            </w:r>
          </w:p>
          <w:p>
            <w:pPr>
              <w:widowControl/>
              <w:snapToGrid w:val="0"/>
              <w:spacing w:line="240" w:lineRule="auto"/>
              <w:ind w:firstLine="0" w:firstLineChars="0"/>
              <w:textAlignment w:val="auto"/>
              <w:rPr>
                <w:sz w:val="18"/>
                <w:szCs w:val="18"/>
                <w:highlight w:val="none"/>
              </w:rPr>
            </w:pPr>
            <w:r>
              <w:rPr>
                <w:rFonts w:hint="eastAsia"/>
                <w:sz w:val="18"/>
                <w:szCs w:val="18"/>
                <w:highlight w:val="none"/>
              </w:rPr>
              <w:t>①厂区运输道路：按照《遵化市铁选矿综合治理工作实施方案》对厂区运矿道路进行硬化、绿化处置，生产期间，道路路面不间断清扫保洁、洒水抑尘，保持路面整洁、湿润不起尘，有效防止运输环节扬尘污染。</w:t>
            </w:r>
          </w:p>
          <w:p>
            <w:pPr>
              <w:widowControl/>
              <w:snapToGrid w:val="0"/>
              <w:spacing w:line="240" w:lineRule="auto"/>
              <w:ind w:firstLine="0" w:firstLineChars="0"/>
              <w:textAlignment w:val="auto"/>
              <w:rPr>
                <w:sz w:val="18"/>
                <w:szCs w:val="18"/>
                <w:highlight w:val="none"/>
              </w:rPr>
            </w:pPr>
            <w:r>
              <w:rPr>
                <w:rFonts w:hint="eastAsia"/>
                <w:sz w:val="18"/>
                <w:szCs w:val="18"/>
                <w:highlight w:val="none"/>
              </w:rPr>
              <w:t>②地下水监测计划执行情况：按照《地下水环境监测技术规范》HJ164-2020的要求设置厂区跟踪监测井，并按环评文件要求的检测频率、检测项目定期开展地下水环境跟踪监测。</w:t>
            </w:r>
          </w:p>
          <w:p>
            <w:pPr>
              <w:widowControl/>
              <w:snapToGrid w:val="0"/>
              <w:spacing w:line="240" w:lineRule="auto"/>
              <w:ind w:firstLine="0" w:firstLineChars="0"/>
              <w:textAlignment w:val="auto"/>
              <w:rPr>
                <w:sz w:val="18"/>
                <w:szCs w:val="18"/>
                <w:highlight w:val="none"/>
              </w:rPr>
            </w:pPr>
            <w:r>
              <w:rPr>
                <w:rFonts w:hint="eastAsia"/>
                <w:sz w:val="18"/>
                <w:szCs w:val="18"/>
                <w:highlight w:val="none"/>
              </w:rPr>
              <w:t>③尾矿存贮、处置等管理情况：按照《尾矿污染环境防治管理办法》(部令第26号)提出的污染防治要求规范尾矿的存储、处置措施，委托第三方单位处置尾矿时，应对受托方的主体资格和技术能力进行核实，依法签订书面合同，在合同中约定污染防治要求；产生尾矿的单位应当在尾矿环境管理台账中如实记录生产运营中产生尾矿的种类、数量、流向、贮存、综合利用等信息，尾矿环境管理台账保存期限不得少于五年。</w:t>
            </w:r>
          </w:p>
          <w:p>
            <w:pPr>
              <w:widowControl/>
              <w:snapToGrid w:val="0"/>
              <w:spacing w:line="240" w:lineRule="auto"/>
              <w:ind w:firstLine="0" w:firstLineChars="0"/>
              <w:textAlignment w:val="auto"/>
              <w:rPr>
                <w:sz w:val="18"/>
                <w:szCs w:val="18"/>
                <w:highlight w:val="none"/>
              </w:rPr>
            </w:pPr>
            <w:r>
              <w:rPr>
                <w:rFonts w:hint="eastAsia"/>
                <w:sz w:val="18"/>
                <w:szCs w:val="18"/>
                <w:highlight w:val="none"/>
              </w:rPr>
              <w:t>④危废暂存间应按照《</w:t>
            </w:r>
            <w:r>
              <w:rPr>
                <w:sz w:val="18"/>
                <w:szCs w:val="18"/>
                <w:highlight w:val="none"/>
              </w:rPr>
              <w:t>危险废物识别标志设置技术规范</w:t>
            </w:r>
            <w:r>
              <w:rPr>
                <w:rFonts w:hint="eastAsia"/>
                <w:sz w:val="18"/>
                <w:szCs w:val="18"/>
                <w:highlight w:val="none"/>
              </w:rPr>
              <w:t>》（</w:t>
            </w:r>
            <w:r>
              <w:rPr>
                <w:sz w:val="18"/>
                <w:szCs w:val="18"/>
                <w:highlight w:val="none"/>
              </w:rPr>
              <w:t>HJ 1276—2022</w:t>
            </w:r>
            <w:r>
              <w:rPr>
                <w:rFonts w:hint="eastAsia"/>
                <w:sz w:val="18"/>
                <w:szCs w:val="18"/>
                <w:highlight w:val="none"/>
              </w:rPr>
              <w:t>）相关要求规范标识设置。</w:t>
            </w:r>
          </w:p>
          <w:p>
            <w:pPr>
              <w:widowControl/>
              <w:snapToGrid w:val="0"/>
              <w:spacing w:line="240" w:lineRule="auto"/>
              <w:ind w:firstLine="0" w:firstLineChars="0"/>
              <w:textAlignment w:val="auto"/>
              <w:rPr>
                <w:highlight w:val="none"/>
              </w:rPr>
            </w:pPr>
            <w:r>
              <w:rPr>
                <w:rFonts w:hint="eastAsia"/>
                <w:sz w:val="18"/>
                <w:szCs w:val="18"/>
                <w:highlight w:val="none"/>
              </w:rPr>
              <w:t>⑤按照环评文件要求合理设置事故水池，针对厂区存在环境风险物质编制突发环境事件应急预案，并进行备案。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vMerge w:val="restart"/>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环境管理内容</w:t>
            </w: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sz w:val="18"/>
                <w:szCs w:val="18"/>
                <w:highlight w:val="none"/>
              </w:rPr>
              <w:t>设置专职环保管理人员，建立企业环境管理制度，建立环保设施运行台帐，落实环境污染报告制度、环保事故管理制度。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制定企业环境管理制度，明确了岗位环保职责和日常环保行为规范、建立和落实环保岗位考核制度。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制定《环保管理制度》、《环保岗位考核制度》、《环保设备管理制度》、《污染防治设施运行管理制度》，建立环保设施运行台账，各项设备设施稳定、正常运行。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94" w:type="dxa"/>
            <w:gridSpan w:val="3"/>
            <w:vMerge w:val="continue"/>
            <w:tcBorders>
              <w:tl2br w:val="nil"/>
              <w:tr2bl w:val="nil"/>
            </w:tcBorders>
            <w:vAlign w:val="center"/>
          </w:tcPr>
          <w:p>
            <w:pPr>
              <w:widowControl/>
              <w:snapToGrid w:val="0"/>
              <w:spacing w:line="240" w:lineRule="auto"/>
              <w:ind w:firstLine="0" w:firstLineChars="0"/>
              <w:jc w:val="center"/>
              <w:textAlignment w:val="auto"/>
              <w:rPr>
                <w:sz w:val="18"/>
                <w:szCs w:val="18"/>
                <w:highlight w:val="none"/>
              </w:rPr>
            </w:pPr>
          </w:p>
        </w:tc>
        <w:tc>
          <w:tcPr>
            <w:tcW w:w="11372" w:type="dxa"/>
            <w:gridSpan w:val="7"/>
            <w:tcBorders>
              <w:tl2br w:val="nil"/>
              <w:tr2bl w:val="nil"/>
            </w:tcBorders>
            <w:shd w:val="clear" w:color="auto" w:fill="auto"/>
            <w:vAlign w:val="center"/>
          </w:tcPr>
          <w:p>
            <w:pPr>
              <w:widowControl/>
              <w:snapToGrid w:val="0"/>
              <w:spacing w:line="240" w:lineRule="auto"/>
              <w:ind w:firstLine="0" w:firstLineChars="0"/>
              <w:jc w:val="center"/>
              <w:textAlignment w:val="auto"/>
              <w:rPr>
                <w:sz w:val="18"/>
                <w:szCs w:val="18"/>
                <w:highlight w:val="none"/>
              </w:rPr>
            </w:pPr>
            <w:r>
              <w:rPr>
                <w:rFonts w:hint="eastAsia"/>
                <w:sz w:val="18"/>
                <w:szCs w:val="18"/>
                <w:highlight w:val="none"/>
              </w:rPr>
              <w:t>落实环境污染报告制度、环境巡查制度、环保事故管理制度。</w:t>
            </w:r>
          </w:p>
        </w:tc>
      </w:tr>
    </w:tbl>
    <w:p>
      <w:pPr>
        <w:widowControl/>
        <w:spacing w:line="460" w:lineRule="exact"/>
        <w:ind w:firstLine="480"/>
        <w:rPr>
          <w:sz w:val="24"/>
          <w:szCs w:val="24"/>
          <w:highlight w:val="none"/>
        </w:rPr>
      </w:pPr>
    </w:p>
    <w:p>
      <w:pPr>
        <w:widowControl/>
        <w:spacing w:line="460" w:lineRule="exact"/>
        <w:ind w:firstLine="480"/>
        <w:rPr>
          <w:sz w:val="24"/>
          <w:szCs w:val="24"/>
          <w:highlight w:val="none"/>
        </w:rPr>
        <w:sectPr>
          <w:footerReference r:id="rId23" w:type="default"/>
          <w:pgSz w:w="16838" w:h="11905" w:orient="landscape"/>
          <w:pgMar w:top="1803" w:right="1440" w:bottom="1418" w:left="1134" w:header="850" w:footer="992" w:gutter="0"/>
          <w:cols w:space="0" w:num="1"/>
          <w:docGrid w:linePitch="381" w:charSpace="0"/>
        </w:sectPr>
      </w:pPr>
    </w:p>
    <w:p>
      <w:pPr>
        <w:pStyle w:val="4"/>
        <w:numPr>
          <w:ilvl w:val="0"/>
          <w:numId w:val="1"/>
        </w:numPr>
        <w:rPr>
          <w:rFonts w:ascii="Times New Roman"/>
          <w:sz w:val="36"/>
          <w:highlight w:val="none"/>
        </w:rPr>
      </w:pPr>
      <w:bookmarkStart w:id="627" w:name="_Toc19889413"/>
      <w:bookmarkStart w:id="628" w:name="_Toc3945"/>
      <w:bookmarkStart w:id="629" w:name="_Toc524285127"/>
      <w:bookmarkStart w:id="630" w:name="_Toc521591842"/>
      <w:bookmarkStart w:id="631" w:name="_Toc477175443"/>
      <w:bookmarkStart w:id="632" w:name="_Toc503218134"/>
      <w:bookmarkStart w:id="633" w:name="_Toc1582"/>
      <w:bookmarkStart w:id="634" w:name="_Toc2143"/>
      <w:bookmarkStart w:id="635" w:name="_Toc239045818"/>
      <w:bookmarkStart w:id="636" w:name="_Toc12583"/>
      <w:bookmarkStart w:id="637" w:name="_Toc499651435"/>
      <w:r>
        <w:rPr>
          <w:rFonts w:ascii="Times New Roman"/>
          <w:sz w:val="36"/>
          <w:highlight w:val="none"/>
        </w:rPr>
        <w:t>结论</w:t>
      </w:r>
      <w:bookmarkEnd w:id="627"/>
      <w:bookmarkEnd w:id="628"/>
      <w:bookmarkEnd w:id="629"/>
      <w:bookmarkEnd w:id="630"/>
      <w:bookmarkEnd w:id="631"/>
      <w:bookmarkEnd w:id="632"/>
      <w:bookmarkEnd w:id="633"/>
      <w:bookmarkEnd w:id="634"/>
      <w:bookmarkEnd w:id="635"/>
      <w:bookmarkEnd w:id="636"/>
      <w:bookmarkEnd w:id="637"/>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638" w:name="_Toc239045819"/>
      <w:bookmarkStart w:id="639" w:name="_Toc18635"/>
      <w:bookmarkStart w:id="640" w:name="_Toc499651436"/>
      <w:bookmarkStart w:id="641" w:name="_Toc4785"/>
      <w:bookmarkStart w:id="642" w:name="_Toc521591843"/>
      <w:bookmarkStart w:id="643" w:name="_Toc19889414"/>
      <w:bookmarkStart w:id="644" w:name="_Toc524285128"/>
      <w:bookmarkStart w:id="645" w:name="_Toc503218135"/>
      <w:bookmarkStart w:id="646" w:name="_Toc477175444"/>
      <w:bookmarkStart w:id="647" w:name="_Toc7048"/>
      <w:bookmarkStart w:id="648" w:name="_Toc5175"/>
      <w:r>
        <w:rPr>
          <w:rFonts w:ascii="Times New Roman" w:hAnsi="Times New Roman" w:eastAsia="宋体"/>
          <w:bCs w:val="0"/>
          <w:snapToGrid w:val="0"/>
          <w:kern w:val="0"/>
          <w:sz w:val="28"/>
          <w:szCs w:val="28"/>
          <w:highlight w:val="none"/>
        </w:rPr>
        <w:t>项目</w:t>
      </w:r>
      <w:bookmarkEnd w:id="638"/>
      <w:r>
        <w:rPr>
          <w:rFonts w:ascii="Times New Roman" w:hAnsi="Times New Roman" w:eastAsia="宋体"/>
          <w:bCs w:val="0"/>
          <w:snapToGrid w:val="0"/>
          <w:kern w:val="0"/>
          <w:sz w:val="28"/>
          <w:szCs w:val="28"/>
          <w:highlight w:val="none"/>
        </w:rPr>
        <w:t>概况</w:t>
      </w:r>
      <w:bookmarkEnd w:id="639"/>
      <w:bookmarkEnd w:id="640"/>
      <w:bookmarkEnd w:id="641"/>
      <w:bookmarkEnd w:id="642"/>
      <w:bookmarkEnd w:id="643"/>
      <w:bookmarkEnd w:id="644"/>
      <w:bookmarkEnd w:id="645"/>
      <w:bookmarkEnd w:id="646"/>
      <w:bookmarkEnd w:id="647"/>
      <w:bookmarkEnd w:id="648"/>
      <w:bookmarkStart w:id="649" w:name="_Toc239045820"/>
    </w:p>
    <w:p>
      <w:pPr>
        <w:ind w:firstLine="560" w:firstLineChars="0"/>
        <w:rPr>
          <w:sz w:val="24"/>
          <w:szCs w:val="24"/>
          <w:highlight w:val="none"/>
        </w:rPr>
      </w:pPr>
      <w:bookmarkStart w:id="650" w:name="_Toc16585"/>
      <w:bookmarkStart w:id="651" w:name="_Toc521591844"/>
      <w:bookmarkStart w:id="652" w:name="_Toc503218136"/>
      <w:bookmarkStart w:id="653" w:name="_Toc5193"/>
      <w:bookmarkStart w:id="654" w:name="_Toc6424"/>
      <w:bookmarkStart w:id="655" w:name="_Toc524285129"/>
      <w:bookmarkStart w:id="656" w:name="_Toc499651437"/>
      <w:r>
        <w:rPr>
          <w:bCs/>
          <w:sz w:val="24"/>
          <w:szCs w:val="24"/>
          <w:highlight w:val="none"/>
        </w:rPr>
        <w:t>（1）项目名称：</w:t>
      </w:r>
      <w:r>
        <w:rPr>
          <w:rFonts w:hint="eastAsia"/>
          <w:bCs/>
          <w:sz w:val="24"/>
          <w:szCs w:val="24"/>
          <w:highlight w:val="none"/>
        </w:rPr>
        <w:t>遵化恒新矿业有限公司年处理 60 万吨铁矿石、120万吨粗精矿项目</w:t>
      </w:r>
    </w:p>
    <w:p>
      <w:pPr>
        <w:ind w:firstLine="560" w:firstLineChars="0"/>
        <w:rPr>
          <w:bCs/>
          <w:sz w:val="24"/>
          <w:szCs w:val="24"/>
          <w:highlight w:val="none"/>
        </w:rPr>
      </w:pPr>
      <w:r>
        <w:rPr>
          <w:bCs/>
          <w:sz w:val="24"/>
          <w:szCs w:val="24"/>
          <w:highlight w:val="none"/>
        </w:rPr>
        <w:t>（2）建设性质：</w:t>
      </w:r>
      <w:r>
        <w:rPr>
          <w:rFonts w:hint="eastAsia"/>
          <w:bCs/>
          <w:sz w:val="24"/>
          <w:szCs w:val="24"/>
          <w:highlight w:val="none"/>
        </w:rPr>
        <w:t>改扩</w:t>
      </w:r>
      <w:r>
        <w:rPr>
          <w:bCs/>
          <w:sz w:val="24"/>
          <w:szCs w:val="24"/>
          <w:highlight w:val="none"/>
        </w:rPr>
        <w:t>建</w:t>
      </w:r>
    </w:p>
    <w:p>
      <w:pPr>
        <w:ind w:firstLine="560" w:firstLineChars="0"/>
        <w:rPr>
          <w:bCs/>
          <w:sz w:val="24"/>
          <w:szCs w:val="24"/>
          <w:highlight w:val="none"/>
        </w:rPr>
      </w:pPr>
      <w:r>
        <w:rPr>
          <w:bCs/>
          <w:sz w:val="24"/>
          <w:szCs w:val="24"/>
          <w:highlight w:val="none"/>
        </w:rPr>
        <w:t>（3）建设单位：</w:t>
      </w:r>
      <w:r>
        <w:rPr>
          <w:rFonts w:hint="eastAsia"/>
          <w:bCs/>
          <w:sz w:val="24"/>
          <w:szCs w:val="24"/>
          <w:highlight w:val="none"/>
        </w:rPr>
        <w:t>遵化恒新矿业有限公司</w:t>
      </w:r>
    </w:p>
    <w:p>
      <w:pPr>
        <w:ind w:firstLine="560" w:firstLineChars="0"/>
        <w:rPr>
          <w:bCs/>
          <w:sz w:val="24"/>
          <w:szCs w:val="24"/>
          <w:highlight w:val="none"/>
        </w:rPr>
      </w:pPr>
      <w:r>
        <w:rPr>
          <w:bCs/>
          <w:sz w:val="24"/>
          <w:szCs w:val="24"/>
          <w:highlight w:val="none"/>
        </w:rPr>
        <w:t>（4）建设</w:t>
      </w:r>
      <w:r>
        <w:rPr>
          <w:rFonts w:hint="eastAsia"/>
          <w:sz w:val="24"/>
          <w:szCs w:val="24"/>
          <w:highlight w:val="none"/>
        </w:rPr>
        <w:t>地点：遵化市新店子镇马店子村遵化恒新矿业有限公司现有厂区内，不新增占地，厂区中心地理位置坐标为北纬40°6′33.35″、东经117°59′11.73″。</w:t>
      </w:r>
    </w:p>
    <w:p>
      <w:pPr>
        <w:ind w:firstLine="560" w:firstLineChars="0"/>
        <w:rPr>
          <w:sz w:val="24"/>
          <w:szCs w:val="24"/>
          <w:highlight w:val="none"/>
        </w:rPr>
      </w:pPr>
      <w:r>
        <w:rPr>
          <w:bCs/>
          <w:sz w:val="24"/>
          <w:szCs w:val="24"/>
          <w:highlight w:val="none"/>
        </w:rPr>
        <w:t>（5）周边关系：</w:t>
      </w:r>
      <w:r>
        <w:rPr>
          <w:rFonts w:hint="eastAsia"/>
          <w:sz w:val="24"/>
          <w:szCs w:val="24"/>
          <w:highlight w:val="none"/>
        </w:rPr>
        <w:t>本项目厂区外东侧为闲置厂房，南侧隔乡道为农田，西侧为空地，北侧隔小路为农田。</w:t>
      </w:r>
    </w:p>
    <w:p>
      <w:pPr>
        <w:snapToGrid w:val="0"/>
        <w:ind w:firstLine="480"/>
        <w:jc w:val="both"/>
        <w:rPr>
          <w:highlight w:val="none"/>
        </w:rPr>
      </w:pPr>
      <w:r>
        <w:rPr>
          <w:bCs/>
          <w:sz w:val="24"/>
          <w:szCs w:val="24"/>
          <w:highlight w:val="none"/>
        </w:rPr>
        <w:t>（</w:t>
      </w:r>
      <w:r>
        <w:rPr>
          <w:rFonts w:hint="eastAsia"/>
          <w:bCs/>
          <w:sz w:val="24"/>
          <w:szCs w:val="24"/>
          <w:highlight w:val="none"/>
        </w:rPr>
        <w:t>6</w:t>
      </w:r>
      <w:r>
        <w:rPr>
          <w:bCs/>
          <w:sz w:val="24"/>
          <w:szCs w:val="24"/>
          <w:highlight w:val="none"/>
        </w:rPr>
        <w:t>）建设内容及规模：</w:t>
      </w:r>
      <w:r>
        <w:rPr>
          <w:sz w:val="24"/>
          <w:szCs w:val="24"/>
          <w:highlight w:val="none"/>
        </w:rPr>
        <w:t>本项目</w:t>
      </w:r>
      <w:r>
        <w:rPr>
          <w:rFonts w:hint="eastAsia"/>
          <w:sz w:val="24"/>
          <w:szCs w:val="24"/>
          <w:highlight w:val="none"/>
        </w:rPr>
        <w:t>在</w:t>
      </w:r>
      <w:r>
        <w:rPr>
          <w:rFonts w:hint="eastAsia"/>
          <w:bCs/>
          <w:sz w:val="24"/>
          <w:szCs w:val="24"/>
          <w:highlight w:val="none"/>
        </w:rPr>
        <w:t>遵化恒新矿业有限公司现有厂区内利用现有厂房进行建设，不新增占地，主要对现有破碎筛分设备进行升级改造，同时新增2套精选设备，现有粗选设备保持不变，</w:t>
      </w:r>
      <w:r>
        <w:rPr>
          <w:rFonts w:hint="eastAsia"/>
          <w:sz w:val="24"/>
          <w:szCs w:val="24"/>
          <w:highlight w:val="none"/>
        </w:rPr>
        <w:t>项目建成后全厂年处理60万吨铁矿石、120万吨粗精矿，年产66%铁精粉100万吨。</w:t>
      </w:r>
    </w:p>
    <w:p>
      <w:pPr>
        <w:ind w:firstLine="480"/>
        <w:jc w:val="both"/>
        <w:rPr>
          <w:bCs/>
          <w:sz w:val="24"/>
          <w:szCs w:val="24"/>
          <w:highlight w:val="none"/>
        </w:rPr>
      </w:pPr>
      <w:r>
        <w:rPr>
          <w:bCs/>
          <w:sz w:val="24"/>
          <w:szCs w:val="24"/>
          <w:highlight w:val="none"/>
        </w:rPr>
        <w:t>（</w:t>
      </w:r>
      <w:r>
        <w:rPr>
          <w:rFonts w:hint="eastAsia"/>
          <w:bCs/>
          <w:sz w:val="24"/>
          <w:szCs w:val="24"/>
          <w:highlight w:val="none"/>
        </w:rPr>
        <w:t>7</w:t>
      </w:r>
      <w:r>
        <w:rPr>
          <w:bCs/>
          <w:sz w:val="24"/>
          <w:szCs w:val="24"/>
          <w:highlight w:val="none"/>
        </w:rPr>
        <w:t>）</w:t>
      </w:r>
      <w:r>
        <w:rPr>
          <w:sz w:val="24"/>
          <w:szCs w:val="24"/>
          <w:highlight w:val="none"/>
        </w:rPr>
        <w:t>项目投资：本项目总投资为</w:t>
      </w:r>
      <w:r>
        <w:rPr>
          <w:rFonts w:hint="eastAsia"/>
          <w:sz w:val="24"/>
          <w:szCs w:val="24"/>
          <w:highlight w:val="none"/>
        </w:rPr>
        <w:t>28</w:t>
      </w:r>
      <w:r>
        <w:rPr>
          <w:sz w:val="24"/>
          <w:szCs w:val="24"/>
          <w:highlight w:val="none"/>
        </w:rPr>
        <w:t>00万元，其中环保投资估算</w:t>
      </w:r>
      <w:r>
        <w:rPr>
          <w:rFonts w:hint="eastAsia"/>
          <w:sz w:val="24"/>
          <w:szCs w:val="24"/>
          <w:highlight w:val="none"/>
        </w:rPr>
        <w:t>110</w:t>
      </w:r>
      <w:r>
        <w:rPr>
          <w:sz w:val="24"/>
          <w:szCs w:val="24"/>
          <w:highlight w:val="none"/>
        </w:rPr>
        <w:t>万元，占总投资的比例为</w:t>
      </w:r>
      <w:r>
        <w:rPr>
          <w:rFonts w:hint="eastAsia"/>
          <w:sz w:val="24"/>
          <w:szCs w:val="24"/>
          <w:highlight w:val="none"/>
        </w:rPr>
        <w:t>3.9</w:t>
      </w:r>
      <w:r>
        <w:rPr>
          <w:sz w:val="24"/>
          <w:szCs w:val="24"/>
          <w:highlight w:val="none"/>
        </w:rPr>
        <w:t>%。</w:t>
      </w:r>
    </w:p>
    <w:p>
      <w:pPr>
        <w:ind w:firstLine="480"/>
        <w:jc w:val="both"/>
        <w:rPr>
          <w:bCs/>
          <w:sz w:val="24"/>
          <w:szCs w:val="24"/>
          <w:highlight w:val="none"/>
        </w:rPr>
      </w:pPr>
      <w:r>
        <w:rPr>
          <w:bCs/>
          <w:sz w:val="24"/>
          <w:szCs w:val="24"/>
          <w:highlight w:val="none"/>
        </w:rPr>
        <w:t>（</w:t>
      </w:r>
      <w:r>
        <w:rPr>
          <w:rFonts w:hint="eastAsia"/>
          <w:bCs/>
          <w:sz w:val="24"/>
          <w:szCs w:val="24"/>
          <w:highlight w:val="none"/>
        </w:rPr>
        <w:t>8</w:t>
      </w:r>
      <w:r>
        <w:rPr>
          <w:bCs/>
          <w:sz w:val="24"/>
          <w:szCs w:val="24"/>
          <w:highlight w:val="none"/>
        </w:rPr>
        <w:t>）建设周期：20</w:t>
      </w:r>
      <w:r>
        <w:rPr>
          <w:rFonts w:hint="eastAsia"/>
          <w:bCs/>
          <w:sz w:val="24"/>
          <w:szCs w:val="24"/>
          <w:highlight w:val="none"/>
        </w:rPr>
        <w:t>23</w:t>
      </w:r>
      <w:r>
        <w:rPr>
          <w:bCs/>
          <w:sz w:val="24"/>
          <w:szCs w:val="24"/>
          <w:highlight w:val="none"/>
        </w:rPr>
        <w:t>年</w:t>
      </w:r>
      <w:r>
        <w:rPr>
          <w:rFonts w:hint="eastAsia"/>
          <w:bCs/>
          <w:sz w:val="24"/>
          <w:szCs w:val="24"/>
          <w:highlight w:val="none"/>
        </w:rPr>
        <w:t>9</w:t>
      </w:r>
      <w:r>
        <w:rPr>
          <w:bCs/>
          <w:sz w:val="24"/>
          <w:szCs w:val="24"/>
          <w:highlight w:val="none"/>
        </w:rPr>
        <w:t>月-202</w:t>
      </w:r>
      <w:r>
        <w:rPr>
          <w:rFonts w:hint="eastAsia"/>
          <w:bCs/>
          <w:sz w:val="24"/>
          <w:szCs w:val="24"/>
          <w:highlight w:val="none"/>
        </w:rPr>
        <w:t>4</w:t>
      </w:r>
      <w:r>
        <w:rPr>
          <w:bCs/>
          <w:sz w:val="24"/>
          <w:szCs w:val="24"/>
          <w:highlight w:val="none"/>
        </w:rPr>
        <w:t>年</w:t>
      </w:r>
      <w:r>
        <w:rPr>
          <w:rFonts w:hint="eastAsia"/>
          <w:bCs/>
          <w:sz w:val="24"/>
          <w:szCs w:val="24"/>
          <w:highlight w:val="none"/>
        </w:rPr>
        <w:t>3</w:t>
      </w:r>
      <w:r>
        <w:rPr>
          <w:bCs/>
          <w:sz w:val="24"/>
          <w:szCs w:val="24"/>
          <w:highlight w:val="none"/>
        </w:rPr>
        <w:t>月</w:t>
      </w:r>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657" w:name="_Toc30705"/>
      <w:r>
        <w:rPr>
          <w:rFonts w:ascii="Times New Roman" w:hAnsi="Times New Roman" w:eastAsia="宋体"/>
          <w:bCs w:val="0"/>
          <w:snapToGrid w:val="0"/>
          <w:kern w:val="0"/>
          <w:sz w:val="28"/>
          <w:szCs w:val="28"/>
          <w:highlight w:val="none"/>
        </w:rPr>
        <w:t>评价结论</w:t>
      </w:r>
      <w:bookmarkEnd w:id="650"/>
      <w:bookmarkEnd w:id="651"/>
      <w:bookmarkEnd w:id="652"/>
      <w:bookmarkEnd w:id="653"/>
      <w:bookmarkEnd w:id="654"/>
      <w:bookmarkEnd w:id="655"/>
      <w:bookmarkEnd w:id="656"/>
      <w:bookmarkEnd w:id="657"/>
    </w:p>
    <w:p>
      <w:pPr>
        <w:pStyle w:val="6"/>
        <w:rPr>
          <w:highlight w:val="none"/>
        </w:rPr>
      </w:pPr>
      <w:bookmarkStart w:id="658" w:name="_Toc477175445"/>
      <w:bookmarkStart w:id="659" w:name="_Toc521591845"/>
      <w:bookmarkStart w:id="660" w:name="_Toc24966"/>
      <w:r>
        <w:rPr>
          <w:highlight w:val="none"/>
        </w:rPr>
        <w:t>9.2.1评价区环境质量现状</w:t>
      </w:r>
      <w:bookmarkEnd w:id="649"/>
      <w:bookmarkEnd w:id="658"/>
      <w:bookmarkEnd w:id="659"/>
      <w:bookmarkEnd w:id="660"/>
    </w:p>
    <w:p>
      <w:pPr>
        <w:pStyle w:val="3"/>
        <w:rPr>
          <w:highlight w:val="none"/>
        </w:rPr>
      </w:pPr>
      <w:r>
        <w:rPr>
          <w:highlight w:val="none"/>
        </w:rPr>
        <w:t>9.2.1.1环境空气</w:t>
      </w:r>
    </w:p>
    <w:p>
      <w:pPr>
        <w:ind w:firstLine="480"/>
        <w:jc w:val="both"/>
        <w:rPr>
          <w:sz w:val="24"/>
          <w:szCs w:val="24"/>
          <w:highlight w:val="none"/>
        </w:rPr>
      </w:pPr>
      <w:r>
        <w:rPr>
          <w:sz w:val="24"/>
          <w:szCs w:val="24"/>
          <w:highlight w:val="none"/>
        </w:rPr>
        <w:t>根据20</w:t>
      </w:r>
      <w:r>
        <w:rPr>
          <w:rFonts w:hint="eastAsia"/>
          <w:sz w:val="24"/>
          <w:szCs w:val="24"/>
          <w:highlight w:val="none"/>
        </w:rPr>
        <w:t>23</w:t>
      </w:r>
      <w:r>
        <w:rPr>
          <w:sz w:val="24"/>
          <w:szCs w:val="24"/>
          <w:highlight w:val="none"/>
        </w:rPr>
        <w:t>年6月年唐山市</w:t>
      </w:r>
      <w:r>
        <w:rPr>
          <w:rFonts w:hint="eastAsia"/>
          <w:sz w:val="24"/>
          <w:szCs w:val="24"/>
          <w:highlight w:val="none"/>
        </w:rPr>
        <w:t>生态环境</w:t>
      </w:r>
      <w:r>
        <w:rPr>
          <w:sz w:val="24"/>
          <w:szCs w:val="24"/>
          <w:highlight w:val="none"/>
        </w:rPr>
        <w:t>局发布的《20</w:t>
      </w:r>
      <w:r>
        <w:rPr>
          <w:rFonts w:hint="eastAsia"/>
          <w:sz w:val="24"/>
          <w:szCs w:val="24"/>
          <w:highlight w:val="none"/>
        </w:rPr>
        <w:t>22</w:t>
      </w:r>
      <w:r>
        <w:rPr>
          <w:sz w:val="24"/>
          <w:szCs w:val="24"/>
          <w:highlight w:val="none"/>
        </w:rPr>
        <w:t>年唐山市环境状况公报》显示，</w:t>
      </w:r>
      <w:r>
        <w:rPr>
          <w:rFonts w:hint="eastAsia"/>
          <w:sz w:val="24"/>
          <w:szCs w:val="24"/>
          <w:highlight w:val="none"/>
        </w:rPr>
        <w:t>2022年全市优良天数275天，同比增加19天，优良天数比例为75.3%，同比提高5.2个百分点。重度污染以上天数3天，占比0.8%，同比减少5天。全市空气质量综合指数4.47，同比下降10.6%，排名全国168个重点监测城市倒38名，较2021年提升30个位次。</w:t>
      </w:r>
    </w:p>
    <w:p>
      <w:pPr>
        <w:ind w:firstLine="480"/>
        <w:jc w:val="both"/>
        <w:rPr>
          <w:sz w:val="24"/>
          <w:szCs w:val="24"/>
          <w:highlight w:val="none"/>
        </w:rPr>
      </w:pPr>
      <w:r>
        <w:rPr>
          <w:rFonts w:hint="eastAsia"/>
          <w:sz w:val="24"/>
          <w:szCs w:val="24"/>
          <w:highlight w:val="none"/>
        </w:rPr>
        <w:t>综上</w:t>
      </w:r>
      <w:r>
        <w:rPr>
          <w:sz w:val="24"/>
          <w:szCs w:val="24"/>
          <w:highlight w:val="none"/>
        </w:rPr>
        <w:t>，项目所在区域（唐山市）属于非达标区。</w:t>
      </w:r>
    </w:p>
    <w:p>
      <w:pPr>
        <w:pStyle w:val="3"/>
        <w:rPr>
          <w:highlight w:val="none"/>
        </w:rPr>
      </w:pPr>
      <w:r>
        <w:rPr>
          <w:highlight w:val="none"/>
        </w:rPr>
        <w:t>9.2.1.</w:t>
      </w:r>
      <w:r>
        <w:rPr>
          <w:rFonts w:hint="eastAsia"/>
          <w:highlight w:val="none"/>
        </w:rPr>
        <w:t>2</w:t>
      </w:r>
      <w:r>
        <w:rPr>
          <w:highlight w:val="none"/>
        </w:rPr>
        <w:t>地下水水环境</w:t>
      </w:r>
    </w:p>
    <w:p>
      <w:pPr>
        <w:autoSpaceDE w:val="0"/>
        <w:autoSpaceDN w:val="0"/>
        <w:ind w:firstLine="480"/>
        <w:jc w:val="both"/>
        <w:textAlignment w:val="auto"/>
        <w:rPr>
          <w:sz w:val="24"/>
          <w:highlight w:val="none"/>
        </w:rPr>
      </w:pPr>
      <w:r>
        <w:rPr>
          <w:bCs/>
          <w:sz w:val="24"/>
          <w:highlight w:val="none"/>
        </w:rPr>
        <w:t>由评价结果可知，监测地下水水质点各项监测指标均能满足《地下水质量标准》（GB/T14848-2017）III类水质标准</w:t>
      </w:r>
      <w:bookmarkStart w:id="661" w:name="_Hlk535601511"/>
      <w:r>
        <w:rPr>
          <w:bCs/>
          <w:sz w:val="24"/>
          <w:highlight w:val="none"/>
        </w:rPr>
        <w:t>（石油类满足</w:t>
      </w:r>
      <w:r>
        <w:rPr>
          <w:bCs/>
          <w:spacing w:val="4"/>
          <w:sz w:val="24"/>
          <w:highlight w:val="none"/>
        </w:rPr>
        <w:t>《地表水环境质量标准》（GB3838-2002）III 类标准</w:t>
      </w:r>
      <w:r>
        <w:rPr>
          <w:bCs/>
          <w:sz w:val="24"/>
          <w:highlight w:val="none"/>
        </w:rPr>
        <w:t>）</w:t>
      </w:r>
      <w:bookmarkEnd w:id="661"/>
      <w:r>
        <w:rPr>
          <w:bCs/>
          <w:sz w:val="24"/>
          <w:highlight w:val="none"/>
        </w:rPr>
        <w:t>。因此，总体来说评价区地下水水质现状良好。</w:t>
      </w:r>
    </w:p>
    <w:p>
      <w:pPr>
        <w:pStyle w:val="3"/>
        <w:rPr>
          <w:highlight w:val="none"/>
        </w:rPr>
      </w:pPr>
      <w:r>
        <w:rPr>
          <w:highlight w:val="none"/>
        </w:rPr>
        <w:t>9.2.1.</w:t>
      </w:r>
      <w:r>
        <w:rPr>
          <w:rFonts w:hint="eastAsia"/>
          <w:highlight w:val="none"/>
        </w:rPr>
        <w:t>3</w:t>
      </w:r>
      <w:r>
        <w:rPr>
          <w:highlight w:val="none"/>
        </w:rPr>
        <w:t>声环境</w:t>
      </w:r>
    </w:p>
    <w:p>
      <w:pPr>
        <w:autoSpaceDE w:val="0"/>
        <w:autoSpaceDN w:val="0"/>
        <w:ind w:firstLine="480"/>
        <w:jc w:val="both"/>
        <w:textAlignment w:val="auto"/>
        <w:rPr>
          <w:sz w:val="24"/>
          <w:highlight w:val="none"/>
        </w:rPr>
      </w:pPr>
      <w:bookmarkStart w:id="662" w:name="_Toc239045821"/>
      <w:r>
        <w:rPr>
          <w:sz w:val="24"/>
          <w:highlight w:val="none"/>
        </w:rPr>
        <w:t>根据监测结果，本项目厂界噪声现状能够满足《声环境质量标准》（GB3096-2008）2类标准，</w:t>
      </w:r>
      <w:bookmarkStart w:id="663" w:name="_Toc477175446"/>
      <w:r>
        <w:rPr>
          <w:sz w:val="24"/>
          <w:highlight w:val="none"/>
        </w:rPr>
        <w:t>区域噪声环境质量较好。</w:t>
      </w:r>
    </w:p>
    <w:p>
      <w:pPr>
        <w:pStyle w:val="3"/>
        <w:rPr>
          <w:highlight w:val="none"/>
        </w:rPr>
      </w:pPr>
      <w:r>
        <w:rPr>
          <w:rFonts w:hint="eastAsia"/>
          <w:highlight w:val="none"/>
        </w:rPr>
        <w:t>9.2.1.4土壤环境现状</w:t>
      </w:r>
    </w:p>
    <w:p>
      <w:pPr>
        <w:autoSpaceDE w:val="0"/>
        <w:autoSpaceDN w:val="0"/>
        <w:ind w:firstLine="480"/>
        <w:jc w:val="both"/>
        <w:textAlignment w:val="auto"/>
        <w:rPr>
          <w:sz w:val="24"/>
          <w:highlight w:val="none"/>
        </w:rPr>
      </w:pPr>
      <w:r>
        <w:rPr>
          <w:rFonts w:hint="eastAsia"/>
          <w:sz w:val="24"/>
          <w:szCs w:val="22"/>
          <w:highlight w:val="none"/>
        </w:rPr>
        <w:t>根据土壤环境现状监测可知，项目土壤现状满足《土壤环境质量 建设用地土壤污染风险管控标准（试行）》(GB36600-2018)表1建设用地土壤污染风险筛选值第二类用地标准，未出现超标现象。</w:t>
      </w:r>
    </w:p>
    <w:p>
      <w:pPr>
        <w:pStyle w:val="6"/>
        <w:rPr>
          <w:highlight w:val="none"/>
        </w:rPr>
      </w:pPr>
      <w:bookmarkStart w:id="664" w:name="_Toc28030"/>
      <w:bookmarkStart w:id="665" w:name="_Toc521591846"/>
      <w:r>
        <w:rPr>
          <w:highlight w:val="none"/>
        </w:rPr>
        <w:t>9.2.2污染物排放情况</w:t>
      </w:r>
      <w:bookmarkEnd w:id="663"/>
      <w:bookmarkEnd w:id="664"/>
      <w:bookmarkEnd w:id="665"/>
    </w:p>
    <w:p>
      <w:pPr>
        <w:pStyle w:val="3"/>
        <w:rPr>
          <w:highlight w:val="none"/>
        </w:rPr>
      </w:pPr>
      <w:r>
        <w:rPr>
          <w:highlight w:val="none"/>
        </w:rPr>
        <w:t>9.2.2.1 废气</w:t>
      </w:r>
    </w:p>
    <w:p>
      <w:pPr>
        <w:ind w:firstLine="480"/>
        <w:jc w:val="both"/>
        <w:rPr>
          <w:bCs/>
          <w:sz w:val="24"/>
          <w:szCs w:val="24"/>
          <w:highlight w:val="none"/>
        </w:rPr>
      </w:pPr>
      <w:r>
        <w:rPr>
          <w:bCs/>
          <w:sz w:val="24"/>
          <w:szCs w:val="24"/>
          <w:highlight w:val="none"/>
        </w:rPr>
        <w:t>本项目上料、物料转运过程采取相应处理措施后，排放的颗粒物较少；运输粉尘通过采取洒水降尘等措施后，可以大大降低运输道理扬尘的影响；原料库粉尘通过封闭车间、设置喷淋系统，排放量较小。破碎筛分</w:t>
      </w:r>
      <w:r>
        <w:rPr>
          <w:rFonts w:hint="eastAsia"/>
          <w:bCs/>
          <w:sz w:val="24"/>
          <w:szCs w:val="24"/>
          <w:highlight w:val="none"/>
        </w:rPr>
        <w:t>、干选</w:t>
      </w:r>
      <w:r>
        <w:rPr>
          <w:bCs/>
          <w:sz w:val="24"/>
          <w:szCs w:val="24"/>
          <w:highlight w:val="none"/>
        </w:rPr>
        <w:t>工序产生的颗粒物经处理后的排放速率和排放浓度均能满足</w:t>
      </w:r>
      <w:r>
        <w:rPr>
          <w:sz w:val="24"/>
          <w:szCs w:val="24"/>
          <w:highlight w:val="none"/>
        </w:rPr>
        <w:t>《铁矿采选工业污染物排放标准》(GB28661-2012)相应限值要求</w:t>
      </w:r>
      <w:r>
        <w:rPr>
          <w:bCs/>
          <w:sz w:val="24"/>
          <w:szCs w:val="24"/>
          <w:highlight w:val="none"/>
        </w:rPr>
        <w:t>。经预测，厂界颗粒物浓度能满足</w:t>
      </w:r>
      <w:r>
        <w:rPr>
          <w:sz w:val="24"/>
          <w:szCs w:val="24"/>
          <w:highlight w:val="none"/>
        </w:rPr>
        <w:t>《铁矿采选工业污染物排放标准》(GB28661-2012)相应限值要求，</w:t>
      </w:r>
      <w:r>
        <w:rPr>
          <w:bCs/>
          <w:sz w:val="24"/>
          <w:szCs w:val="24"/>
          <w:highlight w:val="none"/>
        </w:rPr>
        <w:t>对环境空气质量影响较小。</w:t>
      </w:r>
    </w:p>
    <w:p>
      <w:pPr>
        <w:pStyle w:val="3"/>
        <w:rPr>
          <w:highlight w:val="none"/>
        </w:rPr>
      </w:pPr>
      <w:r>
        <w:rPr>
          <w:highlight w:val="none"/>
        </w:rPr>
        <w:t>9.2.2.2 废水</w:t>
      </w:r>
    </w:p>
    <w:p>
      <w:pPr>
        <w:ind w:firstLine="480"/>
        <w:jc w:val="both"/>
        <w:rPr>
          <w:bCs/>
          <w:sz w:val="24"/>
          <w:szCs w:val="24"/>
          <w:highlight w:val="none"/>
        </w:rPr>
      </w:pPr>
      <w:r>
        <w:rPr>
          <w:bCs/>
          <w:sz w:val="24"/>
          <w:szCs w:val="24"/>
          <w:highlight w:val="none"/>
        </w:rPr>
        <w:t>本项目营运期间废水主要为</w:t>
      </w:r>
      <w:r>
        <w:rPr>
          <w:rFonts w:hint="eastAsia"/>
          <w:bCs/>
          <w:sz w:val="24"/>
          <w:szCs w:val="24"/>
          <w:highlight w:val="none"/>
        </w:rPr>
        <w:t>湿式筛分废水、球磨磁选</w:t>
      </w:r>
      <w:r>
        <w:rPr>
          <w:bCs/>
          <w:sz w:val="24"/>
          <w:szCs w:val="24"/>
          <w:highlight w:val="none"/>
        </w:rPr>
        <w:t>废水、洗车废水、车间地面清洗废水、生活废水。</w:t>
      </w:r>
      <w:r>
        <w:rPr>
          <w:rFonts w:hint="eastAsia"/>
          <w:bCs/>
          <w:sz w:val="24"/>
          <w:szCs w:val="24"/>
          <w:highlight w:val="none"/>
        </w:rPr>
        <w:t>湿式筛分废水随筛下物一同进入打捞机，捞出砂子后，废水回用于废石筛分，不外排；球磨磁选废水、</w:t>
      </w:r>
      <w:r>
        <w:rPr>
          <w:bCs/>
          <w:sz w:val="24"/>
          <w:szCs w:val="24"/>
          <w:highlight w:val="none"/>
        </w:rPr>
        <w:t>车间地面清洗废水</w:t>
      </w:r>
      <w:r>
        <w:rPr>
          <w:rFonts w:hint="eastAsia"/>
          <w:bCs/>
          <w:sz w:val="24"/>
          <w:szCs w:val="24"/>
          <w:highlight w:val="none"/>
        </w:rPr>
        <w:t>经沉淀、选砂处理后，排入浓密池内，上清液排入清水池回用于生产，不外排；</w:t>
      </w:r>
      <w:r>
        <w:rPr>
          <w:bCs/>
          <w:sz w:val="24"/>
          <w:szCs w:val="24"/>
          <w:highlight w:val="none"/>
        </w:rPr>
        <w:t>洗车废水经</w:t>
      </w:r>
      <w:r>
        <w:rPr>
          <w:rFonts w:hint="eastAsia"/>
          <w:bCs/>
          <w:sz w:val="24"/>
          <w:szCs w:val="24"/>
          <w:highlight w:val="none"/>
        </w:rPr>
        <w:t>沉淀</w:t>
      </w:r>
      <w:r>
        <w:rPr>
          <w:bCs/>
          <w:sz w:val="24"/>
          <w:szCs w:val="24"/>
          <w:highlight w:val="none"/>
        </w:rPr>
        <w:t>处理后全部回用</w:t>
      </w:r>
      <w:r>
        <w:rPr>
          <w:rFonts w:hint="eastAsia"/>
          <w:bCs/>
          <w:sz w:val="24"/>
          <w:szCs w:val="24"/>
          <w:highlight w:val="none"/>
        </w:rPr>
        <w:t>，不外排</w:t>
      </w:r>
      <w:r>
        <w:rPr>
          <w:bCs/>
          <w:sz w:val="24"/>
          <w:szCs w:val="24"/>
          <w:highlight w:val="none"/>
        </w:rPr>
        <w:t>。员工盥洗废水，用于厂区道路洒水抑尘，不外排，粪便废水排入旱厕，定期清掏用于肥田，不外排。</w:t>
      </w:r>
    </w:p>
    <w:p>
      <w:pPr>
        <w:pStyle w:val="3"/>
        <w:rPr>
          <w:highlight w:val="none"/>
        </w:rPr>
      </w:pPr>
      <w:r>
        <w:rPr>
          <w:highlight w:val="none"/>
        </w:rPr>
        <w:t>9.2.2.3 噪声</w:t>
      </w:r>
    </w:p>
    <w:p>
      <w:pPr>
        <w:ind w:firstLine="480"/>
        <w:jc w:val="both"/>
        <w:rPr>
          <w:bCs/>
          <w:sz w:val="24"/>
          <w:szCs w:val="24"/>
          <w:highlight w:val="none"/>
        </w:rPr>
      </w:pPr>
      <w:r>
        <w:rPr>
          <w:sz w:val="24"/>
          <w:szCs w:val="24"/>
          <w:highlight w:val="none"/>
        </w:rPr>
        <w:t>本项目噪声主要为破碎机、振动筛、</w:t>
      </w:r>
      <w:r>
        <w:rPr>
          <w:rFonts w:hint="eastAsia"/>
          <w:sz w:val="24"/>
          <w:szCs w:val="24"/>
          <w:highlight w:val="none"/>
        </w:rPr>
        <w:t>磁滑轮、</w:t>
      </w:r>
      <w:r>
        <w:rPr>
          <w:kern w:val="2"/>
          <w:sz w:val="24"/>
          <w:szCs w:val="24"/>
          <w:highlight w:val="none"/>
        </w:rPr>
        <w:t>球磨机、磁选机、水泵等</w:t>
      </w:r>
      <w:r>
        <w:rPr>
          <w:sz w:val="24"/>
          <w:szCs w:val="24"/>
          <w:highlight w:val="none"/>
        </w:rPr>
        <w:t>设备运行时产生的噪声。</w:t>
      </w:r>
      <w:r>
        <w:rPr>
          <w:bCs/>
          <w:sz w:val="24"/>
          <w:szCs w:val="24"/>
          <w:highlight w:val="none"/>
        </w:rPr>
        <w:t>项目主要噪声源经建筑隔声、基础减振等措施后，外排噪声对外环境影响较小。</w:t>
      </w:r>
    </w:p>
    <w:p>
      <w:pPr>
        <w:pStyle w:val="3"/>
        <w:rPr>
          <w:highlight w:val="none"/>
        </w:rPr>
      </w:pPr>
      <w:r>
        <w:rPr>
          <w:highlight w:val="none"/>
        </w:rPr>
        <w:t>9.2.2.4 固废</w:t>
      </w:r>
    </w:p>
    <w:p>
      <w:pPr>
        <w:ind w:firstLine="480"/>
        <w:jc w:val="both"/>
        <w:rPr>
          <w:bCs/>
          <w:sz w:val="24"/>
          <w:szCs w:val="24"/>
          <w:highlight w:val="none"/>
        </w:rPr>
      </w:pPr>
      <w:r>
        <w:rPr>
          <w:rFonts w:hint="eastAsia"/>
          <w:bCs/>
          <w:sz w:val="24"/>
          <w:szCs w:val="24"/>
          <w:highlight w:val="none"/>
        </w:rPr>
        <w:t>本项目</w:t>
      </w:r>
      <w:r>
        <w:rPr>
          <w:bCs/>
          <w:sz w:val="24"/>
          <w:szCs w:val="24"/>
          <w:highlight w:val="none"/>
        </w:rPr>
        <w:t>产生的一般工业固体废物主要为尾矿砂、</w:t>
      </w:r>
      <w:r>
        <w:rPr>
          <w:rFonts w:hint="eastAsia"/>
          <w:bCs/>
          <w:sz w:val="24"/>
          <w:szCs w:val="24"/>
          <w:highlight w:val="none"/>
        </w:rPr>
        <w:t>泥饼</w:t>
      </w:r>
      <w:r>
        <w:rPr>
          <w:bCs/>
          <w:sz w:val="24"/>
          <w:szCs w:val="24"/>
          <w:highlight w:val="none"/>
        </w:rPr>
        <w:t>、</w:t>
      </w:r>
      <w:r>
        <w:rPr>
          <w:rFonts w:hint="eastAsia"/>
          <w:bCs/>
          <w:sz w:val="24"/>
          <w:szCs w:val="24"/>
          <w:highlight w:val="none"/>
        </w:rPr>
        <w:t>砂石料、</w:t>
      </w:r>
      <w:r>
        <w:rPr>
          <w:bCs/>
          <w:sz w:val="24"/>
          <w:szCs w:val="24"/>
          <w:highlight w:val="none"/>
        </w:rPr>
        <w:t>废钢球、除尘器收集的粉尘，危险废物为设备保养维护产生的废</w:t>
      </w:r>
      <w:r>
        <w:rPr>
          <w:rFonts w:hint="eastAsia"/>
          <w:bCs/>
          <w:sz w:val="24"/>
          <w:szCs w:val="24"/>
          <w:highlight w:val="none"/>
        </w:rPr>
        <w:t>矿物油</w:t>
      </w:r>
      <w:r>
        <w:rPr>
          <w:bCs/>
          <w:sz w:val="24"/>
          <w:szCs w:val="24"/>
          <w:highlight w:val="none"/>
        </w:rPr>
        <w:t>、废油桶。</w:t>
      </w:r>
    </w:p>
    <w:p>
      <w:pPr>
        <w:ind w:firstLine="480"/>
        <w:jc w:val="both"/>
        <w:rPr>
          <w:bCs/>
          <w:sz w:val="24"/>
          <w:szCs w:val="24"/>
          <w:highlight w:val="none"/>
        </w:rPr>
      </w:pPr>
      <w:r>
        <w:rPr>
          <w:bCs/>
          <w:sz w:val="24"/>
          <w:szCs w:val="24"/>
          <w:highlight w:val="none"/>
        </w:rPr>
        <w:t>尾矿砂</w:t>
      </w:r>
      <w:r>
        <w:rPr>
          <w:rFonts w:hint="eastAsia"/>
          <w:bCs/>
          <w:sz w:val="24"/>
          <w:szCs w:val="24"/>
          <w:highlight w:val="none"/>
        </w:rPr>
        <w:t>、泥饼、砂石料</w:t>
      </w:r>
      <w:r>
        <w:rPr>
          <w:bCs/>
          <w:sz w:val="24"/>
          <w:szCs w:val="24"/>
          <w:highlight w:val="none"/>
        </w:rPr>
        <w:t>全部外售至当地建材厂作为原料综合利用；除尘器收集的粉尘回用于生产系统，不外排；废钢球由供应厂家回收利用。废</w:t>
      </w:r>
      <w:r>
        <w:rPr>
          <w:rFonts w:hint="eastAsia"/>
          <w:bCs/>
          <w:sz w:val="24"/>
          <w:szCs w:val="24"/>
          <w:highlight w:val="none"/>
        </w:rPr>
        <w:t>矿物油</w:t>
      </w:r>
      <w:r>
        <w:rPr>
          <w:bCs/>
          <w:sz w:val="24"/>
          <w:szCs w:val="24"/>
          <w:highlight w:val="none"/>
        </w:rPr>
        <w:t>和废油桶收集于危险废物暂存间，交由有资质的单位进行处理。</w:t>
      </w:r>
    </w:p>
    <w:p>
      <w:pPr>
        <w:pStyle w:val="6"/>
        <w:rPr>
          <w:highlight w:val="none"/>
        </w:rPr>
      </w:pPr>
      <w:bookmarkStart w:id="666" w:name="_Toc24573"/>
      <w:r>
        <w:rPr>
          <w:highlight w:val="none"/>
        </w:rPr>
        <w:t>9.2.3主要环境影响</w:t>
      </w:r>
      <w:bookmarkEnd w:id="666"/>
    </w:p>
    <w:p>
      <w:pPr>
        <w:pStyle w:val="3"/>
        <w:rPr>
          <w:highlight w:val="none"/>
        </w:rPr>
      </w:pPr>
      <w:r>
        <w:rPr>
          <w:highlight w:val="none"/>
        </w:rPr>
        <w:t>9.2.3.1大气环境影响</w:t>
      </w:r>
    </w:p>
    <w:p>
      <w:pPr>
        <w:widowControl/>
        <w:ind w:firstLine="480"/>
        <w:jc w:val="both"/>
        <w:textAlignment w:val="auto"/>
        <w:rPr>
          <w:kern w:val="2"/>
          <w:sz w:val="24"/>
          <w:szCs w:val="24"/>
          <w:highlight w:val="none"/>
        </w:rPr>
      </w:pPr>
      <w:r>
        <w:rPr>
          <w:kern w:val="2"/>
          <w:sz w:val="24"/>
          <w:szCs w:val="24"/>
          <w:highlight w:val="none"/>
        </w:rPr>
        <w:t>由预测结果可知，破碎车间有组织排放的PM</w:t>
      </w:r>
      <w:r>
        <w:rPr>
          <w:kern w:val="2"/>
          <w:sz w:val="24"/>
          <w:szCs w:val="24"/>
          <w:highlight w:val="none"/>
          <w:vertAlign w:val="subscript"/>
        </w:rPr>
        <w:t>10</w:t>
      </w:r>
      <w:r>
        <w:rPr>
          <w:kern w:val="2"/>
          <w:sz w:val="24"/>
          <w:szCs w:val="24"/>
          <w:highlight w:val="none"/>
        </w:rPr>
        <w:t>最大浓度为0.0</w:t>
      </w:r>
      <w:r>
        <w:rPr>
          <w:rFonts w:hint="eastAsia"/>
          <w:kern w:val="2"/>
          <w:sz w:val="24"/>
          <w:szCs w:val="24"/>
          <w:highlight w:val="none"/>
        </w:rPr>
        <w:t>0725m</w:t>
      </w:r>
      <w:r>
        <w:rPr>
          <w:kern w:val="2"/>
          <w:sz w:val="24"/>
          <w:szCs w:val="24"/>
          <w:highlight w:val="none"/>
        </w:rPr>
        <w:t>g/m</w:t>
      </w:r>
      <w:r>
        <w:rPr>
          <w:kern w:val="2"/>
          <w:sz w:val="24"/>
          <w:szCs w:val="24"/>
          <w:highlight w:val="none"/>
          <w:vertAlign w:val="superscript"/>
        </w:rPr>
        <w:t>3</w:t>
      </w:r>
      <w:r>
        <w:rPr>
          <w:kern w:val="2"/>
          <w:sz w:val="24"/>
          <w:szCs w:val="24"/>
          <w:highlight w:val="none"/>
        </w:rPr>
        <w:t>，最大浓度占标率为</w:t>
      </w:r>
      <w:r>
        <w:rPr>
          <w:rFonts w:hint="eastAsia"/>
          <w:kern w:val="2"/>
          <w:sz w:val="24"/>
          <w:szCs w:val="24"/>
          <w:highlight w:val="none"/>
        </w:rPr>
        <w:t>1.61</w:t>
      </w:r>
      <w:r>
        <w:rPr>
          <w:kern w:val="2"/>
          <w:sz w:val="24"/>
          <w:szCs w:val="24"/>
          <w:highlight w:val="none"/>
        </w:rPr>
        <w:t>%，有组织排放的PM</w:t>
      </w:r>
      <w:r>
        <w:rPr>
          <w:rFonts w:hint="eastAsia"/>
          <w:kern w:val="2"/>
          <w:sz w:val="24"/>
          <w:szCs w:val="24"/>
          <w:highlight w:val="none"/>
          <w:vertAlign w:val="subscript"/>
        </w:rPr>
        <w:t>2.5</w:t>
      </w:r>
      <w:r>
        <w:rPr>
          <w:kern w:val="2"/>
          <w:sz w:val="24"/>
          <w:szCs w:val="24"/>
          <w:highlight w:val="none"/>
        </w:rPr>
        <w:t>最大浓度为0.0</w:t>
      </w:r>
      <w:r>
        <w:rPr>
          <w:rFonts w:hint="eastAsia"/>
          <w:kern w:val="2"/>
          <w:sz w:val="24"/>
          <w:szCs w:val="24"/>
          <w:highlight w:val="none"/>
        </w:rPr>
        <w:t>0362m</w:t>
      </w:r>
      <w:r>
        <w:rPr>
          <w:kern w:val="2"/>
          <w:sz w:val="24"/>
          <w:szCs w:val="24"/>
          <w:highlight w:val="none"/>
        </w:rPr>
        <w:t>g/m</w:t>
      </w:r>
      <w:r>
        <w:rPr>
          <w:kern w:val="2"/>
          <w:sz w:val="24"/>
          <w:szCs w:val="24"/>
          <w:highlight w:val="none"/>
          <w:vertAlign w:val="superscript"/>
        </w:rPr>
        <w:t>3</w:t>
      </w:r>
      <w:r>
        <w:rPr>
          <w:kern w:val="2"/>
          <w:sz w:val="24"/>
          <w:szCs w:val="24"/>
          <w:highlight w:val="none"/>
        </w:rPr>
        <w:t>，最大浓度占标率为</w:t>
      </w:r>
      <w:r>
        <w:rPr>
          <w:rFonts w:hint="eastAsia"/>
          <w:kern w:val="2"/>
          <w:sz w:val="24"/>
          <w:szCs w:val="24"/>
          <w:highlight w:val="none"/>
        </w:rPr>
        <w:t>1.61</w:t>
      </w:r>
      <w:r>
        <w:rPr>
          <w:kern w:val="2"/>
          <w:sz w:val="24"/>
          <w:szCs w:val="24"/>
          <w:highlight w:val="none"/>
        </w:rPr>
        <w:t>%，无组织排放的TSP最大浓度为0.0</w:t>
      </w:r>
      <w:r>
        <w:rPr>
          <w:rFonts w:hint="eastAsia"/>
          <w:kern w:val="2"/>
          <w:sz w:val="24"/>
          <w:szCs w:val="24"/>
          <w:highlight w:val="none"/>
        </w:rPr>
        <w:t>4526m</w:t>
      </w:r>
      <w:r>
        <w:rPr>
          <w:kern w:val="2"/>
          <w:sz w:val="21"/>
          <w:szCs w:val="21"/>
          <w:highlight w:val="none"/>
        </w:rPr>
        <w:t>g/m</w:t>
      </w:r>
      <w:r>
        <w:rPr>
          <w:kern w:val="2"/>
          <w:sz w:val="21"/>
          <w:szCs w:val="21"/>
          <w:highlight w:val="none"/>
          <w:vertAlign w:val="superscript"/>
        </w:rPr>
        <w:t>3</w:t>
      </w:r>
      <w:r>
        <w:rPr>
          <w:kern w:val="2"/>
          <w:sz w:val="24"/>
          <w:szCs w:val="24"/>
          <w:highlight w:val="none"/>
        </w:rPr>
        <w:t>，最大浓度占标率为</w:t>
      </w:r>
      <w:r>
        <w:rPr>
          <w:rFonts w:hint="eastAsia"/>
          <w:kern w:val="2"/>
          <w:sz w:val="24"/>
          <w:szCs w:val="24"/>
          <w:highlight w:val="none"/>
        </w:rPr>
        <w:t>5.03</w:t>
      </w:r>
      <w:r>
        <w:rPr>
          <w:kern w:val="2"/>
          <w:sz w:val="24"/>
          <w:szCs w:val="24"/>
          <w:highlight w:val="none"/>
        </w:rPr>
        <w:t>%。</w:t>
      </w:r>
    </w:p>
    <w:p>
      <w:pPr>
        <w:ind w:firstLine="480"/>
        <w:textAlignment w:val="auto"/>
        <w:rPr>
          <w:kern w:val="2"/>
          <w:sz w:val="24"/>
          <w:szCs w:val="24"/>
          <w:highlight w:val="none"/>
        </w:rPr>
      </w:pPr>
      <w:r>
        <w:rPr>
          <w:kern w:val="2"/>
          <w:sz w:val="24"/>
          <w:szCs w:val="24"/>
          <w:highlight w:val="none"/>
        </w:rPr>
        <w:t>根据无组织废气厂界预测结果，各厂界的预测浓度最大值均小于《铁矿采选工业污染物排放标准》（GB28661-2012）表7中无组织排放浓度限值（1.0mg/m</w:t>
      </w:r>
      <w:r>
        <w:rPr>
          <w:kern w:val="2"/>
          <w:sz w:val="24"/>
          <w:szCs w:val="24"/>
          <w:highlight w:val="none"/>
          <w:vertAlign w:val="superscript"/>
        </w:rPr>
        <w:t>3</w:t>
      </w:r>
      <w:r>
        <w:rPr>
          <w:kern w:val="2"/>
          <w:sz w:val="24"/>
          <w:szCs w:val="24"/>
          <w:highlight w:val="none"/>
        </w:rPr>
        <w:t>）。</w:t>
      </w:r>
    </w:p>
    <w:p>
      <w:pPr>
        <w:widowControl/>
        <w:wordWrap w:val="0"/>
        <w:ind w:firstLine="480"/>
        <w:textAlignment w:val="auto"/>
        <w:rPr>
          <w:kern w:val="2"/>
          <w:sz w:val="24"/>
          <w:szCs w:val="24"/>
          <w:highlight w:val="none"/>
        </w:rPr>
      </w:pPr>
      <w:r>
        <w:rPr>
          <w:kern w:val="2"/>
          <w:sz w:val="24"/>
          <w:szCs w:val="24"/>
          <w:highlight w:val="none"/>
        </w:rPr>
        <w:t>综上，项目排放的颗粒物对环境质量的贡献值较小，对周边环境空气质量影响较小。</w:t>
      </w:r>
    </w:p>
    <w:p>
      <w:pPr>
        <w:pStyle w:val="3"/>
        <w:rPr>
          <w:highlight w:val="none"/>
        </w:rPr>
      </w:pPr>
      <w:r>
        <w:rPr>
          <w:highlight w:val="none"/>
        </w:rPr>
        <w:t>9.2.3.2地表水环境影响</w:t>
      </w:r>
    </w:p>
    <w:p>
      <w:pPr>
        <w:autoSpaceDE w:val="0"/>
        <w:autoSpaceDN w:val="0"/>
        <w:ind w:firstLine="480"/>
        <w:jc w:val="both"/>
        <w:textAlignment w:val="auto"/>
        <w:rPr>
          <w:bCs/>
          <w:sz w:val="24"/>
          <w:szCs w:val="24"/>
          <w:highlight w:val="none"/>
        </w:rPr>
      </w:pPr>
      <w:r>
        <w:rPr>
          <w:bCs/>
          <w:sz w:val="24"/>
          <w:szCs w:val="24"/>
          <w:highlight w:val="none"/>
        </w:rPr>
        <w:t>铁精粉过滤水和尾矿浆均通过管道排入旋流罐，旋流罐上清液再经浓密池处理、</w:t>
      </w:r>
      <w:r>
        <w:rPr>
          <w:rFonts w:hint="eastAsia"/>
          <w:bCs/>
          <w:sz w:val="24"/>
          <w:szCs w:val="24"/>
          <w:highlight w:val="none"/>
        </w:rPr>
        <w:t>旋流罐底流</w:t>
      </w:r>
      <w:r>
        <w:rPr>
          <w:bCs/>
          <w:sz w:val="24"/>
          <w:szCs w:val="24"/>
          <w:highlight w:val="none"/>
        </w:rPr>
        <w:t>经</w:t>
      </w:r>
      <w:r>
        <w:rPr>
          <w:rFonts w:hint="eastAsia"/>
          <w:bCs/>
          <w:sz w:val="24"/>
          <w:szCs w:val="24"/>
          <w:highlight w:val="none"/>
        </w:rPr>
        <w:t>脱水</w:t>
      </w:r>
      <w:r>
        <w:rPr>
          <w:bCs/>
          <w:sz w:val="24"/>
          <w:szCs w:val="24"/>
          <w:highlight w:val="none"/>
        </w:rPr>
        <w:t>筛处理</w:t>
      </w:r>
      <w:r>
        <w:rPr>
          <w:rFonts w:hint="eastAsia"/>
          <w:bCs/>
          <w:sz w:val="24"/>
          <w:szCs w:val="24"/>
          <w:highlight w:val="none"/>
        </w:rPr>
        <w:t>、浓密池底流经压滤机处理后</w:t>
      </w:r>
      <w:r>
        <w:rPr>
          <w:bCs/>
          <w:sz w:val="24"/>
          <w:szCs w:val="24"/>
          <w:highlight w:val="none"/>
        </w:rPr>
        <w:t>，实现尾矿浆中的水分与大颗粒尾矿砂分离。最终，浓密池的上清液、</w:t>
      </w:r>
      <w:r>
        <w:rPr>
          <w:rFonts w:hint="eastAsia"/>
          <w:bCs/>
          <w:sz w:val="24"/>
          <w:szCs w:val="24"/>
          <w:highlight w:val="none"/>
        </w:rPr>
        <w:t>压滤机</w:t>
      </w:r>
      <w:r>
        <w:rPr>
          <w:bCs/>
          <w:sz w:val="24"/>
          <w:szCs w:val="24"/>
          <w:highlight w:val="none"/>
        </w:rPr>
        <w:t>的滤液经管道汇集于清水池暂存，回用于生产，形成闭路循环，不外排。</w:t>
      </w:r>
    </w:p>
    <w:p>
      <w:pPr>
        <w:autoSpaceDE w:val="0"/>
        <w:autoSpaceDN w:val="0"/>
        <w:ind w:firstLine="480"/>
        <w:jc w:val="both"/>
        <w:textAlignment w:val="auto"/>
        <w:rPr>
          <w:bCs/>
          <w:sz w:val="24"/>
          <w:szCs w:val="24"/>
          <w:highlight w:val="none"/>
        </w:rPr>
      </w:pPr>
      <w:r>
        <w:rPr>
          <w:bCs/>
          <w:sz w:val="24"/>
          <w:szCs w:val="24"/>
          <w:highlight w:val="none"/>
        </w:rPr>
        <w:t>汽车冲洗废水经沉淀池沉淀后回用，不外排。</w:t>
      </w:r>
    </w:p>
    <w:p>
      <w:pPr>
        <w:autoSpaceDE w:val="0"/>
        <w:autoSpaceDN w:val="0"/>
        <w:ind w:firstLine="480"/>
        <w:jc w:val="both"/>
        <w:textAlignment w:val="auto"/>
        <w:rPr>
          <w:bCs/>
          <w:sz w:val="24"/>
          <w:szCs w:val="24"/>
          <w:highlight w:val="none"/>
        </w:rPr>
      </w:pPr>
      <w:r>
        <w:rPr>
          <w:bCs/>
          <w:sz w:val="24"/>
          <w:szCs w:val="24"/>
          <w:highlight w:val="none"/>
        </w:rPr>
        <w:t>本项目生产废水不外排，不会对周围地表水环境产生影响。</w:t>
      </w:r>
    </w:p>
    <w:p>
      <w:pPr>
        <w:pStyle w:val="3"/>
        <w:rPr>
          <w:highlight w:val="none"/>
        </w:rPr>
      </w:pPr>
      <w:r>
        <w:rPr>
          <w:highlight w:val="none"/>
        </w:rPr>
        <w:t>9.2.3.3声环境影响</w:t>
      </w:r>
    </w:p>
    <w:p>
      <w:pPr>
        <w:tabs>
          <w:tab w:val="right" w:leader="dot" w:pos="8647"/>
        </w:tabs>
        <w:ind w:firstLine="480"/>
        <w:jc w:val="both"/>
        <w:rPr>
          <w:sz w:val="24"/>
          <w:highlight w:val="none"/>
        </w:rPr>
      </w:pPr>
      <w:r>
        <w:rPr>
          <w:sz w:val="24"/>
          <w:highlight w:val="none"/>
        </w:rPr>
        <w:t>本项目噪声源主要来自生产过程中各种设备运行噪声，在采取本报告提出的噪声防治措施，再经墙体阻隔、距离衰减后，项目各种设备运转噪声对厂界处的噪声贡献值不大，经预测，项目厂界四周噪声贡献值均能达到《工业企业厂界环境噪声排放标准》（GB12348-2008）中的2类标准限值。本项目周边200m范围内无敏感点。因此，本项目的建设对项目所在地声环境影响较小。</w:t>
      </w:r>
    </w:p>
    <w:p>
      <w:pPr>
        <w:pStyle w:val="3"/>
        <w:rPr>
          <w:highlight w:val="none"/>
        </w:rPr>
      </w:pPr>
      <w:r>
        <w:rPr>
          <w:highlight w:val="none"/>
        </w:rPr>
        <w:t>9.2.3.4固体废物</w:t>
      </w:r>
    </w:p>
    <w:p>
      <w:pPr>
        <w:tabs>
          <w:tab w:val="right" w:leader="dot" w:pos="8647"/>
        </w:tabs>
        <w:ind w:firstLine="480"/>
        <w:jc w:val="both"/>
        <w:rPr>
          <w:bCs/>
          <w:sz w:val="24"/>
          <w:szCs w:val="24"/>
          <w:highlight w:val="none"/>
        </w:rPr>
      </w:pPr>
      <w:r>
        <w:rPr>
          <w:sz w:val="24"/>
          <w:highlight w:val="none"/>
        </w:rPr>
        <w:t>本项目产生的固体废物均得到合理处理、处置，不会对周围环境造成二次污染。</w:t>
      </w:r>
    </w:p>
    <w:p>
      <w:pPr>
        <w:pStyle w:val="3"/>
        <w:rPr>
          <w:highlight w:val="none"/>
        </w:rPr>
      </w:pPr>
      <w:r>
        <w:rPr>
          <w:highlight w:val="none"/>
        </w:rPr>
        <w:t>9.2.3.5生态环境影响</w:t>
      </w:r>
    </w:p>
    <w:p>
      <w:pPr>
        <w:ind w:firstLine="560" w:firstLineChars="0"/>
        <w:rPr>
          <w:sz w:val="24"/>
          <w:highlight w:val="none"/>
        </w:rPr>
      </w:pPr>
      <w:r>
        <w:rPr>
          <w:sz w:val="24"/>
          <w:highlight w:val="none"/>
        </w:rPr>
        <w:t>本项目</w:t>
      </w:r>
      <w:r>
        <w:rPr>
          <w:rFonts w:hint="eastAsia"/>
          <w:sz w:val="24"/>
          <w:highlight w:val="none"/>
        </w:rPr>
        <w:t>在</w:t>
      </w:r>
      <w:r>
        <w:rPr>
          <w:rFonts w:hint="eastAsia"/>
          <w:bCs/>
          <w:sz w:val="24"/>
          <w:szCs w:val="24"/>
          <w:highlight w:val="none"/>
        </w:rPr>
        <w:t>遵化恒新矿业有限公司</w:t>
      </w:r>
      <w:r>
        <w:rPr>
          <w:rFonts w:hint="eastAsia"/>
          <w:sz w:val="24"/>
          <w:highlight w:val="none"/>
        </w:rPr>
        <w:t>现有厂区内进行建设</w:t>
      </w:r>
      <w:r>
        <w:rPr>
          <w:sz w:val="24"/>
          <w:highlight w:val="none"/>
        </w:rPr>
        <w:t>，</w:t>
      </w:r>
      <w:r>
        <w:rPr>
          <w:rFonts w:hint="eastAsia"/>
          <w:sz w:val="24"/>
          <w:highlight w:val="none"/>
        </w:rPr>
        <w:t>不新增占地，</w:t>
      </w:r>
      <w:r>
        <w:rPr>
          <w:sz w:val="24"/>
          <w:highlight w:val="none"/>
        </w:rPr>
        <w:t>无地表植被覆盖，项目建设不会对区域生态环境质量产生不利影响。</w:t>
      </w:r>
    </w:p>
    <w:p>
      <w:pPr>
        <w:pStyle w:val="3"/>
        <w:rPr>
          <w:highlight w:val="none"/>
        </w:rPr>
      </w:pPr>
      <w:r>
        <w:rPr>
          <w:rFonts w:hint="eastAsia"/>
          <w:highlight w:val="none"/>
        </w:rPr>
        <w:t>9.2.3.6土壤</w:t>
      </w:r>
    </w:p>
    <w:p>
      <w:pPr>
        <w:tabs>
          <w:tab w:val="right" w:leader="dot" w:pos="8647"/>
        </w:tabs>
        <w:ind w:firstLine="480"/>
        <w:jc w:val="both"/>
        <w:rPr>
          <w:sz w:val="24"/>
          <w:highlight w:val="none"/>
        </w:rPr>
      </w:pPr>
      <w:r>
        <w:rPr>
          <w:rFonts w:hint="eastAsia"/>
          <w:sz w:val="24"/>
          <w:szCs w:val="22"/>
          <w:highlight w:val="none"/>
        </w:rPr>
        <w:t>根据土壤环境现状监测可知，项目土壤现状满足《土壤环境质量 建设用地土壤污染风险管控标准（试行）》(GB36600-2018)表1建设用地土壤污染风险筛选值第二类用地标准，均未出现超标现象。在落实相关环保措施及跟踪监测计划的情况下，从土壤环境影响的角度出发分析，项目建设可行，不会对土壤环境造成影响。</w:t>
      </w:r>
    </w:p>
    <w:p>
      <w:pPr>
        <w:pStyle w:val="6"/>
        <w:rPr>
          <w:highlight w:val="none"/>
        </w:rPr>
      </w:pPr>
      <w:bookmarkStart w:id="667" w:name="_Toc477175447"/>
      <w:bookmarkStart w:id="668" w:name="_Toc521591847"/>
      <w:bookmarkStart w:id="669" w:name="_Toc12540"/>
      <w:r>
        <w:rPr>
          <w:highlight w:val="none"/>
        </w:rPr>
        <w:t>9.2.</w:t>
      </w:r>
      <w:bookmarkEnd w:id="667"/>
      <w:bookmarkEnd w:id="668"/>
      <w:r>
        <w:rPr>
          <w:highlight w:val="none"/>
        </w:rPr>
        <w:t>4环境保护措施</w:t>
      </w:r>
      <w:bookmarkEnd w:id="669"/>
    </w:p>
    <w:p>
      <w:pPr>
        <w:ind w:firstLine="482"/>
        <w:jc w:val="both"/>
        <w:rPr>
          <w:b/>
          <w:sz w:val="24"/>
          <w:szCs w:val="24"/>
          <w:highlight w:val="none"/>
        </w:rPr>
      </w:pPr>
      <w:r>
        <w:rPr>
          <w:rFonts w:hint="eastAsia"/>
          <w:b/>
          <w:sz w:val="24"/>
          <w:szCs w:val="24"/>
          <w:highlight w:val="none"/>
        </w:rPr>
        <w:t>（1）废气治理措施</w:t>
      </w:r>
    </w:p>
    <w:p>
      <w:pPr>
        <w:ind w:firstLine="480"/>
        <w:jc w:val="both"/>
        <w:rPr>
          <w:bCs/>
          <w:sz w:val="24"/>
          <w:szCs w:val="24"/>
          <w:highlight w:val="none"/>
        </w:rPr>
      </w:pPr>
      <w:r>
        <w:rPr>
          <w:rFonts w:hint="eastAsia"/>
          <w:bCs/>
          <w:sz w:val="24"/>
          <w:szCs w:val="24"/>
          <w:highlight w:val="none"/>
        </w:rPr>
        <w:t>①矿石破碎、筛分过程中产生的颗粒物</w:t>
      </w:r>
    </w:p>
    <w:p>
      <w:pPr>
        <w:ind w:firstLine="480"/>
        <w:rPr>
          <w:bCs/>
          <w:sz w:val="24"/>
          <w:szCs w:val="24"/>
          <w:highlight w:val="none"/>
        </w:rPr>
      </w:pPr>
      <w:r>
        <w:rPr>
          <w:bCs/>
          <w:sz w:val="24"/>
          <w:szCs w:val="24"/>
          <w:highlight w:val="none"/>
        </w:rPr>
        <w:t>本项目破碎筛分工序均在封闭的车间内，在各破碎机、振动筛进料、出料口、入料口分别设置1个集气罩，粉尘经集气管收集进入脉冲布袋收尘器处理后，经1</w:t>
      </w:r>
      <w:r>
        <w:rPr>
          <w:rFonts w:hint="eastAsia"/>
          <w:bCs/>
          <w:sz w:val="24"/>
          <w:szCs w:val="24"/>
          <w:highlight w:val="none"/>
        </w:rPr>
        <w:t>8</w:t>
      </w:r>
      <w:r>
        <w:rPr>
          <w:bCs/>
          <w:sz w:val="24"/>
          <w:szCs w:val="24"/>
          <w:highlight w:val="none"/>
        </w:rPr>
        <w:t>m高排气筒排放。</w:t>
      </w:r>
    </w:p>
    <w:p>
      <w:pPr>
        <w:ind w:firstLine="480"/>
        <w:rPr>
          <w:bCs/>
          <w:sz w:val="24"/>
          <w:szCs w:val="24"/>
          <w:highlight w:val="none"/>
        </w:rPr>
      </w:pPr>
      <w:r>
        <w:rPr>
          <w:bCs/>
          <w:sz w:val="24"/>
          <w:szCs w:val="24"/>
          <w:highlight w:val="none"/>
        </w:rPr>
        <w:t>粉尘收集</w:t>
      </w:r>
      <w:r>
        <w:rPr>
          <w:rFonts w:hint="eastAsia"/>
          <w:bCs/>
          <w:sz w:val="24"/>
          <w:szCs w:val="24"/>
          <w:highlight w:val="none"/>
        </w:rPr>
        <w:t>：</w:t>
      </w:r>
    </w:p>
    <w:p>
      <w:pPr>
        <w:ind w:left="140" w:leftChars="50" w:firstLine="360" w:firstLineChars="150"/>
        <w:rPr>
          <w:bCs/>
          <w:sz w:val="24"/>
          <w:szCs w:val="24"/>
          <w:highlight w:val="none"/>
        </w:rPr>
      </w:pPr>
      <w:r>
        <w:rPr>
          <w:bCs/>
          <w:sz w:val="24"/>
          <w:szCs w:val="24"/>
          <w:highlight w:val="none"/>
        </w:rPr>
        <w:t>a.颚式破碎机入料口设置皮质软帘封闭，出料口设置1个</w:t>
      </w:r>
      <w:r>
        <w:rPr>
          <w:rFonts w:hint="eastAsia"/>
          <w:bCs/>
          <w:sz w:val="24"/>
          <w:szCs w:val="24"/>
          <w:highlight w:val="none"/>
        </w:rPr>
        <w:t>皮带封</w:t>
      </w:r>
      <w:r>
        <w:rPr>
          <w:bCs/>
          <w:sz w:val="24"/>
          <w:szCs w:val="24"/>
          <w:highlight w:val="none"/>
        </w:rPr>
        <w:t>+集尘管道；</w:t>
      </w:r>
    </w:p>
    <w:p>
      <w:pPr>
        <w:ind w:left="140" w:leftChars="50" w:firstLine="360" w:firstLineChars="150"/>
        <w:rPr>
          <w:bCs/>
          <w:sz w:val="24"/>
          <w:szCs w:val="24"/>
          <w:highlight w:val="none"/>
        </w:rPr>
      </w:pPr>
      <w:r>
        <w:rPr>
          <w:bCs/>
          <w:sz w:val="24"/>
          <w:szCs w:val="24"/>
          <w:highlight w:val="none"/>
        </w:rPr>
        <w:t>b.</w:t>
      </w:r>
      <w:r>
        <w:rPr>
          <w:rFonts w:hint="eastAsia"/>
          <w:bCs/>
          <w:sz w:val="24"/>
          <w:szCs w:val="24"/>
          <w:highlight w:val="none"/>
        </w:rPr>
        <w:t>锤式</w:t>
      </w:r>
      <w:r>
        <w:rPr>
          <w:bCs/>
          <w:sz w:val="24"/>
          <w:szCs w:val="24"/>
          <w:highlight w:val="none"/>
        </w:rPr>
        <w:t>破碎机入料口设置1个集气罩+集尘管道，出料口设置1个</w:t>
      </w:r>
      <w:r>
        <w:rPr>
          <w:rFonts w:hint="eastAsia"/>
          <w:bCs/>
          <w:sz w:val="24"/>
          <w:szCs w:val="24"/>
          <w:highlight w:val="none"/>
        </w:rPr>
        <w:t>皮带封</w:t>
      </w:r>
      <w:r>
        <w:rPr>
          <w:bCs/>
          <w:sz w:val="24"/>
          <w:szCs w:val="24"/>
          <w:highlight w:val="none"/>
        </w:rPr>
        <w:t>+集尘管道；</w:t>
      </w:r>
    </w:p>
    <w:p>
      <w:pPr>
        <w:ind w:left="140" w:leftChars="50" w:firstLine="360" w:firstLineChars="150"/>
        <w:rPr>
          <w:bCs/>
          <w:sz w:val="24"/>
          <w:szCs w:val="24"/>
          <w:highlight w:val="none"/>
        </w:rPr>
      </w:pPr>
      <w:r>
        <w:rPr>
          <w:rFonts w:hint="eastAsia"/>
          <w:bCs/>
          <w:sz w:val="24"/>
          <w:szCs w:val="24"/>
          <w:highlight w:val="none"/>
        </w:rPr>
        <w:t>c</w:t>
      </w:r>
      <w:r>
        <w:rPr>
          <w:bCs/>
          <w:sz w:val="24"/>
          <w:szCs w:val="24"/>
          <w:highlight w:val="none"/>
        </w:rPr>
        <w:t>.振动筛入料口设置1个集气罩+筛面封闭+集尘管道，振动筛出料口设置1个</w:t>
      </w:r>
      <w:r>
        <w:rPr>
          <w:rFonts w:hint="eastAsia"/>
          <w:bCs/>
          <w:sz w:val="24"/>
          <w:szCs w:val="24"/>
          <w:highlight w:val="none"/>
        </w:rPr>
        <w:t>皮带封</w:t>
      </w:r>
      <w:r>
        <w:rPr>
          <w:bCs/>
          <w:sz w:val="24"/>
          <w:szCs w:val="24"/>
          <w:highlight w:val="none"/>
        </w:rPr>
        <w:t>+集尘管；</w:t>
      </w:r>
    </w:p>
    <w:p>
      <w:pPr>
        <w:ind w:left="140" w:leftChars="50" w:firstLine="360" w:firstLineChars="150"/>
        <w:rPr>
          <w:bCs/>
          <w:sz w:val="24"/>
          <w:szCs w:val="24"/>
          <w:highlight w:val="none"/>
        </w:rPr>
      </w:pPr>
      <w:r>
        <w:rPr>
          <w:rFonts w:hint="eastAsia"/>
          <w:bCs/>
          <w:sz w:val="24"/>
          <w:szCs w:val="24"/>
          <w:highlight w:val="none"/>
        </w:rPr>
        <w:t>d</w:t>
      </w:r>
      <w:r>
        <w:rPr>
          <w:bCs/>
          <w:sz w:val="24"/>
          <w:szCs w:val="24"/>
          <w:highlight w:val="none"/>
        </w:rPr>
        <w:t>.</w:t>
      </w:r>
      <w:r>
        <w:rPr>
          <w:rFonts w:hint="eastAsia"/>
          <w:bCs/>
          <w:sz w:val="24"/>
          <w:szCs w:val="24"/>
          <w:highlight w:val="none"/>
        </w:rPr>
        <w:t>中转</w:t>
      </w:r>
      <w:r>
        <w:rPr>
          <w:bCs/>
          <w:sz w:val="24"/>
          <w:szCs w:val="24"/>
          <w:highlight w:val="none"/>
        </w:rPr>
        <w:t>料仓顶部封闭+集尘管道并留有皮带落料口，料仓出料口设置1个</w:t>
      </w:r>
      <w:r>
        <w:rPr>
          <w:rFonts w:hint="eastAsia"/>
          <w:bCs/>
          <w:sz w:val="24"/>
          <w:szCs w:val="24"/>
          <w:highlight w:val="none"/>
        </w:rPr>
        <w:t>皮带封</w:t>
      </w:r>
      <w:r>
        <w:rPr>
          <w:bCs/>
          <w:sz w:val="24"/>
          <w:szCs w:val="24"/>
          <w:highlight w:val="none"/>
        </w:rPr>
        <w:t>+集尘管道。</w:t>
      </w:r>
    </w:p>
    <w:p>
      <w:pPr>
        <w:ind w:firstLine="480"/>
        <w:jc w:val="both"/>
        <w:rPr>
          <w:bCs/>
          <w:sz w:val="24"/>
          <w:szCs w:val="24"/>
          <w:highlight w:val="none"/>
        </w:rPr>
      </w:pPr>
      <w:r>
        <w:rPr>
          <w:rFonts w:hint="eastAsia"/>
          <w:bCs/>
          <w:sz w:val="24"/>
          <w:szCs w:val="24"/>
          <w:highlight w:val="none"/>
        </w:rPr>
        <w:t>本项目颗粒物的排放浓度满足《铁矿采选工业污染物排放标准》（GB28661-2012）表6中规定的选矿厂各工艺污染物特别排放限值，破碎筛分生产工序颗粒物最高允许排放限值为10mg/m</w:t>
      </w:r>
      <w:r>
        <w:rPr>
          <w:rFonts w:hint="eastAsia"/>
          <w:bCs/>
          <w:sz w:val="24"/>
          <w:szCs w:val="24"/>
          <w:highlight w:val="none"/>
          <w:vertAlign w:val="superscript"/>
        </w:rPr>
        <w:t>3</w:t>
      </w:r>
      <w:r>
        <w:rPr>
          <w:rFonts w:hint="eastAsia"/>
          <w:bCs/>
          <w:sz w:val="24"/>
          <w:szCs w:val="24"/>
          <w:highlight w:val="none"/>
        </w:rPr>
        <w:t>，最终经</w:t>
      </w:r>
      <w:r>
        <w:rPr>
          <w:bCs/>
          <w:sz w:val="24"/>
          <w:szCs w:val="24"/>
          <w:highlight w:val="none"/>
        </w:rPr>
        <w:t>1</w:t>
      </w:r>
      <w:r>
        <w:rPr>
          <w:rFonts w:hint="eastAsia"/>
          <w:bCs/>
          <w:sz w:val="24"/>
          <w:szCs w:val="24"/>
          <w:highlight w:val="none"/>
        </w:rPr>
        <w:t>8m高排气筒排放。</w:t>
      </w:r>
    </w:p>
    <w:p>
      <w:pPr>
        <w:ind w:firstLine="480"/>
        <w:jc w:val="both"/>
        <w:rPr>
          <w:bCs/>
          <w:sz w:val="24"/>
          <w:szCs w:val="24"/>
          <w:highlight w:val="none"/>
        </w:rPr>
      </w:pPr>
      <w:r>
        <w:rPr>
          <w:rFonts w:hint="eastAsia"/>
          <w:bCs/>
          <w:sz w:val="24"/>
          <w:szCs w:val="24"/>
          <w:highlight w:val="none"/>
        </w:rPr>
        <w:t>②矿石、尾矿砂、泥饼、砂石料、铁精粉等物料装卸、储存、转运过程中产生的颗粒物。</w:t>
      </w:r>
    </w:p>
    <w:p>
      <w:pPr>
        <w:ind w:firstLine="480"/>
        <w:jc w:val="both"/>
        <w:rPr>
          <w:bCs/>
          <w:sz w:val="24"/>
          <w:szCs w:val="24"/>
          <w:highlight w:val="none"/>
        </w:rPr>
      </w:pPr>
      <w:r>
        <w:rPr>
          <w:rFonts w:hint="eastAsia"/>
          <w:bCs/>
          <w:sz w:val="24"/>
          <w:szCs w:val="24"/>
          <w:highlight w:val="none"/>
        </w:rPr>
        <w:t>本项目物料在装卸、储存、转运过程均在封闭的车间内进行，不存在物料露天转运，并在装卸、储存、转运过程中采取喷雾抑尘措施（电伴热，管路使用保温棉保温），厂区道路由专人负责定期清扫、洒水抑尘，并在厂区门口设置汽车平台。采取上述措施后，本项目无组织排放颗粒物浓度满足《铁矿采选工业污染物排放标准》（GB28661-2012）表7中作业场所边界处颗粒物无组织排放限值为1.0mg/m³要求。</w:t>
      </w:r>
    </w:p>
    <w:p>
      <w:pPr>
        <w:ind w:firstLine="480"/>
        <w:jc w:val="both"/>
        <w:rPr>
          <w:bCs/>
          <w:sz w:val="24"/>
          <w:szCs w:val="24"/>
          <w:highlight w:val="none"/>
        </w:rPr>
      </w:pPr>
      <w:r>
        <w:rPr>
          <w:rFonts w:hint="eastAsia"/>
          <w:bCs/>
          <w:sz w:val="24"/>
          <w:szCs w:val="24"/>
          <w:highlight w:val="none"/>
        </w:rPr>
        <w:t>（2）废水治理措施</w:t>
      </w:r>
    </w:p>
    <w:p>
      <w:pPr>
        <w:ind w:firstLine="480"/>
        <w:jc w:val="both"/>
        <w:rPr>
          <w:bCs/>
          <w:sz w:val="24"/>
          <w:szCs w:val="24"/>
          <w:highlight w:val="none"/>
        </w:rPr>
      </w:pPr>
      <w:r>
        <w:rPr>
          <w:rFonts w:hint="eastAsia"/>
          <w:bCs/>
          <w:sz w:val="24"/>
          <w:szCs w:val="24"/>
          <w:highlight w:val="none"/>
        </w:rPr>
        <w:t>本项目铁精粉压滤水直接泵回一段磁选，循环使用不外排；尾矿废水经选砂后，随尾矿一起进入浓密池，经浓密池沉淀的上清液、压滤机压滤后的滤液收集于清水池暂存，作为生产用水回用，不外排；汽车冲洗废水及车间地面冲洗废水经沉淀后回用不外排。</w:t>
      </w:r>
    </w:p>
    <w:p>
      <w:pPr>
        <w:ind w:firstLine="480"/>
        <w:jc w:val="both"/>
        <w:rPr>
          <w:bCs/>
          <w:sz w:val="24"/>
          <w:szCs w:val="24"/>
          <w:highlight w:val="none"/>
        </w:rPr>
      </w:pPr>
      <w:r>
        <w:rPr>
          <w:rFonts w:hint="eastAsia"/>
          <w:bCs/>
          <w:sz w:val="24"/>
          <w:szCs w:val="24"/>
          <w:highlight w:val="none"/>
        </w:rPr>
        <w:t>（3）噪声治理措施</w:t>
      </w:r>
    </w:p>
    <w:p>
      <w:pPr>
        <w:ind w:firstLine="480"/>
        <w:jc w:val="both"/>
        <w:rPr>
          <w:bCs/>
          <w:sz w:val="24"/>
          <w:szCs w:val="24"/>
          <w:highlight w:val="none"/>
        </w:rPr>
      </w:pPr>
      <w:r>
        <w:rPr>
          <w:rFonts w:hint="eastAsia"/>
          <w:bCs/>
          <w:sz w:val="24"/>
          <w:szCs w:val="24"/>
          <w:highlight w:val="none"/>
        </w:rPr>
        <w:t>本项目噪声主要为破碎机、振动筛、球磨机、磁选机、水泵等设备运行时产生的噪声。设备置于封闭车间内，基础减振，泵类设置软连接，风机加装隔声罩等措施，确保厂界噪声达标。</w:t>
      </w:r>
    </w:p>
    <w:p>
      <w:pPr>
        <w:ind w:firstLine="480"/>
        <w:jc w:val="both"/>
        <w:rPr>
          <w:bCs/>
          <w:sz w:val="24"/>
          <w:szCs w:val="24"/>
          <w:highlight w:val="none"/>
        </w:rPr>
      </w:pPr>
      <w:r>
        <w:rPr>
          <w:rFonts w:hint="eastAsia"/>
          <w:bCs/>
          <w:sz w:val="24"/>
          <w:szCs w:val="24"/>
          <w:highlight w:val="none"/>
        </w:rPr>
        <w:t>（4）固体废物治理措施</w:t>
      </w:r>
    </w:p>
    <w:p>
      <w:pPr>
        <w:ind w:firstLine="480"/>
        <w:jc w:val="both"/>
        <w:rPr>
          <w:bCs/>
          <w:sz w:val="24"/>
          <w:szCs w:val="24"/>
          <w:highlight w:val="none"/>
        </w:rPr>
      </w:pPr>
      <w:r>
        <w:rPr>
          <w:rFonts w:hint="eastAsia"/>
          <w:bCs/>
          <w:sz w:val="24"/>
          <w:szCs w:val="24"/>
          <w:highlight w:val="none"/>
        </w:rPr>
        <w:t>本项目尾矿砂、泥饼、砂石料外售周边建材企业综合利用；除尘灰回用于生产，废钢球由厂家回收处理；危险废物废矿物油、废油桶暂存于厂内危废间，定期送有资质的危险废物处置单位处理。整体环保措施可行。</w:t>
      </w:r>
    </w:p>
    <w:p>
      <w:pPr>
        <w:ind w:firstLine="480"/>
        <w:jc w:val="both"/>
        <w:rPr>
          <w:bCs/>
          <w:sz w:val="24"/>
          <w:szCs w:val="24"/>
          <w:highlight w:val="none"/>
        </w:rPr>
      </w:pPr>
      <w:r>
        <w:rPr>
          <w:rFonts w:hint="eastAsia"/>
          <w:bCs/>
          <w:sz w:val="24"/>
          <w:szCs w:val="24"/>
          <w:highlight w:val="none"/>
        </w:rPr>
        <w:t>（5）防渗措施</w:t>
      </w:r>
    </w:p>
    <w:p>
      <w:pPr>
        <w:ind w:firstLine="480"/>
        <w:jc w:val="both"/>
        <w:rPr>
          <w:bCs/>
          <w:sz w:val="24"/>
          <w:szCs w:val="24"/>
          <w:highlight w:val="none"/>
        </w:rPr>
      </w:pPr>
      <w:bookmarkStart w:id="670" w:name="_Toc521591850"/>
      <w:bookmarkStart w:id="671" w:name="_Toc16767"/>
      <w:bookmarkStart w:id="672" w:name="_Toc477175450"/>
      <w:r>
        <w:rPr>
          <w:rFonts w:hint="eastAsia"/>
          <w:bCs/>
          <w:sz w:val="24"/>
          <w:szCs w:val="24"/>
          <w:highlight w:val="none"/>
        </w:rPr>
        <w:t>厂房、库房地面采用防渗混凝土结构，厚度为20cm，渗透系数≤10</w:t>
      </w:r>
      <w:r>
        <w:rPr>
          <w:rFonts w:hint="eastAsia"/>
          <w:bCs/>
          <w:sz w:val="24"/>
          <w:szCs w:val="24"/>
          <w:highlight w:val="none"/>
          <w:vertAlign w:val="superscript"/>
        </w:rPr>
        <w:t>-7</w:t>
      </w:r>
      <w:r>
        <w:rPr>
          <w:rFonts w:hint="eastAsia"/>
          <w:bCs/>
          <w:sz w:val="24"/>
          <w:szCs w:val="24"/>
          <w:highlight w:val="none"/>
        </w:rPr>
        <w:t>cm/s；浓密池、清水池、事故池、车辆清洗沉淀池底部及四壁均采用混凝土浇筑防渗，厚度为20cm，渗透系数小于1×10</w:t>
      </w:r>
      <w:r>
        <w:rPr>
          <w:rFonts w:hint="eastAsia"/>
          <w:bCs/>
          <w:sz w:val="24"/>
          <w:szCs w:val="24"/>
          <w:highlight w:val="none"/>
          <w:vertAlign w:val="superscript"/>
        </w:rPr>
        <w:t>-7</w:t>
      </w:r>
      <w:r>
        <w:rPr>
          <w:rFonts w:hint="eastAsia"/>
          <w:bCs/>
          <w:sz w:val="24"/>
          <w:szCs w:val="24"/>
          <w:highlight w:val="none"/>
        </w:rPr>
        <w:t xml:space="preserve"> cm/s；危废间地面与裙脚采取防渗措施，同时设置泄漏液体的收集装置。防渗层渗透系数小于10</w:t>
      </w:r>
      <w:r>
        <w:rPr>
          <w:rFonts w:hint="eastAsia"/>
          <w:bCs/>
          <w:sz w:val="24"/>
          <w:szCs w:val="24"/>
          <w:highlight w:val="none"/>
          <w:vertAlign w:val="superscript"/>
        </w:rPr>
        <w:t>-10</w:t>
      </w:r>
      <w:r>
        <w:rPr>
          <w:rFonts w:hint="eastAsia"/>
          <w:bCs/>
          <w:sz w:val="24"/>
          <w:szCs w:val="24"/>
          <w:highlight w:val="none"/>
        </w:rPr>
        <w:t>cm/s；物料输送管采用PVC管；尾矿浆输送使用PVC管或排水沟，集水沟槽均为混凝土结构，防渗层渗透系数小于1×10</w:t>
      </w:r>
      <w:r>
        <w:rPr>
          <w:rFonts w:hint="eastAsia"/>
          <w:bCs/>
          <w:sz w:val="24"/>
          <w:szCs w:val="24"/>
          <w:highlight w:val="none"/>
          <w:vertAlign w:val="superscript"/>
        </w:rPr>
        <w:t>-7</w:t>
      </w:r>
      <w:r>
        <w:rPr>
          <w:rFonts w:hint="eastAsia"/>
          <w:bCs/>
          <w:sz w:val="24"/>
          <w:szCs w:val="24"/>
          <w:highlight w:val="none"/>
        </w:rPr>
        <w:t>cm/s，满足《危险废物贮存污染控制标准》（GB18597-2023）要求，可有效防止项目运行过程中对地下水造成影响。</w:t>
      </w:r>
    </w:p>
    <w:p>
      <w:pPr>
        <w:pStyle w:val="6"/>
        <w:rPr>
          <w:highlight w:val="none"/>
        </w:rPr>
      </w:pPr>
      <w:r>
        <w:rPr>
          <w:highlight w:val="none"/>
        </w:rPr>
        <w:t>9.2.5环境影响经济损益分析</w:t>
      </w:r>
      <w:bookmarkEnd w:id="670"/>
      <w:bookmarkEnd w:id="671"/>
      <w:bookmarkEnd w:id="672"/>
    </w:p>
    <w:p>
      <w:pPr>
        <w:tabs>
          <w:tab w:val="right" w:leader="dot" w:pos="8647"/>
        </w:tabs>
        <w:ind w:firstLine="480"/>
        <w:jc w:val="both"/>
        <w:rPr>
          <w:sz w:val="24"/>
          <w:highlight w:val="none"/>
        </w:rPr>
      </w:pPr>
      <w:r>
        <w:rPr>
          <w:sz w:val="24"/>
          <w:highlight w:val="none"/>
        </w:rPr>
        <w:t>本项目建设，从环境经济效益指标如环境成本比率、环境系数、环境代价比率和环境投资效益来看，本工程环境代价和环保成本较低，而环境效益却较为明显，从环境经济角度来看合理可行。</w:t>
      </w:r>
    </w:p>
    <w:p>
      <w:pPr>
        <w:pStyle w:val="6"/>
        <w:rPr>
          <w:highlight w:val="none"/>
        </w:rPr>
      </w:pPr>
      <w:bookmarkStart w:id="673" w:name="_Toc521591851"/>
      <w:bookmarkStart w:id="674" w:name="_Toc20130"/>
      <w:bookmarkStart w:id="675" w:name="_Toc477175451"/>
      <w:r>
        <w:rPr>
          <w:highlight w:val="none"/>
        </w:rPr>
        <w:t>9.2.6环境管理与监测计划</w:t>
      </w:r>
      <w:bookmarkEnd w:id="673"/>
      <w:bookmarkEnd w:id="674"/>
      <w:bookmarkEnd w:id="675"/>
    </w:p>
    <w:p>
      <w:pPr>
        <w:tabs>
          <w:tab w:val="right" w:leader="dot" w:pos="8647"/>
        </w:tabs>
        <w:ind w:firstLine="480"/>
        <w:jc w:val="both"/>
        <w:rPr>
          <w:sz w:val="24"/>
          <w:highlight w:val="none"/>
        </w:rPr>
      </w:pPr>
      <w:r>
        <w:rPr>
          <w:sz w:val="24"/>
          <w:highlight w:val="none"/>
        </w:rPr>
        <w:t>根据实际情况，本项目应建立以公司总经理负责、分管副经理兼管环保工作、各职能部门各负其责的环境管理体系。</w:t>
      </w:r>
    </w:p>
    <w:p>
      <w:pPr>
        <w:tabs>
          <w:tab w:val="right" w:leader="dot" w:pos="8647"/>
        </w:tabs>
        <w:ind w:firstLine="480"/>
        <w:jc w:val="both"/>
        <w:rPr>
          <w:sz w:val="24"/>
          <w:highlight w:val="none"/>
        </w:rPr>
      </w:pPr>
      <w:r>
        <w:rPr>
          <w:sz w:val="24"/>
          <w:highlight w:val="none"/>
        </w:rPr>
        <w:t>项目建成后，配备专职环保员，负责本厂环境管理与监测工作，并负责与上级部门联系。</w:t>
      </w:r>
    </w:p>
    <w:p>
      <w:pPr>
        <w:pStyle w:val="6"/>
        <w:rPr>
          <w:highlight w:val="none"/>
        </w:rPr>
      </w:pPr>
      <w:bookmarkStart w:id="676" w:name="_Toc20382"/>
      <w:r>
        <w:rPr>
          <w:highlight w:val="none"/>
        </w:rPr>
        <w:t>9.2.7公众参与结论</w:t>
      </w:r>
      <w:bookmarkEnd w:id="676"/>
    </w:p>
    <w:p>
      <w:pPr>
        <w:tabs>
          <w:tab w:val="right" w:leader="dot" w:pos="8647"/>
        </w:tabs>
        <w:ind w:firstLine="480"/>
        <w:jc w:val="both"/>
        <w:rPr>
          <w:sz w:val="24"/>
          <w:highlight w:val="none"/>
        </w:rPr>
      </w:pPr>
      <w:bookmarkStart w:id="677" w:name="_Hlk536741234"/>
      <w:bookmarkStart w:id="678" w:name="_Toc477175452"/>
      <w:bookmarkStart w:id="679" w:name="_Toc503218137"/>
      <w:bookmarkStart w:id="680" w:name="_Toc524285130"/>
      <w:bookmarkStart w:id="681" w:name="_Toc499651438"/>
      <w:bookmarkStart w:id="682" w:name="_Toc521591852"/>
      <w:bookmarkStart w:id="683" w:name="_Toc7364"/>
      <w:bookmarkStart w:id="684" w:name="_Toc23889"/>
      <w:bookmarkStart w:id="685" w:name="_Toc26157"/>
      <w:r>
        <w:rPr>
          <w:sz w:val="24"/>
          <w:highlight w:val="none"/>
        </w:rPr>
        <w:t>根据</w:t>
      </w:r>
      <w:r>
        <w:rPr>
          <w:rFonts w:hint="eastAsia"/>
          <w:sz w:val="24"/>
          <w:highlight w:val="none"/>
        </w:rPr>
        <w:t>《环境影响评价公众参与办法》（生态环境部 部令 第4号）</w:t>
      </w:r>
      <w:r>
        <w:rPr>
          <w:sz w:val="24"/>
          <w:highlight w:val="none"/>
        </w:rPr>
        <w:t>，本次评价</w:t>
      </w:r>
      <w:r>
        <w:rPr>
          <w:rFonts w:hint="eastAsia"/>
          <w:sz w:val="24"/>
          <w:highlight w:val="none"/>
        </w:rPr>
        <w:t>在唐山市生态环境局网站</w:t>
      </w:r>
      <w:r>
        <w:rPr>
          <w:sz w:val="24"/>
          <w:highlight w:val="none"/>
        </w:rPr>
        <w:t>进行了第一次网络公示、第二次网络公示，</w:t>
      </w:r>
      <w:r>
        <w:rPr>
          <w:rFonts w:hint="eastAsia"/>
          <w:sz w:val="24"/>
          <w:highlight w:val="none"/>
        </w:rPr>
        <w:t>并同步在《环球时报》及项目附近村庄进行第二次公示，</w:t>
      </w:r>
      <w:r>
        <w:rPr>
          <w:sz w:val="24"/>
          <w:highlight w:val="none"/>
        </w:rPr>
        <w:t>公示期间未收到公众对本项目建设的</w:t>
      </w:r>
      <w:r>
        <w:rPr>
          <w:rFonts w:hint="eastAsia"/>
          <w:sz w:val="24"/>
          <w:highlight w:val="none"/>
        </w:rPr>
        <w:t>反馈</w:t>
      </w:r>
      <w:r>
        <w:rPr>
          <w:sz w:val="24"/>
          <w:highlight w:val="none"/>
        </w:rPr>
        <w:t>意见。</w:t>
      </w:r>
      <w:bookmarkEnd w:id="677"/>
    </w:p>
    <w:p>
      <w:pPr>
        <w:pStyle w:val="5"/>
        <w:keepLines w:val="0"/>
        <w:widowControl/>
        <w:numPr>
          <w:ilvl w:val="1"/>
          <w:numId w:val="1"/>
        </w:numPr>
        <w:tabs>
          <w:tab w:val="left" w:pos="482"/>
        </w:tabs>
        <w:spacing w:before="0" w:after="0" w:line="360" w:lineRule="auto"/>
        <w:rPr>
          <w:rFonts w:ascii="Times New Roman" w:hAnsi="Times New Roman" w:eastAsia="宋体"/>
          <w:bCs w:val="0"/>
          <w:snapToGrid w:val="0"/>
          <w:kern w:val="0"/>
          <w:sz w:val="28"/>
          <w:szCs w:val="28"/>
          <w:highlight w:val="none"/>
        </w:rPr>
      </w:pPr>
      <w:bookmarkStart w:id="686" w:name="_Toc8044"/>
      <w:r>
        <w:rPr>
          <w:rFonts w:ascii="Times New Roman" w:hAnsi="Times New Roman" w:eastAsia="宋体"/>
          <w:bCs w:val="0"/>
          <w:snapToGrid w:val="0"/>
          <w:kern w:val="0"/>
          <w:sz w:val="28"/>
          <w:szCs w:val="28"/>
          <w:highlight w:val="none"/>
        </w:rPr>
        <w:t>建设项目的环境影响可行性结论</w:t>
      </w:r>
      <w:bookmarkEnd w:id="678"/>
      <w:bookmarkEnd w:id="679"/>
      <w:bookmarkEnd w:id="680"/>
      <w:bookmarkEnd w:id="681"/>
      <w:bookmarkEnd w:id="682"/>
      <w:bookmarkEnd w:id="683"/>
      <w:bookmarkEnd w:id="684"/>
      <w:bookmarkEnd w:id="685"/>
      <w:bookmarkEnd w:id="686"/>
    </w:p>
    <w:bookmarkEnd w:id="662"/>
    <w:p>
      <w:pPr>
        <w:ind w:firstLine="560" w:firstLineChars="0"/>
        <w:rPr>
          <w:sz w:val="24"/>
          <w:highlight w:val="none"/>
        </w:rPr>
      </w:pPr>
      <w:r>
        <w:rPr>
          <w:sz w:val="24"/>
          <w:highlight w:val="none"/>
        </w:rPr>
        <w:t>综上所述，</w:t>
      </w:r>
      <w:r>
        <w:rPr>
          <w:rFonts w:hint="eastAsia"/>
          <w:bCs/>
          <w:sz w:val="24"/>
          <w:szCs w:val="24"/>
          <w:highlight w:val="none"/>
        </w:rPr>
        <w:t>遵化恒新矿业有限公司年处理 60 万吨铁矿石、120万吨粗精矿项目</w:t>
      </w:r>
      <w:r>
        <w:rPr>
          <w:sz w:val="24"/>
          <w:highlight w:val="none"/>
        </w:rPr>
        <w:t>符合国家和地方产业政策要求；项目选址可行；采用国内较先进的工艺，充分利用资源能源，符合清洁生产要求；项目认真落实环评提出的各项环境污染防治措施后，污染物可做到达标排放，项目建设不会对区域环境质量产生明显影响，本项目环境影响可行。</w:t>
      </w:r>
    </w:p>
    <w:sectPr>
      <w:footerReference r:id="rId24" w:type="default"/>
      <w:pgSz w:w="11905" w:h="16838"/>
      <w:pgMar w:top="1440" w:right="1803" w:bottom="1134" w:left="1803" w:header="850" w:footer="992" w:gutter="0"/>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楷体_GB2312">
    <w:altName w:val="楷体"/>
    <w:panose1 w:val="0201060903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等线">
    <w:altName w:val="Arial Unicode MS"/>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4839190"/>
    </w:sdtPr>
    <w:sdtContent>
      <w:p>
        <w:pPr>
          <w:pStyle w:val="35"/>
          <w:pBdr>
            <w:top w:val="single" w:color="auto" w:sz="4" w:space="1"/>
          </w:pBdr>
        </w:pPr>
        <w:r>
          <w:t xml:space="preserve">                                           </w:t>
        </w:r>
        <w:r>
          <w:rPr>
            <w:rFonts w:hint="eastAsia"/>
          </w:rPr>
          <w:t xml:space="preserve">                                 </w:t>
        </w:r>
        <w:r>
          <w:t xml:space="preserve">  </w:t>
        </w:r>
        <w:r>
          <w:fldChar w:fldCharType="begin"/>
        </w:r>
        <w:r>
          <w:instrText xml:space="preserve">PAGE   \* MERGEFORMAT</w:instrText>
        </w:r>
        <w:r>
          <w:fldChar w:fldCharType="separate"/>
        </w:r>
        <w:r>
          <w:rPr>
            <w:lang w:val="zh-CN"/>
          </w:rPr>
          <w:t>87</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080612"/>
    </w:sdtPr>
    <w:sdtContent>
      <w:p>
        <w:pPr>
          <w:pStyle w:val="35"/>
          <w:pBdr>
            <w:top w:val="single" w:color="auto" w:sz="4" w:space="1"/>
          </w:pBdr>
        </w:pPr>
        <w:r>
          <w:rPr>
            <w:rFonts w:hint="eastAsia"/>
          </w:rPr>
          <w:t xml:space="preserve">                              </w:t>
        </w:r>
        <w:r>
          <w:t xml:space="preserve">             </w:t>
        </w:r>
        <w:r>
          <w:fldChar w:fldCharType="begin"/>
        </w:r>
        <w:r>
          <w:instrText xml:space="preserve">PAGE   \* MERGEFORMAT</w:instrText>
        </w:r>
        <w:r>
          <w:fldChar w:fldCharType="separate"/>
        </w:r>
        <w:r>
          <w:rPr>
            <w:lang w:val="zh-CN"/>
          </w:rPr>
          <w:t>91</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7885798"/>
    </w:sdtPr>
    <w:sdtContent>
      <w:p>
        <w:pPr>
          <w:pStyle w:val="35"/>
          <w:pBdr>
            <w:top w:val="single" w:color="auto" w:sz="4" w:space="1"/>
          </w:pBdr>
        </w:pPr>
        <w:r>
          <w:t xml:space="preserve">                                          </w:t>
        </w:r>
        <w:r>
          <w:rPr>
            <w:rFonts w:hint="eastAsia"/>
          </w:rPr>
          <w:t xml:space="preserve">                                 </w:t>
        </w:r>
        <w:r>
          <w:t xml:space="preserve">    </w:t>
        </w:r>
        <w:r>
          <w:fldChar w:fldCharType="begin"/>
        </w:r>
        <w:r>
          <w:instrText xml:space="preserve">PAGE   \* MERGEFORMAT</w:instrText>
        </w:r>
        <w:r>
          <w:fldChar w:fldCharType="separate"/>
        </w:r>
        <w:r>
          <w:rPr>
            <w:lang w:val="zh-CN"/>
          </w:rPr>
          <w:t>92</w:t>
        </w:r>
        <w: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64"/>
      </w:rPr>
    </w:pPr>
    <w:r>
      <w:fldChar w:fldCharType="begin"/>
    </w:r>
    <w:r>
      <w:rPr>
        <w:rStyle w:val="64"/>
      </w:rPr>
      <w:instrText xml:space="preserve">PAGE  </w:instrText>
    </w:r>
    <w:r>
      <w:fldChar w:fldCharType="separate"/>
    </w:r>
    <w:r>
      <w:rPr>
        <w:rStyle w:val="64"/>
      </w:rPr>
      <w:t>172</w:t>
    </w:r>
    <w:r>
      <w:fldChar w:fldCharType="end"/>
    </w:r>
  </w:p>
  <w:p>
    <w:pPr>
      <w:pStyle w:val="35"/>
      <w:pBdr>
        <w:top w:val="thickThinSmallGap" w:color="auto" w:sz="24" w:space="1"/>
      </w:pBdr>
      <w:tabs>
        <w:tab w:val="clear" w:pos="4153"/>
        <w:tab w:val="clear" w:pos="8306"/>
      </w:tabs>
      <w:jc w:val="both"/>
      <w:rPr>
        <w:sz w:val="21"/>
        <w:szCs w:val="21"/>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2722230"/>
    </w:sdtPr>
    <w:sdtContent>
      <w:p>
        <w:pPr>
          <w:pStyle w:val="35"/>
          <w:pBdr>
            <w:top w:val="single" w:color="auto" w:sz="4" w:space="1"/>
          </w:pBdr>
        </w:pPr>
        <w:r>
          <w:rPr>
            <w:rFonts w:hint="eastAsia"/>
          </w:rPr>
          <w:t xml:space="preserve">                             </w:t>
        </w:r>
        <w:r>
          <w:t xml:space="preserve">                 </w:t>
        </w:r>
        <w:r>
          <w:fldChar w:fldCharType="begin"/>
        </w:r>
        <w:r>
          <w:instrText xml:space="preserve">PAGE   \* MERGEFORMAT</w:instrText>
        </w:r>
        <w:r>
          <w:fldChar w:fldCharType="separate"/>
        </w:r>
        <w:r>
          <w:rPr>
            <w:lang w:val="zh-CN"/>
          </w:rPr>
          <w:t>156</w:t>
        </w:r>
        <w: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3122554"/>
    </w:sdtPr>
    <w:sdtContent>
      <w:p>
        <w:pPr>
          <w:pStyle w:val="35"/>
          <w:pBdr>
            <w:top w:val="single" w:color="auto" w:sz="4" w:space="1"/>
          </w:pBdr>
          <w:ind w:firstLine="360"/>
        </w:pPr>
        <w:r>
          <w:rPr>
            <w:rFonts w:hint="eastAsia"/>
          </w:rPr>
          <w:t xml:space="preserve">                           </w:t>
        </w:r>
        <w:r>
          <w:t xml:space="preserve">                                             </w:t>
        </w:r>
        <w:r>
          <w:fldChar w:fldCharType="begin"/>
        </w:r>
        <w:r>
          <w:instrText xml:space="preserve">PAGE   \* MERGEFORMAT</w:instrText>
        </w:r>
        <w:r>
          <w:fldChar w:fldCharType="separate"/>
        </w:r>
        <w:r>
          <w:rPr>
            <w:lang w:val="zh-CN"/>
          </w:rPr>
          <w:t>232</w:t>
        </w:r>
        <w: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7617022"/>
    </w:sdtPr>
    <w:sdtContent>
      <w:p>
        <w:pPr>
          <w:pStyle w:val="35"/>
          <w:pBdr>
            <w:top w:val="single" w:color="auto" w:sz="4" w:space="1"/>
          </w:pBdr>
          <w:ind w:firstLine="360"/>
        </w:pPr>
        <w:r>
          <w:rPr>
            <w:rFonts w:hint="eastAsia"/>
          </w:rPr>
          <w:t xml:space="preserve">                             </w:t>
        </w:r>
        <w:r>
          <w:t xml:space="preserve">             </w:t>
        </w:r>
        <w:r>
          <w:fldChar w:fldCharType="begin"/>
        </w:r>
        <w:r>
          <w:instrText xml:space="preserve">PAGE   \* MERGEFORMAT</w:instrText>
        </w:r>
        <w:r>
          <w:fldChar w:fldCharType="separate"/>
        </w:r>
        <w:r>
          <w:rPr>
            <w:lang w:val="zh-CN"/>
          </w:rPr>
          <w:t>239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2204217"/>
    </w:sdtPr>
    <w:sdtContent>
      <w:p>
        <w:pPr>
          <w:pStyle w:val="35"/>
          <w:pBdr>
            <w:top w:val="single" w:color="auto" w:sz="4" w:space="1"/>
          </w:pBdr>
        </w:pPr>
        <w:r>
          <w:rPr>
            <w:rFonts w:hint="eastAsia"/>
          </w:rPr>
          <w:t xml:space="preserve">                                                </w:t>
        </w:r>
        <w:r>
          <w:fldChar w:fldCharType="begin"/>
        </w:r>
        <w:r>
          <w:instrText xml:space="preserve">PAGE   \* MERGEFORMAT</w:instrText>
        </w:r>
        <w:r>
          <w:fldChar w:fldCharType="separate"/>
        </w:r>
        <w:r>
          <w:rPr>
            <w:lang w:val="zh-CN"/>
          </w:rPr>
          <w:t>13</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9887182"/>
    </w:sdtPr>
    <w:sdtContent>
      <w:p>
        <w:pPr>
          <w:pStyle w:val="35"/>
          <w:pBdr>
            <w:top w:val="single" w:color="auto" w:sz="4" w:space="1"/>
          </w:pBdr>
        </w:pPr>
        <w:r>
          <w:rPr>
            <w:rFonts w:hint="eastAsia"/>
          </w:rPr>
          <w:t xml:space="preserve">                                                </w:t>
        </w:r>
        <w:r>
          <w:fldChar w:fldCharType="begin"/>
        </w:r>
        <w:r>
          <w:instrText xml:space="preserve">PAGE   \* MERGEFORMAT</w:instrText>
        </w:r>
        <w:r>
          <w:fldChar w:fldCharType="separate"/>
        </w:r>
        <w:r>
          <w:rPr>
            <w:lang w:val="zh-CN"/>
          </w:rPr>
          <w:t>13</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006885"/>
    </w:sdtPr>
    <w:sdtContent>
      <w:p>
        <w:pPr>
          <w:pStyle w:val="35"/>
          <w:pBdr>
            <w:top w:val="single" w:color="auto" w:sz="4" w:space="1"/>
          </w:pBdr>
        </w:pPr>
        <w:r>
          <w:rPr>
            <w:rFonts w:hint="eastAsia"/>
          </w:rPr>
          <w:t xml:space="preserve">                              </w:t>
        </w:r>
        <w:r>
          <w:t xml:space="preserve">                </w:t>
        </w:r>
        <w:r>
          <w:fldChar w:fldCharType="begin"/>
        </w:r>
        <w:r>
          <w:instrText xml:space="preserve">PAGE   \* MERGEFORMAT</w:instrText>
        </w:r>
        <w:r>
          <w:fldChar w:fldCharType="separate"/>
        </w:r>
        <w:r>
          <w:rPr>
            <w:lang w:val="zh-CN"/>
          </w:rPr>
          <w:t>62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222194"/>
    </w:sdtPr>
    <w:sdtContent>
      <w:p>
        <w:pPr>
          <w:pStyle w:val="35"/>
          <w:pBdr>
            <w:top w:val="single" w:color="auto" w:sz="4" w:space="1"/>
          </w:pBdr>
        </w:pPr>
        <w:r>
          <w:rPr>
            <w:rFonts w:hint="eastAsia"/>
          </w:rPr>
          <w:t xml:space="preserve">                                    </w:t>
        </w:r>
        <w:r>
          <w:t xml:space="preserve">                                           </w:t>
        </w:r>
        <w:r>
          <w:fldChar w:fldCharType="begin"/>
        </w:r>
        <w:r>
          <w:instrText xml:space="preserve">PAGE   \* MERGEFORMAT</w:instrText>
        </w:r>
        <w:r>
          <w:fldChar w:fldCharType="separate"/>
        </w:r>
        <w:r>
          <w:rPr>
            <w:lang w:val="zh-CN"/>
          </w:rPr>
          <w:t>64</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3962224"/>
    </w:sdtPr>
    <w:sdtContent>
      <w:p>
        <w:pPr>
          <w:pStyle w:val="35"/>
          <w:pBdr>
            <w:top w:val="single" w:color="auto" w:sz="4" w:space="1"/>
          </w:pBdr>
        </w:pPr>
        <w:r>
          <w:rPr>
            <w:rFonts w:hint="eastAsia"/>
          </w:rPr>
          <w:t xml:space="preserve">                           </w:t>
        </w:r>
        <w:r>
          <w:t xml:space="preserve">                 </w:t>
        </w:r>
        <w:r>
          <w:fldChar w:fldCharType="begin"/>
        </w:r>
        <w:r>
          <w:instrText xml:space="preserve">PAGE   \* MERGEFORMAT</w:instrText>
        </w:r>
        <w:r>
          <w:fldChar w:fldCharType="separate"/>
        </w:r>
        <w:r>
          <w:rPr>
            <w:lang w:val="zh-CN"/>
          </w:rPr>
          <w:t>73</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0459727"/>
    </w:sdtPr>
    <w:sdtContent>
      <w:p>
        <w:pPr>
          <w:pStyle w:val="35"/>
          <w:pBdr>
            <w:top w:val="single" w:color="auto" w:sz="4" w:space="1"/>
          </w:pBdr>
        </w:pPr>
        <w:r>
          <w:rPr>
            <w:rFonts w:hint="eastAsia"/>
          </w:rPr>
          <w:t xml:space="preserve">                            </w:t>
        </w:r>
        <w:r>
          <w:t xml:space="preserve">                                               </w:t>
        </w:r>
        <w:r>
          <w:fldChar w:fldCharType="begin"/>
        </w:r>
        <w:r>
          <w:instrText xml:space="preserve">PAGE   \* MERGEFORMAT</w:instrText>
        </w:r>
        <w:r>
          <w:fldChar w:fldCharType="separate"/>
        </w:r>
        <w:r>
          <w:rPr>
            <w:lang w:val="zh-CN"/>
          </w:rPr>
          <w:t>74</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1547012"/>
    </w:sdtPr>
    <w:sdtContent>
      <w:p>
        <w:pPr>
          <w:pStyle w:val="35"/>
          <w:pBdr>
            <w:top w:val="single" w:color="auto" w:sz="4" w:space="1"/>
          </w:pBdr>
        </w:pPr>
        <w:r>
          <w:rPr>
            <w:rFonts w:hint="eastAsia"/>
          </w:rPr>
          <w:t xml:space="preserve">                          </w:t>
        </w:r>
        <w:r>
          <w:t xml:space="preserve">                 </w:t>
        </w:r>
        <w:r>
          <w:fldChar w:fldCharType="begin"/>
        </w:r>
        <w:r>
          <w:instrText xml:space="preserve">PAGE   \* MERGEFORMAT</w:instrText>
        </w:r>
        <w:r>
          <w:fldChar w:fldCharType="separate"/>
        </w:r>
        <w:r>
          <w:rPr>
            <w:lang w:val="zh-CN"/>
          </w:rPr>
          <w:t>86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tabs>
        <w:tab w:val="left" w:pos="7230"/>
      </w:tabs>
      <w:ind w:firstLine="0" w:firstLineChars="0"/>
      <w:rPr>
        <w:rFonts w:eastAsiaTheme="minorEastAsia"/>
        <w:b/>
        <w:color w:val="000000" w:themeColor="text1"/>
        <w14:textFill>
          <w14:solidFill>
            <w14:schemeClr w14:val="tx1"/>
          </w14:solidFill>
        </w14:textFill>
      </w:rPr>
    </w:pPr>
    <w:r>
      <w:rPr>
        <w:rFonts w:hint="eastAsia" w:eastAsiaTheme="minorEastAsia"/>
        <w:b/>
        <w:color w:val="000000" w:themeColor="text1"/>
        <w14:textFill>
          <w14:solidFill>
            <w14:schemeClr w14:val="tx1"/>
          </w14:solidFill>
        </w14:textFill>
      </w:rPr>
      <w:t>遵化恒新矿业有限公司年处理60万吨铁矿石、120万吨粗精矿项目</w:t>
    </w:r>
    <w:r>
      <w:rPr>
        <w:rFonts w:eastAsiaTheme="minorEastAsia"/>
        <w:b/>
        <w:color w:val="000000" w:themeColor="text1"/>
        <w14:textFill>
          <w14:solidFill>
            <w14:schemeClr w14:val="tx1"/>
          </w14:solidFill>
        </w14:textFill>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ADE499"/>
    <w:multiLevelType w:val="singleLevel"/>
    <w:tmpl w:val="AEADE499"/>
    <w:lvl w:ilvl="0" w:tentative="0">
      <w:start w:val="6"/>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ind w:left="425" w:hanging="425"/>
      </w:pPr>
      <w:rPr>
        <w:rFonts w:hint="eastAsia"/>
      </w:rPr>
    </w:lvl>
    <w:lvl w:ilvl="1" w:tentative="0">
      <w:start w:val="1"/>
      <w:numFmt w:val="decimal"/>
      <w:suff w:val="nothing"/>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00000009"/>
    <w:multiLevelType w:val="multilevel"/>
    <w:tmpl w:val="00000009"/>
    <w:lvl w:ilvl="0" w:tentative="0">
      <w:start w:val="1"/>
      <w:numFmt w:val="decimal"/>
      <w:suff w:val="nothing"/>
      <w:lvlText w:val="%1"/>
      <w:lvlJc w:val="left"/>
      <w:pPr>
        <w:ind w:left="425" w:hanging="425"/>
      </w:pPr>
      <w:rPr>
        <w:rFonts w:hint="eastAsia"/>
      </w:rPr>
    </w:lvl>
    <w:lvl w:ilvl="1" w:tentative="0">
      <w:start w:val="1"/>
      <w:numFmt w:val="decimal"/>
      <w:suff w:val="nothing"/>
      <w:lvlText w:val="%1.%2"/>
      <w:lvlJc w:val="left"/>
      <w:pPr>
        <w:ind w:left="567" w:hanging="567"/>
      </w:pPr>
      <w:rPr>
        <w:rFonts w:hint="eastAsia"/>
      </w:rPr>
    </w:lvl>
    <w:lvl w:ilvl="2" w:tentative="0">
      <w:start w:val="1"/>
      <w:numFmt w:val="decimal"/>
      <w:lvlText w:val="%1.%2.%3"/>
      <w:lvlJc w:val="left"/>
      <w:pPr>
        <w:ind w:left="567" w:hanging="567"/>
      </w:pPr>
      <w:rPr>
        <w:rFonts w:hint="eastAsia"/>
      </w:rPr>
    </w:lvl>
    <w:lvl w:ilvl="3" w:tentative="0">
      <w:start w:val="1"/>
      <w:numFmt w:val="decimal"/>
      <w:lvlText w:val="%1.%2.%3.%4"/>
      <w:lvlJc w:val="left"/>
      <w:pPr>
        <w:ind w:left="113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2B243B4"/>
    <w:multiLevelType w:val="singleLevel"/>
    <w:tmpl w:val="12B243B4"/>
    <w:lvl w:ilvl="0" w:tentative="0">
      <w:start w:val="1"/>
      <w:numFmt w:val="decimal"/>
      <w:suff w:val="nothing"/>
      <w:lvlText w:val="%1、"/>
      <w:lvlJc w:val="left"/>
    </w:lvl>
  </w:abstractNum>
  <w:abstractNum w:abstractNumId="4">
    <w:nsid w:val="31C2B8FE"/>
    <w:multiLevelType w:val="singleLevel"/>
    <w:tmpl w:val="31C2B8FE"/>
    <w:lvl w:ilvl="0" w:tentative="0">
      <w:start w:val="1"/>
      <w:numFmt w:val="decimal"/>
      <w:suff w:val="nothing"/>
      <w:lvlText w:val="（%1）"/>
      <w:lvlJc w:val="left"/>
    </w:lvl>
  </w:abstractNum>
  <w:abstractNum w:abstractNumId="5">
    <w:nsid w:val="5B622D0B"/>
    <w:multiLevelType w:val="singleLevel"/>
    <w:tmpl w:val="5B622D0B"/>
    <w:lvl w:ilvl="0" w:tentative="0">
      <w:start w:val="4"/>
      <w:numFmt w:val="decimal"/>
      <w:suff w:val="nothing"/>
      <w:lvlText w:val="（%1）"/>
      <w:lvlJc w:val="left"/>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hideSpellingErrors/>
  <w:documentProtection w:enforcement="0"/>
  <w:defaultTabStop w:val="420"/>
  <w:drawingGridHorizontalSpacing w:val="280"/>
  <w:drawingGridVerticalSpacing w:val="-7946"/>
  <w:doNotShadeFormData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xN2U4YzI1MGJhZGM4ZTRiYmYwM2FkY2E2MDY4YjQifQ=="/>
  </w:docVars>
  <w:rsids>
    <w:rsidRoot w:val="00172A27"/>
    <w:rsid w:val="0000009E"/>
    <w:rsid w:val="000009C8"/>
    <w:rsid w:val="00000AFA"/>
    <w:rsid w:val="00000B15"/>
    <w:rsid w:val="00000F02"/>
    <w:rsid w:val="00001425"/>
    <w:rsid w:val="00001518"/>
    <w:rsid w:val="0000162E"/>
    <w:rsid w:val="000018D2"/>
    <w:rsid w:val="000019E5"/>
    <w:rsid w:val="00001D51"/>
    <w:rsid w:val="00002EA8"/>
    <w:rsid w:val="00003360"/>
    <w:rsid w:val="000035C4"/>
    <w:rsid w:val="0000364A"/>
    <w:rsid w:val="00003B3A"/>
    <w:rsid w:val="00003CA4"/>
    <w:rsid w:val="000042C8"/>
    <w:rsid w:val="0000452F"/>
    <w:rsid w:val="000047C1"/>
    <w:rsid w:val="0000481A"/>
    <w:rsid w:val="00004896"/>
    <w:rsid w:val="00004BA1"/>
    <w:rsid w:val="00004E76"/>
    <w:rsid w:val="0000518F"/>
    <w:rsid w:val="000057EA"/>
    <w:rsid w:val="0000604E"/>
    <w:rsid w:val="000064E4"/>
    <w:rsid w:val="00006AA2"/>
    <w:rsid w:val="00007A62"/>
    <w:rsid w:val="00007B28"/>
    <w:rsid w:val="00007BD9"/>
    <w:rsid w:val="00007CFE"/>
    <w:rsid w:val="00010515"/>
    <w:rsid w:val="00010D42"/>
    <w:rsid w:val="00010D92"/>
    <w:rsid w:val="00011A19"/>
    <w:rsid w:val="00011A3D"/>
    <w:rsid w:val="00011F1E"/>
    <w:rsid w:val="00012192"/>
    <w:rsid w:val="00012328"/>
    <w:rsid w:val="00012DF2"/>
    <w:rsid w:val="000133F3"/>
    <w:rsid w:val="000138F5"/>
    <w:rsid w:val="00013A0E"/>
    <w:rsid w:val="00013BDB"/>
    <w:rsid w:val="00013D63"/>
    <w:rsid w:val="00013F05"/>
    <w:rsid w:val="000140FF"/>
    <w:rsid w:val="000141C1"/>
    <w:rsid w:val="00014622"/>
    <w:rsid w:val="000146CB"/>
    <w:rsid w:val="00014C89"/>
    <w:rsid w:val="00015095"/>
    <w:rsid w:val="000154F3"/>
    <w:rsid w:val="00015535"/>
    <w:rsid w:val="000159A9"/>
    <w:rsid w:val="00015B8E"/>
    <w:rsid w:val="00015F9F"/>
    <w:rsid w:val="00016159"/>
    <w:rsid w:val="000164D8"/>
    <w:rsid w:val="000167DE"/>
    <w:rsid w:val="00016B67"/>
    <w:rsid w:val="00016B87"/>
    <w:rsid w:val="00016CD7"/>
    <w:rsid w:val="0001725C"/>
    <w:rsid w:val="0001728D"/>
    <w:rsid w:val="00017A57"/>
    <w:rsid w:val="00017E7A"/>
    <w:rsid w:val="0002063B"/>
    <w:rsid w:val="000206AD"/>
    <w:rsid w:val="000208BF"/>
    <w:rsid w:val="00020DF1"/>
    <w:rsid w:val="00020EF1"/>
    <w:rsid w:val="00020FCC"/>
    <w:rsid w:val="000214A9"/>
    <w:rsid w:val="00021F6E"/>
    <w:rsid w:val="0002208F"/>
    <w:rsid w:val="00022300"/>
    <w:rsid w:val="000227A2"/>
    <w:rsid w:val="000227B9"/>
    <w:rsid w:val="00022950"/>
    <w:rsid w:val="00022B3F"/>
    <w:rsid w:val="00022E18"/>
    <w:rsid w:val="0002328C"/>
    <w:rsid w:val="00023479"/>
    <w:rsid w:val="000238E7"/>
    <w:rsid w:val="00024480"/>
    <w:rsid w:val="0002473B"/>
    <w:rsid w:val="000248F4"/>
    <w:rsid w:val="00024BF6"/>
    <w:rsid w:val="00024F14"/>
    <w:rsid w:val="00025394"/>
    <w:rsid w:val="00025A4C"/>
    <w:rsid w:val="00025B69"/>
    <w:rsid w:val="00025CAC"/>
    <w:rsid w:val="000266C4"/>
    <w:rsid w:val="000266D1"/>
    <w:rsid w:val="00026AA0"/>
    <w:rsid w:val="00026E81"/>
    <w:rsid w:val="000276AE"/>
    <w:rsid w:val="000276EA"/>
    <w:rsid w:val="00027C6C"/>
    <w:rsid w:val="00027CA0"/>
    <w:rsid w:val="00027E47"/>
    <w:rsid w:val="00027ECC"/>
    <w:rsid w:val="00030248"/>
    <w:rsid w:val="00030429"/>
    <w:rsid w:val="00030AA8"/>
    <w:rsid w:val="00030B22"/>
    <w:rsid w:val="00030D7E"/>
    <w:rsid w:val="00031258"/>
    <w:rsid w:val="000313F1"/>
    <w:rsid w:val="00031A7F"/>
    <w:rsid w:val="00031AE5"/>
    <w:rsid w:val="00031C5C"/>
    <w:rsid w:val="00031E6F"/>
    <w:rsid w:val="00033410"/>
    <w:rsid w:val="0003362A"/>
    <w:rsid w:val="00033658"/>
    <w:rsid w:val="00033769"/>
    <w:rsid w:val="00033900"/>
    <w:rsid w:val="000342E1"/>
    <w:rsid w:val="00034538"/>
    <w:rsid w:val="000347C1"/>
    <w:rsid w:val="00034B8E"/>
    <w:rsid w:val="00034BD5"/>
    <w:rsid w:val="00034FA8"/>
    <w:rsid w:val="000351CF"/>
    <w:rsid w:val="00035306"/>
    <w:rsid w:val="000359E9"/>
    <w:rsid w:val="00035C11"/>
    <w:rsid w:val="000364F1"/>
    <w:rsid w:val="00036601"/>
    <w:rsid w:val="00036AB8"/>
    <w:rsid w:val="00036EE9"/>
    <w:rsid w:val="0003702E"/>
    <w:rsid w:val="000370E7"/>
    <w:rsid w:val="00037EA9"/>
    <w:rsid w:val="00040501"/>
    <w:rsid w:val="000405F6"/>
    <w:rsid w:val="00040A2A"/>
    <w:rsid w:val="00040F51"/>
    <w:rsid w:val="00041689"/>
    <w:rsid w:val="00041BFB"/>
    <w:rsid w:val="00041E7C"/>
    <w:rsid w:val="000421D7"/>
    <w:rsid w:val="00042269"/>
    <w:rsid w:val="000422CA"/>
    <w:rsid w:val="00042376"/>
    <w:rsid w:val="0004249F"/>
    <w:rsid w:val="00042C9B"/>
    <w:rsid w:val="000435D2"/>
    <w:rsid w:val="00043C69"/>
    <w:rsid w:val="00044045"/>
    <w:rsid w:val="00044285"/>
    <w:rsid w:val="00044314"/>
    <w:rsid w:val="00044541"/>
    <w:rsid w:val="00044CB7"/>
    <w:rsid w:val="00044DD2"/>
    <w:rsid w:val="000455D7"/>
    <w:rsid w:val="0004573A"/>
    <w:rsid w:val="000459CF"/>
    <w:rsid w:val="00045A06"/>
    <w:rsid w:val="00045D0B"/>
    <w:rsid w:val="00045F1E"/>
    <w:rsid w:val="0004641F"/>
    <w:rsid w:val="000467A5"/>
    <w:rsid w:val="000468C4"/>
    <w:rsid w:val="000472AD"/>
    <w:rsid w:val="000479FE"/>
    <w:rsid w:val="00047DFB"/>
    <w:rsid w:val="00047E27"/>
    <w:rsid w:val="00050691"/>
    <w:rsid w:val="00050BF0"/>
    <w:rsid w:val="000511DD"/>
    <w:rsid w:val="00051595"/>
    <w:rsid w:val="00052325"/>
    <w:rsid w:val="00052706"/>
    <w:rsid w:val="00052A30"/>
    <w:rsid w:val="00052B9F"/>
    <w:rsid w:val="00053127"/>
    <w:rsid w:val="00054D10"/>
    <w:rsid w:val="0005540F"/>
    <w:rsid w:val="000562F8"/>
    <w:rsid w:val="00056313"/>
    <w:rsid w:val="00056500"/>
    <w:rsid w:val="00056695"/>
    <w:rsid w:val="000568CA"/>
    <w:rsid w:val="00056EBA"/>
    <w:rsid w:val="00056EDF"/>
    <w:rsid w:val="00056F35"/>
    <w:rsid w:val="00056FC9"/>
    <w:rsid w:val="0005717A"/>
    <w:rsid w:val="000577BB"/>
    <w:rsid w:val="00057D23"/>
    <w:rsid w:val="0006003D"/>
    <w:rsid w:val="0006032D"/>
    <w:rsid w:val="00060CEA"/>
    <w:rsid w:val="0006106E"/>
    <w:rsid w:val="0006167F"/>
    <w:rsid w:val="000618E4"/>
    <w:rsid w:val="00061959"/>
    <w:rsid w:val="00061B48"/>
    <w:rsid w:val="00061E6C"/>
    <w:rsid w:val="00061E78"/>
    <w:rsid w:val="00061F32"/>
    <w:rsid w:val="00062487"/>
    <w:rsid w:val="00062580"/>
    <w:rsid w:val="000625C0"/>
    <w:rsid w:val="00062602"/>
    <w:rsid w:val="000629C3"/>
    <w:rsid w:val="00062D6F"/>
    <w:rsid w:val="00063024"/>
    <w:rsid w:val="000635DD"/>
    <w:rsid w:val="000638D2"/>
    <w:rsid w:val="00063A37"/>
    <w:rsid w:val="00063F40"/>
    <w:rsid w:val="00064033"/>
    <w:rsid w:val="000640E6"/>
    <w:rsid w:val="000641B6"/>
    <w:rsid w:val="00064C6A"/>
    <w:rsid w:val="000652B5"/>
    <w:rsid w:val="000655F1"/>
    <w:rsid w:val="00065B03"/>
    <w:rsid w:val="00065E7D"/>
    <w:rsid w:val="0006610E"/>
    <w:rsid w:val="000663D2"/>
    <w:rsid w:val="00066561"/>
    <w:rsid w:val="000669AE"/>
    <w:rsid w:val="00066B6C"/>
    <w:rsid w:val="00066D76"/>
    <w:rsid w:val="00066DBB"/>
    <w:rsid w:val="00066DDE"/>
    <w:rsid w:val="000672F7"/>
    <w:rsid w:val="000675E3"/>
    <w:rsid w:val="000700EF"/>
    <w:rsid w:val="00070370"/>
    <w:rsid w:val="000705F7"/>
    <w:rsid w:val="0007083E"/>
    <w:rsid w:val="00070B06"/>
    <w:rsid w:val="00070CEA"/>
    <w:rsid w:val="00070DE5"/>
    <w:rsid w:val="00070FF0"/>
    <w:rsid w:val="0007104F"/>
    <w:rsid w:val="00071DA9"/>
    <w:rsid w:val="00072461"/>
    <w:rsid w:val="000725F1"/>
    <w:rsid w:val="000728DC"/>
    <w:rsid w:val="00072A47"/>
    <w:rsid w:val="00072D75"/>
    <w:rsid w:val="00073330"/>
    <w:rsid w:val="00073638"/>
    <w:rsid w:val="000747AD"/>
    <w:rsid w:val="00074B4D"/>
    <w:rsid w:val="00074D98"/>
    <w:rsid w:val="00075475"/>
    <w:rsid w:val="000757C8"/>
    <w:rsid w:val="0007592D"/>
    <w:rsid w:val="00075A79"/>
    <w:rsid w:val="000762BE"/>
    <w:rsid w:val="00076382"/>
    <w:rsid w:val="00076865"/>
    <w:rsid w:val="00076B28"/>
    <w:rsid w:val="00076CD8"/>
    <w:rsid w:val="00076CE2"/>
    <w:rsid w:val="00076D23"/>
    <w:rsid w:val="00077FE3"/>
    <w:rsid w:val="00080919"/>
    <w:rsid w:val="00080CD1"/>
    <w:rsid w:val="00080E64"/>
    <w:rsid w:val="000810FA"/>
    <w:rsid w:val="000817DC"/>
    <w:rsid w:val="00081ADD"/>
    <w:rsid w:val="0008270E"/>
    <w:rsid w:val="00082921"/>
    <w:rsid w:val="00082D17"/>
    <w:rsid w:val="00082EC2"/>
    <w:rsid w:val="00082ED9"/>
    <w:rsid w:val="000830D8"/>
    <w:rsid w:val="00083297"/>
    <w:rsid w:val="000834DD"/>
    <w:rsid w:val="00083879"/>
    <w:rsid w:val="00083B34"/>
    <w:rsid w:val="00083D52"/>
    <w:rsid w:val="00083E7C"/>
    <w:rsid w:val="0008409C"/>
    <w:rsid w:val="0008445F"/>
    <w:rsid w:val="0008450C"/>
    <w:rsid w:val="00084648"/>
    <w:rsid w:val="000846E6"/>
    <w:rsid w:val="00084AD4"/>
    <w:rsid w:val="00084BFB"/>
    <w:rsid w:val="00084E55"/>
    <w:rsid w:val="00084F63"/>
    <w:rsid w:val="00085821"/>
    <w:rsid w:val="00085899"/>
    <w:rsid w:val="000858B1"/>
    <w:rsid w:val="00085FB2"/>
    <w:rsid w:val="0008632B"/>
    <w:rsid w:val="00086443"/>
    <w:rsid w:val="000864AC"/>
    <w:rsid w:val="0008651D"/>
    <w:rsid w:val="000867C0"/>
    <w:rsid w:val="00086ACF"/>
    <w:rsid w:val="00086CBF"/>
    <w:rsid w:val="00087578"/>
    <w:rsid w:val="000875FF"/>
    <w:rsid w:val="00090104"/>
    <w:rsid w:val="00090519"/>
    <w:rsid w:val="00090B3A"/>
    <w:rsid w:val="00090F36"/>
    <w:rsid w:val="00091044"/>
    <w:rsid w:val="0009189D"/>
    <w:rsid w:val="00091966"/>
    <w:rsid w:val="000919CD"/>
    <w:rsid w:val="000936DD"/>
    <w:rsid w:val="00093C83"/>
    <w:rsid w:val="00094213"/>
    <w:rsid w:val="0009422A"/>
    <w:rsid w:val="000946A1"/>
    <w:rsid w:val="0009471D"/>
    <w:rsid w:val="00094DFA"/>
    <w:rsid w:val="000959BA"/>
    <w:rsid w:val="00095F18"/>
    <w:rsid w:val="00096486"/>
    <w:rsid w:val="000964AD"/>
    <w:rsid w:val="0009661F"/>
    <w:rsid w:val="00096EE5"/>
    <w:rsid w:val="00096EF1"/>
    <w:rsid w:val="00097528"/>
    <w:rsid w:val="00097584"/>
    <w:rsid w:val="000978DB"/>
    <w:rsid w:val="000979A9"/>
    <w:rsid w:val="00097B61"/>
    <w:rsid w:val="00097F5B"/>
    <w:rsid w:val="000A020D"/>
    <w:rsid w:val="000A06AA"/>
    <w:rsid w:val="000A0C5B"/>
    <w:rsid w:val="000A0FFD"/>
    <w:rsid w:val="000A11C7"/>
    <w:rsid w:val="000A142D"/>
    <w:rsid w:val="000A1784"/>
    <w:rsid w:val="000A1791"/>
    <w:rsid w:val="000A1840"/>
    <w:rsid w:val="000A1DC1"/>
    <w:rsid w:val="000A201E"/>
    <w:rsid w:val="000A20F7"/>
    <w:rsid w:val="000A21E0"/>
    <w:rsid w:val="000A242C"/>
    <w:rsid w:val="000A2669"/>
    <w:rsid w:val="000A2C2A"/>
    <w:rsid w:val="000A2DFF"/>
    <w:rsid w:val="000A337B"/>
    <w:rsid w:val="000A36A0"/>
    <w:rsid w:val="000A37F6"/>
    <w:rsid w:val="000A3BEB"/>
    <w:rsid w:val="000A4054"/>
    <w:rsid w:val="000A41A9"/>
    <w:rsid w:val="000A4819"/>
    <w:rsid w:val="000A49D0"/>
    <w:rsid w:val="000A4E53"/>
    <w:rsid w:val="000A4EF6"/>
    <w:rsid w:val="000A5F74"/>
    <w:rsid w:val="000A6329"/>
    <w:rsid w:val="000A656F"/>
    <w:rsid w:val="000A660F"/>
    <w:rsid w:val="000A67A5"/>
    <w:rsid w:val="000A6A96"/>
    <w:rsid w:val="000A6C08"/>
    <w:rsid w:val="000A72D2"/>
    <w:rsid w:val="000A7A83"/>
    <w:rsid w:val="000B0373"/>
    <w:rsid w:val="000B1E2B"/>
    <w:rsid w:val="000B2016"/>
    <w:rsid w:val="000B2586"/>
    <w:rsid w:val="000B25A4"/>
    <w:rsid w:val="000B282F"/>
    <w:rsid w:val="000B2A7B"/>
    <w:rsid w:val="000B2C6D"/>
    <w:rsid w:val="000B309C"/>
    <w:rsid w:val="000B3888"/>
    <w:rsid w:val="000B3B97"/>
    <w:rsid w:val="000B3C0C"/>
    <w:rsid w:val="000B3E5A"/>
    <w:rsid w:val="000B402C"/>
    <w:rsid w:val="000B4328"/>
    <w:rsid w:val="000B4645"/>
    <w:rsid w:val="000B4AD1"/>
    <w:rsid w:val="000B4DE5"/>
    <w:rsid w:val="000B5416"/>
    <w:rsid w:val="000B58B3"/>
    <w:rsid w:val="000B5925"/>
    <w:rsid w:val="000B5ACF"/>
    <w:rsid w:val="000B6019"/>
    <w:rsid w:val="000B6278"/>
    <w:rsid w:val="000B64CC"/>
    <w:rsid w:val="000B65CB"/>
    <w:rsid w:val="000B6EF8"/>
    <w:rsid w:val="000B718C"/>
    <w:rsid w:val="000B7954"/>
    <w:rsid w:val="000B7DB8"/>
    <w:rsid w:val="000C0843"/>
    <w:rsid w:val="000C0B68"/>
    <w:rsid w:val="000C0C92"/>
    <w:rsid w:val="000C17D4"/>
    <w:rsid w:val="000C1E87"/>
    <w:rsid w:val="000C237E"/>
    <w:rsid w:val="000C24FB"/>
    <w:rsid w:val="000C25DE"/>
    <w:rsid w:val="000C28DE"/>
    <w:rsid w:val="000C28EE"/>
    <w:rsid w:val="000C2FB1"/>
    <w:rsid w:val="000C3412"/>
    <w:rsid w:val="000C34A9"/>
    <w:rsid w:val="000C3CBB"/>
    <w:rsid w:val="000C42C0"/>
    <w:rsid w:val="000C437B"/>
    <w:rsid w:val="000C4451"/>
    <w:rsid w:val="000C4C4D"/>
    <w:rsid w:val="000C4F2B"/>
    <w:rsid w:val="000C51A6"/>
    <w:rsid w:val="000C5221"/>
    <w:rsid w:val="000C53CE"/>
    <w:rsid w:val="000C5534"/>
    <w:rsid w:val="000C5779"/>
    <w:rsid w:val="000C60F7"/>
    <w:rsid w:val="000C62F9"/>
    <w:rsid w:val="000C65C7"/>
    <w:rsid w:val="000C6776"/>
    <w:rsid w:val="000C687E"/>
    <w:rsid w:val="000C6B3B"/>
    <w:rsid w:val="000C6D57"/>
    <w:rsid w:val="000C7475"/>
    <w:rsid w:val="000C7A19"/>
    <w:rsid w:val="000C7AF7"/>
    <w:rsid w:val="000D01AA"/>
    <w:rsid w:val="000D081A"/>
    <w:rsid w:val="000D0C97"/>
    <w:rsid w:val="000D12E6"/>
    <w:rsid w:val="000D1BFA"/>
    <w:rsid w:val="000D266E"/>
    <w:rsid w:val="000D292E"/>
    <w:rsid w:val="000D2A6D"/>
    <w:rsid w:val="000D3232"/>
    <w:rsid w:val="000D3C3A"/>
    <w:rsid w:val="000D3DA5"/>
    <w:rsid w:val="000D4024"/>
    <w:rsid w:val="000D41B9"/>
    <w:rsid w:val="000D4A2E"/>
    <w:rsid w:val="000D4F60"/>
    <w:rsid w:val="000D5288"/>
    <w:rsid w:val="000D52F7"/>
    <w:rsid w:val="000D532A"/>
    <w:rsid w:val="000D5622"/>
    <w:rsid w:val="000D5F21"/>
    <w:rsid w:val="000D63EB"/>
    <w:rsid w:val="000D765C"/>
    <w:rsid w:val="000D7756"/>
    <w:rsid w:val="000D7886"/>
    <w:rsid w:val="000D7BB3"/>
    <w:rsid w:val="000E01C5"/>
    <w:rsid w:val="000E0372"/>
    <w:rsid w:val="000E0793"/>
    <w:rsid w:val="000E0809"/>
    <w:rsid w:val="000E0DB3"/>
    <w:rsid w:val="000E0EEF"/>
    <w:rsid w:val="000E1198"/>
    <w:rsid w:val="000E1203"/>
    <w:rsid w:val="000E1642"/>
    <w:rsid w:val="000E1DB4"/>
    <w:rsid w:val="000E2032"/>
    <w:rsid w:val="000E21D0"/>
    <w:rsid w:val="000E294A"/>
    <w:rsid w:val="000E2AEC"/>
    <w:rsid w:val="000E2BEE"/>
    <w:rsid w:val="000E2E74"/>
    <w:rsid w:val="000E359A"/>
    <w:rsid w:val="000E3C49"/>
    <w:rsid w:val="000E4683"/>
    <w:rsid w:val="000E49B3"/>
    <w:rsid w:val="000E4A4E"/>
    <w:rsid w:val="000E4D72"/>
    <w:rsid w:val="000E508B"/>
    <w:rsid w:val="000E5370"/>
    <w:rsid w:val="000E53C9"/>
    <w:rsid w:val="000E57C3"/>
    <w:rsid w:val="000E5A8B"/>
    <w:rsid w:val="000E5C87"/>
    <w:rsid w:val="000E6025"/>
    <w:rsid w:val="000E646C"/>
    <w:rsid w:val="000E65F7"/>
    <w:rsid w:val="000E6683"/>
    <w:rsid w:val="000E6816"/>
    <w:rsid w:val="000E6D09"/>
    <w:rsid w:val="000E6D63"/>
    <w:rsid w:val="000E7143"/>
    <w:rsid w:val="000E736A"/>
    <w:rsid w:val="000E75B3"/>
    <w:rsid w:val="000E76DD"/>
    <w:rsid w:val="000E77BF"/>
    <w:rsid w:val="000E789B"/>
    <w:rsid w:val="000E79D3"/>
    <w:rsid w:val="000E7DE8"/>
    <w:rsid w:val="000F0102"/>
    <w:rsid w:val="000F02B5"/>
    <w:rsid w:val="000F0C76"/>
    <w:rsid w:val="000F0E74"/>
    <w:rsid w:val="000F0E7B"/>
    <w:rsid w:val="000F1EBC"/>
    <w:rsid w:val="000F21EA"/>
    <w:rsid w:val="000F24DC"/>
    <w:rsid w:val="000F24E1"/>
    <w:rsid w:val="000F2D01"/>
    <w:rsid w:val="000F2EE6"/>
    <w:rsid w:val="000F3028"/>
    <w:rsid w:val="000F31D7"/>
    <w:rsid w:val="000F34CA"/>
    <w:rsid w:val="000F34F7"/>
    <w:rsid w:val="000F3692"/>
    <w:rsid w:val="000F3CE5"/>
    <w:rsid w:val="000F43D3"/>
    <w:rsid w:val="000F4499"/>
    <w:rsid w:val="000F46A0"/>
    <w:rsid w:val="000F4AD9"/>
    <w:rsid w:val="000F4E28"/>
    <w:rsid w:val="000F5196"/>
    <w:rsid w:val="000F5605"/>
    <w:rsid w:val="000F5A00"/>
    <w:rsid w:val="000F5C95"/>
    <w:rsid w:val="000F63C1"/>
    <w:rsid w:val="000F643B"/>
    <w:rsid w:val="000F661A"/>
    <w:rsid w:val="000F6681"/>
    <w:rsid w:val="000F6DA7"/>
    <w:rsid w:val="000F6E9D"/>
    <w:rsid w:val="000F7205"/>
    <w:rsid w:val="000F7432"/>
    <w:rsid w:val="000F74F0"/>
    <w:rsid w:val="000F76B1"/>
    <w:rsid w:val="00100173"/>
    <w:rsid w:val="0010035C"/>
    <w:rsid w:val="001005F1"/>
    <w:rsid w:val="00100BAA"/>
    <w:rsid w:val="00101053"/>
    <w:rsid w:val="001012E1"/>
    <w:rsid w:val="0010134B"/>
    <w:rsid w:val="00101734"/>
    <w:rsid w:val="0010177E"/>
    <w:rsid w:val="001019C6"/>
    <w:rsid w:val="00101ADC"/>
    <w:rsid w:val="00101E32"/>
    <w:rsid w:val="00102038"/>
    <w:rsid w:val="0010232C"/>
    <w:rsid w:val="001024C8"/>
    <w:rsid w:val="0010259D"/>
    <w:rsid w:val="001027BD"/>
    <w:rsid w:val="00102D02"/>
    <w:rsid w:val="00102F8C"/>
    <w:rsid w:val="00103038"/>
    <w:rsid w:val="0010366F"/>
    <w:rsid w:val="00103CAC"/>
    <w:rsid w:val="001048D1"/>
    <w:rsid w:val="00105432"/>
    <w:rsid w:val="0010551F"/>
    <w:rsid w:val="00105AD2"/>
    <w:rsid w:val="00105B4C"/>
    <w:rsid w:val="00105CCC"/>
    <w:rsid w:val="001061EA"/>
    <w:rsid w:val="001062DE"/>
    <w:rsid w:val="00106681"/>
    <w:rsid w:val="00106901"/>
    <w:rsid w:val="0010698C"/>
    <w:rsid w:val="001076F6"/>
    <w:rsid w:val="00107DE5"/>
    <w:rsid w:val="001100BA"/>
    <w:rsid w:val="001101D3"/>
    <w:rsid w:val="001102F1"/>
    <w:rsid w:val="00110323"/>
    <w:rsid w:val="001105DC"/>
    <w:rsid w:val="00110A53"/>
    <w:rsid w:val="00110D2F"/>
    <w:rsid w:val="00110F1F"/>
    <w:rsid w:val="00111068"/>
    <w:rsid w:val="00111673"/>
    <w:rsid w:val="001119B6"/>
    <w:rsid w:val="00111C27"/>
    <w:rsid w:val="001125CC"/>
    <w:rsid w:val="00112742"/>
    <w:rsid w:val="00112AE7"/>
    <w:rsid w:val="00112DC5"/>
    <w:rsid w:val="00112F57"/>
    <w:rsid w:val="00112FC6"/>
    <w:rsid w:val="001131D0"/>
    <w:rsid w:val="00113295"/>
    <w:rsid w:val="0011375D"/>
    <w:rsid w:val="0011375E"/>
    <w:rsid w:val="00113986"/>
    <w:rsid w:val="0011430B"/>
    <w:rsid w:val="0011452F"/>
    <w:rsid w:val="00114A01"/>
    <w:rsid w:val="00114FC5"/>
    <w:rsid w:val="00115715"/>
    <w:rsid w:val="001158D3"/>
    <w:rsid w:val="001158D7"/>
    <w:rsid w:val="00115B76"/>
    <w:rsid w:val="00116267"/>
    <w:rsid w:val="00116B64"/>
    <w:rsid w:val="0011724D"/>
    <w:rsid w:val="00117285"/>
    <w:rsid w:val="001174FE"/>
    <w:rsid w:val="00117634"/>
    <w:rsid w:val="0012004A"/>
    <w:rsid w:val="00120282"/>
    <w:rsid w:val="001203D1"/>
    <w:rsid w:val="00120727"/>
    <w:rsid w:val="00120744"/>
    <w:rsid w:val="0012144F"/>
    <w:rsid w:val="00121853"/>
    <w:rsid w:val="00121C2C"/>
    <w:rsid w:val="00121DDB"/>
    <w:rsid w:val="001222A4"/>
    <w:rsid w:val="00122737"/>
    <w:rsid w:val="00122922"/>
    <w:rsid w:val="00122947"/>
    <w:rsid w:val="00122BAD"/>
    <w:rsid w:val="00122D62"/>
    <w:rsid w:val="00122FA2"/>
    <w:rsid w:val="00123199"/>
    <w:rsid w:val="001235FD"/>
    <w:rsid w:val="00123C59"/>
    <w:rsid w:val="00123C7E"/>
    <w:rsid w:val="00123D12"/>
    <w:rsid w:val="00123D15"/>
    <w:rsid w:val="00123E88"/>
    <w:rsid w:val="00124077"/>
    <w:rsid w:val="0012453E"/>
    <w:rsid w:val="00124923"/>
    <w:rsid w:val="00125526"/>
    <w:rsid w:val="001259D8"/>
    <w:rsid w:val="00126075"/>
    <w:rsid w:val="00126126"/>
    <w:rsid w:val="001267A3"/>
    <w:rsid w:val="00126D96"/>
    <w:rsid w:val="00127832"/>
    <w:rsid w:val="001279E0"/>
    <w:rsid w:val="00127BEE"/>
    <w:rsid w:val="00127D36"/>
    <w:rsid w:val="00127FA6"/>
    <w:rsid w:val="00130122"/>
    <w:rsid w:val="0013034F"/>
    <w:rsid w:val="001308AA"/>
    <w:rsid w:val="001308C1"/>
    <w:rsid w:val="00130944"/>
    <w:rsid w:val="00130A65"/>
    <w:rsid w:val="00130BCB"/>
    <w:rsid w:val="00130C64"/>
    <w:rsid w:val="0013178D"/>
    <w:rsid w:val="001319BD"/>
    <w:rsid w:val="00131BDB"/>
    <w:rsid w:val="00131E92"/>
    <w:rsid w:val="00131F6A"/>
    <w:rsid w:val="00132034"/>
    <w:rsid w:val="001322A8"/>
    <w:rsid w:val="001323C6"/>
    <w:rsid w:val="00132491"/>
    <w:rsid w:val="001324AB"/>
    <w:rsid w:val="001326BE"/>
    <w:rsid w:val="00132825"/>
    <w:rsid w:val="00132860"/>
    <w:rsid w:val="001328AD"/>
    <w:rsid w:val="0013375E"/>
    <w:rsid w:val="00133A82"/>
    <w:rsid w:val="0013409E"/>
    <w:rsid w:val="001348C6"/>
    <w:rsid w:val="00134B09"/>
    <w:rsid w:val="00134C01"/>
    <w:rsid w:val="00134C98"/>
    <w:rsid w:val="00135119"/>
    <w:rsid w:val="001351E1"/>
    <w:rsid w:val="001353A9"/>
    <w:rsid w:val="001354EF"/>
    <w:rsid w:val="00135568"/>
    <w:rsid w:val="0013571D"/>
    <w:rsid w:val="00135888"/>
    <w:rsid w:val="001358C7"/>
    <w:rsid w:val="00136091"/>
    <w:rsid w:val="001360F3"/>
    <w:rsid w:val="001364BD"/>
    <w:rsid w:val="00136729"/>
    <w:rsid w:val="00136CD3"/>
    <w:rsid w:val="0013767B"/>
    <w:rsid w:val="00137A52"/>
    <w:rsid w:val="00140474"/>
    <w:rsid w:val="00140F80"/>
    <w:rsid w:val="001415B8"/>
    <w:rsid w:val="00141CA5"/>
    <w:rsid w:val="001420E0"/>
    <w:rsid w:val="001428EE"/>
    <w:rsid w:val="00142BFA"/>
    <w:rsid w:val="00142C16"/>
    <w:rsid w:val="0014313E"/>
    <w:rsid w:val="00143B0A"/>
    <w:rsid w:val="00143B33"/>
    <w:rsid w:val="00143B52"/>
    <w:rsid w:val="00143BB0"/>
    <w:rsid w:val="00143FF0"/>
    <w:rsid w:val="00144117"/>
    <w:rsid w:val="001441B5"/>
    <w:rsid w:val="00144758"/>
    <w:rsid w:val="00144F45"/>
    <w:rsid w:val="00145394"/>
    <w:rsid w:val="00145A71"/>
    <w:rsid w:val="00145D46"/>
    <w:rsid w:val="00146F5A"/>
    <w:rsid w:val="001474CA"/>
    <w:rsid w:val="00147F0E"/>
    <w:rsid w:val="00150AC2"/>
    <w:rsid w:val="00150C10"/>
    <w:rsid w:val="00151081"/>
    <w:rsid w:val="0015123C"/>
    <w:rsid w:val="0015143D"/>
    <w:rsid w:val="00151496"/>
    <w:rsid w:val="0015158A"/>
    <w:rsid w:val="001517A2"/>
    <w:rsid w:val="00151B7D"/>
    <w:rsid w:val="00151C1A"/>
    <w:rsid w:val="00151C65"/>
    <w:rsid w:val="00151E45"/>
    <w:rsid w:val="001527BA"/>
    <w:rsid w:val="00152BC8"/>
    <w:rsid w:val="00152EB8"/>
    <w:rsid w:val="00153253"/>
    <w:rsid w:val="001538DE"/>
    <w:rsid w:val="00153982"/>
    <w:rsid w:val="00153D03"/>
    <w:rsid w:val="00153E78"/>
    <w:rsid w:val="00154069"/>
    <w:rsid w:val="001545EF"/>
    <w:rsid w:val="00154B51"/>
    <w:rsid w:val="00154D5A"/>
    <w:rsid w:val="001552BF"/>
    <w:rsid w:val="0015601C"/>
    <w:rsid w:val="00156D2E"/>
    <w:rsid w:val="00156E41"/>
    <w:rsid w:val="00157853"/>
    <w:rsid w:val="0015787F"/>
    <w:rsid w:val="0015794E"/>
    <w:rsid w:val="00157B3F"/>
    <w:rsid w:val="00157D8F"/>
    <w:rsid w:val="00157E7C"/>
    <w:rsid w:val="00160361"/>
    <w:rsid w:val="00160A70"/>
    <w:rsid w:val="00160E54"/>
    <w:rsid w:val="001617F4"/>
    <w:rsid w:val="00161817"/>
    <w:rsid w:val="00161A68"/>
    <w:rsid w:val="00161CDD"/>
    <w:rsid w:val="00161E29"/>
    <w:rsid w:val="00162402"/>
    <w:rsid w:val="0016254F"/>
    <w:rsid w:val="00163306"/>
    <w:rsid w:val="0016369F"/>
    <w:rsid w:val="00163764"/>
    <w:rsid w:val="0016377F"/>
    <w:rsid w:val="0016419F"/>
    <w:rsid w:val="00164415"/>
    <w:rsid w:val="00164B1B"/>
    <w:rsid w:val="00165703"/>
    <w:rsid w:val="001658AC"/>
    <w:rsid w:val="00165987"/>
    <w:rsid w:val="00165AC9"/>
    <w:rsid w:val="001661F4"/>
    <w:rsid w:val="001662C6"/>
    <w:rsid w:val="0016680D"/>
    <w:rsid w:val="00166FA6"/>
    <w:rsid w:val="001671E9"/>
    <w:rsid w:val="00167457"/>
    <w:rsid w:val="00167710"/>
    <w:rsid w:val="0016794F"/>
    <w:rsid w:val="0016797F"/>
    <w:rsid w:val="0016798C"/>
    <w:rsid w:val="0017025F"/>
    <w:rsid w:val="001703CB"/>
    <w:rsid w:val="00170E1F"/>
    <w:rsid w:val="001716FF"/>
    <w:rsid w:val="00171BFC"/>
    <w:rsid w:val="00171FE8"/>
    <w:rsid w:val="0017241F"/>
    <w:rsid w:val="001724C4"/>
    <w:rsid w:val="00172732"/>
    <w:rsid w:val="00172A27"/>
    <w:rsid w:val="00172AE2"/>
    <w:rsid w:val="00172C56"/>
    <w:rsid w:val="00172F4F"/>
    <w:rsid w:val="00172FB9"/>
    <w:rsid w:val="00173010"/>
    <w:rsid w:val="00173276"/>
    <w:rsid w:val="001736C7"/>
    <w:rsid w:val="00173839"/>
    <w:rsid w:val="00173969"/>
    <w:rsid w:val="001739C9"/>
    <w:rsid w:val="00173F18"/>
    <w:rsid w:val="00174DD9"/>
    <w:rsid w:val="00175E7F"/>
    <w:rsid w:val="00176221"/>
    <w:rsid w:val="00176319"/>
    <w:rsid w:val="001763A9"/>
    <w:rsid w:val="00176BF3"/>
    <w:rsid w:val="00176D59"/>
    <w:rsid w:val="00176DCB"/>
    <w:rsid w:val="00176ED9"/>
    <w:rsid w:val="00176FA0"/>
    <w:rsid w:val="0017725F"/>
    <w:rsid w:val="00177380"/>
    <w:rsid w:val="00177BF6"/>
    <w:rsid w:val="00177D6F"/>
    <w:rsid w:val="001804E2"/>
    <w:rsid w:val="00180667"/>
    <w:rsid w:val="001812BB"/>
    <w:rsid w:val="0018150C"/>
    <w:rsid w:val="00181845"/>
    <w:rsid w:val="0018195D"/>
    <w:rsid w:val="00181F11"/>
    <w:rsid w:val="001824DF"/>
    <w:rsid w:val="00182552"/>
    <w:rsid w:val="001826C8"/>
    <w:rsid w:val="00182BB0"/>
    <w:rsid w:val="001838AA"/>
    <w:rsid w:val="00183CE2"/>
    <w:rsid w:val="00183D2A"/>
    <w:rsid w:val="00183F29"/>
    <w:rsid w:val="001841C1"/>
    <w:rsid w:val="0018438D"/>
    <w:rsid w:val="00184432"/>
    <w:rsid w:val="00184634"/>
    <w:rsid w:val="001847AA"/>
    <w:rsid w:val="001849B8"/>
    <w:rsid w:val="00184DA4"/>
    <w:rsid w:val="00184FE9"/>
    <w:rsid w:val="00185421"/>
    <w:rsid w:val="001859C7"/>
    <w:rsid w:val="00185C66"/>
    <w:rsid w:val="00185DBB"/>
    <w:rsid w:val="00185F43"/>
    <w:rsid w:val="00186144"/>
    <w:rsid w:val="0018614E"/>
    <w:rsid w:val="001861A7"/>
    <w:rsid w:val="00186890"/>
    <w:rsid w:val="001869A6"/>
    <w:rsid w:val="00186B9C"/>
    <w:rsid w:val="00186C16"/>
    <w:rsid w:val="001871AF"/>
    <w:rsid w:val="001874D4"/>
    <w:rsid w:val="001876A7"/>
    <w:rsid w:val="001877D2"/>
    <w:rsid w:val="001878B6"/>
    <w:rsid w:val="00187B01"/>
    <w:rsid w:val="00187CEB"/>
    <w:rsid w:val="00187F05"/>
    <w:rsid w:val="00190176"/>
    <w:rsid w:val="001905E8"/>
    <w:rsid w:val="00190913"/>
    <w:rsid w:val="00190B07"/>
    <w:rsid w:val="00190CF5"/>
    <w:rsid w:val="00190EF0"/>
    <w:rsid w:val="0019140B"/>
    <w:rsid w:val="00191632"/>
    <w:rsid w:val="00191663"/>
    <w:rsid w:val="00191803"/>
    <w:rsid w:val="00191F7E"/>
    <w:rsid w:val="00192127"/>
    <w:rsid w:val="00192C9C"/>
    <w:rsid w:val="001932E9"/>
    <w:rsid w:val="00193CA5"/>
    <w:rsid w:val="00194082"/>
    <w:rsid w:val="00194305"/>
    <w:rsid w:val="00194599"/>
    <w:rsid w:val="00194CAF"/>
    <w:rsid w:val="00195065"/>
    <w:rsid w:val="001954B4"/>
    <w:rsid w:val="001954C5"/>
    <w:rsid w:val="00195629"/>
    <w:rsid w:val="001956A5"/>
    <w:rsid w:val="001958F7"/>
    <w:rsid w:val="00195E58"/>
    <w:rsid w:val="0019600C"/>
    <w:rsid w:val="0019617E"/>
    <w:rsid w:val="00196536"/>
    <w:rsid w:val="0019670B"/>
    <w:rsid w:val="00196C40"/>
    <w:rsid w:val="00196F4C"/>
    <w:rsid w:val="00196FC5"/>
    <w:rsid w:val="001971F6"/>
    <w:rsid w:val="001972BA"/>
    <w:rsid w:val="001974A9"/>
    <w:rsid w:val="0019783B"/>
    <w:rsid w:val="00197A2E"/>
    <w:rsid w:val="00197B69"/>
    <w:rsid w:val="00197EF1"/>
    <w:rsid w:val="001A04AE"/>
    <w:rsid w:val="001A0618"/>
    <w:rsid w:val="001A0C8A"/>
    <w:rsid w:val="001A0C90"/>
    <w:rsid w:val="001A1667"/>
    <w:rsid w:val="001A1E45"/>
    <w:rsid w:val="001A2042"/>
    <w:rsid w:val="001A291F"/>
    <w:rsid w:val="001A2ADA"/>
    <w:rsid w:val="001A2C2D"/>
    <w:rsid w:val="001A2D6E"/>
    <w:rsid w:val="001A2FD6"/>
    <w:rsid w:val="001A3030"/>
    <w:rsid w:val="001A3676"/>
    <w:rsid w:val="001A3C36"/>
    <w:rsid w:val="001A3CDD"/>
    <w:rsid w:val="001A41D1"/>
    <w:rsid w:val="001A44D3"/>
    <w:rsid w:val="001A4710"/>
    <w:rsid w:val="001A48F1"/>
    <w:rsid w:val="001A4FE0"/>
    <w:rsid w:val="001A518D"/>
    <w:rsid w:val="001A528E"/>
    <w:rsid w:val="001A5BD6"/>
    <w:rsid w:val="001A5C85"/>
    <w:rsid w:val="001A5E83"/>
    <w:rsid w:val="001A63C5"/>
    <w:rsid w:val="001A65D3"/>
    <w:rsid w:val="001A670B"/>
    <w:rsid w:val="001A6763"/>
    <w:rsid w:val="001A69D8"/>
    <w:rsid w:val="001A6D27"/>
    <w:rsid w:val="001A6E3C"/>
    <w:rsid w:val="001A6EA5"/>
    <w:rsid w:val="001A7558"/>
    <w:rsid w:val="001A7747"/>
    <w:rsid w:val="001A7751"/>
    <w:rsid w:val="001A7922"/>
    <w:rsid w:val="001A7A22"/>
    <w:rsid w:val="001A7B63"/>
    <w:rsid w:val="001A7C1A"/>
    <w:rsid w:val="001B0648"/>
    <w:rsid w:val="001B07B7"/>
    <w:rsid w:val="001B0932"/>
    <w:rsid w:val="001B0BD1"/>
    <w:rsid w:val="001B166B"/>
    <w:rsid w:val="001B1C99"/>
    <w:rsid w:val="001B1EBD"/>
    <w:rsid w:val="001B1EEF"/>
    <w:rsid w:val="001B2FD8"/>
    <w:rsid w:val="001B36BC"/>
    <w:rsid w:val="001B3ADC"/>
    <w:rsid w:val="001B3DBC"/>
    <w:rsid w:val="001B3E49"/>
    <w:rsid w:val="001B41C7"/>
    <w:rsid w:val="001B4580"/>
    <w:rsid w:val="001B4BF4"/>
    <w:rsid w:val="001B4E40"/>
    <w:rsid w:val="001B5A98"/>
    <w:rsid w:val="001B5B88"/>
    <w:rsid w:val="001B61FB"/>
    <w:rsid w:val="001B6246"/>
    <w:rsid w:val="001B63B7"/>
    <w:rsid w:val="001B6923"/>
    <w:rsid w:val="001B6EF2"/>
    <w:rsid w:val="001B6FA2"/>
    <w:rsid w:val="001B6FFB"/>
    <w:rsid w:val="001B7C14"/>
    <w:rsid w:val="001C0163"/>
    <w:rsid w:val="001C04D6"/>
    <w:rsid w:val="001C070D"/>
    <w:rsid w:val="001C0E22"/>
    <w:rsid w:val="001C104D"/>
    <w:rsid w:val="001C10CD"/>
    <w:rsid w:val="001C1301"/>
    <w:rsid w:val="001C1551"/>
    <w:rsid w:val="001C1A71"/>
    <w:rsid w:val="001C24CA"/>
    <w:rsid w:val="001C26E0"/>
    <w:rsid w:val="001C2949"/>
    <w:rsid w:val="001C2BC7"/>
    <w:rsid w:val="001C2DEA"/>
    <w:rsid w:val="001C2E39"/>
    <w:rsid w:val="001C34B4"/>
    <w:rsid w:val="001C3864"/>
    <w:rsid w:val="001C42AB"/>
    <w:rsid w:val="001C476F"/>
    <w:rsid w:val="001C4894"/>
    <w:rsid w:val="001C4F22"/>
    <w:rsid w:val="001C523C"/>
    <w:rsid w:val="001C553D"/>
    <w:rsid w:val="001C562B"/>
    <w:rsid w:val="001C57B2"/>
    <w:rsid w:val="001C607F"/>
    <w:rsid w:val="001C66A2"/>
    <w:rsid w:val="001C7498"/>
    <w:rsid w:val="001C74E8"/>
    <w:rsid w:val="001C7517"/>
    <w:rsid w:val="001C7603"/>
    <w:rsid w:val="001C7673"/>
    <w:rsid w:val="001C77D3"/>
    <w:rsid w:val="001D01F3"/>
    <w:rsid w:val="001D05ED"/>
    <w:rsid w:val="001D06ED"/>
    <w:rsid w:val="001D09B0"/>
    <w:rsid w:val="001D1457"/>
    <w:rsid w:val="001D149A"/>
    <w:rsid w:val="001D1716"/>
    <w:rsid w:val="001D1D52"/>
    <w:rsid w:val="001D1DB7"/>
    <w:rsid w:val="001D2043"/>
    <w:rsid w:val="001D2B88"/>
    <w:rsid w:val="001D2F1A"/>
    <w:rsid w:val="001D2FD6"/>
    <w:rsid w:val="001D31D5"/>
    <w:rsid w:val="001D3B19"/>
    <w:rsid w:val="001D3CCD"/>
    <w:rsid w:val="001D3CD2"/>
    <w:rsid w:val="001D3D30"/>
    <w:rsid w:val="001D4BE6"/>
    <w:rsid w:val="001D4FF4"/>
    <w:rsid w:val="001D55B2"/>
    <w:rsid w:val="001D596A"/>
    <w:rsid w:val="001D5AE9"/>
    <w:rsid w:val="001D5EBB"/>
    <w:rsid w:val="001D7B2F"/>
    <w:rsid w:val="001E0342"/>
    <w:rsid w:val="001E06D1"/>
    <w:rsid w:val="001E164B"/>
    <w:rsid w:val="001E1A89"/>
    <w:rsid w:val="001E2557"/>
    <w:rsid w:val="001E268C"/>
    <w:rsid w:val="001E2EFD"/>
    <w:rsid w:val="001E2FCC"/>
    <w:rsid w:val="001E31B5"/>
    <w:rsid w:val="001E376F"/>
    <w:rsid w:val="001E3F8C"/>
    <w:rsid w:val="001E43A3"/>
    <w:rsid w:val="001E45BA"/>
    <w:rsid w:val="001E473E"/>
    <w:rsid w:val="001E4821"/>
    <w:rsid w:val="001E4F10"/>
    <w:rsid w:val="001E57F9"/>
    <w:rsid w:val="001E58E9"/>
    <w:rsid w:val="001E5A77"/>
    <w:rsid w:val="001E608E"/>
    <w:rsid w:val="001E615F"/>
    <w:rsid w:val="001E624B"/>
    <w:rsid w:val="001E6400"/>
    <w:rsid w:val="001E673F"/>
    <w:rsid w:val="001E6883"/>
    <w:rsid w:val="001E68D5"/>
    <w:rsid w:val="001E6C7B"/>
    <w:rsid w:val="001E7862"/>
    <w:rsid w:val="001E790D"/>
    <w:rsid w:val="001E7C68"/>
    <w:rsid w:val="001E7D98"/>
    <w:rsid w:val="001E7FD5"/>
    <w:rsid w:val="001F020C"/>
    <w:rsid w:val="001F022A"/>
    <w:rsid w:val="001F0258"/>
    <w:rsid w:val="001F03BB"/>
    <w:rsid w:val="001F0747"/>
    <w:rsid w:val="001F07B8"/>
    <w:rsid w:val="001F0947"/>
    <w:rsid w:val="001F095E"/>
    <w:rsid w:val="001F0F20"/>
    <w:rsid w:val="001F0FDD"/>
    <w:rsid w:val="001F1308"/>
    <w:rsid w:val="001F166F"/>
    <w:rsid w:val="001F17DD"/>
    <w:rsid w:val="001F1B01"/>
    <w:rsid w:val="001F1CE8"/>
    <w:rsid w:val="001F1E51"/>
    <w:rsid w:val="001F2411"/>
    <w:rsid w:val="001F2C82"/>
    <w:rsid w:val="001F2C9A"/>
    <w:rsid w:val="001F2E3F"/>
    <w:rsid w:val="001F3026"/>
    <w:rsid w:val="001F3168"/>
    <w:rsid w:val="001F3233"/>
    <w:rsid w:val="001F3270"/>
    <w:rsid w:val="001F37D5"/>
    <w:rsid w:val="001F3936"/>
    <w:rsid w:val="001F3A9A"/>
    <w:rsid w:val="001F4482"/>
    <w:rsid w:val="001F4BD8"/>
    <w:rsid w:val="001F4D16"/>
    <w:rsid w:val="001F574B"/>
    <w:rsid w:val="001F5F16"/>
    <w:rsid w:val="001F63B0"/>
    <w:rsid w:val="001F64CB"/>
    <w:rsid w:val="001F6960"/>
    <w:rsid w:val="001F6D03"/>
    <w:rsid w:val="001F7790"/>
    <w:rsid w:val="001F7973"/>
    <w:rsid w:val="0020008E"/>
    <w:rsid w:val="002002D6"/>
    <w:rsid w:val="0020098E"/>
    <w:rsid w:val="00200D81"/>
    <w:rsid w:val="00200DEC"/>
    <w:rsid w:val="00201114"/>
    <w:rsid w:val="00201855"/>
    <w:rsid w:val="00201907"/>
    <w:rsid w:val="00201BC0"/>
    <w:rsid w:val="00201EC0"/>
    <w:rsid w:val="00202039"/>
    <w:rsid w:val="002022A1"/>
    <w:rsid w:val="002023F4"/>
    <w:rsid w:val="0020252F"/>
    <w:rsid w:val="002029B3"/>
    <w:rsid w:val="00202B97"/>
    <w:rsid w:val="00202D8F"/>
    <w:rsid w:val="00202EDD"/>
    <w:rsid w:val="00202FA3"/>
    <w:rsid w:val="00203779"/>
    <w:rsid w:val="002039E9"/>
    <w:rsid w:val="0020414B"/>
    <w:rsid w:val="002041D0"/>
    <w:rsid w:val="002041E0"/>
    <w:rsid w:val="00204300"/>
    <w:rsid w:val="00204AFC"/>
    <w:rsid w:val="00204ED6"/>
    <w:rsid w:val="00204F24"/>
    <w:rsid w:val="0020535D"/>
    <w:rsid w:val="00205C62"/>
    <w:rsid w:val="00206BF4"/>
    <w:rsid w:val="00206D15"/>
    <w:rsid w:val="00206E51"/>
    <w:rsid w:val="002073AE"/>
    <w:rsid w:val="002074C5"/>
    <w:rsid w:val="002074E1"/>
    <w:rsid w:val="00207AB9"/>
    <w:rsid w:val="00207DFF"/>
    <w:rsid w:val="002104C8"/>
    <w:rsid w:val="0021074B"/>
    <w:rsid w:val="00210C89"/>
    <w:rsid w:val="00210EBC"/>
    <w:rsid w:val="002114FE"/>
    <w:rsid w:val="0021153E"/>
    <w:rsid w:val="0021252E"/>
    <w:rsid w:val="00212BC6"/>
    <w:rsid w:val="00212F98"/>
    <w:rsid w:val="0021375C"/>
    <w:rsid w:val="00213E9B"/>
    <w:rsid w:val="00214057"/>
    <w:rsid w:val="0021499D"/>
    <w:rsid w:val="00214C24"/>
    <w:rsid w:val="00214E32"/>
    <w:rsid w:val="00214EE0"/>
    <w:rsid w:val="00215131"/>
    <w:rsid w:val="0021572D"/>
    <w:rsid w:val="002157C8"/>
    <w:rsid w:val="00215AF0"/>
    <w:rsid w:val="00215D76"/>
    <w:rsid w:val="00216173"/>
    <w:rsid w:val="002162E5"/>
    <w:rsid w:val="00216582"/>
    <w:rsid w:val="00216B17"/>
    <w:rsid w:val="00216D3D"/>
    <w:rsid w:val="0021711C"/>
    <w:rsid w:val="0021791B"/>
    <w:rsid w:val="002179EB"/>
    <w:rsid w:val="00220066"/>
    <w:rsid w:val="002200FE"/>
    <w:rsid w:val="0022028F"/>
    <w:rsid w:val="002208C0"/>
    <w:rsid w:val="002209DD"/>
    <w:rsid w:val="00221005"/>
    <w:rsid w:val="002210BE"/>
    <w:rsid w:val="002214D4"/>
    <w:rsid w:val="00221572"/>
    <w:rsid w:val="00221DE7"/>
    <w:rsid w:val="00222735"/>
    <w:rsid w:val="00222E30"/>
    <w:rsid w:val="00222F83"/>
    <w:rsid w:val="0022329D"/>
    <w:rsid w:val="00223783"/>
    <w:rsid w:val="0022378B"/>
    <w:rsid w:val="00223CC6"/>
    <w:rsid w:val="00223F52"/>
    <w:rsid w:val="00224349"/>
    <w:rsid w:val="0022492D"/>
    <w:rsid w:val="00224DEB"/>
    <w:rsid w:val="00224E40"/>
    <w:rsid w:val="00224E4B"/>
    <w:rsid w:val="0022543E"/>
    <w:rsid w:val="0022556E"/>
    <w:rsid w:val="002257C4"/>
    <w:rsid w:val="0022585E"/>
    <w:rsid w:val="00225B37"/>
    <w:rsid w:val="002264BD"/>
    <w:rsid w:val="002267BF"/>
    <w:rsid w:val="00226814"/>
    <w:rsid w:val="00226FB5"/>
    <w:rsid w:val="002275CF"/>
    <w:rsid w:val="00227A4A"/>
    <w:rsid w:val="00227A5B"/>
    <w:rsid w:val="00227F19"/>
    <w:rsid w:val="00230278"/>
    <w:rsid w:val="00230D0D"/>
    <w:rsid w:val="00230E50"/>
    <w:rsid w:val="00231601"/>
    <w:rsid w:val="002316C7"/>
    <w:rsid w:val="00231956"/>
    <w:rsid w:val="00231AE5"/>
    <w:rsid w:val="00231D66"/>
    <w:rsid w:val="00231D7B"/>
    <w:rsid w:val="00231FEE"/>
    <w:rsid w:val="00232238"/>
    <w:rsid w:val="00232396"/>
    <w:rsid w:val="00232434"/>
    <w:rsid w:val="0023283C"/>
    <w:rsid w:val="002329E8"/>
    <w:rsid w:val="00232C7A"/>
    <w:rsid w:val="00232EF5"/>
    <w:rsid w:val="00233274"/>
    <w:rsid w:val="002333DA"/>
    <w:rsid w:val="0023419C"/>
    <w:rsid w:val="00234418"/>
    <w:rsid w:val="0023451B"/>
    <w:rsid w:val="00234867"/>
    <w:rsid w:val="00234B05"/>
    <w:rsid w:val="00234BB2"/>
    <w:rsid w:val="00234BE8"/>
    <w:rsid w:val="00234DF6"/>
    <w:rsid w:val="0023534E"/>
    <w:rsid w:val="00235AE4"/>
    <w:rsid w:val="00235DDE"/>
    <w:rsid w:val="00236337"/>
    <w:rsid w:val="0023636A"/>
    <w:rsid w:val="002363C1"/>
    <w:rsid w:val="00236840"/>
    <w:rsid w:val="00236F52"/>
    <w:rsid w:val="00236FC7"/>
    <w:rsid w:val="00237033"/>
    <w:rsid w:val="002370D5"/>
    <w:rsid w:val="002371DD"/>
    <w:rsid w:val="0023795F"/>
    <w:rsid w:val="002401F1"/>
    <w:rsid w:val="00240414"/>
    <w:rsid w:val="00241364"/>
    <w:rsid w:val="00241408"/>
    <w:rsid w:val="002415E8"/>
    <w:rsid w:val="002415F7"/>
    <w:rsid w:val="002417DC"/>
    <w:rsid w:val="002425D3"/>
    <w:rsid w:val="00242762"/>
    <w:rsid w:val="00242838"/>
    <w:rsid w:val="00242A19"/>
    <w:rsid w:val="00243348"/>
    <w:rsid w:val="00243606"/>
    <w:rsid w:val="00243965"/>
    <w:rsid w:val="00243FF3"/>
    <w:rsid w:val="002440F3"/>
    <w:rsid w:val="00244699"/>
    <w:rsid w:val="002446DB"/>
    <w:rsid w:val="002447E7"/>
    <w:rsid w:val="002455A2"/>
    <w:rsid w:val="00245735"/>
    <w:rsid w:val="00245796"/>
    <w:rsid w:val="002462A7"/>
    <w:rsid w:val="002469DB"/>
    <w:rsid w:val="00247486"/>
    <w:rsid w:val="002479BF"/>
    <w:rsid w:val="00250308"/>
    <w:rsid w:val="002505A2"/>
    <w:rsid w:val="00250736"/>
    <w:rsid w:val="00250C06"/>
    <w:rsid w:val="00250E7D"/>
    <w:rsid w:val="0025139D"/>
    <w:rsid w:val="00251808"/>
    <w:rsid w:val="0025241C"/>
    <w:rsid w:val="00252B96"/>
    <w:rsid w:val="002532D1"/>
    <w:rsid w:val="002533FB"/>
    <w:rsid w:val="00253AC0"/>
    <w:rsid w:val="00253B80"/>
    <w:rsid w:val="00253C5C"/>
    <w:rsid w:val="00253E07"/>
    <w:rsid w:val="00254417"/>
    <w:rsid w:val="0025445C"/>
    <w:rsid w:val="00254858"/>
    <w:rsid w:val="00254A35"/>
    <w:rsid w:val="00254AB5"/>
    <w:rsid w:val="00254B0E"/>
    <w:rsid w:val="0025577C"/>
    <w:rsid w:val="002567C2"/>
    <w:rsid w:val="002568BC"/>
    <w:rsid w:val="00256E20"/>
    <w:rsid w:val="002574DA"/>
    <w:rsid w:val="0025770A"/>
    <w:rsid w:val="00260019"/>
    <w:rsid w:val="0026006E"/>
    <w:rsid w:val="0026006F"/>
    <w:rsid w:val="002604B9"/>
    <w:rsid w:val="00260B4E"/>
    <w:rsid w:val="00260C21"/>
    <w:rsid w:val="00261534"/>
    <w:rsid w:val="00261537"/>
    <w:rsid w:val="002616FC"/>
    <w:rsid w:val="002618A8"/>
    <w:rsid w:val="00262613"/>
    <w:rsid w:val="00262B89"/>
    <w:rsid w:val="002632D1"/>
    <w:rsid w:val="0026375F"/>
    <w:rsid w:val="0026378F"/>
    <w:rsid w:val="00263A25"/>
    <w:rsid w:val="00263AC4"/>
    <w:rsid w:val="00263D08"/>
    <w:rsid w:val="00263D20"/>
    <w:rsid w:val="002640A7"/>
    <w:rsid w:val="0026436B"/>
    <w:rsid w:val="00264686"/>
    <w:rsid w:val="0026488C"/>
    <w:rsid w:val="00264AF2"/>
    <w:rsid w:val="00264CBC"/>
    <w:rsid w:val="0026518D"/>
    <w:rsid w:val="00265CDC"/>
    <w:rsid w:val="00266341"/>
    <w:rsid w:val="0026670A"/>
    <w:rsid w:val="00266761"/>
    <w:rsid w:val="00266BBC"/>
    <w:rsid w:val="00266D2B"/>
    <w:rsid w:val="00267357"/>
    <w:rsid w:val="002679B1"/>
    <w:rsid w:val="00267B65"/>
    <w:rsid w:val="00267DE8"/>
    <w:rsid w:val="00267F8D"/>
    <w:rsid w:val="00267FD3"/>
    <w:rsid w:val="0027002F"/>
    <w:rsid w:val="00270524"/>
    <w:rsid w:val="00270700"/>
    <w:rsid w:val="00270BB4"/>
    <w:rsid w:val="00270BE8"/>
    <w:rsid w:val="00270EF3"/>
    <w:rsid w:val="00271507"/>
    <w:rsid w:val="0027151C"/>
    <w:rsid w:val="00271612"/>
    <w:rsid w:val="00272029"/>
    <w:rsid w:val="00272666"/>
    <w:rsid w:val="002726E5"/>
    <w:rsid w:val="002727C6"/>
    <w:rsid w:val="0027374A"/>
    <w:rsid w:val="00273B28"/>
    <w:rsid w:val="00273C6D"/>
    <w:rsid w:val="00273FB5"/>
    <w:rsid w:val="002744D7"/>
    <w:rsid w:val="00274718"/>
    <w:rsid w:val="00274A60"/>
    <w:rsid w:val="00274AA0"/>
    <w:rsid w:val="0027502B"/>
    <w:rsid w:val="002751EA"/>
    <w:rsid w:val="00275451"/>
    <w:rsid w:val="00275797"/>
    <w:rsid w:val="00275868"/>
    <w:rsid w:val="00276028"/>
    <w:rsid w:val="00276047"/>
    <w:rsid w:val="002763E1"/>
    <w:rsid w:val="0027657A"/>
    <w:rsid w:val="002766E0"/>
    <w:rsid w:val="0027692D"/>
    <w:rsid w:val="002769B2"/>
    <w:rsid w:val="0027701E"/>
    <w:rsid w:val="002770CF"/>
    <w:rsid w:val="002772E4"/>
    <w:rsid w:val="00277782"/>
    <w:rsid w:val="002803F9"/>
    <w:rsid w:val="002809B3"/>
    <w:rsid w:val="00280B05"/>
    <w:rsid w:val="00280C16"/>
    <w:rsid w:val="00280EB3"/>
    <w:rsid w:val="00280FE9"/>
    <w:rsid w:val="00281201"/>
    <w:rsid w:val="002816EE"/>
    <w:rsid w:val="00281ACE"/>
    <w:rsid w:val="00281C60"/>
    <w:rsid w:val="00281F8A"/>
    <w:rsid w:val="00282AC9"/>
    <w:rsid w:val="00282F33"/>
    <w:rsid w:val="002834C7"/>
    <w:rsid w:val="002837F6"/>
    <w:rsid w:val="00283CA0"/>
    <w:rsid w:val="00283DD4"/>
    <w:rsid w:val="0028408A"/>
    <w:rsid w:val="002843D8"/>
    <w:rsid w:val="00284D0B"/>
    <w:rsid w:val="00284EFA"/>
    <w:rsid w:val="00285258"/>
    <w:rsid w:val="00285456"/>
    <w:rsid w:val="0028548F"/>
    <w:rsid w:val="00285C9E"/>
    <w:rsid w:val="0028640E"/>
    <w:rsid w:val="00286741"/>
    <w:rsid w:val="00286C4C"/>
    <w:rsid w:val="00286DAD"/>
    <w:rsid w:val="00287A9F"/>
    <w:rsid w:val="00290471"/>
    <w:rsid w:val="002912BA"/>
    <w:rsid w:val="002912DA"/>
    <w:rsid w:val="002913F7"/>
    <w:rsid w:val="002914FD"/>
    <w:rsid w:val="002916E1"/>
    <w:rsid w:val="00291CA5"/>
    <w:rsid w:val="00291D37"/>
    <w:rsid w:val="00291EC9"/>
    <w:rsid w:val="002921CE"/>
    <w:rsid w:val="00292531"/>
    <w:rsid w:val="00292655"/>
    <w:rsid w:val="00292A84"/>
    <w:rsid w:val="00292B7D"/>
    <w:rsid w:val="00293261"/>
    <w:rsid w:val="002932D7"/>
    <w:rsid w:val="00293467"/>
    <w:rsid w:val="00293DCA"/>
    <w:rsid w:val="00293F23"/>
    <w:rsid w:val="00294C3F"/>
    <w:rsid w:val="00294CF6"/>
    <w:rsid w:val="00294FD7"/>
    <w:rsid w:val="002952AF"/>
    <w:rsid w:val="002956FC"/>
    <w:rsid w:val="00295B6C"/>
    <w:rsid w:val="00295CF1"/>
    <w:rsid w:val="00295DD0"/>
    <w:rsid w:val="00296C7F"/>
    <w:rsid w:val="002970BF"/>
    <w:rsid w:val="00297181"/>
    <w:rsid w:val="002975AC"/>
    <w:rsid w:val="002A0558"/>
    <w:rsid w:val="002A0EB7"/>
    <w:rsid w:val="002A1074"/>
    <w:rsid w:val="002A113A"/>
    <w:rsid w:val="002A16B1"/>
    <w:rsid w:val="002A1979"/>
    <w:rsid w:val="002A200D"/>
    <w:rsid w:val="002A2084"/>
    <w:rsid w:val="002A23B9"/>
    <w:rsid w:val="002A25DA"/>
    <w:rsid w:val="002A2771"/>
    <w:rsid w:val="002A2855"/>
    <w:rsid w:val="002A2E05"/>
    <w:rsid w:val="002A302F"/>
    <w:rsid w:val="002A31BA"/>
    <w:rsid w:val="002A3BFB"/>
    <w:rsid w:val="002A3D4E"/>
    <w:rsid w:val="002A4347"/>
    <w:rsid w:val="002A4492"/>
    <w:rsid w:val="002A45D9"/>
    <w:rsid w:val="002A46C6"/>
    <w:rsid w:val="002A4775"/>
    <w:rsid w:val="002A4E98"/>
    <w:rsid w:val="002A5041"/>
    <w:rsid w:val="002A5CA0"/>
    <w:rsid w:val="002A5DAA"/>
    <w:rsid w:val="002A5DCF"/>
    <w:rsid w:val="002A5EFD"/>
    <w:rsid w:val="002A6ACF"/>
    <w:rsid w:val="002A6BBE"/>
    <w:rsid w:val="002A6D16"/>
    <w:rsid w:val="002A730D"/>
    <w:rsid w:val="002A792A"/>
    <w:rsid w:val="002A7AA8"/>
    <w:rsid w:val="002A7BF9"/>
    <w:rsid w:val="002A7C61"/>
    <w:rsid w:val="002A7F17"/>
    <w:rsid w:val="002B0076"/>
    <w:rsid w:val="002B0384"/>
    <w:rsid w:val="002B044E"/>
    <w:rsid w:val="002B0B0B"/>
    <w:rsid w:val="002B0D8D"/>
    <w:rsid w:val="002B0EBC"/>
    <w:rsid w:val="002B132A"/>
    <w:rsid w:val="002B1475"/>
    <w:rsid w:val="002B1713"/>
    <w:rsid w:val="002B1CDD"/>
    <w:rsid w:val="002B21BB"/>
    <w:rsid w:val="002B21F5"/>
    <w:rsid w:val="002B228C"/>
    <w:rsid w:val="002B2668"/>
    <w:rsid w:val="002B2875"/>
    <w:rsid w:val="002B3134"/>
    <w:rsid w:val="002B369F"/>
    <w:rsid w:val="002B3ECB"/>
    <w:rsid w:val="002B3F5B"/>
    <w:rsid w:val="002B405C"/>
    <w:rsid w:val="002B4617"/>
    <w:rsid w:val="002B4785"/>
    <w:rsid w:val="002B51C4"/>
    <w:rsid w:val="002B5314"/>
    <w:rsid w:val="002B561D"/>
    <w:rsid w:val="002B5922"/>
    <w:rsid w:val="002B5E03"/>
    <w:rsid w:val="002B6193"/>
    <w:rsid w:val="002B662C"/>
    <w:rsid w:val="002B6C45"/>
    <w:rsid w:val="002B74BF"/>
    <w:rsid w:val="002B75BB"/>
    <w:rsid w:val="002B7E1F"/>
    <w:rsid w:val="002C090E"/>
    <w:rsid w:val="002C0A53"/>
    <w:rsid w:val="002C0AD2"/>
    <w:rsid w:val="002C0C94"/>
    <w:rsid w:val="002C0FB6"/>
    <w:rsid w:val="002C13E6"/>
    <w:rsid w:val="002C1500"/>
    <w:rsid w:val="002C1C81"/>
    <w:rsid w:val="002C1F7C"/>
    <w:rsid w:val="002C2FF4"/>
    <w:rsid w:val="002C3618"/>
    <w:rsid w:val="002C3FF2"/>
    <w:rsid w:val="002C4400"/>
    <w:rsid w:val="002C4981"/>
    <w:rsid w:val="002C4F88"/>
    <w:rsid w:val="002C509F"/>
    <w:rsid w:val="002C52C6"/>
    <w:rsid w:val="002C5880"/>
    <w:rsid w:val="002C58BD"/>
    <w:rsid w:val="002C59F0"/>
    <w:rsid w:val="002C5EA7"/>
    <w:rsid w:val="002C5F4D"/>
    <w:rsid w:val="002C614D"/>
    <w:rsid w:val="002C61B3"/>
    <w:rsid w:val="002C643A"/>
    <w:rsid w:val="002C64B6"/>
    <w:rsid w:val="002C6B8C"/>
    <w:rsid w:val="002C6F0D"/>
    <w:rsid w:val="002C70E7"/>
    <w:rsid w:val="002C727D"/>
    <w:rsid w:val="002C7426"/>
    <w:rsid w:val="002C744F"/>
    <w:rsid w:val="002C7769"/>
    <w:rsid w:val="002C7A3B"/>
    <w:rsid w:val="002C7DAF"/>
    <w:rsid w:val="002C7DC4"/>
    <w:rsid w:val="002C7F85"/>
    <w:rsid w:val="002D0041"/>
    <w:rsid w:val="002D0340"/>
    <w:rsid w:val="002D069D"/>
    <w:rsid w:val="002D0B99"/>
    <w:rsid w:val="002D0E29"/>
    <w:rsid w:val="002D10B7"/>
    <w:rsid w:val="002D170A"/>
    <w:rsid w:val="002D1B41"/>
    <w:rsid w:val="002D1D8F"/>
    <w:rsid w:val="002D1DA7"/>
    <w:rsid w:val="002D1E78"/>
    <w:rsid w:val="002D225C"/>
    <w:rsid w:val="002D2465"/>
    <w:rsid w:val="002D290C"/>
    <w:rsid w:val="002D2F19"/>
    <w:rsid w:val="002D34D5"/>
    <w:rsid w:val="002D397A"/>
    <w:rsid w:val="002D3A29"/>
    <w:rsid w:val="002D42AD"/>
    <w:rsid w:val="002D53A1"/>
    <w:rsid w:val="002D53F3"/>
    <w:rsid w:val="002D58E3"/>
    <w:rsid w:val="002D5ECE"/>
    <w:rsid w:val="002D6A4A"/>
    <w:rsid w:val="002D74D3"/>
    <w:rsid w:val="002E0166"/>
    <w:rsid w:val="002E0A3C"/>
    <w:rsid w:val="002E0DEE"/>
    <w:rsid w:val="002E10B4"/>
    <w:rsid w:val="002E16EC"/>
    <w:rsid w:val="002E26BA"/>
    <w:rsid w:val="002E28BD"/>
    <w:rsid w:val="002E2EF1"/>
    <w:rsid w:val="002E2F66"/>
    <w:rsid w:val="002E3224"/>
    <w:rsid w:val="002E34D0"/>
    <w:rsid w:val="002E3689"/>
    <w:rsid w:val="002E4474"/>
    <w:rsid w:val="002E4744"/>
    <w:rsid w:val="002E4B58"/>
    <w:rsid w:val="002E4F70"/>
    <w:rsid w:val="002E50F1"/>
    <w:rsid w:val="002E5535"/>
    <w:rsid w:val="002E55A6"/>
    <w:rsid w:val="002E5B71"/>
    <w:rsid w:val="002E5BE3"/>
    <w:rsid w:val="002E5E4E"/>
    <w:rsid w:val="002E62B7"/>
    <w:rsid w:val="002E63CC"/>
    <w:rsid w:val="002E707C"/>
    <w:rsid w:val="002E7643"/>
    <w:rsid w:val="002E79D8"/>
    <w:rsid w:val="002F0CC9"/>
    <w:rsid w:val="002F0DE0"/>
    <w:rsid w:val="002F181C"/>
    <w:rsid w:val="002F1888"/>
    <w:rsid w:val="002F18DF"/>
    <w:rsid w:val="002F1E2B"/>
    <w:rsid w:val="002F25BB"/>
    <w:rsid w:val="002F2CF1"/>
    <w:rsid w:val="002F30AF"/>
    <w:rsid w:val="002F31B3"/>
    <w:rsid w:val="002F3B4D"/>
    <w:rsid w:val="002F3F72"/>
    <w:rsid w:val="002F402D"/>
    <w:rsid w:val="002F40A1"/>
    <w:rsid w:val="002F46D5"/>
    <w:rsid w:val="002F4859"/>
    <w:rsid w:val="002F4A8D"/>
    <w:rsid w:val="002F4F5A"/>
    <w:rsid w:val="002F52AE"/>
    <w:rsid w:val="002F6767"/>
    <w:rsid w:val="002F792E"/>
    <w:rsid w:val="002F7B20"/>
    <w:rsid w:val="0030017D"/>
    <w:rsid w:val="003002C6"/>
    <w:rsid w:val="00300D6E"/>
    <w:rsid w:val="003014AA"/>
    <w:rsid w:val="003014E1"/>
    <w:rsid w:val="00301795"/>
    <w:rsid w:val="00301B49"/>
    <w:rsid w:val="00301E1B"/>
    <w:rsid w:val="00301EE1"/>
    <w:rsid w:val="00302147"/>
    <w:rsid w:val="00302FEA"/>
    <w:rsid w:val="00303148"/>
    <w:rsid w:val="00303180"/>
    <w:rsid w:val="003032B7"/>
    <w:rsid w:val="0030365B"/>
    <w:rsid w:val="003036BA"/>
    <w:rsid w:val="003039BE"/>
    <w:rsid w:val="00303BBC"/>
    <w:rsid w:val="00303C12"/>
    <w:rsid w:val="00303F5D"/>
    <w:rsid w:val="003040D4"/>
    <w:rsid w:val="00304128"/>
    <w:rsid w:val="00304212"/>
    <w:rsid w:val="00304B99"/>
    <w:rsid w:val="00304CBE"/>
    <w:rsid w:val="00304D0C"/>
    <w:rsid w:val="00304E22"/>
    <w:rsid w:val="003054ED"/>
    <w:rsid w:val="0030556C"/>
    <w:rsid w:val="0030594F"/>
    <w:rsid w:val="00305C80"/>
    <w:rsid w:val="0030632E"/>
    <w:rsid w:val="003063C0"/>
    <w:rsid w:val="00306724"/>
    <w:rsid w:val="003067A5"/>
    <w:rsid w:val="00306DEE"/>
    <w:rsid w:val="00306E98"/>
    <w:rsid w:val="00307014"/>
    <w:rsid w:val="00307184"/>
    <w:rsid w:val="003075CB"/>
    <w:rsid w:val="003078F5"/>
    <w:rsid w:val="00307FDB"/>
    <w:rsid w:val="0031000C"/>
    <w:rsid w:val="00310917"/>
    <w:rsid w:val="00310CD0"/>
    <w:rsid w:val="003115FD"/>
    <w:rsid w:val="00311C90"/>
    <w:rsid w:val="00311E02"/>
    <w:rsid w:val="0031231B"/>
    <w:rsid w:val="0031283F"/>
    <w:rsid w:val="00312AAD"/>
    <w:rsid w:val="00313057"/>
    <w:rsid w:val="00313068"/>
    <w:rsid w:val="0031364B"/>
    <w:rsid w:val="00313700"/>
    <w:rsid w:val="003137C5"/>
    <w:rsid w:val="00313F88"/>
    <w:rsid w:val="003142C4"/>
    <w:rsid w:val="003142E3"/>
    <w:rsid w:val="0031489D"/>
    <w:rsid w:val="00315334"/>
    <w:rsid w:val="00315518"/>
    <w:rsid w:val="003155E8"/>
    <w:rsid w:val="00315879"/>
    <w:rsid w:val="003158EE"/>
    <w:rsid w:val="00315CC4"/>
    <w:rsid w:val="003162C5"/>
    <w:rsid w:val="003163A7"/>
    <w:rsid w:val="00316E4D"/>
    <w:rsid w:val="00317718"/>
    <w:rsid w:val="00317CDE"/>
    <w:rsid w:val="00317E32"/>
    <w:rsid w:val="00320601"/>
    <w:rsid w:val="00320C4F"/>
    <w:rsid w:val="00321A04"/>
    <w:rsid w:val="00321B7D"/>
    <w:rsid w:val="00321BA6"/>
    <w:rsid w:val="00322006"/>
    <w:rsid w:val="003220D1"/>
    <w:rsid w:val="0032279F"/>
    <w:rsid w:val="003228B9"/>
    <w:rsid w:val="00322934"/>
    <w:rsid w:val="00322977"/>
    <w:rsid w:val="00322A59"/>
    <w:rsid w:val="0032307D"/>
    <w:rsid w:val="00323C68"/>
    <w:rsid w:val="00324094"/>
    <w:rsid w:val="00324167"/>
    <w:rsid w:val="00324244"/>
    <w:rsid w:val="00324800"/>
    <w:rsid w:val="003248A3"/>
    <w:rsid w:val="00324947"/>
    <w:rsid w:val="0032541F"/>
    <w:rsid w:val="003254AD"/>
    <w:rsid w:val="00325ECD"/>
    <w:rsid w:val="00326035"/>
    <w:rsid w:val="00326397"/>
    <w:rsid w:val="003269A0"/>
    <w:rsid w:val="00326A01"/>
    <w:rsid w:val="00326B9F"/>
    <w:rsid w:val="00326C33"/>
    <w:rsid w:val="00326D91"/>
    <w:rsid w:val="00327136"/>
    <w:rsid w:val="003273AE"/>
    <w:rsid w:val="003275A9"/>
    <w:rsid w:val="00327855"/>
    <w:rsid w:val="0033046D"/>
    <w:rsid w:val="00330D42"/>
    <w:rsid w:val="00331307"/>
    <w:rsid w:val="00331353"/>
    <w:rsid w:val="00331E25"/>
    <w:rsid w:val="00332071"/>
    <w:rsid w:val="00332C21"/>
    <w:rsid w:val="00332D60"/>
    <w:rsid w:val="003337DE"/>
    <w:rsid w:val="00333A7F"/>
    <w:rsid w:val="00334B9A"/>
    <w:rsid w:val="00334D9B"/>
    <w:rsid w:val="00334DA3"/>
    <w:rsid w:val="00334E26"/>
    <w:rsid w:val="0033517E"/>
    <w:rsid w:val="003353A8"/>
    <w:rsid w:val="0033550E"/>
    <w:rsid w:val="003355E1"/>
    <w:rsid w:val="00335825"/>
    <w:rsid w:val="003360F8"/>
    <w:rsid w:val="003363CD"/>
    <w:rsid w:val="00336A53"/>
    <w:rsid w:val="00337309"/>
    <w:rsid w:val="003373FA"/>
    <w:rsid w:val="003378AA"/>
    <w:rsid w:val="00337AE7"/>
    <w:rsid w:val="00337C7C"/>
    <w:rsid w:val="00337D3F"/>
    <w:rsid w:val="00337F79"/>
    <w:rsid w:val="003408B1"/>
    <w:rsid w:val="003409D0"/>
    <w:rsid w:val="00340A1E"/>
    <w:rsid w:val="00340C43"/>
    <w:rsid w:val="00340D05"/>
    <w:rsid w:val="00340D97"/>
    <w:rsid w:val="00341301"/>
    <w:rsid w:val="00341707"/>
    <w:rsid w:val="00341716"/>
    <w:rsid w:val="00341DAB"/>
    <w:rsid w:val="00341F14"/>
    <w:rsid w:val="00341FA0"/>
    <w:rsid w:val="003421B6"/>
    <w:rsid w:val="00342A29"/>
    <w:rsid w:val="00342AAB"/>
    <w:rsid w:val="0034305A"/>
    <w:rsid w:val="003437BE"/>
    <w:rsid w:val="00343DB1"/>
    <w:rsid w:val="003443FC"/>
    <w:rsid w:val="00345171"/>
    <w:rsid w:val="00345600"/>
    <w:rsid w:val="00345B06"/>
    <w:rsid w:val="00345B11"/>
    <w:rsid w:val="00345FC0"/>
    <w:rsid w:val="00346191"/>
    <w:rsid w:val="00346350"/>
    <w:rsid w:val="003465F3"/>
    <w:rsid w:val="00346D19"/>
    <w:rsid w:val="0034726C"/>
    <w:rsid w:val="003472A5"/>
    <w:rsid w:val="003479D7"/>
    <w:rsid w:val="00347B29"/>
    <w:rsid w:val="00347DB0"/>
    <w:rsid w:val="00347FAB"/>
    <w:rsid w:val="003500F5"/>
    <w:rsid w:val="00350505"/>
    <w:rsid w:val="00350BFF"/>
    <w:rsid w:val="00350CA1"/>
    <w:rsid w:val="00351333"/>
    <w:rsid w:val="00351688"/>
    <w:rsid w:val="003520FC"/>
    <w:rsid w:val="0035215D"/>
    <w:rsid w:val="00352563"/>
    <w:rsid w:val="003525D7"/>
    <w:rsid w:val="00352DDD"/>
    <w:rsid w:val="00352E22"/>
    <w:rsid w:val="00353517"/>
    <w:rsid w:val="003537E3"/>
    <w:rsid w:val="00353925"/>
    <w:rsid w:val="003542ED"/>
    <w:rsid w:val="003543C9"/>
    <w:rsid w:val="00354735"/>
    <w:rsid w:val="00354847"/>
    <w:rsid w:val="00354BE1"/>
    <w:rsid w:val="00355462"/>
    <w:rsid w:val="0035596A"/>
    <w:rsid w:val="00355A24"/>
    <w:rsid w:val="00355BC0"/>
    <w:rsid w:val="00355E92"/>
    <w:rsid w:val="0035619F"/>
    <w:rsid w:val="00356C12"/>
    <w:rsid w:val="003573E5"/>
    <w:rsid w:val="0035761A"/>
    <w:rsid w:val="00357B0D"/>
    <w:rsid w:val="00357B72"/>
    <w:rsid w:val="00357F61"/>
    <w:rsid w:val="0036019E"/>
    <w:rsid w:val="00360850"/>
    <w:rsid w:val="003609E0"/>
    <w:rsid w:val="00361957"/>
    <w:rsid w:val="003622B3"/>
    <w:rsid w:val="003623CF"/>
    <w:rsid w:val="00362F24"/>
    <w:rsid w:val="0036324C"/>
    <w:rsid w:val="00363287"/>
    <w:rsid w:val="00363386"/>
    <w:rsid w:val="0036389F"/>
    <w:rsid w:val="003641EC"/>
    <w:rsid w:val="00364260"/>
    <w:rsid w:val="003645F2"/>
    <w:rsid w:val="00364862"/>
    <w:rsid w:val="00364C39"/>
    <w:rsid w:val="00365940"/>
    <w:rsid w:val="00365ADA"/>
    <w:rsid w:val="00365B67"/>
    <w:rsid w:val="00366160"/>
    <w:rsid w:val="0036638F"/>
    <w:rsid w:val="00366671"/>
    <w:rsid w:val="003666D8"/>
    <w:rsid w:val="0036676C"/>
    <w:rsid w:val="003667CD"/>
    <w:rsid w:val="00366E95"/>
    <w:rsid w:val="00367480"/>
    <w:rsid w:val="003674C7"/>
    <w:rsid w:val="00367FA1"/>
    <w:rsid w:val="003700BB"/>
    <w:rsid w:val="0037010F"/>
    <w:rsid w:val="0037014F"/>
    <w:rsid w:val="0037019E"/>
    <w:rsid w:val="00370ACD"/>
    <w:rsid w:val="00370B68"/>
    <w:rsid w:val="00370BC5"/>
    <w:rsid w:val="00372612"/>
    <w:rsid w:val="00372A78"/>
    <w:rsid w:val="00372F4A"/>
    <w:rsid w:val="003733B2"/>
    <w:rsid w:val="003733FA"/>
    <w:rsid w:val="00373440"/>
    <w:rsid w:val="0037355A"/>
    <w:rsid w:val="003735D3"/>
    <w:rsid w:val="0037369D"/>
    <w:rsid w:val="00373EF5"/>
    <w:rsid w:val="0037400F"/>
    <w:rsid w:val="0037401E"/>
    <w:rsid w:val="00374BA9"/>
    <w:rsid w:val="00374BEE"/>
    <w:rsid w:val="00374D2F"/>
    <w:rsid w:val="00375392"/>
    <w:rsid w:val="00375C9A"/>
    <w:rsid w:val="00376D2F"/>
    <w:rsid w:val="00376E7A"/>
    <w:rsid w:val="00376EF0"/>
    <w:rsid w:val="003772A3"/>
    <w:rsid w:val="00377372"/>
    <w:rsid w:val="003777B3"/>
    <w:rsid w:val="00377C20"/>
    <w:rsid w:val="00377E0B"/>
    <w:rsid w:val="00380052"/>
    <w:rsid w:val="00380AE4"/>
    <w:rsid w:val="00380BF2"/>
    <w:rsid w:val="00380DD9"/>
    <w:rsid w:val="003810B9"/>
    <w:rsid w:val="00381195"/>
    <w:rsid w:val="0038157D"/>
    <w:rsid w:val="003815EF"/>
    <w:rsid w:val="003816D4"/>
    <w:rsid w:val="0038196C"/>
    <w:rsid w:val="00381A2D"/>
    <w:rsid w:val="00381E90"/>
    <w:rsid w:val="00382409"/>
    <w:rsid w:val="00382BB3"/>
    <w:rsid w:val="00382CB5"/>
    <w:rsid w:val="00382FDE"/>
    <w:rsid w:val="003830E0"/>
    <w:rsid w:val="0038330A"/>
    <w:rsid w:val="0038332E"/>
    <w:rsid w:val="0038357F"/>
    <w:rsid w:val="0038386A"/>
    <w:rsid w:val="0038395E"/>
    <w:rsid w:val="00383D6E"/>
    <w:rsid w:val="0038444D"/>
    <w:rsid w:val="00384926"/>
    <w:rsid w:val="00384A7A"/>
    <w:rsid w:val="00384B00"/>
    <w:rsid w:val="00384CE5"/>
    <w:rsid w:val="003852B0"/>
    <w:rsid w:val="00385473"/>
    <w:rsid w:val="00385884"/>
    <w:rsid w:val="00385997"/>
    <w:rsid w:val="00385BFE"/>
    <w:rsid w:val="00386076"/>
    <w:rsid w:val="003860BF"/>
    <w:rsid w:val="0038638A"/>
    <w:rsid w:val="0038651D"/>
    <w:rsid w:val="00386535"/>
    <w:rsid w:val="003865FD"/>
    <w:rsid w:val="00386695"/>
    <w:rsid w:val="00386A0F"/>
    <w:rsid w:val="00386BC7"/>
    <w:rsid w:val="00386C5D"/>
    <w:rsid w:val="00387A19"/>
    <w:rsid w:val="003904DD"/>
    <w:rsid w:val="00390ABB"/>
    <w:rsid w:val="00390F8E"/>
    <w:rsid w:val="003910E2"/>
    <w:rsid w:val="00391398"/>
    <w:rsid w:val="00391443"/>
    <w:rsid w:val="003915C0"/>
    <w:rsid w:val="00391B06"/>
    <w:rsid w:val="00391F52"/>
    <w:rsid w:val="0039217C"/>
    <w:rsid w:val="00392266"/>
    <w:rsid w:val="00392673"/>
    <w:rsid w:val="0039280B"/>
    <w:rsid w:val="00392ADD"/>
    <w:rsid w:val="0039334C"/>
    <w:rsid w:val="00393490"/>
    <w:rsid w:val="003936D2"/>
    <w:rsid w:val="0039379D"/>
    <w:rsid w:val="003939E9"/>
    <w:rsid w:val="00393AA6"/>
    <w:rsid w:val="00393AE6"/>
    <w:rsid w:val="00394122"/>
    <w:rsid w:val="00394162"/>
    <w:rsid w:val="003941D7"/>
    <w:rsid w:val="00394733"/>
    <w:rsid w:val="00394AB1"/>
    <w:rsid w:val="00394BC4"/>
    <w:rsid w:val="00394C43"/>
    <w:rsid w:val="00394CAC"/>
    <w:rsid w:val="00394F3B"/>
    <w:rsid w:val="00394F99"/>
    <w:rsid w:val="00395685"/>
    <w:rsid w:val="00395734"/>
    <w:rsid w:val="00395A76"/>
    <w:rsid w:val="00395B2A"/>
    <w:rsid w:val="00395B40"/>
    <w:rsid w:val="003960E1"/>
    <w:rsid w:val="003968EF"/>
    <w:rsid w:val="003969FA"/>
    <w:rsid w:val="00397096"/>
    <w:rsid w:val="003977C7"/>
    <w:rsid w:val="00397C73"/>
    <w:rsid w:val="00397FFE"/>
    <w:rsid w:val="003A05AC"/>
    <w:rsid w:val="003A0957"/>
    <w:rsid w:val="003A0F47"/>
    <w:rsid w:val="003A1202"/>
    <w:rsid w:val="003A12E2"/>
    <w:rsid w:val="003A16FE"/>
    <w:rsid w:val="003A1D32"/>
    <w:rsid w:val="003A1D6C"/>
    <w:rsid w:val="003A2066"/>
    <w:rsid w:val="003A281A"/>
    <w:rsid w:val="003A2CDB"/>
    <w:rsid w:val="003A32A6"/>
    <w:rsid w:val="003A35A9"/>
    <w:rsid w:val="003A3B2A"/>
    <w:rsid w:val="003A3B9F"/>
    <w:rsid w:val="003A3C0A"/>
    <w:rsid w:val="003A3D93"/>
    <w:rsid w:val="003A42F9"/>
    <w:rsid w:val="003A4391"/>
    <w:rsid w:val="003A490D"/>
    <w:rsid w:val="003A4CDD"/>
    <w:rsid w:val="003A511C"/>
    <w:rsid w:val="003A5635"/>
    <w:rsid w:val="003A5940"/>
    <w:rsid w:val="003A5AFD"/>
    <w:rsid w:val="003A5E68"/>
    <w:rsid w:val="003A6122"/>
    <w:rsid w:val="003A63F1"/>
    <w:rsid w:val="003A64A0"/>
    <w:rsid w:val="003A64E3"/>
    <w:rsid w:val="003A6BBB"/>
    <w:rsid w:val="003A7355"/>
    <w:rsid w:val="003A7AF9"/>
    <w:rsid w:val="003A7ED9"/>
    <w:rsid w:val="003A7F32"/>
    <w:rsid w:val="003B0061"/>
    <w:rsid w:val="003B00F3"/>
    <w:rsid w:val="003B0735"/>
    <w:rsid w:val="003B1490"/>
    <w:rsid w:val="003B1D20"/>
    <w:rsid w:val="003B2488"/>
    <w:rsid w:val="003B2837"/>
    <w:rsid w:val="003B2A4B"/>
    <w:rsid w:val="003B2D09"/>
    <w:rsid w:val="003B2F83"/>
    <w:rsid w:val="003B2FA2"/>
    <w:rsid w:val="003B321C"/>
    <w:rsid w:val="003B32A4"/>
    <w:rsid w:val="003B3CF2"/>
    <w:rsid w:val="003B4001"/>
    <w:rsid w:val="003B4006"/>
    <w:rsid w:val="003B44F2"/>
    <w:rsid w:val="003B5086"/>
    <w:rsid w:val="003B5C37"/>
    <w:rsid w:val="003B5D84"/>
    <w:rsid w:val="003B5F17"/>
    <w:rsid w:val="003B66E6"/>
    <w:rsid w:val="003B6850"/>
    <w:rsid w:val="003B6BE4"/>
    <w:rsid w:val="003B6CBF"/>
    <w:rsid w:val="003B742D"/>
    <w:rsid w:val="003B78D6"/>
    <w:rsid w:val="003B78FD"/>
    <w:rsid w:val="003B7BD2"/>
    <w:rsid w:val="003B7D10"/>
    <w:rsid w:val="003B7F78"/>
    <w:rsid w:val="003C016C"/>
    <w:rsid w:val="003C021B"/>
    <w:rsid w:val="003C0287"/>
    <w:rsid w:val="003C05B8"/>
    <w:rsid w:val="003C08B5"/>
    <w:rsid w:val="003C09C0"/>
    <w:rsid w:val="003C09E8"/>
    <w:rsid w:val="003C0B63"/>
    <w:rsid w:val="003C0D5A"/>
    <w:rsid w:val="003C1307"/>
    <w:rsid w:val="003C1997"/>
    <w:rsid w:val="003C1F92"/>
    <w:rsid w:val="003C2166"/>
    <w:rsid w:val="003C227E"/>
    <w:rsid w:val="003C25E4"/>
    <w:rsid w:val="003C260F"/>
    <w:rsid w:val="003C329E"/>
    <w:rsid w:val="003C32F7"/>
    <w:rsid w:val="003C3655"/>
    <w:rsid w:val="003C368B"/>
    <w:rsid w:val="003C3985"/>
    <w:rsid w:val="003C3D8B"/>
    <w:rsid w:val="003C400F"/>
    <w:rsid w:val="003C4904"/>
    <w:rsid w:val="003C5CCF"/>
    <w:rsid w:val="003C600B"/>
    <w:rsid w:val="003C693D"/>
    <w:rsid w:val="003C69A0"/>
    <w:rsid w:val="003C6DB7"/>
    <w:rsid w:val="003C714A"/>
    <w:rsid w:val="003C7446"/>
    <w:rsid w:val="003C755C"/>
    <w:rsid w:val="003C75F2"/>
    <w:rsid w:val="003C77BC"/>
    <w:rsid w:val="003C7ACB"/>
    <w:rsid w:val="003C7D8C"/>
    <w:rsid w:val="003C7FA1"/>
    <w:rsid w:val="003D0203"/>
    <w:rsid w:val="003D03B1"/>
    <w:rsid w:val="003D03F1"/>
    <w:rsid w:val="003D0AA8"/>
    <w:rsid w:val="003D0D77"/>
    <w:rsid w:val="003D0EED"/>
    <w:rsid w:val="003D11CA"/>
    <w:rsid w:val="003D1779"/>
    <w:rsid w:val="003D210D"/>
    <w:rsid w:val="003D22B4"/>
    <w:rsid w:val="003D253A"/>
    <w:rsid w:val="003D2631"/>
    <w:rsid w:val="003D2E36"/>
    <w:rsid w:val="003D3045"/>
    <w:rsid w:val="003D3334"/>
    <w:rsid w:val="003D3361"/>
    <w:rsid w:val="003D36A5"/>
    <w:rsid w:val="003D36CE"/>
    <w:rsid w:val="003D3B35"/>
    <w:rsid w:val="003D3E1E"/>
    <w:rsid w:val="003D403B"/>
    <w:rsid w:val="003D452B"/>
    <w:rsid w:val="003D4D44"/>
    <w:rsid w:val="003D50A0"/>
    <w:rsid w:val="003D566B"/>
    <w:rsid w:val="003D5BDE"/>
    <w:rsid w:val="003D5CC3"/>
    <w:rsid w:val="003D5EA1"/>
    <w:rsid w:val="003D5EB5"/>
    <w:rsid w:val="003D65DF"/>
    <w:rsid w:val="003D65F6"/>
    <w:rsid w:val="003D6D84"/>
    <w:rsid w:val="003D6D9A"/>
    <w:rsid w:val="003D6F21"/>
    <w:rsid w:val="003D71EE"/>
    <w:rsid w:val="003D74CD"/>
    <w:rsid w:val="003D7E44"/>
    <w:rsid w:val="003D7E89"/>
    <w:rsid w:val="003E029C"/>
    <w:rsid w:val="003E04DB"/>
    <w:rsid w:val="003E074E"/>
    <w:rsid w:val="003E0787"/>
    <w:rsid w:val="003E09CD"/>
    <w:rsid w:val="003E0AEB"/>
    <w:rsid w:val="003E16AC"/>
    <w:rsid w:val="003E1A8D"/>
    <w:rsid w:val="003E1B6D"/>
    <w:rsid w:val="003E1D56"/>
    <w:rsid w:val="003E1D68"/>
    <w:rsid w:val="003E290C"/>
    <w:rsid w:val="003E2D74"/>
    <w:rsid w:val="003E33BF"/>
    <w:rsid w:val="003E3E48"/>
    <w:rsid w:val="003E4158"/>
    <w:rsid w:val="003E438B"/>
    <w:rsid w:val="003E446C"/>
    <w:rsid w:val="003E46CE"/>
    <w:rsid w:val="003E479D"/>
    <w:rsid w:val="003E4D84"/>
    <w:rsid w:val="003E581C"/>
    <w:rsid w:val="003E5AF6"/>
    <w:rsid w:val="003E65DE"/>
    <w:rsid w:val="003E6E31"/>
    <w:rsid w:val="003E6F05"/>
    <w:rsid w:val="003E70B3"/>
    <w:rsid w:val="003E71B7"/>
    <w:rsid w:val="003E7698"/>
    <w:rsid w:val="003E78DB"/>
    <w:rsid w:val="003E79C4"/>
    <w:rsid w:val="003E7F3A"/>
    <w:rsid w:val="003F05C1"/>
    <w:rsid w:val="003F07DB"/>
    <w:rsid w:val="003F0B3C"/>
    <w:rsid w:val="003F0CED"/>
    <w:rsid w:val="003F0E11"/>
    <w:rsid w:val="003F13FB"/>
    <w:rsid w:val="003F1489"/>
    <w:rsid w:val="003F14CB"/>
    <w:rsid w:val="003F17A5"/>
    <w:rsid w:val="003F186A"/>
    <w:rsid w:val="003F18C6"/>
    <w:rsid w:val="003F2308"/>
    <w:rsid w:val="003F249A"/>
    <w:rsid w:val="003F305D"/>
    <w:rsid w:val="003F341D"/>
    <w:rsid w:val="003F3832"/>
    <w:rsid w:val="003F3B38"/>
    <w:rsid w:val="003F45BB"/>
    <w:rsid w:val="003F53CC"/>
    <w:rsid w:val="003F55BC"/>
    <w:rsid w:val="003F57F7"/>
    <w:rsid w:val="003F5917"/>
    <w:rsid w:val="003F5EBD"/>
    <w:rsid w:val="003F60EA"/>
    <w:rsid w:val="003F6392"/>
    <w:rsid w:val="003F66B0"/>
    <w:rsid w:val="003F66D7"/>
    <w:rsid w:val="003F69A4"/>
    <w:rsid w:val="003F73BF"/>
    <w:rsid w:val="003F74E7"/>
    <w:rsid w:val="003F7618"/>
    <w:rsid w:val="003F770F"/>
    <w:rsid w:val="003F7801"/>
    <w:rsid w:val="003F782A"/>
    <w:rsid w:val="003F797B"/>
    <w:rsid w:val="003F7AD4"/>
    <w:rsid w:val="003F7FA7"/>
    <w:rsid w:val="004000BA"/>
    <w:rsid w:val="004000C7"/>
    <w:rsid w:val="0040027D"/>
    <w:rsid w:val="004006B2"/>
    <w:rsid w:val="004009A9"/>
    <w:rsid w:val="00400E05"/>
    <w:rsid w:val="00400EB7"/>
    <w:rsid w:val="00400FED"/>
    <w:rsid w:val="00401826"/>
    <w:rsid w:val="004018DE"/>
    <w:rsid w:val="00401ECA"/>
    <w:rsid w:val="0040222C"/>
    <w:rsid w:val="00402262"/>
    <w:rsid w:val="00402608"/>
    <w:rsid w:val="004027C5"/>
    <w:rsid w:val="00402A98"/>
    <w:rsid w:val="00403241"/>
    <w:rsid w:val="004033CF"/>
    <w:rsid w:val="00403556"/>
    <w:rsid w:val="004036A4"/>
    <w:rsid w:val="00403702"/>
    <w:rsid w:val="0040382A"/>
    <w:rsid w:val="00403AE0"/>
    <w:rsid w:val="00403B31"/>
    <w:rsid w:val="00403C10"/>
    <w:rsid w:val="00403EE0"/>
    <w:rsid w:val="00404755"/>
    <w:rsid w:val="00404C31"/>
    <w:rsid w:val="00404E43"/>
    <w:rsid w:val="0040545A"/>
    <w:rsid w:val="0040552D"/>
    <w:rsid w:val="004056B8"/>
    <w:rsid w:val="00405D80"/>
    <w:rsid w:val="00405E2C"/>
    <w:rsid w:val="00405F3D"/>
    <w:rsid w:val="00405FCF"/>
    <w:rsid w:val="004061B3"/>
    <w:rsid w:val="004064A9"/>
    <w:rsid w:val="00406D89"/>
    <w:rsid w:val="00406E85"/>
    <w:rsid w:val="00406EBE"/>
    <w:rsid w:val="0040713C"/>
    <w:rsid w:val="0040715B"/>
    <w:rsid w:val="004071AE"/>
    <w:rsid w:val="00407759"/>
    <w:rsid w:val="004079E7"/>
    <w:rsid w:val="00407ACC"/>
    <w:rsid w:val="00407AE0"/>
    <w:rsid w:val="00407FE3"/>
    <w:rsid w:val="004100DA"/>
    <w:rsid w:val="00410132"/>
    <w:rsid w:val="00410211"/>
    <w:rsid w:val="004102DD"/>
    <w:rsid w:val="00410A24"/>
    <w:rsid w:val="00410D3B"/>
    <w:rsid w:val="0041119B"/>
    <w:rsid w:val="00411325"/>
    <w:rsid w:val="004114F6"/>
    <w:rsid w:val="0041238E"/>
    <w:rsid w:val="00412583"/>
    <w:rsid w:val="0041293B"/>
    <w:rsid w:val="00412A60"/>
    <w:rsid w:val="00412AB3"/>
    <w:rsid w:val="00412B29"/>
    <w:rsid w:val="00413447"/>
    <w:rsid w:val="00413CEB"/>
    <w:rsid w:val="00413DFA"/>
    <w:rsid w:val="00413F6F"/>
    <w:rsid w:val="00414130"/>
    <w:rsid w:val="004141FA"/>
    <w:rsid w:val="00414232"/>
    <w:rsid w:val="0041502C"/>
    <w:rsid w:val="00415178"/>
    <w:rsid w:val="00415907"/>
    <w:rsid w:val="00415A40"/>
    <w:rsid w:val="00415B81"/>
    <w:rsid w:val="0041628F"/>
    <w:rsid w:val="004164E9"/>
    <w:rsid w:val="004166DD"/>
    <w:rsid w:val="00417FA6"/>
    <w:rsid w:val="00420471"/>
    <w:rsid w:val="00420692"/>
    <w:rsid w:val="00420BBB"/>
    <w:rsid w:val="00420D57"/>
    <w:rsid w:val="00420E64"/>
    <w:rsid w:val="0042133A"/>
    <w:rsid w:val="0042145C"/>
    <w:rsid w:val="004214ED"/>
    <w:rsid w:val="004216C4"/>
    <w:rsid w:val="0042181B"/>
    <w:rsid w:val="00421ACD"/>
    <w:rsid w:val="00421E60"/>
    <w:rsid w:val="0042229B"/>
    <w:rsid w:val="0042235A"/>
    <w:rsid w:val="00422C4E"/>
    <w:rsid w:val="00422E50"/>
    <w:rsid w:val="00422E7C"/>
    <w:rsid w:val="00423842"/>
    <w:rsid w:val="00424446"/>
    <w:rsid w:val="00424999"/>
    <w:rsid w:val="00424C52"/>
    <w:rsid w:val="0042523C"/>
    <w:rsid w:val="004256A5"/>
    <w:rsid w:val="004256E7"/>
    <w:rsid w:val="004257FF"/>
    <w:rsid w:val="004258EC"/>
    <w:rsid w:val="0042607E"/>
    <w:rsid w:val="00426145"/>
    <w:rsid w:val="004261F6"/>
    <w:rsid w:val="004262A8"/>
    <w:rsid w:val="00426358"/>
    <w:rsid w:val="00426BC9"/>
    <w:rsid w:val="0042715D"/>
    <w:rsid w:val="00427191"/>
    <w:rsid w:val="0042738E"/>
    <w:rsid w:val="00427901"/>
    <w:rsid w:val="004279E9"/>
    <w:rsid w:val="00427CAE"/>
    <w:rsid w:val="0043027C"/>
    <w:rsid w:val="00430502"/>
    <w:rsid w:val="004307A7"/>
    <w:rsid w:val="00430AEF"/>
    <w:rsid w:val="00430E9E"/>
    <w:rsid w:val="00430F24"/>
    <w:rsid w:val="00431260"/>
    <w:rsid w:val="00431CF2"/>
    <w:rsid w:val="00431FC9"/>
    <w:rsid w:val="004320E2"/>
    <w:rsid w:val="00432437"/>
    <w:rsid w:val="004326C6"/>
    <w:rsid w:val="00432D33"/>
    <w:rsid w:val="00432DA9"/>
    <w:rsid w:val="004334C4"/>
    <w:rsid w:val="004335FA"/>
    <w:rsid w:val="0043383E"/>
    <w:rsid w:val="00433BBC"/>
    <w:rsid w:val="00433E58"/>
    <w:rsid w:val="00434309"/>
    <w:rsid w:val="0043435F"/>
    <w:rsid w:val="004349C7"/>
    <w:rsid w:val="00434B5F"/>
    <w:rsid w:val="00434DE4"/>
    <w:rsid w:val="00434DEE"/>
    <w:rsid w:val="00435265"/>
    <w:rsid w:val="004353FC"/>
    <w:rsid w:val="0043542D"/>
    <w:rsid w:val="00435656"/>
    <w:rsid w:val="00435687"/>
    <w:rsid w:val="00435725"/>
    <w:rsid w:val="00435CF7"/>
    <w:rsid w:val="00435FBA"/>
    <w:rsid w:val="00436303"/>
    <w:rsid w:val="004368B7"/>
    <w:rsid w:val="00436F70"/>
    <w:rsid w:val="004371A6"/>
    <w:rsid w:val="00437456"/>
    <w:rsid w:val="00437767"/>
    <w:rsid w:val="00437B48"/>
    <w:rsid w:val="00437F66"/>
    <w:rsid w:val="004400E7"/>
    <w:rsid w:val="004401E3"/>
    <w:rsid w:val="0044029A"/>
    <w:rsid w:val="004403E4"/>
    <w:rsid w:val="00440B3E"/>
    <w:rsid w:val="00440B8B"/>
    <w:rsid w:val="00440BA1"/>
    <w:rsid w:val="00441873"/>
    <w:rsid w:val="00441942"/>
    <w:rsid w:val="00441E32"/>
    <w:rsid w:val="00442C05"/>
    <w:rsid w:val="00443253"/>
    <w:rsid w:val="00443A45"/>
    <w:rsid w:val="0044489C"/>
    <w:rsid w:val="00444AE8"/>
    <w:rsid w:val="00444E21"/>
    <w:rsid w:val="0044553D"/>
    <w:rsid w:val="00445986"/>
    <w:rsid w:val="004459CC"/>
    <w:rsid w:val="00445A33"/>
    <w:rsid w:val="00445D8A"/>
    <w:rsid w:val="0044600B"/>
    <w:rsid w:val="00446258"/>
    <w:rsid w:val="004465FD"/>
    <w:rsid w:val="0044665E"/>
    <w:rsid w:val="00446A2F"/>
    <w:rsid w:val="00446C8C"/>
    <w:rsid w:val="004470D5"/>
    <w:rsid w:val="004470FA"/>
    <w:rsid w:val="00447F78"/>
    <w:rsid w:val="0045025F"/>
    <w:rsid w:val="00450447"/>
    <w:rsid w:val="004508C8"/>
    <w:rsid w:val="00450EAA"/>
    <w:rsid w:val="004513A1"/>
    <w:rsid w:val="004513A5"/>
    <w:rsid w:val="004513D6"/>
    <w:rsid w:val="00451BEC"/>
    <w:rsid w:val="00451F67"/>
    <w:rsid w:val="004524CF"/>
    <w:rsid w:val="00452554"/>
    <w:rsid w:val="004526CA"/>
    <w:rsid w:val="00452847"/>
    <w:rsid w:val="0045294A"/>
    <w:rsid w:val="00452EEE"/>
    <w:rsid w:val="0045382C"/>
    <w:rsid w:val="00453A4E"/>
    <w:rsid w:val="00453D2C"/>
    <w:rsid w:val="00454482"/>
    <w:rsid w:val="0045453C"/>
    <w:rsid w:val="00454984"/>
    <w:rsid w:val="00454E81"/>
    <w:rsid w:val="004550BE"/>
    <w:rsid w:val="00455C23"/>
    <w:rsid w:val="00455EA9"/>
    <w:rsid w:val="00455FDE"/>
    <w:rsid w:val="00456087"/>
    <w:rsid w:val="004561E1"/>
    <w:rsid w:val="0045621D"/>
    <w:rsid w:val="004564AA"/>
    <w:rsid w:val="0045660B"/>
    <w:rsid w:val="0045697C"/>
    <w:rsid w:val="00456A18"/>
    <w:rsid w:val="00456AB7"/>
    <w:rsid w:val="00456D53"/>
    <w:rsid w:val="004571C2"/>
    <w:rsid w:val="0045741D"/>
    <w:rsid w:val="004576C4"/>
    <w:rsid w:val="00457715"/>
    <w:rsid w:val="00457BEA"/>
    <w:rsid w:val="00460094"/>
    <w:rsid w:val="00460748"/>
    <w:rsid w:val="0046185A"/>
    <w:rsid w:val="0046269C"/>
    <w:rsid w:val="00462B14"/>
    <w:rsid w:val="004631D1"/>
    <w:rsid w:val="00463207"/>
    <w:rsid w:val="00463562"/>
    <w:rsid w:val="004635E9"/>
    <w:rsid w:val="00463B38"/>
    <w:rsid w:val="00463CC8"/>
    <w:rsid w:val="004644B5"/>
    <w:rsid w:val="00464613"/>
    <w:rsid w:val="00464C6C"/>
    <w:rsid w:val="00465589"/>
    <w:rsid w:val="004658E7"/>
    <w:rsid w:val="00465A28"/>
    <w:rsid w:val="00465DDC"/>
    <w:rsid w:val="004669FC"/>
    <w:rsid w:val="00466DE5"/>
    <w:rsid w:val="00467116"/>
    <w:rsid w:val="004674E5"/>
    <w:rsid w:val="00467A9F"/>
    <w:rsid w:val="00467E9C"/>
    <w:rsid w:val="00467EE7"/>
    <w:rsid w:val="0047098F"/>
    <w:rsid w:val="00470D18"/>
    <w:rsid w:val="00470DF8"/>
    <w:rsid w:val="00471A1B"/>
    <w:rsid w:val="0047234E"/>
    <w:rsid w:val="00472464"/>
    <w:rsid w:val="00472534"/>
    <w:rsid w:val="00472789"/>
    <w:rsid w:val="00472965"/>
    <w:rsid w:val="00472CBB"/>
    <w:rsid w:val="004731A5"/>
    <w:rsid w:val="00473211"/>
    <w:rsid w:val="004733C7"/>
    <w:rsid w:val="0047357E"/>
    <w:rsid w:val="00473745"/>
    <w:rsid w:val="00474110"/>
    <w:rsid w:val="00474133"/>
    <w:rsid w:val="00474854"/>
    <w:rsid w:val="0047507F"/>
    <w:rsid w:val="00475491"/>
    <w:rsid w:val="004754A7"/>
    <w:rsid w:val="00475630"/>
    <w:rsid w:val="00475D05"/>
    <w:rsid w:val="00476001"/>
    <w:rsid w:val="004764CF"/>
    <w:rsid w:val="004766A7"/>
    <w:rsid w:val="004769FD"/>
    <w:rsid w:val="00476BEC"/>
    <w:rsid w:val="004774D7"/>
    <w:rsid w:val="004777AA"/>
    <w:rsid w:val="00477846"/>
    <w:rsid w:val="004779F2"/>
    <w:rsid w:val="00477B4C"/>
    <w:rsid w:val="00477E6E"/>
    <w:rsid w:val="0048028F"/>
    <w:rsid w:val="0048035F"/>
    <w:rsid w:val="0048045B"/>
    <w:rsid w:val="0048070E"/>
    <w:rsid w:val="004807D7"/>
    <w:rsid w:val="004812D7"/>
    <w:rsid w:val="0048134C"/>
    <w:rsid w:val="00481DF5"/>
    <w:rsid w:val="00481F5F"/>
    <w:rsid w:val="00481F75"/>
    <w:rsid w:val="0048201A"/>
    <w:rsid w:val="0048214B"/>
    <w:rsid w:val="00482866"/>
    <w:rsid w:val="00482AA1"/>
    <w:rsid w:val="00482FD4"/>
    <w:rsid w:val="004834CD"/>
    <w:rsid w:val="00483610"/>
    <w:rsid w:val="00483D92"/>
    <w:rsid w:val="00483F86"/>
    <w:rsid w:val="00484061"/>
    <w:rsid w:val="00484416"/>
    <w:rsid w:val="00485256"/>
    <w:rsid w:val="00485DBF"/>
    <w:rsid w:val="00485EA2"/>
    <w:rsid w:val="0048601A"/>
    <w:rsid w:val="004864B7"/>
    <w:rsid w:val="00486E3C"/>
    <w:rsid w:val="004872F1"/>
    <w:rsid w:val="00490280"/>
    <w:rsid w:val="00490941"/>
    <w:rsid w:val="0049140A"/>
    <w:rsid w:val="00491CEC"/>
    <w:rsid w:val="00491F04"/>
    <w:rsid w:val="0049274F"/>
    <w:rsid w:val="0049298D"/>
    <w:rsid w:val="00493A5F"/>
    <w:rsid w:val="00493A78"/>
    <w:rsid w:val="00493CA8"/>
    <w:rsid w:val="00493DC6"/>
    <w:rsid w:val="00493F66"/>
    <w:rsid w:val="00493F6A"/>
    <w:rsid w:val="004947C1"/>
    <w:rsid w:val="004950AF"/>
    <w:rsid w:val="00495B0B"/>
    <w:rsid w:val="00495C8A"/>
    <w:rsid w:val="00495D99"/>
    <w:rsid w:val="00496099"/>
    <w:rsid w:val="00496242"/>
    <w:rsid w:val="00496C53"/>
    <w:rsid w:val="00496E58"/>
    <w:rsid w:val="004970DA"/>
    <w:rsid w:val="004971BC"/>
    <w:rsid w:val="004973BC"/>
    <w:rsid w:val="004976B6"/>
    <w:rsid w:val="004976CE"/>
    <w:rsid w:val="00497CF0"/>
    <w:rsid w:val="004A047C"/>
    <w:rsid w:val="004A057B"/>
    <w:rsid w:val="004A0730"/>
    <w:rsid w:val="004A11F1"/>
    <w:rsid w:val="004A19D7"/>
    <w:rsid w:val="004A1C6C"/>
    <w:rsid w:val="004A1FDF"/>
    <w:rsid w:val="004A1FF8"/>
    <w:rsid w:val="004A2275"/>
    <w:rsid w:val="004A24B8"/>
    <w:rsid w:val="004A2983"/>
    <w:rsid w:val="004A2BF4"/>
    <w:rsid w:val="004A2E94"/>
    <w:rsid w:val="004A3317"/>
    <w:rsid w:val="004A35F9"/>
    <w:rsid w:val="004A3CA5"/>
    <w:rsid w:val="004A3EB9"/>
    <w:rsid w:val="004A40A1"/>
    <w:rsid w:val="004A46D9"/>
    <w:rsid w:val="004A4706"/>
    <w:rsid w:val="004A4B5A"/>
    <w:rsid w:val="004A4BF7"/>
    <w:rsid w:val="004A4C8E"/>
    <w:rsid w:val="004A4FA5"/>
    <w:rsid w:val="004A5581"/>
    <w:rsid w:val="004A57AE"/>
    <w:rsid w:val="004A5A16"/>
    <w:rsid w:val="004A606F"/>
    <w:rsid w:val="004A64BA"/>
    <w:rsid w:val="004A65FA"/>
    <w:rsid w:val="004A666B"/>
    <w:rsid w:val="004A68C2"/>
    <w:rsid w:val="004A6AD8"/>
    <w:rsid w:val="004A6CCF"/>
    <w:rsid w:val="004A7022"/>
    <w:rsid w:val="004A7045"/>
    <w:rsid w:val="004A7299"/>
    <w:rsid w:val="004A7A6C"/>
    <w:rsid w:val="004A7A94"/>
    <w:rsid w:val="004A7F01"/>
    <w:rsid w:val="004A7F09"/>
    <w:rsid w:val="004B036B"/>
    <w:rsid w:val="004B037B"/>
    <w:rsid w:val="004B0915"/>
    <w:rsid w:val="004B09DE"/>
    <w:rsid w:val="004B0A8C"/>
    <w:rsid w:val="004B1021"/>
    <w:rsid w:val="004B129E"/>
    <w:rsid w:val="004B1A5B"/>
    <w:rsid w:val="004B1CBF"/>
    <w:rsid w:val="004B2019"/>
    <w:rsid w:val="004B220F"/>
    <w:rsid w:val="004B24F2"/>
    <w:rsid w:val="004B25F8"/>
    <w:rsid w:val="004B2677"/>
    <w:rsid w:val="004B281D"/>
    <w:rsid w:val="004B2827"/>
    <w:rsid w:val="004B29F4"/>
    <w:rsid w:val="004B2A24"/>
    <w:rsid w:val="004B38B1"/>
    <w:rsid w:val="004B432D"/>
    <w:rsid w:val="004B43C0"/>
    <w:rsid w:val="004B479D"/>
    <w:rsid w:val="004B4B14"/>
    <w:rsid w:val="004B52B9"/>
    <w:rsid w:val="004B5458"/>
    <w:rsid w:val="004B5F68"/>
    <w:rsid w:val="004B6118"/>
    <w:rsid w:val="004B6159"/>
    <w:rsid w:val="004B617C"/>
    <w:rsid w:val="004B65B2"/>
    <w:rsid w:val="004B7165"/>
    <w:rsid w:val="004B780A"/>
    <w:rsid w:val="004B780B"/>
    <w:rsid w:val="004B7BD5"/>
    <w:rsid w:val="004B7E3E"/>
    <w:rsid w:val="004C00C7"/>
    <w:rsid w:val="004C01D7"/>
    <w:rsid w:val="004C084A"/>
    <w:rsid w:val="004C0A84"/>
    <w:rsid w:val="004C0C7A"/>
    <w:rsid w:val="004C0C87"/>
    <w:rsid w:val="004C1188"/>
    <w:rsid w:val="004C12F2"/>
    <w:rsid w:val="004C13B5"/>
    <w:rsid w:val="004C194D"/>
    <w:rsid w:val="004C1AA2"/>
    <w:rsid w:val="004C1B66"/>
    <w:rsid w:val="004C1CCD"/>
    <w:rsid w:val="004C1CCF"/>
    <w:rsid w:val="004C211C"/>
    <w:rsid w:val="004C2563"/>
    <w:rsid w:val="004C3271"/>
    <w:rsid w:val="004C3582"/>
    <w:rsid w:val="004C35A0"/>
    <w:rsid w:val="004C38F3"/>
    <w:rsid w:val="004C4038"/>
    <w:rsid w:val="004C403B"/>
    <w:rsid w:val="004C40B2"/>
    <w:rsid w:val="004C421D"/>
    <w:rsid w:val="004C4293"/>
    <w:rsid w:val="004C55EA"/>
    <w:rsid w:val="004C562F"/>
    <w:rsid w:val="004C6121"/>
    <w:rsid w:val="004C6448"/>
    <w:rsid w:val="004C6C50"/>
    <w:rsid w:val="004C747F"/>
    <w:rsid w:val="004C75C4"/>
    <w:rsid w:val="004C773E"/>
    <w:rsid w:val="004C7C5F"/>
    <w:rsid w:val="004C7DA5"/>
    <w:rsid w:val="004C7DE4"/>
    <w:rsid w:val="004D00A0"/>
    <w:rsid w:val="004D0284"/>
    <w:rsid w:val="004D0504"/>
    <w:rsid w:val="004D0551"/>
    <w:rsid w:val="004D057B"/>
    <w:rsid w:val="004D064A"/>
    <w:rsid w:val="004D068E"/>
    <w:rsid w:val="004D0797"/>
    <w:rsid w:val="004D0A69"/>
    <w:rsid w:val="004D0C4B"/>
    <w:rsid w:val="004D1640"/>
    <w:rsid w:val="004D1BC9"/>
    <w:rsid w:val="004D2136"/>
    <w:rsid w:val="004D22BD"/>
    <w:rsid w:val="004D2391"/>
    <w:rsid w:val="004D252B"/>
    <w:rsid w:val="004D2727"/>
    <w:rsid w:val="004D28DD"/>
    <w:rsid w:val="004D2A56"/>
    <w:rsid w:val="004D2C76"/>
    <w:rsid w:val="004D38E7"/>
    <w:rsid w:val="004D3A16"/>
    <w:rsid w:val="004D4871"/>
    <w:rsid w:val="004D5AD7"/>
    <w:rsid w:val="004D5B57"/>
    <w:rsid w:val="004D5D11"/>
    <w:rsid w:val="004D61CC"/>
    <w:rsid w:val="004D62F4"/>
    <w:rsid w:val="004D6C80"/>
    <w:rsid w:val="004D74E9"/>
    <w:rsid w:val="004D7970"/>
    <w:rsid w:val="004D7A69"/>
    <w:rsid w:val="004D7C26"/>
    <w:rsid w:val="004D7F2C"/>
    <w:rsid w:val="004D7FCF"/>
    <w:rsid w:val="004E0102"/>
    <w:rsid w:val="004E05A3"/>
    <w:rsid w:val="004E05A9"/>
    <w:rsid w:val="004E12C1"/>
    <w:rsid w:val="004E1723"/>
    <w:rsid w:val="004E1F36"/>
    <w:rsid w:val="004E244E"/>
    <w:rsid w:val="004E34D6"/>
    <w:rsid w:val="004E3706"/>
    <w:rsid w:val="004E416B"/>
    <w:rsid w:val="004E4640"/>
    <w:rsid w:val="004E47D3"/>
    <w:rsid w:val="004E5395"/>
    <w:rsid w:val="004E55A6"/>
    <w:rsid w:val="004E55DC"/>
    <w:rsid w:val="004E60DC"/>
    <w:rsid w:val="004E60FE"/>
    <w:rsid w:val="004E651D"/>
    <w:rsid w:val="004E659B"/>
    <w:rsid w:val="004E6805"/>
    <w:rsid w:val="004E7062"/>
    <w:rsid w:val="004E7616"/>
    <w:rsid w:val="004F0247"/>
    <w:rsid w:val="004F0B05"/>
    <w:rsid w:val="004F0F75"/>
    <w:rsid w:val="004F1245"/>
    <w:rsid w:val="004F14C2"/>
    <w:rsid w:val="004F18B9"/>
    <w:rsid w:val="004F1F2E"/>
    <w:rsid w:val="004F221A"/>
    <w:rsid w:val="004F230E"/>
    <w:rsid w:val="004F2587"/>
    <w:rsid w:val="004F2771"/>
    <w:rsid w:val="004F2D4A"/>
    <w:rsid w:val="004F2FBF"/>
    <w:rsid w:val="004F30FA"/>
    <w:rsid w:val="004F3B7D"/>
    <w:rsid w:val="004F3D37"/>
    <w:rsid w:val="004F4704"/>
    <w:rsid w:val="004F4851"/>
    <w:rsid w:val="004F4994"/>
    <w:rsid w:val="004F508D"/>
    <w:rsid w:val="004F51AC"/>
    <w:rsid w:val="004F51AE"/>
    <w:rsid w:val="004F5534"/>
    <w:rsid w:val="004F6108"/>
    <w:rsid w:val="004F653B"/>
    <w:rsid w:val="004F6D17"/>
    <w:rsid w:val="004F7604"/>
    <w:rsid w:val="004F7D50"/>
    <w:rsid w:val="004F7FB9"/>
    <w:rsid w:val="00500015"/>
    <w:rsid w:val="00500051"/>
    <w:rsid w:val="00500424"/>
    <w:rsid w:val="00500472"/>
    <w:rsid w:val="00500B00"/>
    <w:rsid w:val="005016C8"/>
    <w:rsid w:val="0050173E"/>
    <w:rsid w:val="00501DC5"/>
    <w:rsid w:val="00502F56"/>
    <w:rsid w:val="00503830"/>
    <w:rsid w:val="00503CE1"/>
    <w:rsid w:val="00503E23"/>
    <w:rsid w:val="00504911"/>
    <w:rsid w:val="005049F8"/>
    <w:rsid w:val="00504A8F"/>
    <w:rsid w:val="00504DCF"/>
    <w:rsid w:val="00505176"/>
    <w:rsid w:val="0050559B"/>
    <w:rsid w:val="0050566E"/>
    <w:rsid w:val="00505717"/>
    <w:rsid w:val="00505A00"/>
    <w:rsid w:val="00505F46"/>
    <w:rsid w:val="0050608A"/>
    <w:rsid w:val="00506D25"/>
    <w:rsid w:val="00506E82"/>
    <w:rsid w:val="00507289"/>
    <w:rsid w:val="005075DA"/>
    <w:rsid w:val="00507B1C"/>
    <w:rsid w:val="00510060"/>
    <w:rsid w:val="00510598"/>
    <w:rsid w:val="00510781"/>
    <w:rsid w:val="005109D7"/>
    <w:rsid w:val="005109FE"/>
    <w:rsid w:val="00510F4A"/>
    <w:rsid w:val="005114F9"/>
    <w:rsid w:val="005118F0"/>
    <w:rsid w:val="0051214D"/>
    <w:rsid w:val="00512E07"/>
    <w:rsid w:val="00513283"/>
    <w:rsid w:val="00514293"/>
    <w:rsid w:val="0051433D"/>
    <w:rsid w:val="0051477C"/>
    <w:rsid w:val="00514AA9"/>
    <w:rsid w:val="00514C6E"/>
    <w:rsid w:val="0051514D"/>
    <w:rsid w:val="005157F7"/>
    <w:rsid w:val="005159FA"/>
    <w:rsid w:val="00515B17"/>
    <w:rsid w:val="00515F3F"/>
    <w:rsid w:val="00516695"/>
    <w:rsid w:val="00516BC5"/>
    <w:rsid w:val="005172E5"/>
    <w:rsid w:val="005175B4"/>
    <w:rsid w:val="005175C3"/>
    <w:rsid w:val="00517AD8"/>
    <w:rsid w:val="00517DF0"/>
    <w:rsid w:val="00517FEC"/>
    <w:rsid w:val="00520378"/>
    <w:rsid w:val="00520566"/>
    <w:rsid w:val="00520599"/>
    <w:rsid w:val="005205C7"/>
    <w:rsid w:val="005209F4"/>
    <w:rsid w:val="00520FAF"/>
    <w:rsid w:val="0052123C"/>
    <w:rsid w:val="0052156B"/>
    <w:rsid w:val="00521591"/>
    <w:rsid w:val="0052163E"/>
    <w:rsid w:val="005222D7"/>
    <w:rsid w:val="00522643"/>
    <w:rsid w:val="005236A5"/>
    <w:rsid w:val="0052371B"/>
    <w:rsid w:val="00523AB3"/>
    <w:rsid w:val="00523B85"/>
    <w:rsid w:val="00523E77"/>
    <w:rsid w:val="005251AD"/>
    <w:rsid w:val="005251B4"/>
    <w:rsid w:val="005253EF"/>
    <w:rsid w:val="005258FB"/>
    <w:rsid w:val="00525965"/>
    <w:rsid w:val="005259A7"/>
    <w:rsid w:val="00525C5C"/>
    <w:rsid w:val="00525D92"/>
    <w:rsid w:val="00525DDE"/>
    <w:rsid w:val="00525EFC"/>
    <w:rsid w:val="00526684"/>
    <w:rsid w:val="00526774"/>
    <w:rsid w:val="005277C4"/>
    <w:rsid w:val="0052793B"/>
    <w:rsid w:val="00527A2A"/>
    <w:rsid w:val="00527CD6"/>
    <w:rsid w:val="00527FD0"/>
    <w:rsid w:val="00530346"/>
    <w:rsid w:val="005304E7"/>
    <w:rsid w:val="0053086A"/>
    <w:rsid w:val="00530A5F"/>
    <w:rsid w:val="0053136D"/>
    <w:rsid w:val="00531A3B"/>
    <w:rsid w:val="00531CA9"/>
    <w:rsid w:val="00531E3A"/>
    <w:rsid w:val="00531E95"/>
    <w:rsid w:val="00531EB4"/>
    <w:rsid w:val="00531EEE"/>
    <w:rsid w:val="005323EF"/>
    <w:rsid w:val="005327FA"/>
    <w:rsid w:val="00532818"/>
    <w:rsid w:val="005329E4"/>
    <w:rsid w:val="00532CF6"/>
    <w:rsid w:val="00533201"/>
    <w:rsid w:val="00534305"/>
    <w:rsid w:val="00534EDF"/>
    <w:rsid w:val="00535178"/>
    <w:rsid w:val="005353F5"/>
    <w:rsid w:val="00535495"/>
    <w:rsid w:val="00535533"/>
    <w:rsid w:val="00535600"/>
    <w:rsid w:val="00535989"/>
    <w:rsid w:val="00535A9F"/>
    <w:rsid w:val="00535FB6"/>
    <w:rsid w:val="00536263"/>
    <w:rsid w:val="00536720"/>
    <w:rsid w:val="00536B8D"/>
    <w:rsid w:val="00537153"/>
    <w:rsid w:val="00537E71"/>
    <w:rsid w:val="00537F23"/>
    <w:rsid w:val="00540001"/>
    <w:rsid w:val="005400A0"/>
    <w:rsid w:val="00540348"/>
    <w:rsid w:val="005403E1"/>
    <w:rsid w:val="00540641"/>
    <w:rsid w:val="0054183F"/>
    <w:rsid w:val="00541901"/>
    <w:rsid w:val="00541EC2"/>
    <w:rsid w:val="005421B6"/>
    <w:rsid w:val="0054270D"/>
    <w:rsid w:val="005427A0"/>
    <w:rsid w:val="00542AEA"/>
    <w:rsid w:val="00542B1E"/>
    <w:rsid w:val="00542B32"/>
    <w:rsid w:val="00542F36"/>
    <w:rsid w:val="00543A27"/>
    <w:rsid w:val="00543BE9"/>
    <w:rsid w:val="00543F1E"/>
    <w:rsid w:val="00543FF6"/>
    <w:rsid w:val="005443BF"/>
    <w:rsid w:val="005443E2"/>
    <w:rsid w:val="005448E1"/>
    <w:rsid w:val="00544D03"/>
    <w:rsid w:val="00544DDB"/>
    <w:rsid w:val="00545305"/>
    <w:rsid w:val="005453FB"/>
    <w:rsid w:val="005457A9"/>
    <w:rsid w:val="00545A64"/>
    <w:rsid w:val="00545AA1"/>
    <w:rsid w:val="00545CE0"/>
    <w:rsid w:val="00546260"/>
    <w:rsid w:val="0054637E"/>
    <w:rsid w:val="00546433"/>
    <w:rsid w:val="00546779"/>
    <w:rsid w:val="005467EE"/>
    <w:rsid w:val="005468BA"/>
    <w:rsid w:val="005469F2"/>
    <w:rsid w:val="00546D1F"/>
    <w:rsid w:val="00546D90"/>
    <w:rsid w:val="0054715F"/>
    <w:rsid w:val="00547387"/>
    <w:rsid w:val="00550249"/>
    <w:rsid w:val="00550301"/>
    <w:rsid w:val="0055050E"/>
    <w:rsid w:val="005506B5"/>
    <w:rsid w:val="005506F5"/>
    <w:rsid w:val="00550A16"/>
    <w:rsid w:val="005512EC"/>
    <w:rsid w:val="005516CA"/>
    <w:rsid w:val="005517E5"/>
    <w:rsid w:val="005518F3"/>
    <w:rsid w:val="00551A85"/>
    <w:rsid w:val="00551B16"/>
    <w:rsid w:val="00551CAE"/>
    <w:rsid w:val="00551D6F"/>
    <w:rsid w:val="00551E5F"/>
    <w:rsid w:val="005526C4"/>
    <w:rsid w:val="00552872"/>
    <w:rsid w:val="005528E9"/>
    <w:rsid w:val="00552EB5"/>
    <w:rsid w:val="005531D3"/>
    <w:rsid w:val="00553371"/>
    <w:rsid w:val="005533DD"/>
    <w:rsid w:val="005534A5"/>
    <w:rsid w:val="005539DA"/>
    <w:rsid w:val="00553AEA"/>
    <w:rsid w:val="00553C88"/>
    <w:rsid w:val="00553C9B"/>
    <w:rsid w:val="00553F87"/>
    <w:rsid w:val="00553FC8"/>
    <w:rsid w:val="00554E10"/>
    <w:rsid w:val="00554FF6"/>
    <w:rsid w:val="0055597E"/>
    <w:rsid w:val="00556A13"/>
    <w:rsid w:val="00557253"/>
    <w:rsid w:val="00557482"/>
    <w:rsid w:val="0056034D"/>
    <w:rsid w:val="005605F4"/>
    <w:rsid w:val="005607CC"/>
    <w:rsid w:val="005608C3"/>
    <w:rsid w:val="005613E6"/>
    <w:rsid w:val="005614D2"/>
    <w:rsid w:val="00561DB2"/>
    <w:rsid w:val="00562496"/>
    <w:rsid w:val="005625C3"/>
    <w:rsid w:val="00562870"/>
    <w:rsid w:val="00562EDB"/>
    <w:rsid w:val="005630E7"/>
    <w:rsid w:val="0056361D"/>
    <w:rsid w:val="00563961"/>
    <w:rsid w:val="00563E66"/>
    <w:rsid w:val="00563FF5"/>
    <w:rsid w:val="005640BE"/>
    <w:rsid w:val="00564476"/>
    <w:rsid w:val="00564640"/>
    <w:rsid w:val="00564815"/>
    <w:rsid w:val="005649F9"/>
    <w:rsid w:val="00564A7A"/>
    <w:rsid w:val="00564A85"/>
    <w:rsid w:val="00564E30"/>
    <w:rsid w:val="00564E8A"/>
    <w:rsid w:val="005650DD"/>
    <w:rsid w:val="00565152"/>
    <w:rsid w:val="005654E9"/>
    <w:rsid w:val="0056573A"/>
    <w:rsid w:val="00565B5E"/>
    <w:rsid w:val="00565E71"/>
    <w:rsid w:val="00565FD3"/>
    <w:rsid w:val="0056696D"/>
    <w:rsid w:val="005670B6"/>
    <w:rsid w:val="0056792F"/>
    <w:rsid w:val="00567F25"/>
    <w:rsid w:val="00570C12"/>
    <w:rsid w:val="00570D30"/>
    <w:rsid w:val="0057157A"/>
    <w:rsid w:val="0057166B"/>
    <w:rsid w:val="00571CED"/>
    <w:rsid w:val="00571DB9"/>
    <w:rsid w:val="00571DE4"/>
    <w:rsid w:val="00572268"/>
    <w:rsid w:val="00573483"/>
    <w:rsid w:val="005740DE"/>
    <w:rsid w:val="00574D85"/>
    <w:rsid w:val="0057509E"/>
    <w:rsid w:val="0057519B"/>
    <w:rsid w:val="00575F2D"/>
    <w:rsid w:val="00576052"/>
    <w:rsid w:val="005764A7"/>
    <w:rsid w:val="005767C3"/>
    <w:rsid w:val="00576999"/>
    <w:rsid w:val="00576C01"/>
    <w:rsid w:val="00576C58"/>
    <w:rsid w:val="00576C99"/>
    <w:rsid w:val="00577379"/>
    <w:rsid w:val="005774C9"/>
    <w:rsid w:val="0057775E"/>
    <w:rsid w:val="0058067F"/>
    <w:rsid w:val="00580D27"/>
    <w:rsid w:val="00580E9F"/>
    <w:rsid w:val="0058110A"/>
    <w:rsid w:val="005813A6"/>
    <w:rsid w:val="005815B7"/>
    <w:rsid w:val="005815B8"/>
    <w:rsid w:val="00581891"/>
    <w:rsid w:val="00582404"/>
    <w:rsid w:val="005824B3"/>
    <w:rsid w:val="00582D39"/>
    <w:rsid w:val="00582FDD"/>
    <w:rsid w:val="0058334F"/>
    <w:rsid w:val="00583658"/>
    <w:rsid w:val="00583CC5"/>
    <w:rsid w:val="00583DC1"/>
    <w:rsid w:val="00584B55"/>
    <w:rsid w:val="00584C91"/>
    <w:rsid w:val="005852A3"/>
    <w:rsid w:val="00585632"/>
    <w:rsid w:val="005856EF"/>
    <w:rsid w:val="00585AF1"/>
    <w:rsid w:val="00585B42"/>
    <w:rsid w:val="00585D13"/>
    <w:rsid w:val="00585DAB"/>
    <w:rsid w:val="00585E3E"/>
    <w:rsid w:val="00585FAE"/>
    <w:rsid w:val="005864C2"/>
    <w:rsid w:val="00586718"/>
    <w:rsid w:val="005868BF"/>
    <w:rsid w:val="00586BB0"/>
    <w:rsid w:val="00587201"/>
    <w:rsid w:val="00587265"/>
    <w:rsid w:val="005876B6"/>
    <w:rsid w:val="00587FE2"/>
    <w:rsid w:val="0059033B"/>
    <w:rsid w:val="005903A6"/>
    <w:rsid w:val="005909C5"/>
    <w:rsid w:val="00590B95"/>
    <w:rsid w:val="00590C8A"/>
    <w:rsid w:val="00590D0D"/>
    <w:rsid w:val="005914F4"/>
    <w:rsid w:val="0059186B"/>
    <w:rsid w:val="00591D9B"/>
    <w:rsid w:val="005923A1"/>
    <w:rsid w:val="005931F2"/>
    <w:rsid w:val="005932F7"/>
    <w:rsid w:val="00593387"/>
    <w:rsid w:val="0059447E"/>
    <w:rsid w:val="0059452D"/>
    <w:rsid w:val="00594668"/>
    <w:rsid w:val="00594879"/>
    <w:rsid w:val="00594C1B"/>
    <w:rsid w:val="00594C23"/>
    <w:rsid w:val="00594D00"/>
    <w:rsid w:val="00594F6A"/>
    <w:rsid w:val="00594F84"/>
    <w:rsid w:val="00595642"/>
    <w:rsid w:val="005956B4"/>
    <w:rsid w:val="0059576B"/>
    <w:rsid w:val="00595B8A"/>
    <w:rsid w:val="00595DF7"/>
    <w:rsid w:val="00595E21"/>
    <w:rsid w:val="00596168"/>
    <w:rsid w:val="00596256"/>
    <w:rsid w:val="0059635E"/>
    <w:rsid w:val="005965EA"/>
    <w:rsid w:val="005969A6"/>
    <w:rsid w:val="005969CE"/>
    <w:rsid w:val="00596DB0"/>
    <w:rsid w:val="005970F6"/>
    <w:rsid w:val="0059717A"/>
    <w:rsid w:val="0059720F"/>
    <w:rsid w:val="005977A6"/>
    <w:rsid w:val="00597959"/>
    <w:rsid w:val="00597993"/>
    <w:rsid w:val="00597998"/>
    <w:rsid w:val="00597F55"/>
    <w:rsid w:val="005A0025"/>
    <w:rsid w:val="005A02F9"/>
    <w:rsid w:val="005A03EB"/>
    <w:rsid w:val="005A0509"/>
    <w:rsid w:val="005A0524"/>
    <w:rsid w:val="005A0C77"/>
    <w:rsid w:val="005A161D"/>
    <w:rsid w:val="005A1DB2"/>
    <w:rsid w:val="005A1EA5"/>
    <w:rsid w:val="005A1F6A"/>
    <w:rsid w:val="005A22A8"/>
    <w:rsid w:val="005A2371"/>
    <w:rsid w:val="005A2AA0"/>
    <w:rsid w:val="005A2D03"/>
    <w:rsid w:val="005A3179"/>
    <w:rsid w:val="005A37B2"/>
    <w:rsid w:val="005A40A0"/>
    <w:rsid w:val="005A425C"/>
    <w:rsid w:val="005A435E"/>
    <w:rsid w:val="005A477D"/>
    <w:rsid w:val="005A49BA"/>
    <w:rsid w:val="005A4ACF"/>
    <w:rsid w:val="005A4D21"/>
    <w:rsid w:val="005A527E"/>
    <w:rsid w:val="005A5326"/>
    <w:rsid w:val="005A68DF"/>
    <w:rsid w:val="005A6FB7"/>
    <w:rsid w:val="005A72B1"/>
    <w:rsid w:val="005A734D"/>
    <w:rsid w:val="005A78BC"/>
    <w:rsid w:val="005A7B69"/>
    <w:rsid w:val="005B0398"/>
    <w:rsid w:val="005B08BC"/>
    <w:rsid w:val="005B0A69"/>
    <w:rsid w:val="005B12FB"/>
    <w:rsid w:val="005B19E9"/>
    <w:rsid w:val="005B1C38"/>
    <w:rsid w:val="005B2219"/>
    <w:rsid w:val="005B24E1"/>
    <w:rsid w:val="005B27B9"/>
    <w:rsid w:val="005B2BB7"/>
    <w:rsid w:val="005B2C30"/>
    <w:rsid w:val="005B2EE4"/>
    <w:rsid w:val="005B37C3"/>
    <w:rsid w:val="005B3B6E"/>
    <w:rsid w:val="005B3C0F"/>
    <w:rsid w:val="005B3CA2"/>
    <w:rsid w:val="005B3D5F"/>
    <w:rsid w:val="005B3DEE"/>
    <w:rsid w:val="005B3FBB"/>
    <w:rsid w:val="005B41F1"/>
    <w:rsid w:val="005B4279"/>
    <w:rsid w:val="005B46A2"/>
    <w:rsid w:val="005B4BA5"/>
    <w:rsid w:val="005B4ED2"/>
    <w:rsid w:val="005B53B4"/>
    <w:rsid w:val="005B567A"/>
    <w:rsid w:val="005B585D"/>
    <w:rsid w:val="005B5AAD"/>
    <w:rsid w:val="005B5E49"/>
    <w:rsid w:val="005B5E5A"/>
    <w:rsid w:val="005B641E"/>
    <w:rsid w:val="005B6699"/>
    <w:rsid w:val="005B6853"/>
    <w:rsid w:val="005B6AC3"/>
    <w:rsid w:val="005B6F15"/>
    <w:rsid w:val="005B6FD5"/>
    <w:rsid w:val="005B7093"/>
    <w:rsid w:val="005B717B"/>
    <w:rsid w:val="005B71BE"/>
    <w:rsid w:val="005B7580"/>
    <w:rsid w:val="005B7DB2"/>
    <w:rsid w:val="005C0035"/>
    <w:rsid w:val="005C00D1"/>
    <w:rsid w:val="005C0953"/>
    <w:rsid w:val="005C1279"/>
    <w:rsid w:val="005C131A"/>
    <w:rsid w:val="005C15AA"/>
    <w:rsid w:val="005C1873"/>
    <w:rsid w:val="005C192D"/>
    <w:rsid w:val="005C1964"/>
    <w:rsid w:val="005C26D3"/>
    <w:rsid w:val="005C2E29"/>
    <w:rsid w:val="005C2ED8"/>
    <w:rsid w:val="005C3294"/>
    <w:rsid w:val="005C33EB"/>
    <w:rsid w:val="005C35F9"/>
    <w:rsid w:val="005C3BC6"/>
    <w:rsid w:val="005C40A1"/>
    <w:rsid w:val="005C4421"/>
    <w:rsid w:val="005C4C8B"/>
    <w:rsid w:val="005C4F96"/>
    <w:rsid w:val="005C5395"/>
    <w:rsid w:val="005C53FD"/>
    <w:rsid w:val="005C5446"/>
    <w:rsid w:val="005C55F0"/>
    <w:rsid w:val="005C5774"/>
    <w:rsid w:val="005C5A5D"/>
    <w:rsid w:val="005C5AE3"/>
    <w:rsid w:val="005C651F"/>
    <w:rsid w:val="005C65C1"/>
    <w:rsid w:val="005C6975"/>
    <w:rsid w:val="005C7163"/>
    <w:rsid w:val="005C7492"/>
    <w:rsid w:val="005D0ABD"/>
    <w:rsid w:val="005D0E66"/>
    <w:rsid w:val="005D139B"/>
    <w:rsid w:val="005D1983"/>
    <w:rsid w:val="005D1EDE"/>
    <w:rsid w:val="005D24D2"/>
    <w:rsid w:val="005D25D8"/>
    <w:rsid w:val="005D26EB"/>
    <w:rsid w:val="005D2788"/>
    <w:rsid w:val="005D3171"/>
    <w:rsid w:val="005D3405"/>
    <w:rsid w:val="005D34F0"/>
    <w:rsid w:val="005D42FF"/>
    <w:rsid w:val="005D44F1"/>
    <w:rsid w:val="005D4C15"/>
    <w:rsid w:val="005D4DE3"/>
    <w:rsid w:val="005D5150"/>
    <w:rsid w:val="005D5468"/>
    <w:rsid w:val="005D5591"/>
    <w:rsid w:val="005D55C6"/>
    <w:rsid w:val="005D5702"/>
    <w:rsid w:val="005D5DD6"/>
    <w:rsid w:val="005D6064"/>
    <w:rsid w:val="005D62E2"/>
    <w:rsid w:val="005D6624"/>
    <w:rsid w:val="005D6817"/>
    <w:rsid w:val="005D6877"/>
    <w:rsid w:val="005D69E5"/>
    <w:rsid w:val="005D6B10"/>
    <w:rsid w:val="005D6E39"/>
    <w:rsid w:val="005D7520"/>
    <w:rsid w:val="005D79AE"/>
    <w:rsid w:val="005D7A0A"/>
    <w:rsid w:val="005D7B57"/>
    <w:rsid w:val="005D7B87"/>
    <w:rsid w:val="005D7F5C"/>
    <w:rsid w:val="005E0381"/>
    <w:rsid w:val="005E05CE"/>
    <w:rsid w:val="005E063C"/>
    <w:rsid w:val="005E0942"/>
    <w:rsid w:val="005E09A5"/>
    <w:rsid w:val="005E0C66"/>
    <w:rsid w:val="005E0E85"/>
    <w:rsid w:val="005E1433"/>
    <w:rsid w:val="005E14D4"/>
    <w:rsid w:val="005E16AA"/>
    <w:rsid w:val="005E193A"/>
    <w:rsid w:val="005E1E18"/>
    <w:rsid w:val="005E20A2"/>
    <w:rsid w:val="005E25C5"/>
    <w:rsid w:val="005E2789"/>
    <w:rsid w:val="005E2AF5"/>
    <w:rsid w:val="005E2D18"/>
    <w:rsid w:val="005E309B"/>
    <w:rsid w:val="005E33DB"/>
    <w:rsid w:val="005E3C95"/>
    <w:rsid w:val="005E3E88"/>
    <w:rsid w:val="005E4158"/>
    <w:rsid w:val="005E5436"/>
    <w:rsid w:val="005E5452"/>
    <w:rsid w:val="005E5A66"/>
    <w:rsid w:val="005E5CC0"/>
    <w:rsid w:val="005E6055"/>
    <w:rsid w:val="005E6E6B"/>
    <w:rsid w:val="005E7422"/>
    <w:rsid w:val="005E75AA"/>
    <w:rsid w:val="005F0123"/>
    <w:rsid w:val="005F086B"/>
    <w:rsid w:val="005F090A"/>
    <w:rsid w:val="005F110B"/>
    <w:rsid w:val="005F12C1"/>
    <w:rsid w:val="005F17F0"/>
    <w:rsid w:val="005F2E79"/>
    <w:rsid w:val="005F2EE4"/>
    <w:rsid w:val="005F310A"/>
    <w:rsid w:val="005F3235"/>
    <w:rsid w:val="005F3407"/>
    <w:rsid w:val="005F3667"/>
    <w:rsid w:val="005F3A06"/>
    <w:rsid w:val="005F3B95"/>
    <w:rsid w:val="005F402C"/>
    <w:rsid w:val="005F4274"/>
    <w:rsid w:val="005F43BE"/>
    <w:rsid w:val="005F485F"/>
    <w:rsid w:val="005F49A3"/>
    <w:rsid w:val="005F592E"/>
    <w:rsid w:val="005F598F"/>
    <w:rsid w:val="005F61CE"/>
    <w:rsid w:val="005F650C"/>
    <w:rsid w:val="005F6CEF"/>
    <w:rsid w:val="005F78A8"/>
    <w:rsid w:val="005F7BAC"/>
    <w:rsid w:val="005F7FA8"/>
    <w:rsid w:val="006008EA"/>
    <w:rsid w:val="00600ADF"/>
    <w:rsid w:val="00600BCE"/>
    <w:rsid w:val="00601010"/>
    <w:rsid w:val="00601222"/>
    <w:rsid w:val="006019C6"/>
    <w:rsid w:val="00601E85"/>
    <w:rsid w:val="00602693"/>
    <w:rsid w:val="00603279"/>
    <w:rsid w:val="006038CE"/>
    <w:rsid w:val="00603F92"/>
    <w:rsid w:val="00603FD4"/>
    <w:rsid w:val="006040EE"/>
    <w:rsid w:val="00604938"/>
    <w:rsid w:val="00604AF3"/>
    <w:rsid w:val="00604BBF"/>
    <w:rsid w:val="00604CB5"/>
    <w:rsid w:val="00604EC4"/>
    <w:rsid w:val="00604FDE"/>
    <w:rsid w:val="00605C73"/>
    <w:rsid w:val="00605E39"/>
    <w:rsid w:val="00605E42"/>
    <w:rsid w:val="00605EEF"/>
    <w:rsid w:val="00606943"/>
    <w:rsid w:val="00606964"/>
    <w:rsid w:val="00606A2B"/>
    <w:rsid w:val="00606B85"/>
    <w:rsid w:val="00606C45"/>
    <w:rsid w:val="00607071"/>
    <w:rsid w:val="006071FB"/>
    <w:rsid w:val="00607377"/>
    <w:rsid w:val="00607570"/>
    <w:rsid w:val="006078F5"/>
    <w:rsid w:val="0060799D"/>
    <w:rsid w:val="00607AD6"/>
    <w:rsid w:val="00610271"/>
    <w:rsid w:val="00610350"/>
    <w:rsid w:val="00610691"/>
    <w:rsid w:val="00610BAC"/>
    <w:rsid w:val="00610CD8"/>
    <w:rsid w:val="006110E4"/>
    <w:rsid w:val="00611426"/>
    <w:rsid w:val="0061152C"/>
    <w:rsid w:val="00611611"/>
    <w:rsid w:val="00611854"/>
    <w:rsid w:val="00611926"/>
    <w:rsid w:val="00612B98"/>
    <w:rsid w:val="00613256"/>
    <w:rsid w:val="0061370F"/>
    <w:rsid w:val="006139BE"/>
    <w:rsid w:val="00613AB2"/>
    <w:rsid w:val="0061494A"/>
    <w:rsid w:val="006150F6"/>
    <w:rsid w:val="00615352"/>
    <w:rsid w:val="0061535E"/>
    <w:rsid w:val="00615A3A"/>
    <w:rsid w:val="006162B6"/>
    <w:rsid w:val="006166AD"/>
    <w:rsid w:val="00616876"/>
    <w:rsid w:val="00616D2E"/>
    <w:rsid w:val="0061722C"/>
    <w:rsid w:val="006175CA"/>
    <w:rsid w:val="00617DB2"/>
    <w:rsid w:val="00620565"/>
    <w:rsid w:val="0062058D"/>
    <w:rsid w:val="00621103"/>
    <w:rsid w:val="00621156"/>
    <w:rsid w:val="006213B6"/>
    <w:rsid w:val="00621463"/>
    <w:rsid w:val="00621D2F"/>
    <w:rsid w:val="00621FD8"/>
    <w:rsid w:val="006220A6"/>
    <w:rsid w:val="00622143"/>
    <w:rsid w:val="006222C1"/>
    <w:rsid w:val="00622489"/>
    <w:rsid w:val="00622E90"/>
    <w:rsid w:val="006230A1"/>
    <w:rsid w:val="00623B87"/>
    <w:rsid w:val="00623E2A"/>
    <w:rsid w:val="00624B06"/>
    <w:rsid w:val="0062591A"/>
    <w:rsid w:val="00625B43"/>
    <w:rsid w:val="00625C20"/>
    <w:rsid w:val="0062612C"/>
    <w:rsid w:val="00626830"/>
    <w:rsid w:val="00626A40"/>
    <w:rsid w:val="00626AC9"/>
    <w:rsid w:val="00626F48"/>
    <w:rsid w:val="00627980"/>
    <w:rsid w:val="00627C21"/>
    <w:rsid w:val="00630270"/>
    <w:rsid w:val="00630452"/>
    <w:rsid w:val="00630628"/>
    <w:rsid w:val="00630BD4"/>
    <w:rsid w:val="0063140B"/>
    <w:rsid w:val="00631AB4"/>
    <w:rsid w:val="0063294D"/>
    <w:rsid w:val="0063303F"/>
    <w:rsid w:val="006332C8"/>
    <w:rsid w:val="0063427C"/>
    <w:rsid w:val="00634474"/>
    <w:rsid w:val="00634578"/>
    <w:rsid w:val="0063460C"/>
    <w:rsid w:val="00634696"/>
    <w:rsid w:val="00634929"/>
    <w:rsid w:val="006353E1"/>
    <w:rsid w:val="006355CD"/>
    <w:rsid w:val="006356EB"/>
    <w:rsid w:val="006357EC"/>
    <w:rsid w:val="006357FA"/>
    <w:rsid w:val="0063586D"/>
    <w:rsid w:val="0063653F"/>
    <w:rsid w:val="006366FD"/>
    <w:rsid w:val="006368E4"/>
    <w:rsid w:val="006368F1"/>
    <w:rsid w:val="00636AEA"/>
    <w:rsid w:val="00636E5A"/>
    <w:rsid w:val="00636E6D"/>
    <w:rsid w:val="0063705F"/>
    <w:rsid w:val="00640714"/>
    <w:rsid w:val="00640754"/>
    <w:rsid w:val="00640D51"/>
    <w:rsid w:val="0064101A"/>
    <w:rsid w:val="0064147D"/>
    <w:rsid w:val="00641724"/>
    <w:rsid w:val="00641E27"/>
    <w:rsid w:val="00642514"/>
    <w:rsid w:val="006426B1"/>
    <w:rsid w:val="006427C9"/>
    <w:rsid w:val="006429E4"/>
    <w:rsid w:val="00642DD7"/>
    <w:rsid w:val="00642ED3"/>
    <w:rsid w:val="00643338"/>
    <w:rsid w:val="006436C9"/>
    <w:rsid w:val="006436FE"/>
    <w:rsid w:val="00643A19"/>
    <w:rsid w:val="00643A9C"/>
    <w:rsid w:val="00643F90"/>
    <w:rsid w:val="0064476A"/>
    <w:rsid w:val="006448F0"/>
    <w:rsid w:val="00645110"/>
    <w:rsid w:val="00645272"/>
    <w:rsid w:val="006454B3"/>
    <w:rsid w:val="00645AA7"/>
    <w:rsid w:val="00645DD3"/>
    <w:rsid w:val="00645E4F"/>
    <w:rsid w:val="00646869"/>
    <w:rsid w:val="00646A07"/>
    <w:rsid w:val="00646D38"/>
    <w:rsid w:val="00646D42"/>
    <w:rsid w:val="00647456"/>
    <w:rsid w:val="0064763F"/>
    <w:rsid w:val="006478E7"/>
    <w:rsid w:val="00647FBC"/>
    <w:rsid w:val="006509F9"/>
    <w:rsid w:val="00651781"/>
    <w:rsid w:val="00651C59"/>
    <w:rsid w:val="00651D61"/>
    <w:rsid w:val="00652413"/>
    <w:rsid w:val="00652BD1"/>
    <w:rsid w:val="00652E03"/>
    <w:rsid w:val="0065306C"/>
    <w:rsid w:val="0065347D"/>
    <w:rsid w:val="00653785"/>
    <w:rsid w:val="00653A5B"/>
    <w:rsid w:val="00653C29"/>
    <w:rsid w:val="00653D3C"/>
    <w:rsid w:val="00654091"/>
    <w:rsid w:val="00654123"/>
    <w:rsid w:val="00654482"/>
    <w:rsid w:val="006544AE"/>
    <w:rsid w:val="00655562"/>
    <w:rsid w:val="00655657"/>
    <w:rsid w:val="00655C7A"/>
    <w:rsid w:val="00655E05"/>
    <w:rsid w:val="00655EFA"/>
    <w:rsid w:val="006561A8"/>
    <w:rsid w:val="00656340"/>
    <w:rsid w:val="006564EC"/>
    <w:rsid w:val="0065671D"/>
    <w:rsid w:val="0065714C"/>
    <w:rsid w:val="00657308"/>
    <w:rsid w:val="00657403"/>
    <w:rsid w:val="006575A3"/>
    <w:rsid w:val="006575B6"/>
    <w:rsid w:val="00657692"/>
    <w:rsid w:val="00660167"/>
    <w:rsid w:val="00660BF2"/>
    <w:rsid w:val="006612D1"/>
    <w:rsid w:val="00661AAA"/>
    <w:rsid w:val="0066224E"/>
    <w:rsid w:val="00662504"/>
    <w:rsid w:val="0066261E"/>
    <w:rsid w:val="0066308B"/>
    <w:rsid w:val="006633A5"/>
    <w:rsid w:val="006640F5"/>
    <w:rsid w:val="00664A3D"/>
    <w:rsid w:val="00664CCD"/>
    <w:rsid w:val="00664D84"/>
    <w:rsid w:val="00664F4A"/>
    <w:rsid w:val="0066523C"/>
    <w:rsid w:val="00665301"/>
    <w:rsid w:val="0066562C"/>
    <w:rsid w:val="006656EA"/>
    <w:rsid w:val="0066574E"/>
    <w:rsid w:val="00665784"/>
    <w:rsid w:val="0066601D"/>
    <w:rsid w:val="00666165"/>
    <w:rsid w:val="006665B6"/>
    <w:rsid w:val="0066664A"/>
    <w:rsid w:val="00666D99"/>
    <w:rsid w:val="006673FB"/>
    <w:rsid w:val="00667517"/>
    <w:rsid w:val="00670686"/>
    <w:rsid w:val="00671232"/>
    <w:rsid w:val="0067144C"/>
    <w:rsid w:val="0067224B"/>
    <w:rsid w:val="006725AA"/>
    <w:rsid w:val="00672A80"/>
    <w:rsid w:val="00672DBC"/>
    <w:rsid w:val="00673026"/>
    <w:rsid w:val="006732A6"/>
    <w:rsid w:val="006733DE"/>
    <w:rsid w:val="0067360B"/>
    <w:rsid w:val="00673641"/>
    <w:rsid w:val="006736EF"/>
    <w:rsid w:val="00673A54"/>
    <w:rsid w:val="00673B8E"/>
    <w:rsid w:val="00673C74"/>
    <w:rsid w:val="00673D08"/>
    <w:rsid w:val="00673FE4"/>
    <w:rsid w:val="00674697"/>
    <w:rsid w:val="006748BC"/>
    <w:rsid w:val="00674FE7"/>
    <w:rsid w:val="006757CA"/>
    <w:rsid w:val="00676454"/>
    <w:rsid w:val="006766F9"/>
    <w:rsid w:val="0067690B"/>
    <w:rsid w:val="00676B09"/>
    <w:rsid w:val="00676D44"/>
    <w:rsid w:val="00677039"/>
    <w:rsid w:val="00677728"/>
    <w:rsid w:val="006777DF"/>
    <w:rsid w:val="006777F6"/>
    <w:rsid w:val="006778C4"/>
    <w:rsid w:val="006808CB"/>
    <w:rsid w:val="006813DB"/>
    <w:rsid w:val="006818A2"/>
    <w:rsid w:val="00681BC9"/>
    <w:rsid w:val="00682469"/>
    <w:rsid w:val="006824D3"/>
    <w:rsid w:val="00682831"/>
    <w:rsid w:val="00682927"/>
    <w:rsid w:val="006829E6"/>
    <w:rsid w:val="00682FA6"/>
    <w:rsid w:val="00683093"/>
    <w:rsid w:val="006832B0"/>
    <w:rsid w:val="0068330C"/>
    <w:rsid w:val="0068360C"/>
    <w:rsid w:val="006836D6"/>
    <w:rsid w:val="00683E8A"/>
    <w:rsid w:val="00684DC3"/>
    <w:rsid w:val="00684FB8"/>
    <w:rsid w:val="006851FF"/>
    <w:rsid w:val="00685246"/>
    <w:rsid w:val="006855FC"/>
    <w:rsid w:val="00685AFD"/>
    <w:rsid w:val="00685C7E"/>
    <w:rsid w:val="006864B2"/>
    <w:rsid w:val="00686E5A"/>
    <w:rsid w:val="00686FDE"/>
    <w:rsid w:val="0068711D"/>
    <w:rsid w:val="006876E1"/>
    <w:rsid w:val="00687D77"/>
    <w:rsid w:val="00690084"/>
    <w:rsid w:val="00690119"/>
    <w:rsid w:val="00690987"/>
    <w:rsid w:val="00690C50"/>
    <w:rsid w:val="006917CB"/>
    <w:rsid w:val="00691F4A"/>
    <w:rsid w:val="006920C2"/>
    <w:rsid w:val="00692392"/>
    <w:rsid w:val="00692529"/>
    <w:rsid w:val="006929AB"/>
    <w:rsid w:val="0069302A"/>
    <w:rsid w:val="00693030"/>
    <w:rsid w:val="00694CFC"/>
    <w:rsid w:val="00695275"/>
    <w:rsid w:val="00695637"/>
    <w:rsid w:val="00695A93"/>
    <w:rsid w:val="0069643F"/>
    <w:rsid w:val="006964BC"/>
    <w:rsid w:val="006966F4"/>
    <w:rsid w:val="00696A0C"/>
    <w:rsid w:val="00696ADD"/>
    <w:rsid w:val="00696F4B"/>
    <w:rsid w:val="0069770B"/>
    <w:rsid w:val="006977C0"/>
    <w:rsid w:val="00697EA4"/>
    <w:rsid w:val="006A0084"/>
    <w:rsid w:val="006A08CF"/>
    <w:rsid w:val="006A0C3B"/>
    <w:rsid w:val="006A0C90"/>
    <w:rsid w:val="006A0D93"/>
    <w:rsid w:val="006A0DB9"/>
    <w:rsid w:val="006A0DE2"/>
    <w:rsid w:val="006A1235"/>
    <w:rsid w:val="006A12A9"/>
    <w:rsid w:val="006A141B"/>
    <w:rsid w:val="006A16C4"/>
    <w:rsid w:val="006A1CB4"/>
    <w:rsid w:val="006A20AE"/>
    <w:rsid w:val="006A238D"/>
    <w:rsid w:val="006A2A90"/>
    <w:rsid w:val="006A3083"/>
    <w:rsid w:val="006A3145"/>
    <w:rsid w:val="006A3AF8"/>
    <w:rsid w:val="006A3F4E"/>
    <w:rsid w:val="006A47E6"/>
    <w:rsid w:val="006A4A47"/>
    <w:rsid w:val="006A4AE6"/>
    <w:rsid w:val="006A4DE3"/>
    <w:rsid w:val="006A4EA2"/>
    <w:rsid w:val="006A58A6"/>
    <w:rsid w:val="006A58F9"/>
    <w:rsid w:val="006A5FBC"/>
    <w:rsid w:val="006A5FE0"/>
    <w:rsid w:val="006A63E0"/>
    <w:rsid w:val="006A6706"/>
    <w:rsid w:val="006A6C23"/>
    <w:rsid w:val="006A6EE3"/>
    <w:rsid w:val="006A6F00"/>
    <w:rsid w:val="006A7455"/>
    <w:rsid w:val="006B01D2"/>
    <w:rsid w:val="006B041D"/>
    <w:rsid w:val="006B0466"/>
    <w:rsid w:val="006B0FE7"/>
    <w:rsid w:val="006B10BA"/>
    <w:rsid w:val="006B135F"/>
    <w:rsid w:val="006B144B"/>
    <w:rsid w:val="006B1595"/>
    <w:rsid w:val="006B1CAD"/>
    <w:rsid w:val="006B234A"/>
    <w:rsid w:val="006B2365"/>
    <w:rsid w:val="006B257A"/>
    <w:rsid w:val="006B29B2"/>
    <w:rsid w:val="006B29D3"/>
    <w:rsid w:val="006B2CA8"/>
    <w:rsid w:val="006B2CCD"/>
    <w:rsid w:val="006B2EDF"/>
    <w:rsid w:val="006B3B16"/>
    <w:rsid w:val="006B46D1"/>
    <w:rsid w:val="006B4D2F"/>
    <w:rsid w:val="006B5359"/>
    <w:rsid w:val="006B56D0"/>
    <w:rsid w:val="006B578F"/>
    <w:rsid w:val="006B5887"/>
    <w:rsid w:val="006B5AA5"/>
    <w:rsid w:val="006B5DEB"/>
    <w:rsid w:val="006B62DB"/>
    <w:rsid w:val="006B6DA9"/>
    <w:rsid w:val="006B6F6C"/>
    <w:rsid w:val="006B7890"/>
    <w:rsid w:val="006B79E0"/>
    <w:rsid w:val="006B7D07"/>
    <w:rsid w:val="006B7DC3"/>
    <w:rsid w:val="006C03DA"/>
    <w:rsid w:val="006C11B7"/>
    <w:rsid w:val="006C122E"/>
    <w:rsid w:val="006C13F8"/>
    <w:rsid w:val="006C1720"/>
    <w:rsid w:val="006C1BF0"/>
    <w:rsid w:val="006C1CFB"/>
    <w:rsid w:val="006C2202"/>
    <w:rsid w:val="006C2304"/>
    <w:rsid w:val="006C2491"/>
    <w:rsid w:val="006C25A9"/>
    <w:rsid w:val="006C27AA"/>
    <w:rsid w:val="006C304F"/>
    <w:rsid w:val="006C30F2"/>
    <w:rsid w:val="006C368D"/>
    <w:rsid w:val="006C3C4F"/>
    <w:rsid w:val="006C48DE"/>
    <w:rsid w:val="006C4F1D"/>
    <w:rsid w:val="006C530B"/>
    <w:rsid w:val="006C5333"/>
    <w:rsid w:val="006C53A8"/>
    <w:rsid w:val="006C545A"/>
    <w:rsid w:val="006C5475"/>
    <w:rsid w:val="006C5486"/>
    <w:rsid w:val="006C54E5"/>
    <w:rsid w:val="006C551E"/>
    <w:rsid w:val="006C566B"/>
    <w:rsid w:val="006C5899"/>
    <w:rsid w:val="006C5B59"/>
    <w:rsid w:val="006C5BC7"/>
    <w:rsid w:val="006C6C4A"/>
    <w:rsid w:val="006C701D"/>
    <w:rsid w:val="006C70C5"/>
    <w:rsid w:val="006C726F"/>
    <w:rsid w:val="006C7436"/>
    <w:rsid w:val="006C75BE"/>
    <w:rsid w:val="006C77CD"/>
    <w:rsid w:val="006D0089"/>
    <w:rsid w:val="006D0559"/>
    <w:rsid w:val="006D06E5"/>
    <w:rsid w:val="006D0F72"/>
    <w:rsid w:val="006D0FFB"/>
    <w:rsid w:val="006D1540"/>
    <w:rsid w:val="006D1853"/>
    <w:rsid w:val="006D1B3B"/>
    <w:rsid w:val="006D1C9A"/>
    <w:rsid w:val="006D1CCF"/>
    <w:rsid w:val="006D1DBC"/>
    <w:rsid w:val="006D1EAC"/>
    <w:rsid w:val="006D2359"/>
    <w:rsid w:val="006D2AEE"/>
    <w:rsid w:val="006D3040"/>
    <w:rsid w:val="006D3CDD"/>
    <w:rsid w:val="006D3FC8"/>
    <w:rsid w:val="006D40C0"/>
    <w:rsid w:val="006D4232"/>
    <w:rsid w:val="006D4388"/>
    <w:rsid w:val="006D4679"/>
    <w:rsid w:val="006D46C6"/>
    <w:rsid w:val="006D46F0"/>
    <w:rsid w:val="006D4A06"/>
    <w:rsid w:val="006D4E63"/>
    <w:rsid w:val="006D4F8E"/>
    <w:rsid w:val="006D50D6"/>
    <w:rsid w:val="006D5AD7"/>
    <w:rsid w:val="006D5E17"/>
    <w:rsid w:val="006D5FCD"/>
    <w:rsid w:val="006D5FE2"/>
    <w:rsid w:val="006D6366"/>
    <w:rsid w:val="006D6BBD"/>
    <w:rsid w:val="006D6F8B"/>
    <w:rsid w:val="006D718B"/>
    <w:rsid w:val="006D7260"/>
    <w:rsid w:val="006D7D37"/>
    <w:rsid w:val="006E0184"/>
    <w:rsid w:val="006E0785"/>
    <w:rsid w:val="006E07F8"/>
    <w:rsid w:val="006E09F7"/>
    <w:rsid w:val="006E0F77"/>
    <w:rsid w:val="006E192C"/>
    <w:rsid w:val="006E1C00"/>
    <w:rsid w:val="006E1E6D"/>
    <w:rsid w:val="006E21F2"/>
    <w:rsid w:val="006E2252"/>
    <w:rsid w:val="006E22A5"/>
    <w:rsid w:val="006E28C0"/>
    <w:rsid w:val="006E29FE"/>
    <w:rsid w:val="006E2D39"/>
    <w:rsid w:val="006E2E8D"/>
    <w:rsid w:val="006E32A7"/>
    <w:rsid w:val="006E362B"/>
    <w:rsid w:val="006E3770"/>
    <w:rsid w:val="006E3C61"/>
    <w:rsid w:val="006E3D13"/>
    <w:rsid w:val="006E3F7B"/>
    <w:rsid w:val="006E4229"/>
    <w:rsid w:val="006E4269"/>
    <w:rsid w:val="006E44D2"/>
    <w:rsid w:val="006E479A"/>
    <w:rsid w:val="006E483E"/>
    <w:rsid w:val="006E49B5"/>
    <w:rsid w:val="006E524C"/>
    <w:rsid w:val="006E5376"/>
    <w:rsid w:val="006E5461"/>
    <w:rsid w:val="006E5470"/>
    <w:rsid w:val="006E55BE"/>
    <w:rsid w:val="006E5832"/>
    <w:rsid w:val="006E606D"/>
    <w:rsid w:val="006E6648"/>
    <w:rsid w:val="006E6B38"/>
    <w:rsid w:val="006E6EBD"/>
    <w:rsid w:val="006E6F1A"/>
    <w:rsid w:val="006E7424"/>
    <w:rsid w:val="006E7A10"/>
    <w:rsid w:val="006E7C1C"/>
    <w:rsid w:val="006E7D13"/>
    <w:rsid w:val="006F0126"/>
    <w:rsid w:val="006F018C"/>
    <w:rsid w:val="006F0532"/>
    <w:rsid w:val="006F0AF8"/>
    <w:rsid w:val="006F0C4A"/>
    <w:rsid w:val="006F0D90"/>
    <w:rsid w:val="006F140A"/>
    <w:rsid w:val="006F1459"/>
    <w:rsid w:val="006F1BCA"/>
    <w:rsid w:val="006F2455"/>
    <w:rsid w:val="006F2F41"/>
    <w:rsid w:val="006F3198"/>
    <w:rsid w:val="006F3316"/>
    <w:rsid w:val="006F33ED"/>
    <w:rsid w:val="006F3480"/>
    <w:rsid w:val="006F41A8"/>
    <w:rsid w:val="006F4391"/>
    <w:rsid w:val="006F43B2"/>
    <w:rsid w:val="006F519E"/>
    <w:rsid w:val="006F529E"/>
    <w:rsid w:val="006F53D1"/>
    <w:rsid w:val="006F56BD"/>
    <w:rsid w:val="006F62B7"/>
    <w:rsid w:val="006F6737"/>
    <w:rsid w:val="006F6AFD"/>
    <w:rsid w:val="006F6BBC"/>
    <w:rsid w:val="006F7030"/>
    <w:rsid w:val="00700127"/>
    <w:rsid w:val="007003E3"/>
    <w:rsid w:val="00701025"/>
    <w:rsid w:val="007012F9"/>
    <w:rsid w:val="007014DF"/>
    <w:rsid w:val="007018DB"/>
    <w:rsid w:val="00701EDB"/>
    <w:rsid w:val="00702251"/>
    <w:rsid w:val="0070267B"/>
    <w:rsid w:val="0070269F"/>
    <w:rsid w:val="007028EA"/>
    <w:rsid w:val="00702A6D"/>
    <w:rsid w:val="00703468"/>
    <w:rsid w:val="0070355B"/>
    <w:rsid w:val="0070387F"/>
    <w:rsid w:val="007042E2"/>
    <w:rsid w:val="00704339"/>
    <w:rsid w:val="0070442F"/>
    <w:rsid w:val="007046BE"/>
    <w:rsid w:val="007051AC"/>
    <w:rsid w:val="0070538C"/>
    <w:rsid w:val="00705626"/>
    <w:rsid w:val="007057D3"/>
    <w:rsid w:val="00705B00"/>
    <w:rsid w:val="00705EA5"/>
    <w:rsid w:val="007061A4"/>
    <w:rsid w:val="007061AD"/>
    <w:rsid w:val="00706BF1"/>
    <w:rsid w:val="0070705C"/>
    <w:rsid w:val="007070D7"/>
    <w:rsid w:val="007077DD"/>
    <w:rsid w:val="007077ED"/>
    <w:rsid w:val="00707CED"/>
    <w:rsid w:val="00711319"/>
    <w:rsid w:val="0071177E"/>
    <w:rsid w:val="00711EA6"/>
    <w:rsid w:val="00712184"/>
    <w:rsid w:val="0071251A"/>
    <w:rsid w:val="007128EF"/>
    <w:rsid w:val="00712BA1"/>
    <w:rsid w:val="00712DAA"/>
    <w:rsid w:val="00712E92"/>
    <w:rsid w:val="007139CB"/>
    <w:rsid w:val="00713BF9"/>
    <w:rsid w:val="00713C0B"/>
    <w:rsid w:val="00714371"/>
    <w:rsid w:val="0071450D"/>
    <w:rsid w:val="007156E9"/>
    <w:rsid w:val="00715EBF"/>
    <w:rsid w:val="007162DF"/>
    <w:rsid w:val="00716636"/>
    <w:rsid w:val="00716D71"/>
    <w:rsid w:val="00716DF2"/>
    <w:rsid w:val="007174AF"/>
    <w:rsid w:val="00717AC3"/>
    <w:rsid w:val="007208FE"/>
    <w:rsid w:val="00720943"/>
    <w:rsid w:val="00720989"/>
    <w:rsid w:val="00720EDA"/>
    <w:rsid w:val="00721433"/>
    <w:rsid w:val="00721465"/>
    <w:rsid w:val="00721616"/>
    <w:rsid w:val="00721951"/>
    <w:rsid w:val="00721F9B"/>
    <w:rsid w:val="0072207E"/>
    <w:rsid w:val="007222DE"/>
    <w:rsid w:val="00722939"/>
    <w:rsid w:val="00722985"/>
    <w:rsid w:val="0072300D"/>
    <w:rsid w:val="0072324C"/>
    <w:rsid w:val="0072360B"/>
    <w:rsid w:val="00723644"/>
    <w:rsid w:val="00723CDF"/>
    <w:rsid w:val="00723F06"/>
    <w:rsid w:val="007243A6"/>
    <w:rsid w:val="00724ADD"/>
    <w:rsid w:val="00724B29"/>
    <w:rsid w:val="00724FEC"/>
    <w:rsid w:val="0072570D"/>
    <w:rsid w:val="00725F9D"/>
    <w:rsid w:val="007263CD"/>
    <w:rsid w:val="00726586"/>
    <w:rsid w:val="0072663B"/>
    <w:rsid w:val="00726F07"/>
    <w:rsid w:val="00726F56"/>
    <w:rsid w:val="00727100"/>
    <w:rsid w:val="007271F3"/>
    <w:rsid w:val="007302F2"/>
    <w:rsid w:val="00730942"/>
    <w:rsid w:val="00730A35"/>
    <w:rsid w:val="00730E12"/>
    <w:rsid w:val="00731055"/>
    <w:rsid w:val="00731708"/>
    <w:rsid w:val="00731CAF"/>
    <w:rsid w:val="0073203D"/>
    <w:rsid w:val="007321ED"/>
    <w:rsid w:val="00732527"/>
    <w:rsid w:val="007325D1"/>
    <w:rsid w:val="007326FB"/>
    <w:rsid w:val="007328A3"/>
    <w:rsid w:val="007336CF"/>
    <w:rsid w:val="007345CF"/>
    <w:rsid w:val="007354C9"/>
    <w:rsid w:val="00735BF8"/>
    <w:rsid w:val="00735C0A"/>
    <w:rsid w:val="0073601F"/>
    <w:rsid w:val="00736333"/>
    <w:rsid w:val="00736414"/>
    <w:rsid w:val="0073648A"/>
    <w:rsid w:val="0073649B"/>
    <w:rsid w:val="007364C1"/>
    <w:rsid w:val="00736763"/>
    <w:rsid w:val="007367D9"/>
    <w:rsid w:val="00736AA0"/>
    <w:rsid w:val="00736BB1"/>
    <w:rsid w:val="007374AD"/>
    <w:rsid w:val="007374E8"/>
    <w:rsid w:val="00737646"/>
    <w:rsid w:val="00740677"/>
    <w:rsid w:val="007413D9"/>
    <w:rsid w:val="00741576"/>
    <w:rsid w:val="00741A3D"/>
    <w:rsid w:val="00741A7E"/>
    <w:rsid w:val="00741C9E"/>
    <w:rsid w:val="00741F5D"/>
    <w:rsid w:val="00742127"/>
    <w:rsid w:val="00742862"/>
    <w:rsid w:val="00742EA6"/>
    <w:rsid w:val="0074323F"/>
    <w:rsid w:val="007437AA"/>
    <w:rsid w:val="00743B07"/>
    <w:rsid w:val="00743C03"/>
    <w:rsid w:val="00743F9C"/>
    <w:rsid w:val="007440B2"/>
    <w:rsid w:val="007444A1"/>
    <w:rsid w:val="0074462C"/>
    <w:rsid w:val="00744850"/>
    <w:rsid w:val="00744887"/>
    <w:rsid w:val="0074505D"/>
    <w:rsid w:val="007451BC"/>
    <w:rsid w:val="00745B6E"/>
    <w:rsid w:val="00745BF6"/>
    <w:rsid w:val="00745D3B"/>
    <w:rsid w:val="00747131"/>
    <w:rsid w:val="007473E1"/>
    <w:rsid w:val="0074757F"/>
    <w:rsid w:val="0074785E"/>
    <w:rsid w:val="007479F2"/>
    <w:rsid w:val="00747B7A"/>
    <w:rsid w:val="00747CC3"/>
    <w:rsid w:val="00747E1B"/>
    <w:rsid w:val="00750CC4"/>
    <w:rsid w:val="00750FDE"/>
    <w:rsid w:val="00751157"/>
    <w:rsid w:val="0075124D"/>
    <w:rsid w:val="007515D7"/>
    <w:rsid w:val="00751A64"/>
    <w:rsid w:val="00751FDB"/>
    <w:rsid w:val="00752000"/>
    <w:rsid w:val="00752885"/>
    <w:rsid w:val="007531FD"/>
    <w:rsid w:val="00753E0D"/>
    <w:rsid w:val="0075444D"/>
    <w:rsid w:val="007544C3"/>
    <w:rsid w:val="007546B2"/>
    <w:rsid w:val="0075483E"/>
    <w:rsid w:val="00754AF4"/>
    <w:rsid w:val="00755057"/>
    <w:rsid w:val="0075523A"/>
    <w:rsid w:val="007552AC"/>
    <w:rsid w:val="007554C5"/>
    <w:rsid w:val="00755C91"/>
    <w:rsid w:val="00755DCA"/>
    <w:rsid w:val="0075628A"/>
    <w:rsid w:val="0075661F"/>
    <w:rsid w:val="007567CD"/>
    <w:rsid w:val="007567ED"/>
    <w:rsid w:val="00756B9E"/>
    <w:rsid w:val="00756CC1"/>
    <w:rsid w:val="00757C61"/>
    <w:rsid w:val="00757F8D"/>
    <w:rsid w:val="007604CE"/>
    <w:rsid w:val="0076088E"/>
    <w:rsid w:val="007608DD"/>
    <w:rsid w:val="00760912"/>
    <w:rsid w:val="00760A01"/>
    <w:rsid w:val="00760E29"/>
    <w:rsid w:val="00760FEF"/>
    <w:rsid w:val="007610DB"/>
    <w:rsid w:val="00761400"/>
    <w:rsid w:val="0076171E"/>
    <w:rsid w:val="00761972"/>
    <w:rsid w:val="00761B12"/>
    <w:rsid w:val="00761E34"/>
    <w:rsid w:val="0076289D"/>
    <w:rsid w:val="00762CB9"/>
    <w:rsid w:val="00763135"/>
    <w:rsid w:val="00763245"/>
    <w:rsid w:val="007634CE"/>
    <w:rsid w:val="007636BA"/>
    <w:rsid w:val="00763915"/>
    <w:rsid w:val="00763971"/>
    <w:rsid w:val="00764136"/>
    <w:rsid w:val="007642E5"/>
    <w:rsid w:val="00764349"/>
    <w:rsid w:val="00764C32"/>
    <w:rsid w:val="00764EBE"/>
    <w:rsid w:val="007653B7"/>
    <w:rsid w:val="0076548D"/>
    <w:rsid w:val="00765A27"/>
    <w:rsid w:val="00765CFF"/>
    <w:rsid w:val="00765EF5"/>
    <w:rsid w:val="00765F48"/>
    <w:rsid w:val="0076624D"/>
    <w:rsid w:val="00766630"/>
    <w:rsid w:val="00766733"/>
    <w:rsid w:val="00766BCC"/>
    <w:rsid w:val="00766F99"/>
    <w:rsid w:val="00766FA6"/>
    <w:rsid w:val="0076723F"/>
    <w:rsid w:val="00767F07"/>
    <w:rsid w:val="007701D1"/>
    <w:rsid w:val="007706EC"/>
    <w:rsid w:val="007707C0"/>
    <w:rsid w:val="007715A9"/>
    <w:rsid w:val="00771BB0"/>
    <w:rsid w:val="00771CD3"/>
    <w:rsid w:val="00771FB0"/>
    <w:rsid w:val="0077200B"/>
    <w:rsid w:val="007722F8"/>
    <w:rsid w:val="00772728"/>
    <w:rsid w:val="0077286D"/>
    <w:rsid w:val="00772DB4"/>
    <w:rsid w:val="00773385"/>
    <w:rsid w:val="0077352E"/>
    <w:rsid w:val="00773758"/>
    <w:rsid w:val="00773811"/>
    <w:rsid w:val="0077417C"/>
    <w:rsid w:val="007743B8"/>
    <w:rsid w:val="007745AE"/>
    <w:rsid w:val="0077530B"/>
    <w:rsid w:val="007758B1"/>
    <w:rsid w:val="007758D8"/>
    <w:rsid w:val="00775C72"/>
    <w:rsid w:val="00775CEF"/>
    <w:rsid w:val="00776EEF"/>
    <w:rsid w:val="007771CD"/>
    <w:rsid w:val="00777232"/>
    <w:rsid w:val="00777666"/>
    <w:rsid w:val="0078044B"/>
    <w:rsid w:val="007808D8"/>
    <w:rsid w:val="00780B9D"/>
    <w:rsid w:val="00780BE8"/>
    <w:rsid w:val="00780C67"/>
    <w:rsid w:val="00780EB7"/>
    <w:rsid w:val="007811CB"/>
    <w:rsid w:val="007813A1"/>
    <w:rsid w:val="00781425"/>
    <w:rsid w:val="00781521"/>
    <w:rsid w:val="00781A39"/>
    <w:rsid w:val="0078243C"/>
    <w:rsid w:val="00782869"/>
    <w:rsid w:val="00782B5E"/>
    <w:rsid w:val="00782E69"/>
    <w:rsid w:val="0078309C"/>
    <w:rsid w:val="00783375"/>
    <w:rsid w:val="007835D5"/>
    <w:rsid w:val="00783640"/>
    <w:rsid w:val="00783706"/>
    <w:rsid w:val="0078370F"/>
    <w:rsid w:val="00783B32"/>
    <w:rsid w:val="00783FAE"/>
    <w:rsid w:val="0078453E"/>
    <w:rsid w:val="007848E4"/>
    <w:rsid w:val="00784DBB"/>
    <w:rsid w:val="00785101"/>
    <w:rsid w:val="0078518D"/>
    <w:rsid w:val="0078578D"/>
    <w:rsid w:val="00785A93"/>
    <w:rsid w:val="00785B79"/>
    <w:rsid w:val="0078651B"/>
    <w:rsid w:val="00786B4B"/>
    <w:rsid w:val="00786FEE"/>
    <w:rsid w:val="007871B9"/>
    <w:rsid w:val="00787332"/>
    <w:rsid w:val="0078756E"/>
    <w:rsid w:val="00787B9E"/>
    <w:rsid w:val="00787D85"/>
    <w:rsid w:val="00790103"/>
    <w:rsid w:val="00790504"/>
    <w:rsid w:val="00790EEC"/>
    <w:rsid w:val="00790EF0"/>
    <w:rsid w:val="007914A7"/>
    <w:rsid w:val="00791F8A"/>
    <w:rsid w:val="00791FFB"/>
    <w:rsid w:val="00792245"/>
    <w:rsid w:val="00793822"/>
    <w:rsid w:val="007939D3"/>
    <w:rsid w:val="00793BA6"/>
    <w:rsid w:val="00794187"/>
    <w:rsid w:val="0079434E"/>
    <w:rsid w:val="0079467B"/>
    <w:rsid w:val="00794704"/>
    <w:rsid w:val="00794A0F"/>
    <w:rsid w:val="00794FD7"/>
    <w:rsid w:val="00795301"/>
    <w:rsid w:val="00795394"/>
    <w:rsid w:val="007954C6"/>
    <w:rsid w:val="007958AF"/>
    <w:rsid w:val="00795D7E"/>
    <w:rsid w:val="00795E29"/>
    <w:rsid w:val="00796348"/>
    <w:rsid w:val="007964AB"/>
    <w:rsid w:val="007965FA"/>
    <w:rsid w:val="0079754F"/>
    <w:rsid w:val="00797B67"/>
    <w:rsid w:val="007A01F9"/>
    <w:rsid w:val="007A0619"/>
    <w:rsid w:val="007A08F6"/>
    <w:rsid w:val="007A0AA8"/>
    <w:rsid w:val="007A121C"/>
    <w:rsid w:val="007A140A"/>
    <w:rsid w:val="007A189D"/>
    <w:rsid w:val="007A191C"/>
    <w:rsid w:val="007A1F5C"/>
    <w:rsid w:val="007A1FC7"/>
    <w:rsid w:val="007A2508"/>
    <w:rsid w:val="007A2EE2"/>
    <w:rsid w:val="007A4138"/>
    <w:rsid w:val="007A487E"/>
    <w:rsid w:val="007A4904"/>
    <w:rsid w:val="007A4B1C"/>
    <w:rsid w:val="007A4B1E"/>
    <w:rsid w:val="007A503D"/>
    <w:rsid w:val="007A50C5"/>
    <w:rsid w:val="007A5169"/>
    <w:rsid w:val="007A525D"/>
    <w:rsid w:val="007A559F"/>
    <w:rsid w:val="007A5677"/>
    <w:rsid w:val="007A58EC"/>
    <w:rsid w:val="007A5905"/>
    <w:rsid w:val="007A5AAC"/>
    <w:rsid w:val="007A5E5D"/>
    <w:rsid w:val="007A6294"/>
    <w:rsid w:val="007A6AB9"/>
    <w:rsid w:val="007A6BF1"/>
    <w:rsid w:val="007A6CA2"/>
    <w:rsid w:val="007A7425"/>
    <w:rsid w:val="007A7466"/>
    <w:rsid w:val="007A7FD6"/>
    <w:rsid w:val="007B0078"/>
    <w:rsid w:val="007B0263"/>
    <w:rsid w:val="007B04C0"/>
    <w:rsid w:val="007B066C"/>
    <w:rsid w:val="007B06FE"/>
    <w:rsid w:val="007B0747"/>
    <w:rsid w:val="007B0A74"/>
    <w:rsid w:val="007B0B00"/>
    <w:rsid w:val="007B0EF8"/>
    <w:rsid w:val="007B100F"/>
    <w:rsid w:val="007B118D"/>
    <w:rsid w:val="007B140B"/>
    <w:rsid w:val="007B16C7"/>
    <w:rsid w:val="007B16D5"/>
    <w:rsid w:val="007B17C0"/>
    <w:rsid w:val="007B1890"/>
    <w:rsid w:val="007B1DE0"/>
    <w:rsid w:val="007B1E84"/>
    <w:rsid w:val="007B1F9B"/>
    <w:rsid w:val="007B1FF0"/>
    <w:rsid w:val="007B2589"/>
    <w:rsid w:val="007B2832"/>
    <w:rsid w:val="007B2D3E"/>
    <w:rsid w:val="007B2E34"/>
    <w:rsid w:val="007B3CE3"/>
    <w:rsid w:val="007B43F9"/>
    <w:rsid w:val="007B4D46"/>
    <w:rsid w:val="007B4E1B"/>
    <w:rsid w:val="007B4F2E"/>
    <w:rsid w:val="007B4F50"/>
    <w:rsid w:val="007B5B61"/>
    <w:rsid w:val="007B5D47"/>
    <w:rsid w:val="007B5D79"/>
    <w:rsid w:val="007B7215"/>
    <w:rsid w:val="007B7437"/>
    <w:rsid w:val="007B76ED"/>
    <w:rsid w:val="007B7DB8"/>
    <w:rsid w:val="007C01E1"/>
    <w:rsid w:val="007C0C7F"/>
    <w:rsid w:val="007C0FCC"/>
    <w:rsid w:val="007C1657"/>
    <w:rsid w:val="007C174B"/>
    <w:rsid w:val="007C18EF"/>
    <w:rsid w:val="007C21BE"/>
    <w:rsid w:val="007C22B9"/>
    <w:rsid w:val="007C2496"/>
    <w:rsid w:val="007C292C"/>
    <w:rsid w:val="007C29BA"/>
    <w:rsid w:val="007C2A91"/>
    <w:rsid w:val="007C2B1C"/>
    <w:rsid w:val="007C3072"/>
    <w:rsid w:val="007C3333"/>
    <w:rsid w:val="007C3662"/>
    <w:rsid w:val="007C36F1"/>
    <w:rsid w:val="007C3CB2"/>
    <w:rsid w:val="007C448D"/>
    <w:rsid w:val="007C4619"/>
    <w:rsid w:val="007C477B"/>
    <w:rsid w:val="007C497C"/>
    <w:rsid w:val="007C4ADC"/>
    <w:rsid w:val="007C4EF7"/>
    <w:rsid w:val="007C5028"/>
    <w:rsid w:val="007C5277"/>
    <w:rsid w:val="007C53B5"/>
    <w:rsid w:val="007C5C6B"/>
    <w:rsid w:val="007C5D4D"/>
    <w:rsid w:val="007C5F49"/>
    <w:rsid w:val="007C60DA"/>
    <w:rsid w:val="007C6109"/>
    <w:rsid w:val="007C64C0"/>
    <w:rsid w:val="007C6678"/>
    <w:rsid w:val="007C67D4"/>
    <w:rsid w:val="007C702C"/>
    <w:rsid w:val="007C71E7"/>
    <w:rsid w:val="007C73B3"/>
    <w:rsid w:val="007C7460"/>
    <w:rsid w:val="007C7494"/>
    <w:rsid w:val="007C74F3"/>
    <w:rsid w:val="007C75D7"/>
    <w:rsid w:val="007C7898"/>
    <w:rsid w:val="007C7A9B"/>
    <w:rsid w:val="007C7AF8"/>
    <w:rsid w:val="007C7E17"/>
    <w:rsid w:val="007D0408"/>
    <w:rsid w:val="007D04FD"/>
    <w:rsid w:val="007D058A"/>
    <w:rsid w:val="007D12DA"/>
    <w:rsid w:val="007D17AB"/>
    <w:rsid w:val="007D1EE7"/>
    <w:rsid w:val="007D1F45"/>
    <w:rsid w:val="007D2691"/>
    <w:rsid w:val="007D26FA"/>
    <w:rsid w:val="007D29F9"/>
    <w:rsid w:val="007D3448"/>
    <w:rsid w:val="007D34F0"/>
    <w:rsid w:val="007D3678"/>
    <w:rsid w:val="007D3B91"/>
    <w:rsid w:val="007D3BF5"/>
    <w:rsid w:val="007D3C74"/>
    <w:rsid w:val="007D3E6E"/>
    <w:rsid w:val="007D40DD"/>
    <w:rsid w:val="007D4480"/>
    <w:rsid w:val="007D468E"/>
    <w:rsid w:val="007D509C"/>
    <w:rsid w:val="007D585B"/>
    <w:rsid w:val="007D5E07"/>
    <w:rsid w:val="007D5EAE"/>
    <w:rsid w:val="007D6B83"/>
    <w:rsid w:val="007D6F77"/>
    <w:rsid w:val="007D70A5"/>
    <w:rsid w:val="007D7489"/>
    <w:rsid w:val="007D7815"/>
    <w:rsid w:val="007D784A"/>
    <w:rsid w:val="007D7DED"/>
    <w:rsid w:val="007E052C"/>
    <w:rsid w:val="007E0A6C"/>
    <w:rsid w:val="007E11A5"/>
    <w:rsid w:val="007E19BC"/>
    <w:rsid w:val="007E1E90"/>
    <w:rsid w:val="007E1EBF"/>
    <w:rsid w:val="007E223E"/>
    <w:rsid w:val="007E2285"/>
    <w:rsid w:val="007E2295"/>
    <w:rsid w:val="007E34E0"/>
    <w:rsid w:val="007E39F1"/>
    <w:rsid w:val="007E40B9"/>
    <w:rsid w:val="007E4101"/>
    <w:rsid w:val="007E443E"/>
    <w:rsid w:val="007E4642"/>
    <w:rsid w:val="007E472A"/>
    <w:rsid w:val="007E542B"/>
    <w:rsid w:val="007E58E7"/>
    <w:rsid w:val="007E5CDD"/>
    <w:rsid w:val="007E5F51"/>
    <w:rsid w:val="007E634F"/>
    <w:rsid w:val="007E644C"/>
    <w:rsid w:val="007E67B8"/>
    <w:rsid w:val="007E68F1"/>
    <w:rsid w:val="007E6FF8"/>
    <w:rsid w:val="007E71B1"/>
    <w:rsid w:val="007E7263"/>
    <w:rsid w:val="007E7A96"/>
    <w:rsid w:val="007E7B4A"/>
    <w:rsid w:val="007E7B4F"/>
    <w:rsid w:val="007E7C50"/>
    <w:rsid w:val="007F03CA"/>
    <w:rsid w:val="007F0538"/>
    <w:rsid w:val="007F082C"/>
    <w:rsid w:val="007F11AD"/>
    <w:rsid w:val="007F143E"/>
    <w:rsid w:val="007F1BBE"/>
    <w:rsid w:val="007F1CD3"/>
    <w:rsid w:val="007F1FEE"/>
    <w:rsid w:val="007F2248"/>
    <w:rsid w:val="007F2822"/>
    <w:rsid w:val="007F2960"/>
    <w:rsid w:val="007F35D4"/>
    <w:rsid w:val="007F3A4E"/>
    <w:rsid w:val="007F3D04"/>
    <w:rsid w:val="007F3E08"/>
    <w:rsid w:val="007F41D9"/>
    <w:rsid w:val="007F4210"/>
    <w:rsid w:val="007F43D9"/>
    <w:rsid w:val="007F4724"/>
    <w:rsid w:val="007F4801"/>
    <w:rsid w:val="007F4E2B"/>
    <w:rsid w:val="007F5039"/>
    <w:rsid w:val="007F51D7"/>
    <w:rsid w:val="007F5AA6"/>
    <w:rsid w:val="007F61EE"/>
    <w:rsid w:val="007F628A"/>
    <w:rsid w:val="007F6411"/>
    <w:rsid w:val="007F6AA5"/>
    <w:rsid w:val="007F72A0"/>
    <w:rsid w:val="007F7527"/>
    <w:rsid w:val="007F7800"/>
    <w:rsid w:val="0080093C"/>
    <w:rsid w:val="00800BDC"/>
    <w:rsid w:val="00801004"/>
    <w:rsid w:val="00801056"/>
    <w:rsid w:val="0080136F"/>
    <w:rsid w:val="0080161F"/>
    <w:rsid w:val="008016C1"/>
    <w:rsid w:val="00801BEA"/>
    <w:rsid w:val="00801C6D"/>
    <w:rsid w:val="008020C0"/>
    <w:rsid w:val="008028EF"/>
    <w:rsid w:val="00802A31"/>
    <w:rsid w:val="00802C99"/>
    <w:rsid w:val="00802CA9"/>
    <w:rsid w:val="00802D33"/>
    <w:rsid w:val="00802F4D"/>
    <w:rsid w:val="00802F5F"/>
    <w:rsid w:val="00803977"/>
    <w:rsid w:val="0080405F"/>
    <w:rsid w:val="008042C1"/>
    <w:rsid w:val="00804976"/>
    <w:rsid w:val="00804ED3"/>
    <w:rsid w:val="0080509F"/>
    <w:rsid w:val="008052A2"/>
    <w:rsid w:val="0080531F"/>
    <w:rsid w:val="0080534E"/>
    <w:rsid w:val="00805847"/>
    <w:rsid w:val="00806054"/>
    <w:rsid w:val="008062DD"/>
    <w:rsid w:val="008064C8"/>
    <w:rsid w:val="008067A0"/>
    <w:rsid w:val="00806AED"/>
    <w:rsid w:val="00806F1B"/>
    <w:rsid w:val="00807030"/>
    <w:rsid w:val="0080714A"/>
    <w:rsid w:val="008072B6"/>
    <w:rsid w:val="0080739A"/>
    <w:rsid w:val="00807666"/>
    <w:rsid w:val="00807B85"/>
    <w:rsid w:val="00807CD2"/>
    <w:rsid w:val="00807DF4"/>
    <w:rsid w:val="00807E2A"/>
    <w:rsid w:val="00807EB2"/>
    <w:rsid w:val="008101F0"/>
    <w:rsid w:val="00810338"/>
    <w:rsid w:val="008105D2"/>
    <w:rsid w:val="0081120A"/>
    <w:rsid w:val="00811767"/>
    <w:rsid w:val="00811A0D"/>
    <w:rsid w:val="00812156"/>
    <w:rsid w:val="00812E4C"/>
    <w:rsid w:val="00813458"/>
    <w:rsid w:val="00813695"/>
    <w:rsid w:val="008136B7"/>
    <w:rsid w:val="0081378C"/>
    <w:rsid w:val="00813A99"/>
    <w:rsid w:val="00813AB8"/>
    <w:rsid w:val="00813BFB"/>
    <w:rsid w:val="00813CDC"/>
    <w:rsid w:val="008143C2"/>
    <w:rsid w:val="00814421"/>
    <w:rsid w:val="008146DD"/>
    <w:rsid w:val="008146E8"/>
    <w:rsid w:val="0081481D"/>
    <w:rsid w:val="0081483C"/>
    <w:rsid w:val="00814CB4"/>
    <w:rsid w:val="00814FDC"/>
    <w:rsid w:val="00815013"/>
    <w:rsid w:val="008156E3"/>
    <w:rsid w:val="008163A5"/>
    <w:rsid w:val="008166F3"/>
    <w:rsid w:val="0081683F"/>
    <w:rsid w:val="00816C11"/>
    <w:rsid w:val="00816C4D"/>
    <w:rsid w:val="00816E83"/>
    <w:rsid w:val="0081717F"/>
    <w:rsid w:val="008174A6"/>
    <w:rsid w:val="008179DD"/>
    <w:rsid w:val="00817F73"/>
    <w:rsid w:val="00820D1C"/>
    <w:rsid w:val="00820DF3"/>
    <w:rsid w:val="0082135B"/>
    <w:rsid w:val="00821360"/>
    <w:rsid w:val="008214AD"/>
    <w:rsid w:val="008215D0"/>
    <w:rsid w:val="0082168F"/>
    <w:rsid w:val="008216CD"/>
    <w:rsid w:val="0082192F"/>
    <w:rsid w:val="00821AEF"/>
    <w:rsid w:val="00821C98"/>
    <w:rsid w:val="00821D93"/>
    <w:rsid w:val="00822309"/>
    <w:rsid w:val="0082273F"/>
    <w:rsid w:val="00822791"/>
    <w:rsid w:val="008227A3"/>
    <w:rsid w:val="008229E0"/>
    <w:rsid w:val="00823E71"/>
    <w:rsid w:val="008240BE"/>
    <w:rsid w:val="008242CA"/>
    <w:rsid w:val="00824381"/>
    <w:rsid w:val="008245A2"/>
    <w:rsid w:val="008246F7"/>
    <w:rsid w:val="00824CA4"/>
    <w:rsid w:val="00824CD1"/>
    <w:rsid w:val="00825170"/>
    <w:rsid w:val="008253BD"/>
    <w:rsid w:val="008263ED"/>
    <w:rsid w:val="00826F45"/>
    <w:rsid w:val="0082712D"/>
    <w:rsid w:val="00827243"/>
    <w:rsid w:val="0082742A"/>
    <w:rsid w:val="00827A01"/>
    <w:rsid w:val="00827ACF"/>
    <w:rsid w:val="0083032E"/>
    <w:rsid w:val="00830CDC"/>
    <w:rsid w:val="00830D66"/>
    <w:rsid w:val="008310D0"/>
    <w:rsid w:val="00831253"/>
    <w:rsid w:val="008317E8"/>
    <w:rsid w:val="00831C3D"/>
    <w:rsid w:val="00831C65"/>
    <w:rsid w:val="00831C98"/>
    <w:rsid w:val="00832436"/>
    <w:rsid w:val="00832925"/>
    <w:rsid w:val="0083343A"/>
    <w:rsid w:val="008343FD"/>
    <w:rsid w:val="008347F2"/>
    <w:rsid w:val="008350BA"/>
    <w:rsid w:val="008354DF"/>
    <w:rsid w:val="0083566A"/>
    <w:rsid w:val="00835FAC"/>
    <w:rsid w:val="0083624B"/>
    <w:rsid w:val="00836727"/>
    <w:rsid w:val="00836894"/>
    <w:rsid w:val="00836C7D"/>
    <w:rsid w:val="0083705C"/>
    <w:rsid w:val="0083751D"/>
    <w:rsid w:val="00837BCE"/>
    <w:rsid w:val="00837D01"/>
    <w:rsid w:val="0084000E"/>
    <w:rsid w:val="008402D0"/>
    <w:rsid w:val="008402FB"/>
    <w:rsid w:val="008404EE"/>
    <w:rsid w:val="008408D8"/>
    <w:rsid w:val="00840B3C"/>
    <w:rsid w:val="00840B5D"/>
    <w:rsid w:val="00841130"/>
    <w:rsid w:val="008414C8"/>
    <w:rsid w:val="00841A46"/>
    <w:rsid w:val="00841B56"/>
    <w:rsid w:val="00841BF3"/>
    <w:rsid w:val="00841C31"/>
    <w:rsid w:val="008420D4"/>
    <w:rsid w:val="00842771"/>
    <w:rsid w:val="00842880"/>
    <w:rsid w:val="00842A6B"/>
    <w:rsid w:val="00842AB1"/>
    <w:rsid w:val="00842D8E"/>
    <w:rsid w:val="0084306A"/>
    <w:rsid w:val="0084332C"/>
    <w:rsid w:val="00843484"/>
    <w:rsid w:val="00843D97"/>
    <w:rsid w:val="00844225"/>
    <w:rsid w:val="00844820"/>
    <w:rsid w:val="00844F12"/>
    <w:rsid w:val="008452B4"/>
    <w:rsid w:val="00845370"/>
    <w:rsid w:val="008453EC"/>
    <w:rsid w:val="00845419"/>
    <w:rsid w:val="00845A23"/>
    <w:rsid w:val="00845F80"/>
    <w:rsid w:val="00846089"/>
    <w:rsid w:val="008460D4"/>
    <w:rsid w:val="0084693E"/>
    <w:rsid w:val="00846B6F"/>
    <w:rsid w:val="00846D99"/>
    <w:rsid w:val="00846E1C"/>
    <w:rsid w:val="00846F06"/>
    <w:rsid w:val="00846F68"/>
    <w:rsid w:val="00847330"/>
    <w:rsid w:val="008474E4"/>
    <w:rsid w:val="00847A00"/>
    <w:rsid w:val="00847A5D"/>
    <w:rsid w:val="00847C2C"/>
    <w:rsid w:val="008502D3"/>
    <w:rsid w:val="0085038A"/>
    <w:rsid w:val="008503A2"/>
    <w:rsid w:val="0085042A"/>
    <w:rsid w:val="008509B8"/>
    <w:rsid w:val="00850F82"/>
    <w:rsid w:val="008510EC"/>
    <w:rsid w:val="00851168"/>
    <w:rsid w:val="00851898"/>
    <w:rsid w:val="00851D76"/>
    <w:rsid w:val="00854032"/>
    <w:rsid w:val="008543DF"/>
    <w:rsid w:val="008545B4"/>
    <w:rsid w:val="008545F2"/>
    <w:rsid w:val="00854863"/>
    <w:rsid w:val="0085498C"/>
    <w:rsid w:val="00855470"/>
    <w:rsid w:val="00855B15"/>
    <w:rsid w:val="00856259"/>
    <w:rsid w:val="008566E5"/>
    <w:rsid w:val="00856820"/>
    <w:rsid w:val="00856841"/>
    <w:rsid w:val="008568F8"/>
    <w:rsid w:val="00856A28"/>
    <w:rsid w:val="00856A9A"/>
    <w:rsid w:val="00857170"/>
    <w:rsid w:val="00857974"/>
    <w:rsid w:val="008602CA"/>
    <w:rsid w:val="008604C2"/>
    <w:rsid w:val="0086084E"/>
    <w:rsid w:val="00860E64"/>
    <w:rsid w:val="008613CA"/>
    <w:rsid w:val="00862572"/>
    <w:rsid w:val="00862B35"/>
    <w:rsid w:val="00862DF8"/>
    <w:rsid w:val="00863311"/>
    <w:rsid w:val="0086352C"/>
    <w:rsid w:val="00863BF9"/>
    <w:rsid w:val="00863CAA"/>
    <w:rsid w:val="00863D02"/>
    <w:rsid w:val="00864249"/>
    <w:rsid w:val="008645A3"/>
    <w:rsid w:val="00864936"/>
    <w:rsid w:val="008649EE"/>
    <w:rsid w:val="00864A48"/>
    <w:rsid w:val="00864F8E"/>
    <w:rsid w:val="00865077"/>
    <w:rsid w:val="0086561C"/>
    <w:rsid w:val="008656E5"/>
    <w:rsid w:val="008658B8"/>
    <w:rsid w:val="00865CD3"/>
    <w:rsid w:val="0086626C"/>
    <w:rsid w:val="00866733"/>
    <w:rsid w:val="00866C29"/>
    <w:rsid w:val="00866EA6"/>
    <w:rsid w:val="00866F34"/>
    <w:rsid w:val="008671B3"/>
    <w:rsid w:val="008672E1"/>
    <w:rsid w:val="00867600"/>
    <w:rsid w:val="008704A9"/>
    <w:rsid w:val="008708C1"/>
    <w:rsid w:val="00871419"/>
    <w:rsid w:val="008721FA"/>
    <w:rsid w:val="00872B98"/>
    <w:rsid w:val="00872DC4"/>
    <w:rsid w:val="00872E16"/>
    <w:rsid w:val="00873125"/>
    <w:rsid w:val="0087326C"/>
    <w:rsid w:val="00873482"/>
    <w:rsid w:val="00873732"/>
    <w:rsid w:val="00873C21"/>
    <w:rsid w:val="00873CC1"/>
    <w:rsid w:val="008741BE"/>
    <w:rsid w:val="008742E8"/>
    <w:rsid w:val="008743BB"/>
    <w:rsid w:val="00874A85"/>
    <w:rsid w:val="00874C0C"/>
    <w:rsid w:val="00874C66"/>
    <w:rsid w:val="00874F08"/>
    <w:rsid w:val="0087529D"/>
    <w:rsid w:val="00875986"/>
    <w:rsid w:val="00876248"/>
    <w:rsid w:val="008766E9"/>
    <w:rsid w:val="00876D0A"/>
    <w:rsid w:val="008779D9"/>
    <w:rsid w:val="00877BD2"/>
    <w:rsid w:val="00877C1E"/>
    <w:rsid w:val="00880504"/>
    <w:rsid w:val="0088051A"/>
    <w:rsid w:val="00880850"/>
    <w:rsid w:val="00880C5D"/>
    <w:rsid w:val="008818A4"/>
    <w:rsid w:val="00881FB1"/>
    <w:rsid w:val="008832CD"/>
    <w:rsid w:val="008836FC"/>
    <w:rsid w:val="00883C38"/>
    <w:rsid w:val="00883F94"/>
    <w:rsid w:val="008846D5"/>
    <w:rsid w:val="00884FFA"/>
    <w:rsid w:val="00885239"/>
    <w:rsid w:val="0088586F"/>
    <w:rsid w:val="008859E3"/>
    <w:rsid w:val="00885ABA"/>
    <w:rsid w:val="00885BEC"/>
    <w:rsid w:val="00885D1E"/>
    <w:rsid w:val="00886357"/>
    <w:rsid w:val="0088671C"/>
    <w:rsid w:val="00886DC9"/>
    <w:rsid w:val="00886E8F"/>
    <w:rsid w:val="008870EC"/>
    <w:rsid w:val="008879D8"/>
    <w:rsid w:val="00887A6E"/>
    <w:rsid w:val="00887BAB"/>
    <w:rsid w:val="00887D70"/>
    <w:rsid w:val="008906AA"/>
    <w:rsid w:val="00890A21"/>
    <w:rsid w:val="00890B53"/>
    <w:rsid w:val="00890B7B"/>
    <w:rsid w:val="00891010"/>
    <w:rsid w:val="008910AB"/>
    <w:rsid w:val="00891CE9"/>
    <w:rsid w:val="00891CF0"/>
    <w:rsid w:val="00892696"/>
    <w:rsid w:val="00892EFF"/>
    <w:rsid w:val="00893570"/>
    <w:rsid w:val="00893768"/>
    <w:rsid w:val="0089377F"/>
    <w:rsid w:val="00893BDC"/>
    <w:rsid w:val="00893FAE"/>
    <w:rsid w:val="008949F3"/>
    <w:rsid w:val="00894C1A"/>
    <w:rsid w:val="0089512C"/>
    <w:rsid w:val="00895315"/>
    <w:rsid w:val="0089541B"/>
    <w:rsid w:val="00895711"/>
    <w:rsid w:val="0089594E"/>
    <w:rsid w:val="00896007"/>
    <w:rsid w:val="008963C6"/>
    <w:rsid w:val="0089660B"/>
    <w:rsid w:val="008968B9"/>
    <w:rsid w:val="00896EAB"/>
    <w:rsid w:val="00896F48"/>
    <w:rsid w:val="0089744D"/>
    <w:rsid w:val="008977BB"/>
    <w:rsid w:val="00897B06"/>
    <w:rsid w:val="008A08D7"/>
    <w:rsid w:val="008A0AC9"/>
    <w:rsid w:val="008A120A"/>
    <w:rsid w:val="008A1BB9"/>
    <w:rsid w:val="008A1E58"/>
    <w:rsid w:val="008A2145"/>
    <w:rsid w:val="008A2A91"/>
    <w:rsid w:val="008A2BB4"/>
    <w:rsid w:val="008A2CDB"/>
    <w:rsid w:val="008A2E90"/>
    <w:rsid w:val="008A2FB3"/>
    <w:rsid w:val="008A3017"/>
    <w:rsid w:val="008A31F5"/>
    <w:rsid w:val="008A33B4"/>
    <w:rsid w:val="008A346E"/>
    <w:rsid w:val="008A372A"/>
    <w:rsid w:val="008A3B52"/>
    <w:rsid w:val="008A3C12"/>
    <w:rsid w:val="008A400C"/>
    <w:rsid w:val="008A41B4"/>
    <w:rsid w:val="008A46EB"/>
    <w:rsid w:val="008A48E0"/>
    <w:rsid w:val="008A49C1"/>
    <w:rsid w:val="008A5463"/>
    <w:rsid w:val="008A54DE"/>
    <w:rsid w:val="008A5AD9"/>
    <w:rsid w:val="008A5E74"/>
    <w:rsid w:val="008A633A"/>
    <w:rsid w:val="008A6C6B"/>
    <w:rsid w:val="008A71E7"/>
    <w:rsid w:val="008A7DA8"/>
    <w:rsid w:val="008A7F2B"/>
    <w:rsid w:val="008B1200"/>
    <w:rsid w:val="008B13FD"/>
    <w:rsid w:val="008B1C42"/>
    <w:rsid w:val="008B1CCF"/>
    <w:rsid w:val="008B1D75"/>
    <w:rsid w:val="008B1E1A"/>
    <w:rsid w:val="008B1F45"/>
    <w:rsid w:val="008B2C68"/>
    <w:rsid w:val="008B2C80"/>
    <w:rsid w:val="008B326E"/>
    <w:rsid w:val="008B3352"/>
    <w:rsid w:val="008B3C72"/>
    <w:rsid w:val="008B3D73"/>
    <w:rsid w:val="008B3FA0"/>
    <w:rsid w:val="008B4579"/>
    <w:rsid w:val="008B474F"/>
    <w:rsid w:val="008B4D9B"/>
    <w:rsid w:val="008B503B"/>
    <w:rsid w:val="008B508F"/>
    <w:rsid w:val="008B560D"/>
    <w:rsid w:val="008B575E"/>
    <w:rsid w:val="008B577E"/>
    <w:rsid w:val="008B5800"/>
    <w:rsid w:val="008B5CFF"/>
    <w:rsid w:val="008B5E10"/>
    <w:rsid w:val="008B65D4"/>
    <w:rsid w:val="008B69D8"/>
    <w:rsid w:val="008B6B5D"/>
    <w:rsid w:val="008B6B80"/>
    <w:rsid w:val="008B72AD"/>
    <w:rsid w:val="008B7409"/>
    <w:rsid w:val="008B7633"/>
    <w:rsid w:val="008B765D"/>
    <w:rsid w:val="008B78B8"/>
    <w:rsid w:val="008B7FB3"/>
    <w:rsid w:val="008C01AE"/>
    <w:rsid w:val="008C08E9"/>
    <w:rsid w:val="008C1307"/>
    <w:rsid w:val="008C1343"/>
    <w:rsid w:val="008C1354"/>
    <w:rsid w:val="008C1801"/>
    <w:rsid w:val="008C200D"/>
    <w:rsid w:val="008C2046"/>
    <w:rsid w:val="008C2106"/>
    <w:rsid w:val="008C29EA"/>
    <w:rsid w:val="008C2A58"/>
    <w:rsid w:val="008C2ADE"/>
    <w:rsid w:val="008C2CAA"/>
    <w:rsid w:val="008C2D8B"/>
    <w:rsid w:val="008C36B5"/>
    <w:rsid w:val="008C41F6"/>
    <w:rsid w:val="008C4371"/>
    <w:rsid w:val="008C43EF"/>
    <w:rsid w:val="008C4523"/>
    <w:rsid w:val="008C497A"/>
    <w:rsid w:val="008C512E"/>
    <w:rsid w:val="008C5168"/>
    <w:rsid w:val="008C51F7"/>
    <w:rsid w:val="008C53A0"/>
    <w:rsid w:val="008C53E9"/>
    <w:rsid w:val="008C6147"/>
    <w:rsid w:val="008C629E"/>
    <w:rsid w:val="008C6EDB"/>
    <w:rsid w:val="008C6FC3"/>
    <w:rsid w:val="008C76F0"/>
    <w:rsid w:val="008C77DE"/>
    <w:rsid w:val="008C7B33"/>
    <w:rsid w:val="008C7CA7"/>
    <w:rsid w:val="008C7E75"/>
    <w:rsid w:val="008D0827"/>
    <w:rsid w:val="008D09CB"/>
    <w:rsid w:val="008D0E1E"/>
    <w:rsid w:val="008D1980"/>
    <w:rsid w:val="008D1C83"/>
    <w:rsid w:val="008D1EC1"/>
    <w:rsid w:val="008D1FBB"/>
    <w:rsid w:val="008D1FDA"/>
    <w:rsid w:val="008D2312"/>
    <w:rsid w:val="008D2AFF"/>
    <w:rsid w:val="008D2B2B"/>
    <w:rsid w:val="008D2D04"/>
    <w:rsid w:val="008D2F04"/>
    <w:rsid w:val="008D2F30"/>
    <w:rsid w:val="008D32E2"/>
    <w:rsid w:val="008D33E8"/>
    <w:rsid w:val="008D384C"/>
    <w:rsid w:val="008D3A64"/>
    <w:rsid w:val="008D3B03"/>
    <w:rsid w:val="008D402B"/>
    <w:rsid w:val="008D4204"/>
    <w:rsid w:val="008D443C"/>
    <w:rsid w:val="008D494D"/>
    <w:rsid w:val="008D4CBA"/>
    <w:rsid w:val="008D5879"/>
    <w:rsid w:val="008D590A"/>
    <w:rsid w:val="008D5CB9"/>
    <w:rsid w:val="008D69F1"/>
    <w:rsid w:val="008D6CAA"/>
    <w:rsid w:val="008D6DBE"/>
    <w:rsid w:val="008D6ECE"/>
    <w:rsid w:val="008D77FF"/>
    <w:rsid w:val="008E002A"/>
    <w:rsid w:val="008E017D"/>
    <w:rsid w:val="008E0226"/>
    <w:rsid w:val="008E07CC"/>
    <w:rsid w:val="008E0ECF"/>
    <w:rsid w:val="008E1112"/>
    <w:rsid w:val="008E1366"/>
    <w:rsid w:val="008E2111"/>
    <w:rsid w:val="008E22AD"/>
    <w:rsid w:val="008E261F"/>
    <w:rsid w:val="008E2D37"/>
    <w:rsid w:val="008E2D6C"/>
    <w:rsid w:val="008E2E6C"/>
    <w:rsid w:val="008E35A7"/>
    <w:rsid w:val="008E43BB"/>
    <w:rsid w:val="008E4A1F"/>
    <w:rsid w:val="008E5E8F"/>
    <w:rsid w:val="008E61D1"/>
    <w:rsid w:val="008E61FF"/>
    <w:rsid w:val="008E6959"/>
    <w:rsid w:val="008E6983"/>
    <w:rsid w:val="008E6C28"/>
    <w:rsid w:val="008E6C76"/>
    <w:rsid w:val="008E7019"/>
    <w:rsid w:val="008E7290"/>
    <w:rsid w:val="008E7B1A"/>
    <w:rsid w:val="008E7FBC"/>
    <w:rsid w:val="008F008F"/>
    <w:rsid w:val="008F00A1"/>
    <w:rsid w:val="008F09FE"/>
    <w:rsid w:val="008F1408"/>
    <w:rsid w:val="008F1937"/>
    <w:rsid w:val="008F1C39"/>
    <w:rsid w:val="008F1DFF"/>
    <w:rsid w:val="008F3127"/>
    <w:rsid w:val="008F34A3"/>
    <w:rsid w:val="008F35A6"/>
    <w:rsid w:val="008F3606"/>
    <w:rsid w:val="008F38F3"/>
    <w:rsid w:val="008F3B11"/>
    <w:rsid w:val="008F3E60"/>
    <w:rsid w:val="008F4086"/>
    <w:rsid w:val="008F42A7"/>
    <w:rsid w:val="008F43D5"/>
    <w:rsid w:val="008F44DA"/>
    <w:rsid w:val="008F4594"/>
    <w:rsid w:val="008F4817"/>
    <w:rsid w:val="008F4D77"/>
    <w:rsid w:val="008F514D"/>
    <w:rsid w:val="008F53C0"/>
    <w:rsid w:val="008F598D"/>
    <w:rsid w:val="008F59AC"/>
    <w:rsid w:val="008F5A1E"/>
    <w:rsid w:val="008F5D80"/>
    <w:rsid w:val="008F7409"/>
    <w:rsid w:val="008F7611"/>
    <w:rsid w:val="008F7649"/>
    <w:rsid w:val="008F76C4"/>
    <w:rsid w:val="008F7BF4"/>
    <w:rsid w:val="008F7C88"/>
    <w:rsid w:val="008F7E83"/>
    <w:rsid w:val="009000F2"/>
    <w:rsid w:val="0090050D"/>
    <w:rsid w:val="009009D5"/>
    <w:rsid w:val="009010DF"/>
    <w:rsid w:val="00901AF3"/>
    <w:rsid w:val="00901E74"/>
    <w:rsid w:val="00902121"/>
    <w:rsid w:val="009025E7"/>
    <w:rsid w:val="009028DD"/>
    <w:rsid w:val="00903089"/>
    <w:rsid w:val="00903E4F"/>
    <w:rsid w:val="009044F2"/>
    <w:rsid w:val="00904E98"/>
    <w:rsid w:val="00905053"/>
    <w:rsid w:val="00905419"/>
    <w:rsid w:val="00905776"/>
    <w:rsid w:val="0090577E"/>
    <w:rsid w:val="009057EA"/>
    <w:rsid w:val="0090623E"/>
    <w:rsid w:val="00906465"/>
    <w:rsid w:val="009066DF"/>
    <w:rsid w:val="009067D1"/>
    <w:rsid w:val="009068DF"/>
    <w:rsid w:val="00906904"/>
    <w:rsid w:val="00906EDE"/>
    <w:rsid w:val="0090741D"/>
    <w:rsid w:val="00907960"/>
    <w:rsid w:val="00907C9C"/>
    <w:rsid w:val="00910C52"/>
    <w:rsid w:val="009111AE"/>
    <w:rsid w:val="009111FC"/>
    <w:rsid w:val="0091149B"/>
    <w:rsid w:val="009115F4"/>
    <w:rsid w:val="0091165F"/>
    <w:rsid w:val="00911A0F"/>
    <w:rsid w:val="00911EA4"/>
    <w:rsid w:val="009131D3"/>
    <w:rsid w:val="00913412"/>
    <w:rsid w:val="00913576"/>
    <w:rsid w:val="00913CD4"/>
    <w:rsid w:val="00913DE5"/>
    <w:rsid w:val="00913F62"/>
    <w:rsid w:val="00914042"/>
    <w:rsid w:val="00914133"/>
    <w:rsid w:val="00914145"/>
    <w:rsid w:val="0091424A"/>
    <w:rsid w:val="0091499A"/>
    <w:rsid w:val="00914D82"/>
    <w:rsid w:val="009150A9"/>
    <w:rsid w:val="00915263"/>
    <w:rsid w:val="009153DD"/>
    <w:rsid w:val="00915A86"/>
    <w:rsid w:val="00915BDF"/>
    <w:rsid w:val="00915C6B"/>
    <w:rsid w:val="00915EC8"/>
    <w:rsid w:val="00915FF0"/>
    <w:rsid w:val="0091600F"/>
    <w:rsid w:val="009162C9"/>
    <w:rsid w:val="0091642B"/>
    <w:rsid w:val="00916661"/>
    <w:rsid w:val="00916863"/>
    <w:rsid w:val="00916D41"/>
    <w:rsid w:val="00916D58"/>
    <w:rsid w:val="00916ED1"/>
    <w:rsid w:val="0091711B"/>
    <w:rsid w:val="00917388"/>
    <w:rsid w:val="009179B2"/>
    <w:rsid w:val="00917B2A"/>
    <w:rsid w:val="00917D3C"/>
    <w:rsid w:val="00917E24"/>
    <w:rsid w:val="0092005F"/>
    <w:rsid w:val="00920139"/>
    <w:rsid w:val="00920A9A"/>
    <w:rsid w:val="00920B7E"/>
    <w:rsid w:val="00920FF5"/>
    <w:rsid w:val="009211FA"/>
    <w:rsid w:val="00921CEE"/>
    <w:rsid w:val="00921CF5"/>
    <w:rsid w:val="00921E64"/>
    <w:rsid w:val="00921F87"/>
    <w:rsid w:val="009222FB"/>
    <w:rsid w:val="0092234E"/>
    <w:rsid w:val="00922B0E"/>
    <w:rsid w:val="00922CC7"/>
    <w:rsid w:val="00922DF0"/>
    <w:rsid w:val="00923126"/>
    <w:rsid w:val="009244D3"/>
    <w:rsid w:val="00924810"/>
    <w:rsid w:val="009248DB"/>
    <w:rsid w:val="00925407"/>
    <w:rsid w:val="0092565D"/>
    <w:rsid w:val="0092569C"/>
    <w:rsid w:val="00925A9E"/>
    <w:rsid w:val="00925D0C"/>
    <w:rsid w:val="00925FBE"/>
    <w:rsid w:val="00926098"/>
    <w:rsid w:val="00926316"/>
    <w:rsid w:val="00926511"/>
    <w:rsid w:val="00926636"/>
    <w:rsid w:val="009266E8"/>
    <w:rsid w:val="0092692E"/>
    <w:rsid w:val="0092777F"/>
    <w:rsid w:val="00927AE8"/>
    <w:rsid w:val="00930115"/>
    <w:rsid w:val="0093055A"/>
    <w:rsid w:val="00930698"/>
    <w:rsid w:val="009306B2"/>
    <w:rsid w:val="00930799"/>
    <w:rsid w:val="00930CCB"/>
    <w:rsid w:val="00930EA1"/>
    <w:rsid w:val="009310E2"/>
    <w:rsid w:val="0093117A"/>
    <w:rsid w:val="009312D0"/>
    <w:rsid w:val="0093168F"/>
    <w:rsid w:val="00931913"/>
    <w:rsid w:val="00931C8F"/>
    <w:rsid w:val="00931EB8"/>
    <w:rsid w:val="00931F44"/>
    <w:rsid w:val="009320D9"/>
    <w:rsid w:val="00932170"/>
    <w:rsid w:val="00932209"/>
    <w:rsid w:val="0093220A"/>
    <w:rsid w:val="009322C2"/>
    <w:rsid w:val="00932A17"/>
    <w:rsid w:val="00932A68"/>
    <w:rsid w:val="00933225"/>
    <w:rsid w:val="0093325A"/>
    <w:rsid w:val="009335E4"/>
    <w:rsid w:val="009336B0"/>
    <w:rsid w:val="009338DE"/>
    <w:rsid w:val="0093396D"/>
    <w:rsid w:val="00933DDC"/>
    <w:rsid w:val="00933FC4"/>
    <w:rsid w:val="0093417F"/>
    <w:rsid w:val="00934214"/>
    <w:rsid w:val="00934416"/>
    <w:rsid w:val="009344FD"/>
    <w:rsid w:val="00934585"/>
    <w:rsid w:val="00934F3F"/>
    <w:rsid w:val="00935076"/>
    <w:rsid w:val="0093521F"/>
    <w:rsid w:val="00935600"/>
    <w:rsid w:val="00935E70"/>
    <w:rsid w:val="0093689B"/>
    <w:rsid w:val="009368FB"/>
    <w:rsid w:val="00936CF5"/>
    <w:rsid w:val="00937028"/>
    <w:rsid w:val="0093713A"/>
    <w:rsid w:val="009375FD"/>
    <w:rsid w:val="0093779C"/>
    <w:rsid w:val="009403BC"/>
    <w:rsid w:val="0094088E"/>
    <w:rsid w:val="00940B6F"/>
    <w:rsid w:val="00940C13"/>
    <w:rsid w:val="009410D0"/>
    <w:rsid w:val="0094122C"/>
    <w:rsid w:val="00941F38"/>
    <w:rsid w:val="00941F7A"/>
    <w:rsid w:val="009422B2"/>
    <w:rsid w:val="0094252F"/>
    <w:rsid w:val="00943279"/>
    <w:rsid w:val="00944562"/>
    <w:rsid w:val="00944563"/>
    <w:rsid w:val="00944636"/>
    <w:rsid w:val="0094478A"/>
    <w:rsid w:val="00944C31"/>
    <w:rsid w:val="00944E0E"/>
    <w:rsid w:val="00944EA6"/>
    <w:rsid w:val="00944EA7"/>
    <w:rsid w:val="00945C30"/>
    <w:rsid w:val="00945C59"/>
    <w:rsid w:val="00946787"/>
    <w:rsid w:val="00946AC9"/>
    <w:rsid w:val="00946C47"/>
    <w:rsid w:val="00947255"/>
    <w:rsid w:val="0094725C"/>
    <w:rsid w:val="00947918"/>
    <w:rsid w:val="00950034"/>
    <w:rsid w:val="0095062A"/>
    <w:rsid w:val="00950DD6"/>
    <w:rsid w:val="0095138F"/>
    <w:rsid w:val="00951916"/>
    <w:rsid w:val="00951B8C"/>
    <w:rsid w:val="00951B9D"/>
    <w:rsid w:val="00951DA2"/>
    <w:rsid w:val="00951F03"/>
    <w:rsid w:val="00952DE8"/>
    <w:rsid w:val="00953C7F"/>
    <w:rsid w:val="00953D25"/>
    <w:rsid w:val="009540B0"/>
    <w:rsid w:val="00954B9A"/>
    <w:rsid w:val="00955633"/>
    <w:rsid w:val="009556AB"/>
    <w:rsid w:val="00955967"/>
    <w:rsid w:val="00956556"/>
    <w:rsid w:val="00956C66"/>
    <w:rsid w:val="00956CEF"/>
    <w:rsid w:val="009578AF"/>
    <w:rsid w:val="00957E5D"/>
    <w:rsid w:val="009600A5"/>
    <w:rsid w:val="00960462"/>
    <w:rsid w:val="00960535"/>
    <w:rsid w:val="00960A1E"/>
    <w:rsid w:val="00960CB0"/>
    <w:rsid w:val="009613BF"/>
    <w:rsid w:val="009613D3"/>
    <w:rsid w:val="0096150D"/>
    <w:rsid w:val="00961A83"/>
    <w:rsid w:val="00961C36"/>
    <w:rsid w:val="00962626"/>
    <w:rsid w:val="009626D1"/>
    <w:rsid w:val="00962C95"/>
    <w:rsid w:val="009637BF"/>
    <w:rsid w:val="00963A84"/>
    <w:rsid w:val="00963C37"/>
    <w:rsid w:val="00963CC3"/>
    <w:rsid w:val="00964035"/>
    <w:rsid w:val="0096478B"/>
    <w:rsid w:val="0096482D"/>
    <w:rsid w:val="00964D8E"/>
    <w:rsid w:val="009651FF"/>
    <w:rsid w:val="00965CBE"/>
    <w:rsid w:val="009661C0"/>
    <w:rsid w:val="009662AA"/>
    <w:rsid w:val="00966548"/>
    <w:rsid w:val="00966B25"/>
    <w:rsid w:val="00967061"/>
    <w:rsid w:val="00967BD1"/>
    <w:rsid w:val="00967C45"/>
    <w:rsid w:val="00967FF3"/>
    <w:rsid w:val="00970685"/>
    <w:rsid w:val="00970B75"/>
    <w:rsid w:val="00970F48"/>
    <w:rsid w:val="00971738"/>
    <w:rsid w:val="00971F6E"/>
    <w:rsid w:val="00971F93"/>
    <w:rsid w:val="00972042"/>
    <w:rsid w:val="0097205E"/>
    <w:rsid w:val="00972898"/>
    <w:rsid w:val="00972902"/>
    <w:rsid w:val="00972BD0"/>
    <w:rsid w:val="00972D0C"/>
    <w:rsid w:val="00972DA1"/>
    <w:rsid w:val="00972E7E"/>
    <w:rsid w:val="00973867"/>
    <w:rsid w:val="00973C45"/>
    <w:rsid w:val="00973D19"/>
    <w:rsid w:val="00973E50"/>
    <w:rsid w:val="0097432B"/>
    <w:rsid w:val="00974662"/>
    <w:rsid w:val="00974B27"/>
    <w:rsid w:val="00974ED9"/>
    <w:rsid w:val="0097538E"/>
    <w:rsid w:val="00976074"/>
    <w:rsid w:val="009760A2"/>
    <w:rsid w:val="009761C4"/>
    <w:rsid w:val="00976327"/>
    <w:rsid w:val="009763BF"/>
    <w:rsid w:val="00976DF3"/>
    <w:rsid w:val="009775ED"/>
    <w:rsid w:val="00977712"/>
    <w:rsid w:val="00977856"/>
    <w:rsid w:val="00977C08"/>
    <w:rsid w:val="00980C18"/>
    <w:rsid w:val="00981135"/>
    <w:rsid w:val="00981554"/>
    <w:rsid w:val="009819DE"/>
    <w:rsid w:val="00981D10"/>
    <w:rsid w:val="00981E08"/>
    <w:rsid w:val="00981F44"/>
    <w:rsid w:val="00982784"/>
    <w:rsid w:val="00982FEB"/>
    <w:rsid w:val="009831E4"/>
    <w:rsid w:val="00983226"/>
    <w:rsid w:val="009832C7"/>
    <w:rsid w:val="00983392"/>
    <w:rsid w:val="009836B0"/>
    <w:rsid w:val="0098374B"/>
    <w:rsid w:val="00983946"/>
    <w:rsid w:val="00983AE6"/>
    <w:rsid w:val="00983CA4"/>
    <w:rsid w:val="009848D4"/>
    <w:rsid w:val="0098496D"/>
    <w:rsid w:val="00984C33"/>
    <w:rsid w:val="009855A3"/>
    <w:rsid w:val="009859B8"/>
    <w:rsid w:val="00985E3D"/>
    <w:rsid w:val="00985EC9"/>
    <w:rsid w:val="00986C27"/>
    <w:rsid w:val="00987276"/>
    <w:rsid w:val="0098747E"/>
    <w:rsid w:val="009878AD"/>
    <w:rsid w:val="009878FA"/>
    <w:rsid w:val="00987D09"/>
    <w:rsid w:val="00987D28"/>
    <w:rsid w:val="00990235"/>
    <w:rsid w:val="009905EA"/>
    <w:rsid w:val="009906A7"/>
    <w:rsid w:val="00990B6B"/>
    <w:rsid w:val="009914FE"/>
    <w:rsid w:val="009918CB"/>
    <w:rsid w:val="00991B21"/>
    <w:rsid w:val="00992414"/>
    <w:rsid w:val="009925CC"/>
    <w:rsid w:val="00992D32"/>
    <w:rsid w:val="00993075"/>
    <w:rsid w:val="00994307"/>
    <w:rsid w:val="0099494E"/>
    <w:rsid w:val="009949CB"/>
    <w:rsid w:val="00994B54"/>
    <w:rsid w:val="00994ED0"/>
    <w:rsid w:val="00994FB5"/>
    <w:rsid w:val="0099565F"/>
    <w:rsid w:val="00995985"/>
    <w:rsid w:val="009959F9"/>
    <w:rsid w:val="00995EA8"/>
    <w:rsid w:val="00995FEA"/>
    <w:rsid w:val="0099661F"/>
    <w:rsid w:val="009968A0"/>
    <w:rsid w:val="00997123"/>
    <w:rsid w:val="00997243"/>
    <w:rsid w:val="009976FA"/>
    <w:rsid w:val="009A03D0"/>
    <w:rsid w:val="009A08EB"/>
    <w:rsid w:val="009A0C9C"/>
    <w:rsid w:val="009A0CA7"/>
    <w:rsid w:val="009A0E9B"/>
    <w:rsid w:val="009A0EBA"/>
    <w:rsid w:val="009A1013"/>
    <w:rsid w:val="009A14F0"/>
    <w:rsid w:val="009A2194"/>
    <w:rsid w:val="009A2A02"/>
    <w:rsid w:val="009A2FE6"/>
    <w:rsid w:val="009A3494"/>
    <w:rsid w:val="009A3A0C"/>
    <w:rsid w:val="009A3A69"/>
    <w:rsid w:val="009A421F"/>
    <w:rsid w:val="009A4653"/>
    <w:rsid w:val="009A4DF1"/>
    <w:rsid w:val="009A4E5F"/>
    <w:rsid w:val="009A4FB8"/>
    <w:rsid w:val="009A51EE"/>
    <w:rsid w:val="009A52C3"/>
    <w:rsid w:val="009A600E"/>
    <w:rsid w:val="009A631C"/>
    <w:rsid w:val="009A6424"/>
    <w:rsid w:val="009A652D"/>
    <w:rsid w:val="009A68C7"/>
    <w:rsid w:val="009A6A42"/>
    <w:rsid w:val="009A6C95"/>
    <w:rsid w:val="009A72A4"/>
    <w:rsid w:val="009A73E0"/>
    <w:rsid w:val="009A7597"/>
    <w:rsid w:val="009A7907"/>
    <w:rsid w:val="009B0058"/>
    <w:rsid w:val="009B04B0"/>
    <w:rsid w:val="009B0572"/>
    <w:rsid w:val="009B102B"/>
    <w:rsid w:val="009B1210"/>
    <w:rsid w:val="009B141D"/>
    <w:rsid w:val="009B164B"/>
    <w:rsid w:val="009B185A"/>
    <w:rsid w:val="009B186F"/>
    <w:rsid w:val="009B1EEA"/>
    <w:rsid w:val="009B20DC"/>
    <w:rsid w:val="009B2324"/>
    <w:rsid w:val="009B2A1C"/>
    <w:rsid w:val="009B2DFD"/>
    <w:rsid w:val="009B30E8"/>
    <w:rsid w:val="009B30F3"/>
    <w:rsid w:val="009B3193"/>
    <w:rsid w:val="009B32A5"/>
    <w:rsid w:val="009B3B65"/>
    <w:rsid w:val="009B3CFF"/>
    <w:rsid w:val="009B4C67"/>
    <w:rsid w:val="009B5369"/>
    <w:rsid w:val="009B552C"/>
    <w:rsid w:val="009B5A3A"/>
    <w:rsid w:val="009B5E8C"/>
    <w:rsid w:val="009B5F3B"/>
    <w:rsid w:val="009B5FAE"/>
    <w:rsid w:val="009B6621"/>
    <w:rsid w:val="009B6E84"/>
    <w:rsid w:val="009B7B14"/>
    <w:rsid w:val="009C00CB"/>
    <w:rsid w:val="009C0831"/>
    <w:rsid w:val="009C0849"/>
    <w:rsid w:val="009C0F4C"/>
    <w:rsid w:val="009C1545"/>
    <w:rsid w:val="009C1B6B"/>
    <w:rsid w:val="009C1C1B"/>
    <w:rsid w:val="009C1EE6"/>
    <w:rsid w:val="009C2246"/>
    <w:rsid w:val="009C2925"/>
    <w:rsid w:val="009C306C"/>
    <w:rsid w:val="009C35A5"/>
    <w:rsid w:val="009C3C4E"/>
    <w:rsid w:val="009C3CFB"/>
    <w:rsid w:val="009C3E96"/>
    <w:rsid w:val="009C4221"/>
    <w:rsid w:val="009C471F"/>
    <w:rsid w:val="009C4D49"/>
    <w:rsid w:val="009C5CEC"/>
    <w:rsid w:val="009C5D4A"/>
    <w:rsid w:val="009C604B"/>
    <w:rsid w:val="009C61A8"/>
    <w:rsid w:val="009C6305"/>
    <w:rsid w:val="009C6417"/>
    <w:rsid w:val="009C66CD"/>
    <w:rsid w:val="009C68E2"/>
    <w:rsid w:val="009C6C08"/>
    <w:rsid w:val="009C6FCE"/>
    <w:rsid w:val="009C6FFA"/>
    <w:rsid w:val="009C73FC"/>
    <w:rsid w:val="009C752B"/>
    <w:rsid w:val="009C7A9C"/>
    <w:rsid w:val="009C7BD6"/>
    <w:rsid w:val="009D00E5"/>
    <w:rsid w:val="009D02C1"/>
    <w:rsid w:val="009D08BB"/>
    <w:rsid w:val="009D1103"/>
    <w:rsid w:val="009D1138"/>
    <w:rsid w:val="009D12D1"/>
    <w:rsid w:val="009D162D"/>
    <w:rsid w:val="009D17A7"/>
    <w:rsid w:val="009D1CA7"/>
    <w:rsid w:val="009D1E34"/>
    <w:rsid w:val="009D1E56"/>
    <w:rsid w:val="009D1ED9"/>
    <w:rsid w:val="009D27FB"/>
    <w:rsid w:val="009D2A9A"/>
    <w:rsid w:val="009D2C12"/>
    <w:rsid w:val="009D30D3"/>
    <w:rsid w:val="009D3276"/>
    <w:rsid w:val="009D3290"/>
    <w:rsid w:val="009D3398"/>
    <w:rsid w:val="009D345A"/>
    <w:rsid w:val="009D347C"/>
    <w:rsid w:val="009D349F"/>
    <w:rsid w:val="009D3749"/>
    <w:rsid w:val="009D37EF"/>
    <w:rsid w:val="009D39AD"/>
    <w:rsid w:val="009D3A1D"/>
    <w:rsid w:val="009D3DAB"/>
    <w:rsid w:val="009D4419"/>
    <w:rsid w:val="009D4855"/>
    <w:rsid w:val="009D4A80"/>
    <w:rsid w:val="009D4C85"/>
    <w:rsid w:val="009D56BD"/>
    <w:rsid w:val="009D5864"/>
    <w:rsid w:val="009D6143"/>
    <w:rsid w:val="009D65E8"/>
    <w:rsid w:val="009D6AB4"/>
    <w:rsid w:val="009D6CF4"/>
    <w:rsid w:val="009D6FFE"/>
    <w:rsid w:val="009D72C6"/>
    <w:rsid w:val="009D7570"/>
    <w:rsid w:val="009D7AA1"/>
    <w:rsid w:val="009D7C3E"/>
    <w:rsid w:val="009D7E10"/>
    <w:rsid w:val="009D7FAA"/>
    <w:rsid w:val="009E0CAB"/>
    <w:rsid w:val="009E1014"/>
    <w:rsid w:val="009E1179"/>
    <w:rsid w:val="009E1FB7"/>
    <w:rsid w:val="009E2120"/>
    <w:rsid w:val="009E218B"/>
    <w:rsid w:val="009E2292"/>
    <w:rsid w:val="009E229D"/>
    <w:rsid w:val="009E23DA"/>
    <w:rsid w:val="009E26F3"/>
    <w:rsid w:val="009E27C9"/>
    <w:rsid w:val="009E28DD"/>
    <w:rsid w:val="009E2EA9"/>
    <w:rsid w:val="009E2FF9"/>
    <w:rsid w:val="009E35F8"/>
    <w:rsid w:val="009E372F"/>
    <w:rsid w:val="009E3B75"/>
    <w:rsid w:val="009E3E19"/>
    <w:rsid w:val="009E4144"/>
    <w:rsid w:val="009E4886"/>
    <w:rsid w:val="009E4E2A"/>
    <w:rsid w:val="009E5BFB"/>
    <w:rsid w:val="009E628C"/>
    <w:rsid w:val="009E68B7"/>
    <w:rsid w:val="009E68DB"/>
    <w:rsid w:val="009E6D88"/>
    <w:rsid w:val="009E7146"/>
    <w:rsid w:val="009E7439"/>
    <w:rsid w:val="009E7615"/>
    <w:rsid w:val="009E7866"/>
    <w:rsid w:val="009E7881"/>
    <w:rsid w:val="009E7932"/>
    <w:rsid w:val="009E7B0E"/>
    <w:rsid w:val="009E7D18"/>
    <w:rsid w:val="009F01B1"/>
    <w:rsid w:val="009F0251"/>
    <w:rsid w:val="009F0517"/>
    <w:rsid w:val="009F0696"/>
    <w:rsid w:val="009F08AF"/>
    <w:rsid w:val="009F0F49"/>
    <w:rsid w:val="009F0F9F"/>
    <w:rsid w:val="009F1017"/>
    <w:rsid w:val="009F1EC2"/>
    <w:rsid w:val="009F2470"/>
    <w:rsid w:val="009F253D"/>
    <w:rsid w:val="009F260D"/>
    <w:rsid w:val="009F3B6A"/>
    <w:rsid w:val="009F4E3F"/>
    <w:rsid w:val="009F509B"/>
    <w:rsid w:val="009F51D1"/>
    <w:rsid w:val="009F57BC"/>
    <w:rsid w:val="009F5A9E"/>
    <w:rsid w:val="009F5E1A"/>
    <w:rsid w:val="009F6008"/>
    <w:rsid w:val="009F62BC"/>
    <w:rsid w:val="009F648F"/>
    <w:rsid w:val="009F68C2"/>
    <w:rsid w:val="009F6927"/>
    <w:rsid w:val="009F6B68"/>
    <w:rsid w:val="009F78D2"/>
    <w:rsid w:val="00A0014E"/>
    <w:rsid w:val="00A001C1"/>
    <w:rsid w:val="00A00455"/>
    <w:rsid w:val="00A00756"/>
    <w:rsid w:val="00A00AB6"/>
    <w:rsid w:val="00A00B42"/>
    <w:rsid w:val="00A00D34"/>
    <w:rsid w:val="00A00D54"/>
    <w:rsid w:val="00A00DCE"/>
    <w:rsid w:val="00A0100A"/>
    <w:rsid w:val="00A01287"/>
    <w:rsid w:val="00A01FA9"/>
    <w:rsid w:val="00A02515"/>
    <w:rsid w:val="00A02A28"/>
    <w:rsid w:val="00A02CD8"/>
    <w:rsid w:val="00A02DAE"/>
    <w:rsid w:val="00A031E2"/>
    <w:rsid w:val="00A033D8"/>
    <w:rsid w:val="00A034D7"/>
    <w:rsid w:val="00A036DE"/>
    <w:rsid w:val="00A03D6A"/>
    <w:rsid w:val="00A048D6"/>
    <w:rsid w:val="00A04F63"/>
    <w:rsid w:val="00A05575"/>
    <w:rsid w:val="00A05A79"/>
    <w:rsid w:val="00A05EDC"/>
    <w:rsid w:val="00A05F1C"/>
    <w:rsid w:val="00A05F5D"/>
    <w:rsid w:val="00A06131"/>
    <w:rsid w:val="00A067D4"/>
    <w:rsid w:val="00A069C7"/>
    <w:rsid w:val="00A06B39"/>
    <w:rsid w:val="00A070B9"/>
    <w:rsid w:val="00A07262"/>
    <w:rsid w:val="00A07596"/>
    <w:rsid w:val="00A0768C"/>
    <w:rsid w:val="00A07EF1"/>
    <w:rsid w:val="00A10128"/>
    <w:rsid w:val="00A10ABE"/>
    <w:rsid w:val="00A11085"/>
    <w:rsid w:val="00A110B7"/>
    <w:rsid w:val="00A112C1"/>
    <w:rsid w:val="00A1137E"/>
    <w:rsid w:val="00A118A3"/>
    <w:rsid w:val="00A1195A"/>
    <w:rsid w:val="00A1199D"/>
    <w:rsid w:val="00A11A43"/>
    <w:rsid w:val="00A11A95"/>
    <w:rsid w:val="00A11AEF"/>
    <w:rsid w:val="00A11C32"/>
    <w:rsid w:val="00A11F83"/>
    <w:rsid w:val="00A126C4"/>
    <w:rsid w:val="00A12924"/>
    <w:rsid w:val="00A12A72"/>
    <w:rsid w:val="00A12A85"/>
    <w:rsid w:val="00A12CE2"/>
    <w:rsid w:val="00A13213"/>
    <w:rsid w:val="00A133B5"/>
    <w:rsid w:val="00A1361A"/>
    <w:rsid w:val="00A13874"/>
    <w:rsid w:val="00A13A5F"/>
    <w:rsid w:val="00A13C17"/>
    <w:rsid w:val="00A13C53"/>
    <w:rsid w:val="00A14180"/>
    <w:rsid w:val="00A1418E"/>
    <w:rsid w:val="00A14556"/>
    <w:rsid w:val="00A14B21"/>
    <w:rsid w:val="00A14E78"/>
    <w:rsid w:val="00A156BC"/>
    <w:rsid w:val="00A1585C"/>
    <w:rsid w:val="00A15952"/>
    <w:rsid w:val="00A15DFF"/>
    <w:rsid w:val="00A16069"/>
    <w:rsid w:val="00A160B3"/>
    <w:rsid w:val="00A16260"/>
    <w:rsid w:val="00A16459"/>
    <w:rsid w:val="00A17259"/>
    <w:rsid w:val="00A1783E"/>
    <w:rsid w:val="00A17B2E"/>
    <w:rsid w:val="00A17B6F"/>
    <w:rsid w:val="00A17CA5"/>
    <w:rsid w:val="00A20293"/>
    <w:rsid w:val="00A2040D"/>
    <w:rsid w:val="00A20517"/>
    <w:rsid w:val="00A219C7"/>
    <w:rsid w:val="00A21C92"/>
    <w:rsid w:val="00A21D84"/>
    <w:rsid w:val="00A22266"/>
    <w:rsid w:val="00A2244B"/>
    <w:rsid w:val="00A22753"/>
    <w:rsid w:val="00A229FB"/>
    <w:rsid w:val="00A22C79"/>
    <w:rsid w:val="00A238F0"/>
    <w:rsid w:val="00A23AE6"/>
    <w:rsid w:val="00A240F4"/>
    <w:rsid w:val="00A242C3"/>
    <w:rsid w:val="00A24375"/>
    <w:rsid w:val="00A24423"/>
    <w:rsid w:val="00A24980"/>
    <w:rsid w:val="00A24C43"/>
    <w:rsid w:val="00A250AD"/>
    <w:rsid w:val="00A2517A"/>
    <w:rsid w:val="00A254C2"/>
    <w:rsid w:val="00A25561"/>
    <w:rsid w:val="00A25574"/>
    <w:rsid w:val="00A25602"/>
    <w:rsid w:val="00A25A52"/>
    <w:rsid w:val="00A25B06"/>
    <w:rsid w:val="00A2638B"/>
    <w:rsid w:val="00A26488"/>
    <w:rsid w:val="00A26705"/>
    <w:rsid w:val="00A268A6"/>
    <w:rsid w:val="00A268DC"/>
    <w:rsid w:val="00A26AC4"/>
    <w:rsid w:val="00A27572"/>
    <w:rsid w:val="00A279D5"/>
    <w:rsid w:val="00A27AF0"/>
    <w:rsid w:val="00A305EE"/>
    <w:rsid w:val="00A30995"/>
    <w:rsid w:val="00A30DD6"/>
    <w:rsid w:val="00A3122E"/>
    <w:rsid w:val="00A315F1"/>
    <w:rsid w:val="00A31861"/>
    <w:rsid w:val="00A31E95"/>
    <w:rsid w:val="00A31E9B"/>
    <w:rsid w:val="00A32764"/>
    <w:rsid w:val="00A3291B"/>
    <w:rsid w:val="00A32AA2"/>
    <w:rsid w:val="00A32D69"/>
    <w:rsid w:val="00A33171"/>
    <w:rsid w:val="00A331CF"/>
    <w:rsid w:val="00A337E1"/>
    <w:rsid w:val="00A33E06"/>
    <w:rsid w:val="00A33E97"/>
    <w:rsid w:val="00A33F12"/>
    <w:rsid w:val="00A34071"/>
    <w:rsid w:val="00A345DE"/>
    <w:rsid w:val="00A34D96"/>
    <w:rsid w:val="00A3561F"/>
    <w:rsid w:val="00A35635"/>
    <w:rsid w:val="00A356AF"/>
    <w:rsid w:val="00A35847"/>
    <w:rsid w:val="00A3604B"/>
    <w:rsid w:val="00A3656A"/>
    <w:rsid w:val="00A366EB"/>
    <w:rsid w:val="00A36B72"/>
    <w:rsid w:val="00A36DDE"/>
    <w:rsid w:val="00A379A2"/>
    <w:rsid w:val="00A37ED9"/>
    <w:rsid w:val="00A4014C"/>
    <w:rsid w:val="00A409E0"/>
    <w:rsid w:val="00A40B58"/>
    <w:rsid w:val="00A41225"/>
    <w:rsid w:val="00A41956"/>
    <w:rsid w:val="00A41D92"/>
    <w:rsid w:val="00A4205E"/>
    <w:rsid w:val="00A421A1"/>
    <w:rsid w:val="00A42636"/>
    <w:rsid w:val="00A42FB6"/>
    <w:rsid w:val="00A4370E"/>
    <w:rsid w:val="00A4375E"/>
    <w:rsid w:val="00A44068"/>
    <w:rsid w:val="00A448BC"/>
    <w:rsid w:val="00A44ADA"/>
    <w:rsid w:val="00A44C9E"/>
    <w:rsid w:val="00A4524D"/>
    <w:rsid w:val="00A452FE"/>
    <w:rsid w:val="00A45A7D"/>
    <w:rsid w:val="00A45C02"/>
    <w:rsid w:val="00A45DF6"/>
    <w:rsid w:val="00A4652B"/>
    <w:rsid w:val="00A4704A"/>
    <w:rsid w:val="00A470FA"/>
    <w:rsid w:val="00A47103"/>
    <w:rsid w:val="00A4789B"/>
    <w:rsid w:val="00A4791E"/>
    <w:rsid w:val="00A47954"/>
    <w:rsid w:val="00A47AA4"/>
    <w:rsid w:val="00A47DAE"/>
    <w:rsid w:val="00A47F21"/>
    <w:rsid w:val="00A505AF"/>
    <w:rsid w:val="00A505B8"/>
    <w:rsid w:val="00A509F4"/>
    <w:rsid w:val="00A50A3A"/>
    <w:rsid w:val="00A50B09"/>
    <w:rsid w:val="00A50C9A"/>
    <w:rsid w:val="00A50EF7"/>
    <w:rsid w:val="00A50EFB"/>
    <w:rsid w:val="00A50F65"/>
    <w:rsid w:val="00A50FAA"/>
    <w:rsid w:val="00A5150D"/>
    <w:rsid w:val="00A5199D"/>
    <w:rsid w:val="00A51FD6"/>
    <w:rsid w:val="00A52566"/>
    <w:rsid w:val="00A529DB"/>
    <w:rsid w:val="00A52CF8"/>
    <w:rsid w:val="00A52DFB"/>
    <w:rsid w:val="00A5307A"/>
    <w:rsid w:val="00A53138"/>
    <w:rsid w:val="00A5331F"/>
    <w:rsid w:val="00A53335"/>
    <w:rsid w:val="00A534D0"/>
    <w:rsid w:val="00A53716"/>
    <w:rsid w:val="00A539F7"/>
    <w:rsid w:val="00A53ABB"/>
    <w:rsid w:val="00A53D7C"/>
    <w:rsid w:val="00A540B0"/>
    <w:rsid w:val="00A549A1"/>
    <w:rsid w:val="00A5501F"/>
    <w:rsid w:val="00A55368"/>
    <w:rsid w:val="00A56E6B"/>
    <w:rsid w:val="00A57468"/>
    <w:rsid w:val="00A57F0C"/>
    <w:rsid w:val="00A605B6"/>
    <w:rsid w:val="00A6082B"/>
    <w:rsid w:val="00A61164"/>
    <w:rsid w:val="00A618AB"/>
    <w:rsid w:val="00A61BB0"/>
    <w:rsid w:val="00A61BC2"/>
    <w:rsid w:val="00A61BD4"/>
    <w:rsid w:val="00A62165"/>
    <w:rsid w:val="00A62238"/>
    <w:rsid w:val="00A6280C"/>
    <w:rsid w:val="00A62BBF"/>
    <w:rsid w:val="00A62BD8"/>
    <w:rsid w:val="00A62C6C"/>
    <w:rsid w:val="00A6358D"/>
    <w:rsid w:val="00A636BA"/>
    <w:rsid w:val="00A641A6"/>
    <w:rsid w:val="00A64680"/>
    <w:rsid w:val="00A64948"/>
    <w:rsid w:val="00A64B15"/>
    <w:rsid w:val="00A64DBA"/>
    <w:rsid w:val="00A65030"/>
    <w:rsid w:val="00A650D5"/>
    <w:rsid w:val="00A65341"/>
    <w:rsid w:val="00A6558A"/>
    <w:rsid w:val="00A65C36"/>
    <w:rsid w:val="00A65E08"/>
    <w:rsid w:val="00A65E68"/>
    <w:rsid w:val="00A65EF3"/>
    <w:rsid w:val="00A66A32"/>
    <w:rsid w:val="00A66C8E"/>
    <w:rsid w:val="00A66E35"/>
    <w:rsid w:val="00A673E4"/>
    <w:rsid w:val="00A6766E"/>
    <w:rsid w:val="00A67850"/>
    <w:rsid w:val="00A67C88"/>
    <w:rsid w:val="00A67D36"/>
    <w:rsid w:val="00A704EF"/>
    <w:rsid w:val="00A71491"/>
    <w:rsid w:val="00A71821"/>
    <w:rsid w:val="00A718BC"/>
    <w:rsid w:val="00A71B1D"/>
    <w:rsid w:val="00A71D1E"/>
    <w:rsid w:val="00A72185"/>
    <w:rsid w:val="00A72244"/>
    <w:rsid w:val="00A728DB"/>
    <w:rsid w:val="00A72A5A"/>
    <w:rsid w:val="00A72BD9"/>
    <w:rsid w:val="00A73A69"/>
    <w:rsid w:val="00A73C11"/>
    <w:rsid w:val="00A7447E"/>
    <w:rsid w:val="00A74616"/>
    <w:rsid w:val="00A7483F"/>
    <w:rsid w:val="00A74AB0"/>
    <w:rsid w:val="00A74B2F"/>
    <w:rsid w:val="00A74FA4"/>
    <w:rsid w:val="00A7505C"/>
    <w:rsid w:val="00A75175"/>
    <w:rsid w:val="00A754AF"/>
    <w:rsid w:val="00A75C17"/>
    <w:rsid w:val="00A75E97"/>
    <w:rsid w:val="00A7605B"/>
    <w:rsid w:val="00A76095"/>
    <w:rsid w:val="00A76127"/>
    <w:rsid w:val="00A761D5"/>
    <w:rsid w:val="00A76400"/>
    <w:rsid w:val="00A76453"/>
    <w:rsid w:val="00A76936"/>
    <w:rsid w:val="00A76EB9"/>
    <w:rsid w:val="00A772A3"/>
    <w:rsid w:val="00A772E3"/>
    <w:rsid w:val="00A7750A"/>
    <w:rsid w:val="00A7785A"/>
    <w:rsid w:val="00A80232"/>
    <w:rsid w:val="00A80BDE"/>
    <w:rsid w:val="00A80D3B"/>
    <w:rsid w:val="00A8104D"/>
    <w:rsid w:val="00A811BF"/>
    <w:rsid w:val="00A812C1"/>
    <w:rsid w:val="00A816F0"/>
    <w:rsid w:val="00A817DB"/>
    <w:rsid w:val="00A81BA8"/>
    <w:rsid w:val="00A81C1C"/>
    <w:rsid w:val="00A81F74"/>
    <w:rsid w:val="00A81F92"/>
    <w:rsid w:val="00A827B6"/>
    <w:rsid w:val="00A827EB"/>
    <w:rsid w:val="00A82BC1"/>
    <w:rsid w:val="00A830A6"/>
    <w:rsid w:val="00A83AC4"/>
    <w:rsid w:val="00A846D0"/>
    <w:rsid w:val="00A84CDB"/>
    <w:rsid w:val="00A84E26"/>
    <w:rsid w:val="00A85745"/>
    <w:rsid w:val="00A85C27"/>
    <w:rsid w:val="00A86758"/>
    <w:rsid w:val="00A86A21"/>
    <w:rsid w:val="00A9005B"/>
    <w:rsid w:val="00A909DB"/>
    <w:rsid w:val="00A90C4E"/>
    <w:rsid w:val="00A90D26"/>
    <w:rsid w:val="00A90DAD"/>
    <w:rsid w:val="00A90F5B"/>
    <w:rsid w:val="00A91300"/>
    <w:rsid w:val="00A91324"/>
    <w:rsid w:val="00A9152D"/>
    <w:rsid w:val="00A915C7"/>
    <w:rsid w:val="00A91BE2"/>
    <w:rsid w:val="00A9248E"/>
    <w:rsid w:val="00A929D2"/>
    <w:rsid w:val="00A92C08"/>
    <w:rsid w:val="00A93970"/>
    <w:rsid w:val="00A93B5F"/>
    <w:rsid w:val="00A94453"/>
    <w:rsid w:val="00A94739"/>
    <w:rsid w:val="00A94825"/>
    <w:rsid w:val="00A94D21"/>
    <w:rsid w:val="00A94E52"/>
    <w:rsid w:val="00A95057"/>
    <w:rsid w:val="00A95501"/>
    <w:rsid w:val="00A9567F"/>
    <w:rsid w:val="00A9589E"/>
    <w:rsid w:val="00A959B9"/>
    <w:rsid w:val="00A95B9E"/>
    <w:rsid w:val="00A95CB9"/>
    <w:rsid w:val="00A95F4A"/>
    <w:rsid w:val="00A967C1"/>
    <w:rsid w:val="00A967D8"/>
    <w:rsid w:val="00A97165"/>
    <w:rsid w:val="00A972BF"/>
    <w:rsid w:val="00A97609"/>
    <w:rsid w:val="00AA02BD"/>
    <w:rsid w:val="00AA0AD7"/>
    <w:rsid w:val="00AA10FE"/>
    <w:rsid w:val="00AA1224"/>
    <w:rsid w:val="00AA1893"/>
    <w:rsid w:val="00AA1FBE"/>
    <w:rsid w:val="00AA23DF"/>
    <w:rsid w:val="00AA2517"/>
    <w:rsid w:val="00AA2DBA"/>
    <w:rsid w:val="00AA2E99"/>
    <w:rsid w:val="00AA3493"/>
    <w:rsid w:val="00AA37A3"/>
    <w:rsid w:val="00AA3EB4"/>
    <w:rsid w:val="00AA4676"/>
    <w:rsid w:val="00AA4B12"/>
    <w:rsid w:val="00AA4D54"/>
    <w:rsid w:val="00AA51C5"/>
    <w:rsid w:val="00AA5875"/>
    <w:rsid w:val="00AA5CEA"/>
    <w:rsid w:val="00AA5D25"/>
    <w:rsid w:val="00AA6005"/>
    <w:rsid w:val="00AA64F3"/>
    <w:rsid w:val="00AA6D61"/>
    <w:rsid w:val="00AA705F"/>
    <w:rsid w:val="00AA78F3"/>
    <w:rsid w:val="00AA7A3F"/>
    <w:rsid w:val="00AB0134"/>
    <w:rsid w:val="00AB0A04"/>
    <w:rsid w:val="00AB0B2B"/>
    <w:rsid w:val="00AB1156"/>
    <w:rsid w:val="00AB13D7"/>
    <w:rsid w:val="00AB18D7"/>
    <w:rsid w:val="00AB1B8F"/>
    <w:rsid w:val="00AB1C93"/>
    <w:rsid w:val="00AB208F"/>
    <w:rsid w:val="00AB2150"/>
    <w:rsid w:val="00AB244A"/>
    <w:rsid w:val="00AB2484"/>
    <w:rsid w:val="00AB2F1B"/>
    <w:rsid w:val="00AB413D"/>
    <w:rsid w:val="00AB441F"/>
    <w:rsid w:val="00AB4FFD"/>
    <w:rsid w:val="00AB5047"/>
    <w:rsid w:val="00AB5262"/>
    <w:rsid w:val="00AB5700"/>
    <w:rsid w:val="00AB5738"/>
    <w:rsid w:val="00AB590F"/>
    <w:rsid w:val="00AB5F28"/>
    <w:rsid w:val="00AB6719"/>
    <w:rsid w:val="00AB7A02"/>
    <w:rsid w:val="00AB7ADF"/>
    <w:rsid w:val="00AC066A"/>
    <w:rsid w:val="00AC0813"/>
    <w:rsid w:val="00AC0AFB"/>
    <w:rsid w:val="00AC0FB9"/>
    <w:rsid w:val="00AC11DD"/>
    <w:rsid w:val="00AC1385"/>
    <w:rsid w:val="00AC16E6"/>
    <w:rsid w:val="00AC1BF8"/>
    <w:rsid w:val="00AC237D"/>
    <w:rsid w:val="00AC2565"/>
    <w:rsid w:val="00AC2CEB"/>
    <w:rsid w:val="00AC2FB8"/>
    <w:rsid w:val="00AC308C"/>
    <w:rsid w:val="00AC37B8"/>
    <w:rsid w:val="00AC3BAB"/>
    <w:rsid w:val="00AC3E91"/>
    <w:rsid w:val="00AC3FF6"/>
    <w:rsid w:val="00AC41CE"/>
    <w:rsid w:val="00AC41CF"/>
    <w:rsid w:val="00AC426C"/>
    <w:rsid w:val="00AC42FB"/>
    <w:rsid w:val="00AC453F"/>
    <w:rsid w:val="00AC45DF"/>
    <w:rsid w:val="00AC516F"/>
    <w:rsid w:val="00AC52E9"/>
    <w:rsid w:val="00AC5477"/>
    <w:rsid w:val="00AC591D"/>
    <w:rsid w:val="00AC654F"/>
    <w:rsid w:val="00AC6A3A"/>
    <w:rsid w:val="00AC6E19"/>
    <w:rsid w:val="00AC74A9"/>
    <w:rsid w:val="00AC7D6C"/>
    <w:rsid w:val="00AC7F3E"/>
    <w:rsid w:val="00AD0207"/>
    <w:rsid w:val="00AD02C5"/>
    <w:rsid w:val="00AD05E7"/>
    <w:rsid w:val="00AD0BCA"/>
    <w:rsid w:val="00AD134C"/>
    <w:rsid w:val="00AD140F"/>
    <w:rsid w:val="00AD147C"/>
    <w:rsid w:val="00AD1611"/>
    <w:rsid w:val="00AD1799"/>
    <w:rsid w:val="00AD1999"/>
    <w:rsid w:val="00AD1F4F"/>
    <w:rsid w:val="00AD21D3"/>
    <w:rsid w:val="00AD2323"/>
    <w:rsid w:val="00AD246F"/>
    <w:rsid w:val="00AD2536"/>
    <w:rsid w:val="00AD2598"/>
    <w:rsid w:val="00AD3D7F"/>
    <w:rsid w:val="00AD3E9B"/>
    <w:rsid w:val="00AD3FEE"/>
    <w:rsid w:val="00AD41F8"/>
    <w:rsid w:val="00AD4892"/>
    <w:rsid w:val="00AD4F90"/>
    <w:rsid w:val="00AD4FB2"/>
    <w:rsid w:val="00AD5769"/>
    <w:rsid w:val="00AD5E86"/>
    <w:rsid w:val="00AD6320"/>
    <w:rsid w:val="00AD63D5"/>
    <w:rsid w:val="00AD68AE"/>
    <w:rsid w:val="00AD6DC7"/>
    <w:rsid w:val="00AD73D3"/>
    <w:rsid w:val="00AD7767"/>
    <w:rsid w:val="00AD7D18"/>
    <w:rsid w:val="00AD7EBD"/>
    <w:rsid w:val="00AD7F36"/>
    <w:rsid w:val="00AE016A"/>
    <w:rsid w:val="00AE0A1A"/>
    <w:rsid w:val="00AE0A64"/>
    <w:rsid w:val="00AE0DD1"/>
    <w:rsid w:val="00AE0FB0"/>
    <w:rsid w:val="00AE0FF1"/>
    <w:rsid w:val="00AE1235"/>
    <w:rsid w:val="00AE18FE"/>
    <w:rsid w:val="00AE1ABA"/>
    <w:rsid w:val="00AE1C41"/>
    <w:rsid w:val="00AE2533"/>
    <w:rsid w:val="00AE25F8"/>
    <w:rsid w:val="00AE2843"/>
    <w:rsid w:val="00AE2B18"/>
    <w:rsid w:val="00AE2C8B"/>
    <w:rsid w:val="00AE2F37"/>
    <w:rsid w:val="00AE2FAC"/>
    <w:rsid w:val="00AE3000"/>
    <w:rsid w:val="00AE3136"/>
    <w:rsid w:val="00AE3E60"/>
    <w:rsid w:val="00AE3FB9"/>
    <w:rsid w:val="00AE40C7"/>
    <w:rsid w:val="00AE41B8"/>
    <w:rsid w:val="00AE42A6"/>
    <w:rsid w:val="00AE51A5"/>
    <w:rsid w:val="00AE5280"/>
    <w:rsid w:val="00AE541C"/>
    <w:rsid w:val="00AE560E"/>
    <w:rsid w:val="00AE5857"/>
    <w:rsid w:val="00AE5C4F"/>
    <w:rsid w:val="00AE5DFF"/>
    <w:rsid w:val="00AE61CC"/>
    <w:rsid w:val="00AE6AD4"/>
    <w:rsid w:val="00AE72AD"/>
    <w:rsid w:val="00AE746C"/>
    <w:rsid w:val="00AE7544"/>
    <w:rsid w:val="00AE75AF"/>
    <w:rsid w:val="00AE77D9"/>
    <w:rsid w:val="00AE7F6E"/>
    <w:rsid w:val="00AF0668"/>
    <w:rsid w:val="00AF0D18"/>
    <w:rsid w:val="00AF0DB3"/>
    <w:rsid w:val="00AF0E1F"/>
    <w:rsid w:val="00AF1089"/>
    <w:rsid w:val="00AF12FA"/>
    <w:rsid w:val="00AF1438"/>
    <w:rsid w:val="00AF145D"/>
    <w:rsid w:val="00AF185A"/>
    <w:rsid w:val="00AF191C"/>
    <w:rsid w:val="00AF19F7"/>
    <w:rsid w:val="00AF208E"/>
    <w:rsid w:val="00AF28EA"/>
    <w:rsid w:val="00AF29ED"/>
    <w:rsid w:val="00AF30E4"/>
    <w:rsid w:val="00AF3417"/>
    <w:rsid w:val="00AF34D1"/>
    <w:rsid w:val="00AF35A4"/>
    <w:rsid w:val="00AF3E5F"/>
    <w:rsid w:val="00AF40B2"/>
    <w:rsid w:val="00AF42BF"/>
    <w:rsid w:val="00AF44C2"/>
    <w:rsid w:val="00AF4C79"/>
    <w:rsid w:val="00AF4D26"/>
    <w:rsid w:val="00AF4E0F"/>
    <w:rsid w:val="00AF4EE3"/>
    <w:rsid w:val="00AF5778"/>
    <w:rsid w:val="00AF5977"/>
    <w:rsid w:val="00AF6067"/>
    <w:rsid w:val="00AF614F"/>
    <w:rsid w:val="00AF6A0D"/>
    <w:rsid w:val="00AF6BC7"/>
    <w:rsid w:val="00AF7204"/>
    <w:rsid w:val="00AF7222"/>
    <w:rsid w:val="00AF7595"/>
    <w:rsid w:val="00AF7829"/>
    <w:rsid w:val="00AF7D16"/>
    <w:rsid w:val="00AF7E25"/>
    <w:rsid w:val="00B00224"/>
    <w:rsid w:val="00B0045B"/>
    <w:rsid w:val="00B00B81"/>
    <w:rsid w:val="00B011B6"/>
    <w:rsid w:val="00B01222"/>
    <w:rsid w:val="00B0188A"/>
    <w:rsid w:val="00B01D35"/>
    <w:rsid w:val="00B01F2D"/>
    <w:rsid w:val="00B02B5A"/>
    <w:rsid w:val="00B02D85"/>
    <w:rsid w:val="00B0368A"/>
    <w:rsid w:val="00B0380F"/>
    <w:rsid w:val="00B03B3A"/>
    <w:rsid w:val="00B03C24"/>
    <w:rsid w:val="00B0420E"/>
    <w:rsid w:val="00B0425D"/>
    <w:rsid w:val="00B0426F"/>
    <w:rsid w:val="00B04411"/>
    <w:rsid w:val="00B044B9"/>
    <w:rsid w:val="00B0482D"/>
    <w:rsid w:val="00B04942"/>
    <w:rsid w:val="00B050C7"/>
    <w:rsid w:val="00B05851"/>
    <w:rsid w:val="00B06018"/>
    <w:rsid w:val="00B06297"/>
    <w:rsid w:val="00B0669E"/>
    <w:rsid w:val="00B073A7"/>
    <w:rsid w:val="00B07706"/>
    <w:rsid w:val="00B07A49"/>
    <w:rsid w:val="00B07DA3"/>
    <w:rsid w:val="00B10110"/>
    <w:rsid w:val="00B1016F"/>
    <w:rsid w:val="00B101F5"/>
    <w:rsid w:val="00B10B41"/>
    <w:rsid w:val="00B11185"/>
    <w:rsid w:val="00B11676"/>
    <w:rsid w:val="00B1168F"/>
    <w:rsid w:val="00B11C03"/>
    <w:rsid w:val="00B11E6B"/>
    <w:rsid w:val="00B1218C"/>
    <w:rsid w:val="00B12C57"/>
    <w:rsid w:val="00B13A8E"/>
    <w:rsid w:val="00B14685"/>
    <w:rsid w:val="00B151CA"/>
    <w:rsid w:val="00B1521C"/>
    <w:rsid w:val="00B1579B"/>
    <w:rsid w:val="00B158EE"/>
    <w:rsid w:val="00B15D3F"/>
    <w:rsid w:val="00B1642D"/>
    <w:rsid w:val="00B16B02"/>
    <w:rsid w:val="00B17093"/>
    <w:rsid w:val="00B17759"/>
    <w:rsid w:val="00B178DC"/>
    <w:rsid w:val="00B17CB2"/>
    <w:rsid w:val="00B17F47"/>
    <w:rsid w:val="00B17F66"/>
    <w:rsid w:val="00B20F9B"/>
    <w:rsid w:val="00B21445"/>
    <w:rsid w:val="00B21B10"/>
    <w:rsid w:val="00B21E95"/>
    <w:rsid w:val="00B2213D"/>
    <w:rsid w:val="00B227DB"/>
    <w:rsid w:val="00B22D77"/>
    <w:rsid w:val="00B232E8"/>
    <w:rsid w:val="00B2330A"/>
    <w:rsid w:val="00B23402"/>
    <w:rsid w:val="00B2351E"/>
    <w:rsid w:val="00B23A16"/>
    <w:rsid w:val="00B23A64"/>
    <w:rsid w:val="00B23AF5"/>
    <w:rsid w:val="00B240DA"/>
    <w:rsid w:val="00B24771"/>
    <w:rsid w:val="00B24D97"/>
    <w:rsid w:val="00B24EB5"/>
    <w:rsid w:val="00B253D8"/>
    <w:rsid w:val="00B255A1"/>
    <w:rsid w:val="00B255A2"/>
    <w:rsid w:val="00B255FE"/>
    <w:rsid w:val="00B25E98"/>
    <w:rsid w:val="00B26286"/>
    <w:rsid w:val="00B262AE"/>
    <w:rsid w:val="00B262DD"/>
    <w:rsid w:val="00B26970"/>
    <w:rsid w:val="00B26CD2"/>
    <w:rsid w:val="00B270FB"/>
    <w:rsid w:val="00B27D09"/>
    <w:rsid w:val="00B27D59"/>
    <w:rsid w:val="00B27D90"/>
    <w:rsid w:val="00B30378"/>
    <w:rsid w:val="00B307FE"/>
    <w:rsid w:val="00B30F39"/>
    <w:rsid w:val="00B31010"/>
    <w:rsid w:val="00B31BEF"/>
    <w:rsid w:val="00B31D1C"/>
    <w:rsid w:val="00B31F88"/>
    <w:rsid w:val="00B33255"/>
    <w:rsid w:val="00B33487"/>
    <w:rsid w:val="00B33546"/>
    <w:rsid w:val="00B338AD"/>
    <w:rsid w:val="00B33A10"/>
    <w:rsid w:val="00B33C76"/>
    <w:rsid w:val="00B33DDB"/>
    <w:rsid w:val="00B33F01"/>
    <w:rsid w:val="00B3441C"/>
    <w:rsid w:val="00B34AE6"/>
    <w:rsid w:val="00B34B2D"/>
    <w:rsid w:val="00B34D5E"/>
    <w:rsid w:val="00B34DB5"/>
    <w:rsid w:val="00B35015"/>
    <w:rsid w:val="00B350AF"/>
    <w:rsid w:val="00B352D0"/>
    <w:rsid w:val="00B3532D"/>
    <w:rsid w:val="00B354B6"/>
    <w:rsid w:val="00B3551C"/>
    <w:rsid w:val="00B356BE"/>
    <w:rsid w:val="00B35B6E"/>
    <w:rsid w:val="00B35DD1"/>
    <w:rsid w:val="00B3655A"/>
    <w:rsid w:val="00B36632"/>
    <w:rsid w:val="00B368CE"/>
    <w:rsid w:val="00B40403"/>
    <w:rsid w:val="00B408F6"/>
    <w:rsid w:val="00B41453"/>
    <w:rsid w:val="00B415C2"/>
    <w:rsid w:val="00B417F7"/>
    <w:rsid w:val="00B41AEF"/>
    <w:rsid w:val="00B41CEE"/>
    <w:rsid w:val="00B421F0"/>
    <w:rsid w:val="00B42200"/>
    <w:rsid w:val="00B42BB7"/>
    <w:rsid w:val="00B42CA3"/>
    <w:rsid w:val="00B42D9D"/>
    <w:rsid w:val="00B437DD"/>
    <w:rsid w:val="00B439A1"/>
    <w:rsid w:val="00B43A71"/>
    <w:rsid w:val="00B43E1E"/>
    <w:rsid w:val="00B43E70"/>
    <w:rsid w:val="00B43FA7"/>
    <w:rsid w:val="00B43FB8"/>
    <w:rsid w:val="00B44213"/>
    <w:rsid w:val="00B444CE"/>
    <w:rsid w:val="00B44705"/>
    <w:rsid w:val="00B45086"/>
    <w:rsid w:val="00B45113"/>
    <w:rsid w:val="00B451D1"/>
    <w:rsid w:val="00B452F9"/>
    <w:rsid w:val="00B45454"/>
    <w:rsid w:val="00B45873"/>
    <w:rsid w:val="00B45AF9"/>
    <w:rsid w:val="00B4650D"/>
    <w:rsid w:val="00B467B4"/>
    <w:rsid w:val="00B46F5D"/>
    <w:rsid w:val="00B474CA"/>
    <w:rsid w:val="00B47A03"/>
    <w:rsid w:val="00B500BF"/>
    <w:rsid w:val="00B5041A"/>
    <w:rsid w:val="00B5077D"/>
    <w:rsid w:val="00B50FE0"/>
    <w:rsid w:val="00B51316"/>
    <w:rsid w:val="00B513B3"/>
    <w:rsid w:val="00B516D4"/>
    <w:rsid w:val="00B51775"/>
    <w:rsid w:val="00B51C4C"/>
    <w:rsid w:val="00B51D40"/>
    <w:rsid w:val="00B51E88"/>
    <w:rsid w:val="00B51F57"/>
    <w:rsid w:val="00B52111"/>
    <w:rsid w:val="00B5230D"/>
    <w:rsid w:val="00B529A6"/>
    <w:rsid w:val="00B52A44"/>
    <w:rsid w:val="00B53294"/>
    <w:rsid w:val="00B53E55"/>
    <w:rsid w:val="00B541CC"/>
    <w:rsid w:val="00B54907"/>
    <w:rsid w:val="00B54E15"/>
    <w:rsid w:val="00B54F2D"/>
    <w:rsid w:val="00B5565A"/>
    <w:rsid w:val="00B556F0"/>
    <w:rsid w:val="00B55AD1"/>
    <w:rsid w:val="00B55C3C"/>
    <w:rsid w:val="00B55CFD"/>
    <w:rsid w:val="00B55D52"/>
    <w:rsid w:val="00B55F48"/>
    <w:rsid w:val="00B566CB"/>
    <w:rsid w:val="00B567FE"/>
    <w:rsid w:val="00B56C6D"/>
    <w:rsid w:val="00B60279"/>
    <w:rsid w:val="00B602FF"/>
    <w:rsid w:val="00B60648"/>
    <w:rsid w:val="00B613AA"/>
    <w:rsid w:val="00B6174C"/>
    <w:rsid w:val="00B61800"/>
    <w:rsid w:val="00B62845"/>
    <w:rsid w:val="00B62C3C"/>
    <w:rsid w:val="00B63127"/>
    <w:rsid w:val="00B631AF"/>
    <w:rsid w:val="00B63B75"/>
    <w:rsid w:val="00B63BD4"/>
    <w:rsid w:val="00B63E85"/>
    <w:rsid w:val="00B64359"/>
    <w:rsid w:val="00B645C4"/>
    <w:rsid w:val="00B64716"/>
    <w:rsid w:val="00B650C5"/>
    <w:rsid w:val="00B651F4"/>
    <w:rsid w:val="00B653A0"/>
    <w:rsid w:val="00B6541E"/>
    <w:rsid w:val="00B65B56"/>
    <w:rsid w:val="00B65B5F"/>
    <w:rsid w:val="00B65DD7"/>
    <w:rsid w:val="00B65F08"/>
    <w:rsid w:val="00B662E5"/>
    <w:rsid w:val="00B66405"/>
    <w:rsid w:val="00B66690"/>
    <w:rsid w:val="00B66E14"/>
    <w:rsid w:val="00B67034"/>
    <w:rsid w:val="00B673AF"/>
    <w:rsid w:val="00B67B1E"/>
    <w:rsid w:val="00B67B75"/>
    <w:rsid w:val="00B67F4C"/>
    <w:rsid w:val="00B70412"/>
    <w:rsid w:val="00B7045E"/>
    <w:rsid w:val="00B70779"/>
    <w:rsid w:val="00B70DFB"/>
    <w:rsid w:val="00B70E4C"/>
    <w:rsid w:val="00B71197"/>
    <w:rsid w:val="00B7149B"/>
    <w:rsid w:val="00B719FA"/>
    <w:rsid w:val="00B71A61"/>
    <w:rsid w:val="00B725E2"/>
    <w:rsid w:val="00B72ABE"/>
    <w:rsid w:val="00B72BD7"/>
    <w:rsid w:val="00B73C0C"/>
    <w:rsid w:val="00B7417A"/>
    <w:rsid w:val="00B746A0"/>
    <w:rsid w:val="00B746AE"/>
    <w:rsid w:val="00B74CED"/>
    <w:rsid w:val="00B7540D"/>
    <w:rsid w:val="00B755D3"/>
    <w:rsid w:val="00B75AD6"/>
    <w:rsid w:val="00B760DE"/>
    <w:rsid w:val="00B7632A"/>
    <w:rsid w:val="00B76371"/>
    <w:rsid w:val="00B76779"/>
    <w:rsid w:val="00B76C63"/>
    <w:rsid w:val="00B76E02"/>
    <w:rsid w:val="00B76FAF"/>
    <w:rsid w:val="00B77396"/>
    <w:rsid w:val="00B77B4D"/>
    <w:rsid w:val="00B8006D"/>
    <w:rsid w:val="00B8091C"/>
    <w:rsid w:val="00B80DD2"/>
    <w:rsid w:val="00B819E6"/>
    <w:rsid w:val="00B8228C"/>
    <w:rsid w:val="00B82C7C"/>
    <w:rsid w:val="00B830AD"/>
    <w:rsid w:val="00B83A71"/>
    <w:rsid w:val="00B83FA8"/>
    <w:rsid w:val="00B84026"/>
    <w:rsid w:val="00B840C0"/>
    <w:rsid w:val="00B843F4"/>
    <w:rsid w:val="00B84DF7"/>
    <w:rsid w:val="00B84EEC"/>
    <w:rsid w:val="00B85302"/>
    <w:rsid w:val="00B85610"/>
    <w:rsid w:val="00B85E13"/>
    <w:rsid w:val="00B8620A"/>
    <w:rsid w:val="00B8637F"/>
    <w:rsid w:val="00B864F6"/>
    <w:rsid w:val="00B864FF"/>
    <w:rsid w:val="00B86E86"/>
    <w:rsid w:val="00B86EC8"/>
    <w:rsid w:val="00B8787F"/>
    <w:rsid w:val="00B879D3"/>
    <w:rsid w:val="00B87ED1"/>
    <w:rsid w:val="00B9073F"/>
    <w:rsid w:val="00B908FC"/>
    <w:rsid w:val="00B90A98"/>
    <w:rsid w:val="00B90B11"/>
    <w:rsid w:val="00B90C05"/>
    <w:rsid w:val="00B90C40"/>
    <w:rsid w:val="00B91163"/>
    <w:rsid w:val="00B911B4"/>
    <w:rsid w:val="00B916A3"/>
    <w:rsid w:val="00B919C5"/>
    <w:rsid w:val="00B919D1"/>
    <w:rsid w:val="00B91C0E"/>
    <w:rsid w:val="00B935F8"/>
    <w:rsid w:val="00B9376F"/>
    <w:rsid w:val="00B9378E"/>
    <w:rsid w:val="00B937E1"/>
    <w:rsid w:val="00B93810"/>
    <w:rsid w:val="00B940C9"/>
    <w:rsid w:val="00B94642"/>
    <w:rsid w:val="00B946E0"/>
    <w:rsid w:val="00B9486F"/>
    <w:rsid w:val="00B94A68"/>
    <w:rsid w:val="00B951DF"/>
    <w:rsid w:val="00B952DC"/>
    <w:rsid w:val="00B95533"/>
    <w:rsid w:val="00B957D0"/>
    <w:rsid w:val="00B96AB7"/>
    <w:rsid w:val="00B96AC8"/>
    <w:rsid w:val="00B97066"/>
    <w:rsid w:val="00B9723B"/>
    <w:rsid w:val="00B973EE"/>
    <w:rsid w:val="00B97CAF"/>
    <w:rsid w:val="00BA0F49"/>
    <w:rsid w:val="00BA18FD"/>
    <w:rsid w:val="00BA1A99"/>
    <w:rsid w:val="00BA1DBB"/>
    <w:rsid w:val="00BA2026"/>
    <w:rsid w:val="00BA23C5"/>
    <w:rsid w:val="00BA25A6"/>
    <w:rsid w:val="00BA2707"/>
    <w:rsid w:val="00BA2C57"/>
    <w:rsid w:val="00BA2C6C"/>
    <w:rsid w:val="00BA2CDF"/>
    <w:rsid w:val="00BA2CFE"/>
    <w:rsid w:val="00BA2E40"/>
    <w:rsid w:val="00BA2E62"/>
    <w:rsid w:val="00BA35F1"/>
    <w:rsid w:val="00BA3606"/>
    <w:rsid w:val="00BA39EE"/>
    <w:rsid w:val="00BA3AF2"/>
    <w:rsid w:val="00BA40FA"/>
    <w:rsid w:val="00BA4347"/>
    <w:rsid w:val="00BA46B6"/>
    <w:rsid w:val="00BA4B88"/>
    <w:rsid w:val="00BA4C89"/>
    <w:rsid w:val="00BA4CAB"/>
    <w:rsid w:val="00BA529A"/>
    <w:rsid w:val="00BA583C"/>
    <w:rsid w:val="00BA59AC"/>
    <w:rsid w:val="00BA59EE"/>
    <w:rsid w:val="00BA5E84"/>
    <w:rsid w:val="00BA6006"/>
    <w:rsid w:val="00BA6419"/>
    <w:rsid w:val="00BA641C"/>
    <w:rsid w:val="00BA6556"/>
    <w:rsid w:val="00BA669F"/>
    <w:rsid w:val="00BA6793"/>
    <w:rsid w:val="00BA688A"/>
    <w:rsid w:val="00BA6C02"/>
    <w:rsid w:val="00BA6C7F"/>
    <w:rsid w:val="00BA6D94"/>
    <w:rsid w:val="00BA7645"/>
    <w:rsid w:val="00BA7856"/>
    <w:rsid w:val="00BA79CD"/>
    <w:rsid w:val="00BB12DA"/>
    <w:rsid w:val="00BB1B16"/>
    <w:rsid w:val="00BB1B31"/>
    <w:rsid w:val="00BB1BB9"/>
    <w:rsid w:val="00BB216C"/>
    <w:rsid w:val="00BB2261"/>
    <w:rsid w:val="00BB2DC2"/>
    <w:rsid w:val="00BB341A"/>
    <w:rsid w:val="00BB3450"/>
    <w:rsid w:val="00BB3567"/>
    <w:rsid w:val="00BB3778"/>
    <w:rsid w:val="00BB3FEA"/>
    <w:rsid w:val="00BB440A"/>
    <w:rsid w:val="00BB448D"/>
    <w:rsid w:val="00BB481D"/>
    <w:rsid w:val="00BB4CB8"/>
    <w:rsid w:val="00BB4E5E"/>
    <w:rsid w:val="00BB4E6C"/>
    <w:rsid w:val="00BB5572"/>
    <w:rsid w:val="00BB5BF6"/>
    <w:rsid w:val="00BB6881"/>
    <w:rsid w:val="00BB689D"/>
    <w:rsid w:val="00BB6D03"/>
    <w:rsid w:val="00BB6E0A"/>
    <w:rsid w:val="00BB6EC3"/>
    <w:rsid w:val="00BB6F23"/>
    <w:rsid w:val="00BB75AD"/>
    <w:rsid w:val="00BB7778"/>
    <w:rsid w:val="00BB7998"/>
    <w:rsid w:val="00BB7CA8"/>
    <w:rsid w:val="00BB7EF6"/>
    <w:rsid w:val="00BC0102"/>
    <w:rsid w:val="00BC095A"/>
    <w:rsid w:val="00BC0AF1"/>
    <w:rsid w:val="00BC0CA0"/>
    <w:rsid w:val="00BC1975"/>
    <w:rsid w:val="00BC2036"/>
    <w:rsid w:val="00BC235E"/>
    <w:rsid w:val="00BC25FA"/>
    <w:rsid w:val="00BC36C9"/>
    <w:rsid w:val="00BC3A1B"/>
    <w:rsid w:val="00BC3B33"/>
    <w:rsid w:val="00BC3FE9"/>
    <w:rsid w:val="00BC43AA"/>
    <w:rsid w:val="00BC44B8"/>
    <w:rsid w:val="00BC4631"/>
    <w:rsid w:val="00BC4756"/>
    <w:rsid w:val="00BC4CD0"/>
    <w:rsid w:val="00BC52B6"/>
    <w:rsid w:val="00BC5683"/>
    <w:rsid w:val="00BC5E75"/>
    <w:rsid w:val="00BC633F"/>
    <w:rsid w:val="00BC66BB"/>
    <w:rsid w:val="00BC6BBD"/>
    <w:rsid w:val="00BC77A8"/>
    <w:rsid w:val="00BC78C9"/>
    <w:rsid w:val="00BC7990"/>
    <w:rsid w:val="00BC7AF7"/>
    <w:rsid w:val="00BC7CE0"/>
    <w:rsid w:val="00BC7D82"/>
    <w:rsid w:val="00BC7DE5"/>
    <w:rsid w:val="00BC7DEA"/>
    <w:rsid w:val="00BC7EB2"/>
    <w:rsid w:val="00BD0091"/>
    <w:rsid w:val="00BD00BA"/>
    <w:rsid w:val="00BD027C"/>
    <w:rsid w:val="00BD0523"/>
    <w:rsid w:val="00BD0596"/>
    <w:rsid w:val="00BD0CFC"/>
    <w:rsid w:val="00BD1270"/>
    <w:rsid w:val="00BD132E"/>
    <w:rsid w:val="00BD188A"/>
    <w:rsid w:val="00BD190E"/>
    <w:rsid w:val="00BD1CE5"/>
    <w:rsid w:val="00BD2813"/>
    <w:rsid w:val="00BD2AE1"/>
    <w:rsid w:val="00BD2BC2"/>
    <w:rsid w:val="00BD2CC4"/>
    <w:rsid w:val="00BD2DDF"/>
    <w:rsid w:val="00BD34D9"/>
    <w:rsid w:val="00BD38F7"/>
    <w:rsid w:val="00BD3BD6"/>
    <w:rsid w:val="00BD3DB9"/>
    <w:rsid w:val="00BD3F14"/>
    <w:rsid w:val="00BD3F4A"/>
    <w:rsid w:val="00BD3FC0"/>
    <w:rsid w:val="00BD4155"/>
    <w:rsid w:val="00BD42FE"/>
    <w:rsid w:val="00BD442D"/>
    <w:rsid w:val="00BD4AAA"/>
    <w:rsid w:val="00BD4B58"/>
    <w:rsid w:val="00BD4C1F"/>
    <w:rsid w:val="00BD4F4A"/>
    <w:rsid w:val="00BD6416"/>
    <w:rsid w:val="00BD68FD"/>
    <w:rsid w:val="00BD6AFA"/>
    <w:rsid w:val="00BD6DA6"/>
    <w:rsid w:val="00BD6F05"/>
    <w:rsid w:val="00BD7967"/>
    <w:rsid w:val="00BD7E7B"/>
    <w:rsid w:val="00BE0261"/>
    <w:rsid w:val="00BE0487"/>
    <w:rsid w:val="00BE0A04"/>
    <w:rsid w:val="00BE0C14"/>
    <w:rsid w:val="00BE0D0C"/>
    <w:rsid w:val="00BE1528"/>
    <w:rsid w:val="00BE16AB"/>
    <w:rsid w:val="00BE1728"/>
    <w:rsid w:val="00BE1EFA"/>
    <w:rsid w:val="00BE2146"/>
    <w:rsid w:val="00BE2265"/>
    <w:rsid w:val="00BE22D8"/>
    <w:rsid w:val="00BE27EE"/>
    <w:rsid w:val="00BE2BC4"/>
    <w:rsid w:val="00BE2DBA"/>
    <w:rsid w:val="00BE2FC6"/>
    <w:rsid w:val="00BE359F"/>
    <w:rsid w:val="00BE3988"/>
    <w:rsid w:val="00BE39F9"/>
    <w:rsid w:val="00BE3F80"/>
    <w:rsid w:val="00BE45D5"/>
    <w:rsid w:val="00BE4B5E"/>
    <w:rsid w:val="00BE4E61"/>
    <w:rsid w:val="00BE4E9D"/>
    <w:rsid w:val="00BE510B"/>
    <w:rsid w:val="00BE574F"/>
    <w:rsid w:val="00BE5DAF"/>
    <w:rsid w:val="00BE6CBA"/>
    <w:rsid w:val="00BE7073"/>
    <w:rsid w:val="00BE716D"/>
    <w:rsid w:val="00BE7712"/>
    <w:rsid w:val="00BE7983"/>
    <w:rsid w:val="00BF023E"/>
    <w:rsid w:val="00BF050C"/>
    <w:rsid w:val="00BF0750"/>
    <w:rsid w:val="00BF08BF"/>
    <w:rsid w:val="00BF15DB"/>
    <w:rsid w:val="00BF18CC"/>
    <w:rsid w:val="00BF2EB1"/>
    <w:rsid w:val="00BF2F4C"/>
    <w:rsid w:val="00BF32BE"/>
    <w:rsid w:val="00BF3681"/>
    <w:rsid w:val="00BF3722"/>
    <w:rsid w:val="00BF3C29"/>
    <w:rsid w:val="00BF3FA3"/>
    <w:rsid w:val="00BF451D"/>
    <w:rsid w:val="00BF458D"/>
    <w:rsid w:val="00BF4D61"/>
    <w:rsid w:val="00BF4E01"/>
    <w:rsid w:val="00BF4EDE"/>
    <w:rsid w:val="00BF5945"/>
    <w:rsid w:val="00BF626A"/>
    <w:rsid w:val="00BF64CB"/>
    <w:rsid w:val="00BF65C3"/>
    <w:rsid w:val="00BF6745"/>
    <w:rsid w:val="00BF693D"/>
    <w:rsid w:val="00BF69CF"/>
    <w:rsid w:val="00BF6C3E"/>
    <w:rsid w:val="00BF6F1A"/>
    <w:rsid w:val="00BF73D3"/>
    <w:rsid w:val="00BF7909"/>
    <w:rsid w:val="00BF7A82"/>
    <w:rsid w:val="00BF7B4F"/>
    <w:rsid w:val="00BF7B8A"/>
    <w:rsid w:val="00BF7DFC"/>
    <w:rsid w:val="00C00133"/>
    <w:rsid w:val="00C004CB"/>
    <w:rsid w:val="00C00581"/>
    <w:rsid w:val="00C00717"/>
    <w:rsid w:val="00C007F9"/>
    <w:rsid w:val="00C008A6"/>
    <w:rsid w:val="00C00BDB"/>
    <w:rsid w:val="00C00E77"/>
    <w:rsid w:val="00C011FE"/>
    <w:rsid w:val="00C017FA"/>
    <w:rsid w:val="00C01883"/>
    <w:rsid w:val="00C018BB"/>
    <w:rsid w:val="00C01C2C"/>
    <w:rsid w:val="00C01DEF"/>
    <w:rsid w:val="00C01F05"/>
    <w:rsid w:val="00C02543"/>
    <w:rsid w:val="00C02BB9"/>
    <w:rsid w:val="00C02CA3"/>
    <w:rsid w:val="00C02F95"/>
    <w:rsid w:val="00C032CB"/>
    <w:rsid w:val="00C034C1"/>
    <w:rsid w:val="00C03A7F"/>
    <w:rsid w:val="00C03C9A"/>
    <w:rsid w:val="00C046C0"/>
    <w:rsid w:val="00C04715"/>
    <w:rsid w:val="00C049AF"/>
    <w:rsid w:val="00C04D4F"/>
    <w:rsid w:val="00C04F82"/>
    <w:rsid w:val="00C052A9"/>
    <w:rsid w:val="00C056DF"/>
    <w:rsid w:val="00C06113"/>
    <w:rsid w:val="00C061A2"/>
    <w:rsid w:val="00C06529"/>
    <w:rsid w:val="00C065D7"/>
    <w:rsid w:val="00C067FF"/>
    <w:rsid w:val="00C0691E"/>
    <w:rsid w:val="00C06A7C"/>
    <w:rsid w:val="00C06E74"/>
    <w:rsid w:val="00C07695"/>
    <w:rsid w:val="00C07842"/>
    <w:rsid w:val="00C101E4"/>
    <w:rsid w:val="00C10884"/>
    <w:rsid w:val="00C10C53"/>
    <w:rsid w:val="00C10EB1"/>
    <w:rsid w:val="00C10F69"/>
    <w:rsid w:val="00C11132"/>
    <w:rsid w:val="00C1165F"/>
    <w:rsid w:val="00C11741"/>
    <w:rsid w:val="00C11B26"/>
    <w:rsid w:val="00C11F55"/>
    <w:rsid w:val="00C11FA8"/>
    <w:rsid w:val="00C12089"/>
    <w:rsid w:val="00C121C8"/>
    <w:rsid w:val="00C12528"/>
    <w:rsid w:val="00C12F71"/>
    <w:rsid w:val="00C13126"/>
    <w:rsid w:val="00C13410"/>
    <w:rsid w:val="00C13DDA"/>
    <w:rsid w:val="00C1408F"/>
    <w:rsid w:val="00C14511"/>
    <w:rsid w:val="00C14711"/>
    <w:rsid w:val="00C149FA"/>
    <w:rsid w:val="00C14B28"/>
    <w:rsid w:val="00C15139"/>
    <w:rsid w:val="00C158F1"/>
    <w:rsid w:val="00C15ABC"/>
    <w:rsid w:val="00C15D78"/>
    <w:rsid w:val="00C15E01"/>
    <w:rsid w:val="00C16014"/>
    <w:rsid w:val="00C16233"/>
    <w:rsid w:val="00C16526"/>
    <w:rsid w:val="00C17B78"/>
    <w:rsid w:val="00C17CA5"/>
    <w:rsid w:val="00C17DB7"/>
    <w:rsid w:val="00C21066"/>
    <w:rsid w:val="00C210DF"/>
    <w:rsid w:val="00C21659"/>
    <w:rsid w:val="00C217DB"/>
    <w:rsid w:val="00C21A87"/>
    <w:rsid w:val="00C21E4D"/>
    <w:rsid w:val="00C21F7F"/>
    <w:rsid w:val="00C21FA6"/>
    <w:rsid w:val="00C22139"/>
    <w:rsid w:val="00C22D80"/>
    <w:rsid w:val="00C2328D"/>
    <w:rsid w:val="00C232EB"/>
    <w:rsid w:val="00C235E0"/>
    <w:rsid w:val="00C23881"/>
    <w:rsid w:val="00C23B03"/>
    <w:rsid w:val="00C24525"/>
    <w:rsid w:val="00C24DB6"/>
    <w:rsid w:val="00C24ECF"/>
    <w:rsid w:val="00C24FFD"/>
    <w:rsid w:val="00C250F6"/>
    <w:rsid w:val="00C2522C"/>
    <w:rsid w:val="00C255FD"/>
    <w:rsid w:val="00C2585C"/>
    <w:rsid w:val="00C25A40"/>
    <w:rsid w:val="00C261E4"/>
    <w:rsid w:val="00C2648E"/>
    <w:rsid w:val="00C264CF"/>
    <w:rsid w:val="00C26708"/>
    <w:rsid w:val="00C269F7"/>
    <w:rsid w:val="00C26C68"/>
    <w:rsid w:val="00C26E7E"/>
    <w:rsid w:val="00C2706A"/>
    <w:rsid w:val="00C27071"/>
    <w:rsid w:val="00C27D6E"/>
    <w:rsid w:val="00C27D82"/>
    <w:rsid w:val="00C27DB1"/>
    <w:rsid w:val="00C27F5F"/>
    <w:rsid w:val="00C30447"/>
    <w:rsid w:val="00C306BC"/>
    <w:rsid w:val="00C3104D"/>
    <w:rsid w:val="00C31237"/>
    <w:rsid w:val="00C31263"/>
    <w:rsid w:val="00C3172A"/>
    <w:rsid w:val="00C320C8"/>
    <w:rsid w:val="00C3241C"/>
    <w:rsid w:val="00C3284B"/>
    <w:rsid w:val="00C328AE"/>
    <w:rsid w:val="00C328C2"/>
    <w:rsid w:val="00C32A39"/>
    <w:rsid w:val="00C32B98"/>
    <w:rsid w:val="00C32BD7"/>
    <w:rsid w:val="00C32EB7"/>
    <w:rsid w:val="00C337D1"/>
    <w:rsid w:val="00C339E4"/>
    <w:rsid w:val="00C33C62"/>
    <w:rsid w:val="00C33E68"/>
    <w:rsid w:val="00C33F35"/>
    <w:rsid w:val="00C34264"/>
    <w:rsid w:val="00C3431D"/>
    <w:rsid w:val="00C343B5"/>
    <w:rsid w:val="00C3448C"/>
    <w:rsid w:val="00C34493"/>
    <w:rsid w:val="00C34AAB"/>
    <w:rsid w:val="00C34B1B"/>
    <w:rsid w:val="00C34C4E"/>
    <w:rsid w:val="00C3509A"/>
    <w:rsid w:val="00C355E8"/>
    <w:rsid w:val="00C356A2"/>
    <w:rsid w:val="00C359B6"/>
    <w:rsid w:val="00C369D8"/>
    <w:rsid w:val="00C374FD"/>
    <w:rsid w:val="00C37996"/>
    <w:rsid w:val="00C37BB4"/>
    <w:rsid w:val="00C40088"/>
    <w:rsid w:val="00C40596"/>
    <w:rsid w:val="00C408F2"/>
    <w:rsid w:val="00C40F7A"/>
    <w:rsid w:val="00C40FF2"/>
    <w:rsid w:val="00C41529"/>
    <w:rsid w:val="00C415E8"/>
    <w:rsid w:val="00C416B0"/>
    <w:rsid w:val="00C41ABB"/>
    <w:rsid w:val="00C41B75"/>
    <w:rsid w:val="00C421A4"/>
    <w:rsid w:val="00C422E5"/>
    <w:rsid w:val="00C42800"/>
    <w:rsid w:val="00C42A8A"/>
    <w:rsid w:val="00C43204"/>
    <w:rsid w:val="00C43D12"/>
    <w:rsid w:val="00C4402B"/>
    <w:rsid w:val="00C445BD"/>
    <w:rsid w:val="00C448B8"/>
    <w:rsid w:val="00C44AEF"/>
    <w:rsid w:val="00C45847"/>
    <w:rsid w:val="00C458E4"/>
    <w:rsid w:val="00C45E4D"/>
    <w:rsid w:val="00C46286"/>
    <w:rsid w:val="00C463DA"/>
    <w:rsid w:val="00C464D1"/>
    <w:rsid w:val="00C467C2"/>
    <w:rsid w:val="00C469BA"/>
    <w:rsid w:val="00C46A06"/>
    <w:rsid w:val="00C46BB3"/>
    <w:rsid w:val="00C47258"/>
    <w:rsid w:val="00C4729F"/>
    <w:rsid w:val="00C47384"/>
    <w:rsid w:val="00C478C1"/>
    <w:rsid w:val="00C47A58"/>
    <w:rsid w:val="00C47C39"/>
    <w:rsid w:val="00C47EE4"/>
    <w:rsid w:val="00C505A8"/>
    <w:rsid w:val="00C50A9A"/>
    <w:rsid w:val="00C50BDA"/>
    <w:rsid w:val="00C51232"/>
    <w:rsid w:val="00C5173B"/>
    <w:rsid w:val="00C52221"/>
    <w:rsid w:val="00C528BD"/>
    <w:rsid w:val="00C529F1"/>
    <w:rsid w:val="00C52D5B"/>
    <w:rsid w:val="00C53454"/>
    <w:rsid w:val="00C53607"/>
    <w:rsid w:val="00C5387D"/>
    <w:rsid w:val="00C53A69"/>
    <w:rsid w:val="00C53FA6"/>
    <w:rsid w:val="00C54149"/>
    <w:rsid w:val="00C542BF"/>
    <w:rsid w:val="00C54354"/>
    <w:rsid w:val="00C545AF"/>
    <w:rsid w:val="00C547F7"/>
    <w:rsid w:val="00C54B99"/>
    <w:rsid w:val="00C55204"/>
    <w:rsid w:val="00C5539A"/>
    <w:rsid w:val="00C55773"/>
    <w:rsid w:val="00C559DE"/>
    <w:rsid w:val="00C55ADD"/>
    <w:rsid w:val="00C55DEF"/>
    <w:rsid w:val="00C564EA"/>
    <w:rsid w:val="00C5671B"/>
    <w:rsid w:val="00C56A61"/>
    <w:rsid w:val="00C56AB0"/>
    <w:rsid w:val="00C5737C"/>
    <w:rsid w:val="00C5771E"/>
    <w:rsid w:val="00C57B01"/>
    <w:rsid w:val="00C6034C"/>
    <w:rsid w:val="00C60834"/>
    <w:rsid w:val="00C60F97"/>
    <w:rsid w:val="00C612BF"/>
    <w:rsid w:val="00C61372"/>
    <w:rsid w:val="00C61DF3"/>
    <w:rsid w:val="00C61E16"/>
    <w:rsid w:val="00C620F4"/>
    <w:rsid w:val="00C6216C"/>
    <w:rsid w:val="00C62176"/>
    <w:rsid w:val="00C621EE"/>
    <w:rsid w:val="00C628CA"/>
    <w:rsid w:val="00C628EE"/>
    <w:rsid w:val="00C6290D"/>
    <w:rsid w:val="00C62BA0"/>
    <w:rsid w:val="00C62C28"/>
    <w:rsid w:val="00C6304A"/>
    <w:rsid w:val="00C631E6"/>
    <w:rsid w:val="00C64627"/>
    <w:rsid w:val="00C6479A"/>
    <w:rsid w:val="00C65626"/>
    <w:rsid w:val="00C65BA4"/>
    <w:rsid w:val="00C65C9D"/>
    <w:rsid w:val="00C66CB8"/>
    <w:rsid w:val="00C675FA"/>
    <w:rsid w:val="00C67604"/>
    <w:rsid w:val="00C67803"/>
    <w:rsid w:val="00C6799B"/>
    <w:rsid w:val="00C67B51"/>
    <w:rsid w:val="00C700AD"/>
    <w:rsid w:val="00C70193"/>
    <w:rsid w:val="00C702D7"/>
    <w:rsid w:val="00C704C4"/>
    <w:rsid w:val="00C70780"/>
    <w:rsid w:val="00C70AB2"/>
    <w:rsid w:val="00C70BDD"/>
    <w:rsid w:val="00C70DD0"/>
    <w:rsid w:val="00C70DED"/>
    <w:rsid w:val="00C70E14"/>
    <w:rsid w:val="00C716EF"/>
    <w:rsid w:val="00C718E3"/>
    <w:rsid w:val="00C71C75"/>
    <w:rsid w:val="00C72122"/>
    <w:rsid w:val="00C722D9"/>
    <w:rsid w:val="00C7242A"/>
    <w:rsid w:val="00C72CFE"/>
    <w:rsid w:val="00C7316C"/>
    <w:rsid w:val="00C732D9"/>
    <w:rsid w:val="00C7346E"/>
    <w:rsid w:val="00C738A9"/>
    <w:rsid w:val="00C73912"/>
    <w:rsid w:val="00C74095"/>
    <w:rsid w:val="00C747F8"/>
    <w:rsid w:val="00C74AD7"/>
    <w:rsid w:val="00C75241"/>
    <w:rsid w:val="00C7528B"/>
    <w:rsid w:val="00C75A0B"/>
    <w:rsid w:val="00C75F49"/>
    <w:rsid w:val="00C75FE1"/>
    <w:rsid w:val="00C7689A"/>
    <w:rsid w:val="00C76C67"/>
    <w:rsid w:val="00C76EAA"/>
    <w:rsid w:val="00C77174"/>
    <w:rsid w:val="00C771F5"/>
    <w:rsid w:val="00C774C4"/>
    <w:rsid w:val="00C77517"/>
    <w:rsid w:val="00C7775A"/>
    <w:rsid w:val="00C77B53"/>
    <w:rsid w:val="00C77D83"/>
    <w:rsid w:val="00C80982"/>
    <w:rsid w:val="00C81179"/>
    <w:rsid w:val="00C81CDE"/>
    <w:rsid w:val="00C81D9B"/>
    <w:rsid w:val="00C822CE"/>
    <w:rsid w:val="00C82714"/>
    <w:rsid w:val="00C829D6"/>
    <w:rsid w:val="00C82CE9"/>
    <w:rsid w:val="00C82F2A"/>
    <w:rsid w:val="00C83263"/>
    <w:rsid w:val="00C83E84"/>
    <w:rsid w:val="00C846A5"/>
    <w:rsid w:val="00C84991"/>
    <w:rsid w:val="00C84D0C"/>
    <w:rsid w:val="00C851B6"/>
    <w:rsid w:val="00C85531"/>
    <w:rsid w:val="00C8566B"/>
    <w:rsid w:val="00C858FD"/>
    <w:rsid w:val="00C85999"/>
    <w:rsid w:val="00C860F4"/>
    <w:rsid w:val="00C8677E"/>
    <w:rsid w:val="00C86A4A"/>
    <w:rsid w:val="00C87153"/>
    <w:rsid w:val="00C8730C"/>
    <w:rsid w:val="00C87500"/>
    <w:rsid w:val="00C87E30"/>
    <w:rsid w:val="00C90438"/>
    <w:rsid w:val="00C91938"/>
    <w:rsid w:val="00C91B78"/>
    <w:rsid w:val="00C92B1D"/>
    <w:rsid w:val="00C932BC"/>
    <w:rsid w:val="00C93561"/>
    <w:rsid w:val="00C93A11"/>
    <w:rsid w:val="00C941C4"/>
    <w:rsid w:val="00C94701"/>
    <w:rsid w:val="00C949A5"/>
    <w:rsid w:val="00C94C7F"/>
    <w:rsid w:val="00C94CA9"/>
    <w:rsid w:val="00C94CB7"/>
    <w:rsid w:val="00C95B4D"/>
    <w:rsid w:val="00C95B50"/>
    <w:rsid w:val="00C95C94"/>
    <w:rsid w:val="00C96571"/>
    <w:rsid w:val="00C97610"/>
    <w:rsid w:val="00C97B6B"/>
    <w:rsid w:val="00CA0AFC"/>
    <w:rsid w:val="00CA10DD"/>
    <w:rsid w:val="00CA1615"/>
    <w:rsid w:val="00CA1F69"/>
    <w:rsid w:val="00CA23FC"/>
    <w:rsid w:val="00CA2561"/>
    <w:rsid w:val="00CA25A5"/>
    <w:rsid w:val="00CA26E4"/>
    <w:rsid w:val="00CA2BB2"/>
    <w:rsid w:val="00CA302D"/>
    <w:rsid w:val="00CA34CD"/>
    <w:rsid w:val="00CA34E9"/>
    <w:rsid w:val="00CA3572"/>
    <w:rsid w:val="00CA35A3"/>
    <w:rsid w:val="00CA3778"/>
    <w:rsid w:val="00CA3C41"/>
    <w:rsid w:val="00CA4737"/>
    <w:rsid w:val="00CA52E9"/>
    <w:rsid w:val="00CA581D"/>
    <w:rsid w:val="00CA5DEF"/>
    <w:rsid w:val="00CA5E99"/>
    <w:rsid w:val="00CA6119"/>
    <w:rsid w:val="00CA6365"/>
    <w:rsid w:val="00CA6496"/>
    <w:rsid w:val="00CA6755"/>
    <w:rsid w:val="00CA67DA"/>
    <w:rsid w:val="00CA69A8"/>
    <w:rsid w:val="00CA711E"/>
    <w:rsid w:val="00CA718E"/>
    <w:rsid w:val="00CA7382"/>
    <w:rsid w:val="00CA7819"/>
    <w:rsid w:val="00CA7F23"/>
    <w:rsid w:val="00CA7F54"/>
    <w:rsid w:val="00CB03B1"/>
    <w:rsid w:val="00CB0467"/>
    <w:rsid w:val="00CB08E6"/>
    <w:rsid w:val="00CB0938"/>
    <w:rsid w:val="00CB15CA"/>
    <w:rsid w:val="00CB19FA"/>
    <w:rsid w:val="00CB24D7"/>
    <w:rsid w:val="00CB2746"/>
    <w:rsid w:val="00CB326B"/>
    <w:rsid w:val="00CB3AF2"/>
    <w:rsid w:val="00CB3FCE"/>
    <w:rsid w:val="00CB40E8"/>
    <w:rsid w:val="00CB49A0"/>
    <w:rsid w:val="00CB4C35"/>
    <w:rsid w:val="00CB4C3D"/>
    <w:rsid w:val="00CB5273"/>
    <w:rsid w:val="00CB5730"/>
    <w:rsid w:val="00CB5C46"/>
    <w:rsid w:val="00CB6478"/>
    <w:rsid w:val="00CB6932"/>
    <w:rsid w:val="00CB6C7A"/>
    <w:rsid w:val="00CB6C94"/>
    <w:rsid w:val="00CB7140"/>
    <w:rsid w:val="00CB75E4"/>
    <w:rsid w:val="00CB7DE4"/>
    <w:rsid w:val="00CC0BEB"/>
    <w:rsid w:val="00CC0E04"/>
    <w:rsid w:val="00CC10DC"/>
    <w:rsid w:val="00CC118B"/>
    <w:rsid w:val="00CC1289"/>
    <w:rsid w:val="00CC1883"/>
    <w:rsid w:val="00CC1D59"/>
    <w:rsid w:val="00CC2318"/>
    <w:rsid w:val="00CC2522"/>
    <w:rsid w:val="00CC262A"/>
    <w:rsid w:val="00CC2BF4"/>
    <w:rsid w:val="00CC2E46"/>
    <w:rsid w:val="00CC30A2"/>
    <w:rsid w:val="00CC3133"/>
    <w:rsid w:val="00CC34B0"/>
    <w:rsid w:val="00CC34DB"/>
    <w:rsid w:val="00CC3780"/>
    <w:rsid w:val="00CC37F2"/>
    <w:rsid w:val="00CC3E16"/>
    <w:rsid w:val="00CC3FA4"/>
    <w:rsid w:val="00CC40C8"/>
    <w:rsid w:val="00CC420B"/>
    <w:rsid w:val="00CC47B2"/>
    <w:rsid w:val="00CC4826"/>
    <w:rsid w:val="00CC4E04"/>
    <w:rsid w:val="00CC552F"/>
    <w:rsid w:val="00CC598C"/>
    <w:rsid w:val="00CC59C3"/>
    <w:rsid w:val="00CC5DB3"/>
    <w:rsid w:val="00CC5F7D"/>
    <w:rsid w:val="00CC6207"/>
    <w:rsid w:val="00CC6469"/>
    <w:rsid w:val="00CC661B"/>
    <w:rsid w:val="00CC6922"/>
    <w:rsid w:val="00CC6DC4"/>
    <w:rsid w:val="00CC6FBF"/>
    <w:rsid w:val="00CC734F"/>
    <w:rsid w:val="00CC7546"/>
    <w:rsid w:val="00CD00A6"/>
    <w:rsid w:val="00CD07FB"/>
    <w:rsid w:val="00CD08F6"/>
    <w:rsid w:val="00CD0922"/>
    <w:rsid w:val="00CD0CF6"/>
    <w:rsid w:val="00CD0F48"/>
    <w:rsid w:val="00CD164F"/>
    <w:rsid w:val="00CD18BB"/>
    <w:rsid w:val="00CD2084"/>
    <w:rsid w:val="00CD2552"/>
    <w:rsid w:val="00CD25CD"/>
    <w:rsid w:val="00CD2708"/>
    <w:rsid w:val="00CD29B0"/>
    <w:rsid w:val="00CD2BAA"/>
    <w:rsid w:val="00CD2C34"/>
    <w:rsid w:val="00CD367E"/>
    <w:rsid w:val="00CD3A52"/>
    <w:rsid w:val="00CD3D9A"/>
    <w:rsid w:val="00CD4626"/>
    <w:rsid w:val="00CD4908"/>
    <w:rsid w:val="00CD5143"/>
    <w:rsid w:val="00CD5950"/>
    <w:rsid w:val="00CD5999"/>
    <w:rsid w:val="00CD5A40"/>
    <w:rsid w:val="00CD6CDE"/>
    <w:rsid w:val="00CD7519"/>
    <w:rsid w:val="00CD75B8"/>
    <w:rsid w:val="00CD76A4"/>
    <w:rsid w:val="00CD7767"/>
    <w:rsid w:val="00CD793A"/>
    <w:rsid w:val="00CD7986"/>
    <w:rsid w:val="00CD7B90"/>
    <w:rsid w:val="00CD7C47"/>
    <w:rsid w:val="00CD7CB8"/>
    <w:rsid w:val="00CE0C86"/>
    <w:rsid w:val="00CE10ED"/>
    <w:rsid w:val="00CE13AE"/>
    <w:rsid w:val="00CE1457"/>
    <w:rsid w:val="00CE169C"/>
    <w:rsid w:val="00CE16B5"/>
    <w:rsid w:val="00CE19E5"/>
    <w:rsid w:val="00CE19F5"/>
    <w:rsid w:val="00CE1BA6"/>
    <w:rsid w:val="00CE252E"/>
    <w:rsid w:val="00CE2733"/>
    <w:rsid w:val="00CE27BD"/>
    <w:rsid w:val="00CE2980"/>
    <w:rsid w:val="00CE315F"/>
    <w:rsid w:val="00CE3612"/>
    <w:rsid w:val="00CE37FF"/>
    <w:rsid w:val="00CE3D5E"/>
    <w:rsid w:val="00CE4558"/>
    <w:rsid w:val="00CE5162"/>
    <w:rsid w:val="00CE53F4"/>
    <w:rsid w:val="00CE5475"/>
    <w:rsid w:val="00CE59DE"/>
    <w:rsid w:val="00CE5B95"/>
    <w:rsid w:val="00CE5CF2"/>
    <w:rsid w:val="00CE6322"/>
    <w:rsid w:val="00CE6509"/>
    <w:rsid w:val="00CE6840"/>
    <w:rsid w:val="00CE7092"/>
    <w:rsid w:val="00CE720E"/>
    <w:rsid w:val="00CE74E3"/>
    <w:rsid w:val="00CE75C6"/>
    <w:rsid w:val="00CE77D2"/>
    <w:rsid w:val="00CF0BCD"/>
    <w:rsid w:val="00CF0CB3"/>
    <w:rsid w:val="00CF1C69"/>
    <w:rsid w:val="00CF1FFB"/>
    <w:rsid w:val="00CF207E"/>
    <w:rsid w:val="00CF220E"/>
    <w:rsid w:val="00CF2333"/>
    <w:rsid w:val="00CF246B"/>
    <w:rsid w:val="00CF2841"/>
    <w:rsid w:val="00CF2A06"/>
    <w:rsid w:val="00CF3112"/>
    <w:rsid w:val="00CF3F8C"/>
    <w:rsid w:val="00CF4201"/>
    <w:rsid w:val="00CF42FA"/>
    <w:rsid w:val="00CF4514"/>
    <w:rsid w:val="00CF4519"/>
    <w:rsid w:val="00CF45A1"/>
    <w:rsid w:val="00CF470A"/>
    <w:rsid w:val="00CF4F5B"/>
    <w:rsid w:val="00CF52EE"/>
    <w:rsid w:val="00CF5437"/>
    <w:rsid w:val="00CF556B"/>
    <w:rsid w:val="00CF58DE"/>
    <w:rsid w:val="00CF5BD7"/>
    <w:rsid w:val="00CF5D7A"/>
    <w:rsid w:val="00CF605D"/>
    <w:rsid w:val="00CF66FE"/>
    <w:rsid w:val="00CF6797"/>
    <w:rsid w:val="00CF6B12"/>
    <w:rsid w:val="00CF6D53"/>
    <w:rsid w:val="00CF70D8"/>
    <w:rsid w:val="00CF715D"/>
    <w:rsid w:val="00CF7467"/>
    <w:rsid w:val="00CF772D"/>
    <w:rsid w:val="00CF7AA5"/>
    <w:rsid w:val="00CF7DF7"/>
    <w:rsid w:val="00D000E4"/>
    <w:rsid w:val="00D000E6"/>
    <w:rsid w:val="00D00763"/>
    <w:rsid w:val="00D00856"/>
    <w:rsid w:val="00D0098C"/>
    <w:rsid w:val="00D00AF8"/>
    <w:rsid w:val="00D00CB9"/>
    <w:rsid w:val="00D015AD"/>
    <w:rsid w:val="00D01AEF"/>
    <w:rsid w:val="00D01D38"/>
    <w:rsid w:val="00D0232F"/>
    <w:rsid w:val="00D02B42"/>
    <w:rsid w:val="00D02EE9"/>
    <w:rsid w:val="00D033D8"/>
    <w:rsid w:val="00D03B81"/>
    <w:rsid w:val="00D03CB4"/>
    <w:rsid w:val="00D04A7E"/>
    <w:rsid w:val="00D05613"/>
    <w:rsid w:val="00D05635"/>
    <w:rsid w:val="00D058EE"/>
    <w:rsid w:val="00D05A2F"/>
    <w:rsid w:val="00D05B77"/>
    <w:rsid w:val="00D05BB2"/>
    <w:rsid w:val="00D05E2B"/>
    <w:rsid w:val="00D06245"/>
    <w:rsid w:val="00D06608"/>
    <w:rsid w:val="00D06613"/>
    <w:rsid w:val="00D06978"/>
    <w:rsid w:val="00D06AD8"/>
    <w:rsid w:val="00D06D30"/>
    <w:rsid w:val="00D073AC"/>
    <w:rsid w:val="00D07742"/>
    <w:rsid w:val="00D07BF9"/>
    <w:rsid w:val="00D07C36"/>
    <w:rsid w:val="00D100FE"/>
    <w:rsid w:val="00D101F1"/>
    <w:rsid w:val="00D10CB3"/>
    <w:rsid w:val="00D1149B"/>
    <w:rsid w:val="00D1174D"/>
    <w:rsid w:val="00D11B5A"/>
    <w:rsid w:val="00D11CCA"/>
    <w:rsid w:val="00D11ED1"/>
    <w:rsid w:val="00D11F49"/>
    <w:rsid w:val="00D12808"/>
    <w:rsid w:val="00D12BC8"/>
    <w:rsid w:val="00D12DC1"/>
    <w:rsid w:val="00D1339F"/>
    <w:rsid w:val="00D133FA"/>
    <w:rsid w:val="00D13A03"/>
    <w:rsid w:val="00D13C67"/>
    <w:rsid w:val="00D1450D"/>
    <w:rsid w:val="00D149EA"/>
    <w:rsid w:val="00D152E3"/>
    <w:rsid w:val="00D15625"/>
    <w:rsid w:val="00D15C8E"/>
    <w:rsid w:val="00D1625C"/>
    <w:rsid w:val="00D1638E"/>
    <w:rsid w:val="00D16DAF"/>
    <w:rsid w:val="00D170FE"/>
    <w:rsid w:val="00D1730B"/>
    <w:rsid w:val="00D17E8C"/>
    <w:rsid w:val="00D17F37"/>
    <w:rsid w:val="00D20729"/>
    <w:rsid w:val="00D208E4"/>
    <w:rsid w:val="00D2104C"/>
    <w:rsid w:val="00D21265"/>
    <w:rsid w:val="00D21426"/>
    <w:rsid w:val="00D21560"/>
    <w:rsid w:val="00D215CB"/>
    <w:rsid w:val="00D21DB1"/>
    <w:rsid w:val="00D22035"/>
    <w:rsid w:val="00D223C8"/>
    <w:rsid w:val="00D224D8"/>
    <w:rsid w:val="00D224E2"/>
    <w:rsid w:val="00D226BB"/>
    <w:rsid w:val="00D2279A"/>
    <w:rsid w:val="00D2285F"/>
    <w:rsid w:val="00D22BF5"/>
    <w:rsid w:val="00D23599"/>
    <w:rsid w:val="00D23798"/>
    <w:rsid w:val="00D23B27"/>
    <w:rsid w:val="00D23F86"/>
    <w:rsid w:val="00D23FE0"/>
    <w:rsid w:val="00D24025"/>
    <w:rsid w:val="00D242DC"/>
    <w:rsid w:val="00D244E1"/>
    <w:rsid w:val="00D252E1"/>
    <w:rsid w:val="00D262D7"/>
    <w:rsid w:val="00D26463"/>
    <w:rsid w:val="00D2658C"/>
    <w:rsid w:val="00D2704D"/>
    <w:rsid w:val="00D272B1"/>
    <w:rsid w:val="00D27319"/>
    <w:rsid w:val="00D2744F"/>
    <w:rsid w:val="00D2747F"/>
    <w:rsid w:val="00D27556"/>
    <w:rsid w:val="00D27655"/>
    <w:rsid w:val="00D27AA2"/>
    <w:rsid w:val="00D27BBC"/>
    <w:rsid w:val="00D27E00"/>
    <w:rsid w:val="00D27F09"/>
    <w:rsid w:val="00D3031D"/>
    <w:rsid w:val="00D30BFF"/>
    <w:rsid w:val="00D30EB9"/>
    <w:rsid w:val="00D31084"/>
    <w:rsid w:val="00D31414"/>
    <w:rsid w:val="00D3154B"/>
    <w:rsid w:val="00D31602"/>
    <w:rsid w:val="00D318C5"/>
    <w:rsid w:val="00D3216C"/>
    <w:rsid w:val="00D32632"/>
    <w:rsid w:val="00D33110"/>
    <w:rsid w:val="00D332D9"/>
    <w:rsid w:val="00D33393"/>
    <w:rsid w:val="00D334C0"/>
    <w:rsid w:val="00D3377A"/>
    <w:rsid w:val="00D33A41"/>
    <w:rsid w:val="00D342AD"/>
    <w:rsid w:val="00D34308"/>
    <w:rsid w:val="00D34E67"/>
    <w:rsid w:val="00D34E75"/>
    <w:rsid w:val="00D357D1"/>
    <w:rsid w:val="00D35D41"/>
    <w:rsid w:val="00D36CF8"/>
    <w:rsid w:val="00D36FF6"/>
    <w:rsid w:val="00D370D7"/>
    <w:rsid w:val="00D37419"/>
    <w:rsid w:val="00D37A34"/>
    <w:rsid w:val="00D37A72"/>
    <w:rsid w:val="00D402EF"/>
    <w:rsid w:val="00D408EF"/>
    <w:rsid w:val="00D40EC8"/>
    <w:rsid w:val="00D421AB"/>
    <w:rsid w:val="00D42E04"/>
    <w:rsid w:val="00D4305F"/>
    <w:rsid w:val="00D4320C"/>
    <w:rsid w:val="00D436D2"/>
    <w:rsid w:val="00D43711"/>
    <w:rsid w:val="00D43E0E"/>
    <w:rsid w:val="00D441CE"/>
    <w:rsid w:val="00D44E6F"/>
    <w:rsid w:val="00D45243"/>
    <w:rsid w:val="00D45382"/>
    <w:rsid w:val="00D455DB"/>
    <w:rsid w:val="00D4609F"/>
    <w:rsid w:val="00D46699"/>
    <w:rsid w:val="00D46A94"/>
    <w:rsid w:val="00D46B35"/>
    <w:rsid w:val="00D47193"/>
    <w:rsid w:val="00D47FB0"/>
    <w:rsid w:val="00D50678"/>
    <w:rsid w:val="00D5129A"/>
    <w:rsid w:val="00D51484"/>
    <w:rsid w:val="00D5194B"/>
    <w:rsid w:val="00D51B2E"/>
    <w:rsid w:val="00D52109"/>
    <w:rsid w:val="00D5290A"/>
    <w:rsid w:val="00D52ED0"/>
    <w:rsid w:val="00D53122"/>
    <w:rsid w:val="00D5347F"/>
    <w:rsid w:val="00D5361F"/>
    <w:rsid w:val="00D53640"/>
    <w:rsid w:val="00D5388D"/>
    <w:rsid w:val="00D53CFE"/>
    <w:rsid w:val="00D545BB"/>
    <w:rsid w:val="00D545DC"/>
    <w:rsid w:val="00D54FE4"/>
    <w:rsid w:val="00D55032"/>
    <w:rsid w:val="00D55096"/>
    <w:rsid w:val="00D55331"/>
    <w:rsid w:val="00D5578B"/>
    <w:rsid w:val="00D5586C"/>
    <w:rsid w:val="00D55B68"/>
    <w:rsid w:val="00D55E82"/>
    <w:rsid w:val="00D55EDA"/>
    <w:rsid w:val="00D56353"/>
    <w:rsid w:val="00D5640B"/>
    <w:rsid w:val="00D56898"/>
    <w:rsid w:val="00D568FD"/>
    <w:rsid w:val="00D56CDF"/>
    <w:rsid w:val="00D56EE5"/>
    <w:rsid w:val="00D5778F"/>
    <w:rsid w:val="00D57A3F"/>
    <w:rsid w:val="00D57E21"/>
    <w:rsid w:val="00D6040D"/>
    <w:rsid w:val="00D60862"/>
    <w:rsid w:val="00D61172"/>
    <w:rsid w:val="00D611AF"/>
    <w:rsid w:val="00D61299"/>
    <w:rsid w:val="00D61439"/>
    <w:rsid w:val="00D6146E"/>
    <w:rsid w:val="00D6197A"/>
    <w:rsid w:val="00D61989"/>
    <w:rsid w:val="00D622E0"/>
    <w:rsid w:val="00D62937"/>
    <w:rsid w:val="00D62A27"/>
    <w:rsid w:val="00D62B4E"/>
    <w:rsid w:val="00D631A9"/>
    <w:rsid w:val="00D6376A"/>
    <w:rsid w:val="00D645BF"/>
    <w:rsid w:val="00D64633"/>
    <w:rsid w:val="00D64C19"/>
    <w:rsid w:val="00D6518F"/>
    <w:rsid w:val="00D65717"/>
    <w:rsid w:val="00D65F01"/>
    <w:rsid w:val="00D661B1"/>
    <w:rsid w:val="00D667B8"/>
    <w:rsid w:val="00D66B4C"/>
    <w:rsid w:val="00D66CA5"/>
    <w:rsid w:val="00D6766F"/>
    <w:rsid w:val="00D67826"/>
    <w:rsid w:val="00D679C3"/>
    <w:rsid w:val="00D67DE8"/>
    <w:rsid w:val="00D67FF8"/>
    <w:rsid w:val="00D70283"/>
    <w:rsid w:val="00D70470"/>
    <w:rsid w:val="00D705D3"/>
    <w:rsid w:val="00D70630"/>
    <w:rsid w:val="00D707A8"/>
    <w:rsid w:val="00D7094E"/>
    <w:rsid w:val="00D70C6B"/>
    <w:rsid w:val="00D7112F"/>
    <w:rsid w:val="00D714BF"/>
    <w:rsid w:val="00D71E20"/>
    <w:rsid w:val="00D71F69"/>
    <w:rsid w:val="00D721A8"/>
    <w:rsid w:val="00D7224E"/>
    <w:rsid w:val="00D725C7"/>
    <w:rsid w:val="00D727EF"/>
    <w:rsid w:val="00D729AB"/>
    <w:rsid w:val="00D72FCA"/>
    <w:rsid w:val="00D73104"/>
    <w:rsid w:val="00D73311"/>
    <w:rsid w:val="00D735C4"/>
    <w:rsid w:val="00D73846"/>
    <w:rsid w:val="00D73DAA"/>
    <w:rsid w:val="00D73F80"/>
    <w:rsid w:val="00D74556"/>
    <w:rsid w:val="00D7479C"/>
    <w:rsid w:val="00D749A4"/>
    <w:rsid w:val="00D74A68"/>
    <w:rsid w:val="00D7543E"/>
    <w:rsid w:val="00D75A81"/>
    <w:rsid w:val="00D761A4"/>
    <w:rsid w:val="00D762C6"/>
    <w:rsid w:val="00D76514"/>
    <w:rsid w:val="00D767FC"/>
    <w:rsid w:val="00D76800"/>
    <w:rsid w:val="00D76B4B"/>
    <w:rsid w:val="00D76CE2"/>
    <w:rsid w:val="00D76E43"/>
    <w:rsid w:val="00D76E56"/>
    <w:rsid w:val="00D77BA0"/>
    <w:rsid w:val="00D802E6"/>
    <w:rsid w:val="00D80609"/>
    <w:rsid w:val="00D81517"/>
    <w:rsid w:val="00D82141"/>
    <w:rsid w:val="00D82AE4"/>
    <w:rsid w:val="00D82B0A"/>
    <w:rsid w:val="00D82B5C"/>
    <w:rsid w:val="00D82C15"/>
    <w:rsid w:val="00D82CF1"/>
    <w:rsid w:val="00D83113"/>
    <w:rsid w:val="00D83233"/>
    <w:rsid w:val="00D8356D"/>
    <w:rsid w:val="00D83FC7"/>
    <w:rsid w:val="00D84291"/>
    <w:rsid w:val="00D84D93"/>
    <w:rsid w:val="00D84E84"/>
    <w:rsid w:val="00D8598C"/>
    <w:rsid w:val="00D85D44"/>
    <w:rsid w:val="00D85F06"/>
    <w:rsid w:val="00D865BF"/>
    <w:rsid w:val="00D86E18"/>
    <w:rsid w:val="00D8758A"/>
    <w:rsid w:val="00D876DB"/>
    <w:rsid w:val="00D87A5C"/>
    <w:rsid w:val="00D87D01"/>
    <w:rsid w:val="00D87EA6"/>
    <w:rsid w:val="00D87FE5"/>
    <w:rsid w:val="00D904B1"/>
    <w:rsid w:val="00D906E8"/>
    <w:rsid w:val="00D9072A"/>
    <w:rsid w:val="00D91018"/>
    <w:rsid w:val="00D916B9"/>
    <w:rsid w:val="00D919C8"/>
    <w:rsid w:val="00D91A16"/>
    <w:rsid w:val="00D91B58"/>
    <w:rsid w:val="00D924AB"/>
    <w:rsid w:val="00D92DE4"/>
    <w:rsid w:val="00D92DF4"/>
    <w:rsid w:val="00D92E2A"/>
    <w:rsid w:val="00D931AA"/>
    <w:rsid w:val="00D931CC"/>
    <w:rsid w:val="00D931FC"/>
    <w:rsid w:val="00D93375"/>
    <w:rsid w:val="00D93B21"/>
    <w:rsid w:val="00D93E21"/>
    <w:rsid w:val="00D93E97"/>
    <w:rsid w:val="00D93F9C"/>
    <w:rsid w:val="00D94334"/>
    <w:rsid w:val="00D94405"/>
    <w:rsid w:val="00D94FB9"/>
    <w:rsid w:val="00D951D0"/>
    <w:rsid w:val="00D9562D"/>
    <w:rsid w:val="00D957B1"/>
    <w:rsid w:val="00D9654D"/>
    <w:rsid w:val="00D968A5"/>
    <w:rsid w:val="00D96B60"/>
    <w:rsid w:val="00D973C7"/>
    <w:rsid w:val="00D97B45"/>
    <w:rsid w:val="00DA01D1"/>
    <w:rsid w:val="00DA044F"/>
    <w:rsid w:val="00DA045C"/>
    <w:rsid w:val="00DA071F"/>
    <w:rsid w:val="00DA0742"/>
    <w:rsid w:val="00DA09D6"/>
    <w:rsid w:val="00DA0A8C"/>
    <w:rsid w:val="00DA0BBF"/>
    <w:rsid w:val="00DA0CA9"/>
    <w:rsid w:val="00DA0F2D"/>
    <w:rsid w:val="00DA10DF"/>
    <w:rsid w:val="00DA193B"/>
    <w:rsid w:val="00DA1C19"/>
    <w:rsid w:val="00DA1D85"/>
    <w:rsid w:val="00DA24A7"/>
    <w:rsid w:val="00DA2799"/>
    <w:rsid w:val="00DA2BE6"/>
    <w:rsid w:val="00DA3087"/>
    <w:rsid w:val="00DA30AA"/>
    <w:rsid w:val="00DA314D"/>
    <w:rsid w:val="00DA34CE"/>
    <w:rsid w:val="00DA3921"/>
    <w:rsid w:val="00DA3AD9"/>
    <w:rsid w:val="00DA3C57"/>
    <w:rsid w:val="00DA3EC4"/>
    <w:rsid w:val="00DA40B6"/>
    <w:rsid w:val="00DA435A"/>
    <w:rsid w:val="00DA479D"/>
    <w:rsid w:val="00DA4BEE"/>
    <w:rsid w:val="00DA4C05"/>
    <w:rsid w:val="00DA5425"/>
    <w:rsid w:val="00DA5A40"/>
    <w:rsid w:val="00DA683C"/>
    <w:rsid w:val="00DA6A6F"/>
    <w:rsid w:val="00DA6E7B"/>
    <w:rsid w:val="00DA6F4C"/>
    <w:rsid w:val="00DA736B"/>
    <w:rsid w:val="00DA7971"/>
    <w:rsid w:val="00DA7986"/>
    <w:rsid w:val="00DA7B93"/>
    <w:rsid w:val="00DA7D7F"/>
    <w:rsid w:val="00DB0278"/>
    <w:rsid w:val="00DB0B35"/>
    <w:rsid w:val="00DB1036"/>
    <w:rsid w:val="00DB118A"/>
    <w:rsid w:val="00DB15D4"/>
    <w:rsid w:val="00DB173D"/>
    <w:rsid w:val="00DB18B9"/>
    <w:rsid w:val="00DB1FB1"/>
    <w:rsid w:val="00DB204A"/>
    <w:rsid w:val="00DB21AC"/>
    <w:rsid w:val="00DB2309"/>
    <w:rsid w:val="00DB2536"/>
    <w:rsid w:val="00DB283B"/>
    <w:rsid w:val="00DB3303"/>
    <w:rsid w:val="00DB351C"/>
    <w:rsid w:val="00DB39D2"/>
    <w:rsid w:val="00DB3AB1"/>
    <w:rsid w:val="00DB3B81"/>
    <w:rsid w:val="00DB3BE2"/>
    <w:rsid w:val="00DB3CFF"/>
    <w:rsid w:val="00DB3E74"/>
    <w:rsid w:val="00DB3F43"/>
    <w:rsid w:val="00DB4433"/>
    <w:rsid w:val="00DB446A"/>
    <w:rsid w:val="00DB44BF"/>
    <w:rsid w:val="00DB4666"/>
    <w:rsid w:val="00DB4D62"/>
    <w:rsid w:val="00DB4D88"/>
    <w:rsid w:val="00DB4F58"/>
    <w:rsid w:val="00DB4F67"/>
    <w:rsid w:val="00DB5AC7"/>
    <w:rsid w:val="00DB5CF1"/>
    <w:rsid w:val="00DB6163"/>
    <w:rsid w:val="00DB6363"/>
    <w:rsid w:val="00DB6697"/>
    <w:rsid w:val="00DB748A"/>
    <w:rsid w:val="00DB754F"/>
    <w:rsid w:val="00DB7903"/>
    <w:rsid w:val="00DB7A70"/>
    <w:rsid w:val="00DB7C4D"/>
    <w:rsid w:val="00DB7F03"/>
    <w:rsid w:val="00DC0279"/>
    <w:rsid w:val="00DC05CC"/>
    <w:rsid w:val="00DC0919"/>
    <w:rsid w:val="00DC0BF1"/>
    <w:rsid w:val="00DC0CA5"/>
    <w:rsid w:val="00DC16E9"/>
    <w:rsid w:val="00DC1B0D"/>
    <w:rsid w:val="00DC1D28"/>
    <w:rsid w:val="00DC210D"/>
    <w:rsid w:val="00DC249C"/>
    <w:rsid w:val="00DC26F1"/>
    <w:rsid w:val="00DC27D3"/>
    <w:rsid w:val="00DC33D2"/>
    <w:rsid w:val="00DC3825"/>
    <w:rsid w:val="00DC3F63"/>
    <w:rsid w:val="00DC41A1"/>
    <w:rsid w:val="00DC443C"/>
    <w:rsid w:val="00DC4975"/>
    <w:rsid w:val="00DC4B82"/>
    <w:rsid w:val="00DC51DF"/>
    <w:rsid w:val="00DC53D8"/>
    <w:rsid w:val="00DC644D"/>
    <w:rsid w:val="00DC652B"/>
    <w:rsid w:val="00DC665C"/>
    <w:rsid w:val="00DC66B6"/>
    <w:rsid w:val="00DC6AEB"/>
    <w:rsid w:val="00DC6B54"/>
    <w:rsid w:val="00DC6E39"/>
    <w:rsid w:val="00DC705F"/>
    <w:rsid w:val="00DC776D"/>
    <w:rsid w:val="00DD066E"/>
    <w:rsid w:val="00DD0779"/>
    <w:rsid w:val="00DD0C46"/>
    <w:rsid w:val="00DD0CA3"/>
    <w:rsid w:val="00DD1559"/>
    <w:rsid w:val="00DD1724"/>
    <w:rsid w:val="00DD19CD"/>
    <w:rsid w:val="00DD22C6"/>
    <w:rsid w:val="00DD242B"/>
    <w:rsid w:val="00DD28F8"/>
    <w:rsid w:val="00DD2B53"/>
    <w:rsid w:val="00DD2F0E"/>
    <w:rsid w:val="00DD34A6"/>
    <w:rsid w:val="00DD3CE1"/>
    <w:rsid w:val="00DD44D0"/>
    <w:rsid w:val="00DD4B70"/>
    <w:rsid w:val="00DD5108"/>
    <w:rsid w:val="00DD5788"/>
    <w:rsid w:val="00DD5A82"/>
    <w:rsid w:val="00DD5B43"/>
    <w:rsid w:val="00DD60DE"/>
    <w:rsid w:val="00DD649E"/>
    <w:rsid w:val="00DD660B"/>
    <w:rsid w:val="00DD6CEF"/>
    <w:rsid w:val="00DD6D80"/>
    <w:rsid w:val="00DD702F"/>
    <w:rsid w:val="00DD7F95"/>
    <w:rsid w:val="00DE02A5"/>
    <w:rsid w:val="00DE08AA"/>
    <w:rsid w:val="00DE0987"/>
    <w:rsid w:val="00DE0A62"/>
    <w:rsid w:val="00DE0F7A"/>
    <w:rsid w:val="00DE185B"/>
    <w:rsid w:val="00DE1F30"/>
    <w:rsid w:val="00DE1F4E"/>
    <w:rsid w:val="00DE1FE0"/>
    <w:rsid w:val="00DE239F"/>
    <w:rsid w:val="00DE357D"/>
    <w:rsid w:val="00DE36E4"/>
    <w:rsid w:val="00DE371A"/>
    <w:rsid w:val="00DE37C7"/>
    <w:rsid w:val="00DE4159"/>
    <w:rsid w:val="00DE42E0"/>
    <w:rsid w:val="00DE46A6"/>
    <w:rsid w:val="00DE48EF"/>
    <w:rsid w:val="00DE4954"/>
    <w:rsid w:val="00DE49DF"/>
    <w:rsid w:val="00DE4C36"/>
    <w:rsid w:val="00DE4FDC"/>
    <w:rsid w:val="00DE528E"/>
    <w:rsid w:val="00DE5A3E"/>
    <w:rsid w:val="00DE62D9"/>
    <w:rsid w:val="00DE64A9"/>
    <w:rsid w:val="00DE6B34"/>
    <w:rsid w:val="00DE701E"/>
    <w:rsid w:val="00DE70BF"/>
    <w:rsid w:val="00DF015E"/>
    <w:rsid w:val="00DF0463"/>
    <w:rsid w:val="00DF08B7"/>
    <w:rsid w:val="00DF090C"/>
    <w:rsid w:val="00DF099E"/>
    <w:rsid w:val="00DF0B7B"/>
    <w:rsid w:val="00DF0DE1"/>
    <w:rsid w:val="00DF0EFD"/>
    <w:rsid w:val="00DF1B0E"/>
    <w:rsid w:val="00DF1F1E"/>
    <w:rsid w:val="00DF2195"/>
    <w:rsid w:val="00DF2A8B"/>
    <w:rsid w:val="00DF2BC3"/>
    <w:rsid w:val="00DF2CC6"/>
    <w:rsid w:val="00DF38C2"/>
    <w:rsid w:val="00DF3FDA"/>
    <w:rsid w:val="00DF4D37"/>
    <w:rsid w:val="00DF4D43"/>
    <w:rsid w:val="00DF4F51"/>
    <w:rsid w:val="00DF52F5"/>
    <w:rsid w:val="00DF551F"/>
    <w:rsid w:val="00DF560D"/>
    <w:rsid w:val="00DF58F2"/>
    <w:rsid w:val="00DF5978"/>
    <w:rsid w:val="00DF5B1D"/>
    <w:rsid w:val="00DF5D73"/>
    <w:rsid w:val="00DF61C6"/>
    <w:rsid w:val="00DF62F7"/>
    <w:rsid w:val="00DF6A87"/>
    <w:rsid w:val="00DF6AAA"/>
    <w:rsid w:val="00DF7522"/>
    <w:rsid w:val="00DF7616"/>
    <w:rsid w:val="00DF7791"/>
    <w:rsid w:val="00DF7F1F"/>
    <w:rsid w:val="00DF7FBE"/>
    <w:rsid w:val="00E0018A"/>
    <w:rsid w:val="00E00A2D"/>
    <w:rsid w:val="00E00B0C"/>
    <w:rsid w:val="00E00DFD"/>
    <w:rsid w:val="00E0191A"/>
    <w:rsid w:val="00E01EC4"/>
    <w:rsid w:val="00E02504"/>
    <w:rsid w:val="00E025E8"/>
    <w:rsid w:val="00E02C55"/>
    <w:rsid w:val="00E02D61"/>
    <w:rsid w:val="00E03446"/>
    <w:rsid w:val="00E03583"/>
    <w:rsid w:val="00E0483A"/>
    <w:rsid w:val="00E04966"/>
    <w:rsid w:val="00E05063"/>
    <w:rsid w:val="00E0566D"/>
    <w:rsid w:val="00E059A4"/>
    <w:rsid w:val="00E05C23"/>
    <w:rsid w:val="00E05DF2"/>
    <w:rsid w:val="00E06272"/>
    <w:rsid w:val="00E06582"/>
    <w:rsid w:val="00E066D6"/>
    <w:rsid w:val="00E06A3D"/>
    <w:rsid w:val="00E06B16"/>
    <w:rsid w:val="00E06C72"/>
    <w:rsid w:val="00E07604"/>
    <w:rsid w:val="00E076E7"/>
    <w:rsid w:val="00E07B1F"/>
    <w:rsid w:val="00E07CB2"/>
    <w:rsid w:val="00E10082"/>
    <w:rsid w:val="00E1021F"/>
    <w:rsid w:val="00E105BB"/>
    <w:rsid w:val="00E10D1E"/>
    <w:rsid w:val="00E10D26"/>
    <w:rsid w:val="00E10E4E"/>
    <w:rsid w:val="00E10FA2"/>
    <w:rsid w:val="00E111BD"/>
    <w:rsid w:val="00E1129A"/>
    <w:rsid w:val="00E11426"/>
    <w:rsid w:val="00E11492"/>
    <w:rsid w:val="00E12376"/>
    <w:rsid w:val="00E12A9F"/>
    <w:rsid w:val="00E12BD4"/>
    <w:rsid w:val="00E12D14"/>
    <w:rsid w:val="00E12D77"/>
    <w:rsid w:val="00E12E62"/>
    <w:rsid w:val="00E1358F"/>
    <w:rsid w:val="00E13788"/>
    <w:rsid w:val="00E13CE6"/>
    <w:rsid w:val="00E13D3A"/>
    <w:rsid w:val="00E13DAD"/>
    <w:rsid w:val="00E1419D"/>
    <w:rsid w:val="00E1496D"/>
    <w:rsid w:val="00E14B96"/>
    <w:rsid w:val="00E14BB4"/>
    <w:rsid w:val="00E14C8A"/>
    <w:rsid w:val="00E14DC2"/>
    <w:rsid w:val="00E14DF9"/>
    <w:rsid w:val="00E15472"/>
    <w:rsid w:val="00E15966"/>
    <w:rsid w:val="00E15BC2"/>
    <w:rsid w:val="00E16902"/>
    <w:rsid w:val="00E16A26"/>
    <w:rsid w:val="00E16B13"/>
    <w:rsid w:val="00E16C78"/>
    <w:rsid w:val="00E1744B"/>
    <w:rsid w:val="00E178DE"/>
    <w:rsid w:val="00E17F54"/>
    <w:rsid w:val="00E20428"/>
    <w:rsid w:val="00E204EB"/>
    <w:rsid w:val="00E20541"/>
    <w:rsid w:val="00E210F1"/>
    <w:rsid w:val="00E21370"/>
    <w:rsid w:val="00E216BC"/>
    <w:rsid w:val="00E21A29"/>
    <w:rsid w:val="00E21DD0"/>
    <w:rsid w:val="00E22883"/>
    <w:rsid w:val="00E22AB9"/>
    <w:rsid w:val="00E22E7B"/>
    <w:rsid w:val="00E235FC"/>
    <w:rsid w:val="00E239AE"/>
    <w:rsid w:val="00E23CCD"/>
    <w:rsid w:val="00E24338"/>
    <w:rsid w:val="00E243B3"/>
    <w:rsid w:val="00E2486A"/>
    <w:rsid w:val="00E24D05"/>
    <w:rsid w:val="00E252E9"/>
    <w:rsid w:val="00E254A6"/>
    <w:rsid w:val="00E256CA"/>
    <w:rsid w:val="00E25C53"/>
    <w:rsid w:val="00E2626D"/>
    <w:rsid w:val="00E2667A"/>
    <w:rsid w:val="00E266AD"/>
    <w:rsid w:val="00E2676E"/>
    <w:rsid w:val="00E2678E"/>
    <w:rsid w:val="00E26B52"/>
    <w:rsid w:val="00E26FB4"/>
    <w:rsid w:val="00E27151"/>
    <w:rsid w:val="00E271A0"/>
    <w:rsid w:val="00E27A49"/>
    <w:rsid w:val="00E27E9A"/>
    <w:rsid w:val="00E3138A"/>
    <w:rsid w:val="00E3152A"/>
    <w:rsid w:val="00E316E8"/>
    <w:rsid w:val="00E31767"/>
    <w:rsid w:val="00E317F4"/>
    <w:rsid w:val="00E31A1A"/>
    <w:rsid w:val="00E31A7A"/>
    <w:rsid w:val="00E32053"/>
    <w:rsid w:val="00E32224"/>
    <w:rsid w:val="00E32F2F"/>
    <w:rsid w:val="00E330E9"/>
    <w:rsid w:val="00E333EE"/>
    <w:rsid w:val="00E3345C"/>
    <w:rsid w:val="00E33DEF"/>
    <w:rsid w:val="00E33E37"/>
    <w:rsid w:val="00E34217"/>
    <w:rsid w:val="00E34265"/>
    <w:rsid w:val="00E34497"/>
    <w:rsid w:val="00E345D6"/>
    <w:rsid w:val="00E353F1"/>
    <w:rsid w:val="00E3588C"/>
    <w:rsid w:val="00E358EF"/>
    <w:rsid w:val="00E35EBF"/>
    <w:rsid w:val="00E36A20"/>
    <w:rsid w:val="00E36C08"/>
    <w:rsid w:val="00E36DC0"/>
    <w:rsid w:val="00E3745D"/>
    <w:rsid w:val="00E37471"/>
    <w:rsid w:val="00E375C3"/>
    <w:rsid w:val="00E3765B"/>
    <w:rsid w:val="00E3777C"/>
    <w:rsid w:val="00E402DD"/>
    <w:rsid w:val="00E40FFF"/>
    <w:rsid w:val="00E41048"/>
    <w:rsid w:val="00E4127B"/>
    <w:rsid w:val="00E41585"/>
    <w:rsid w:val="00E41AF8"/>
    <w:rsid w:val="00E41B93"/>
    <w:rsid w:val="00E41D75"/>
    <w:rsid w:val="00E42031"/>
    <w:rsid w:val="00E42910"/>
    <w:rsid w:val="00E42B9E"/>
    <w:rsid w:val="00E435F2"/>
    <w:rsid w:val="00E437FD"/>
    <w:rsid w:val="00E43C9B"/>
    <w:rsid w:val="00E448BA"/>
    <w:rsid w:val="00E44921"/>
    <w:rsid w:val="00E44CE4"/>
    <w:rsid w:val="00E44E0F"/>
    <w:rsid w:val="00E458DC"/>
    <w:rsid w:val="00E460F5"/>
    <w:rsid w:val="00E461FD"/>
    <w:rsid w:val="00E46298"/>
    <w:rsid w:val="00E467CA"/>
    <w:rsid w:val="00E468BE"/>
    <w:rsid w:val="00E46A44"/>
    <w:rsid w:val="00E46AC7"/>
    <w:rsid w:val="00E46B79"/>
    <w:rsid w:val="00E46C43"/>
    <w:rsid w:val="00E47092"/>
    <w:rsid w:val="00E47235"/>
    <w:rsid w:val="00E4753B"/>
    <w:rsid w:val="00E47A89"/>
    <w:rsid w:val="00E47BBE"/>
    <w:rsid w:val="00E47F62"/>
    <w:rsid w:val="00E47F84"/>
    <w:rsid w:val="00E50218"/>
    <w:rsid w:val="00E50802"/>
    <w:rsid w:val="00E50864"/>
    <w:rsid w:val="00E5093B"/>
    <w:rsid w:val="00E509E9"/>
    <w:rsid w:val="00E50FB9"/>
    <w:rsid w:val="00E510F8"/>
    <w:rsid w:val="00E5132E"/>
    <w:rsid w:val="00E51675"/>
    <w:rsid w:val="00E51780"/>
    <w:rsid w:val="00E524B1"/>
    <w:rsid w:val="00E524EB"/>
    <w:rsid w:val="00E528AB"/>
    <w:rsid w:val="00E5299E"/>
    <w:rsid w:val="00E54177"/>
    <w:rsid w:val="00E545F3"/>
    <w:rsid w:val="00E54ACA"/>
    <w:rsid w:val="00E55C79"/>
    <w:rsid w:val="00E5648E"/>
    <w:rsid w:val="00E5654D"/>
    <w:rsid w:val="00E5669D"/>
    <w:rsid w:val="00E56DBC"/>
    <w:rsid w:val="00E56FDE"/>
    <w:rsid w:val="00E5710E"/>
    <w:rsid w:val="00E57312"/>
    <w:rsid w:val="00E576FA"/>
    <w:rsid w:val="00E57A5A"/>
    <w:rsid w:val="00E57BD0"/>
    <w:rsid w:val="00E57C65"/>
    <w:rsid w:val="00E57E81"/>
    <w:rsid w:val="00E57ECC"/>
    <w:rsid w:val="00E600F7"/>
    <w:rsid w:val="00E602BD"/>
    <w:rsid w:val="00E602E1"/>
    <w:rsid w:val="00E60A45"/>
    <w:rsid w:val="00E60A4E"/>
    <w:rsid w:val="00E61135"/>
    <w:rsid w:val="00E6126A"/>
    <w:rsid w:val="00E61502"/>
    <w:rsid w:val="00E615FC"/>
    <w:rsid w:val="00E618C2"/>
    <w:rsid w:val="00E618D8"/>
    <w:rsid w:val="00E61916"/>
    <w:rsid w:val="00E61970"/>
    <w:rsid w:val="00E61973"/>
    <w:rsid w:val="00E61974"/>
    <w:rsid w:val="00E61D91"/>
    <w:rsid w:val="00E6215D"/>
    <w:rsid w:val="00E624DB"/>
    <w:rsid w:val="00E62718"/>
    <w:rsid w:val="00E62A07"/>
    <w:rsid w:val="00E62BB2"/>
    <w:rsid w:val="00E6350C"/>
    <w:rsid w:val="00E638A8"/>
    <w:rsid w:val="00E639D8"/>
    <w:rsid w:val="00E63F40"/>
    <w:rsid w:val="00E640C6"/>
    <w:rsid w:val="00E64EF3"/>
    <w:rsid w:val="00E6502E"/>
    <w:rsid w:val="00E65E76"/>
    <w:rsid w:val="00E65F91"/>
    <w:rsid w:val="00E66044"/>
    <w:rsid w:val="00E6667D"/>
    <w:rsid w:val="00E66BB0"/>
    <w:rsid w:val="00E66EF1"/>
    <w:rsid w:val="00E66F19"/>
    <w:rsid w:val="00E671A7"/>
    <w:rsid w:val="00E672AE"/>
    <w:rsid w:val="00E673DF"/>
    <w:rsid w:val="00E6748F"/>
    <w:rsid w:val="00E6793C"/>
    <w:rsid w:val="00E67A7C"/>
    <w:rsid w:val="00E7097A"/>
    <w:rsid w:val="00E70D3E"/>
    <w:rsid w:val="00E70DBF"/>
    <w:rsid w:val="00E70E1D"/>
    <w:rsid w:val="00E70EF9"/>
    <w:rsid w:val="00E70FF2"/>
    <w:rsid w:val="00E712E1"/>
    <w:rsid w:val="00E71582"/>
    <w:rsid w:val="00E7170E"/>
    <w:rsid w:val="00E7171A"/>
    <w:rsid w:val="00E718AC"/>
    <w:rsid w:val="00E719AE"/>
    <w:rsid w:val="00E71BA2"/>
    <w:rsid w:val="00E727CB"/>
    <w:rsid w:val="00E72953"/>
    <w:rsid w:val="00E72EF9"/>
    <w:rsid w:val="00E73C9A"/>
    <w:rsid w:val="00E73ED6"/>
    <w:rsid w:val="00E740B2"/>
    <w:rsid w:val="00E74583"/>
    <w:rsid w:val="00E745D9"/>
    <w:rsid w:val="00E75217"/>
    <w:rsid w:val="00E75295"/>
    <w:rsid w:val="00E7570E"/>
    <w:rsid w:val="00E7662E"/>
    <w:rsid w:val="00E76A35"/>
    <w:rsid w:val="00E76D06"/>
    <w:rsid w:val="00E76D31"/>
    <w:rsid w:val="00E77037"/>
    <w:rsid w:val="00E774DF"/>
    <w:rsid w:val="00E778AA"/>
    <w:rsid w:val="00E77B41"/>
    <w:rsid w:val="00E80966"/>
    <w:rsid w:val="00E809A2"/>
    <w:rsid w:val="00E80A1F"/>
    <w:rsid w:val="00E80B86"/>
    <w:rsid w:val="00E8118E"/>
    <w:rsid w:val="00E8122E"/>
    <w:rsid w:val="00E8129C"/>
    <w:rsid w:val="00E8131A"/>
    <w:rsid w:val="00E81777"/>
    <w:rsid w:val="00E8197E"/>
    <w:rsid w:val="00E81A03"/>
    <w:rsid w:val="00E81B18"/>
    <w:rsid w:val="00E81D62"/>
    <w:rsid w:val="00E823E2"/>
    <w:rsid w:val="00E8254C"/>
    <w:rsid w:val="00E8326F"/>
    <w:rsid w:val="00E839FA"/>
    <w:rsid w:val="00E84197"/>
    <w:rsid w:val="00E84609"/>
    <w:rsid w:val="00E85402"/>
    <w:rsid w:val="00E85920"/>
    <w:rsid w:val="00E85ABC"/>
    <w:rsid w:val="00E86592"/>
    <w:rsid w:val="00E86A66"/>
    <w:rsid w:val="00E86A7B"/>
    <w:rsid w:val="00E86B4C"/>
    <w:rsid w:val="00E86BB7"/>
    <w:rsid w:val="00E86C88"/>
    <w:rsid w:val="00E86D0F"/>
    <w:rsid w:val="00E86D8F"/>
    <w:rsid w:val="00E86E26"/>
    <w:rsid w:val="00E86ED8"/>
    <w:rsid w:val="00E86EDE"/>
    <w:rsid w:val="00E87CD5"/>
    <w:rsid w:val="00E87D4C"/>
    <w:rsid w:val="00E9000D"/>
    <w:rsid w:val="00E905D4"/>
    <w:rsid w:val="00E9106F"/>
    <w:rsid w:val="00E9142B"/>
    <w:rsid w:val="00E918D5"/>
    <w:rsid w:val="00E91954"/>
    <w:rsid w:val="00E9197C"/>
    <w:rsid w:val="00E91BEF"/>
    <w:rsid w:val="00E923BD"/>
    <w:rsid w:val="00E93104"/>
    <w:rsid w:val="00E9314B"/>
    <w:rsid w:val="00E93230"/>
    <w:rsid w:val="00E936B5"/>
    <w:rsid w:val="00E93B00"/>
    <w:rsid w:val="00E93F88"/>
    <w:rsid w:val="00E940F4"/>
    <w:rsid w:val="00E94105"/>
    <w:rsid w:val="00E942C2"/>
    <w:rsid w:val="00E942D6"/>
    <w:rsid w:val="00E94301"/>
    <w:rsid w:val="00E94347"/>
    <w:rsid w:val="00E94607"/>
    <w:rsid w:val="00E949DE"/>
    <w:rsid w:val="00E94BEB"/>
    <w:rsid w:val="00E95628"/>
    <w:rsid w:val="00E958F9"/>
    <w:rsid w:val="00E95DC7"/>
    <w:rsid w:val="00E95EBD"/>
    <w:rsid w:val="00E96024"/>
    <w:rsid w:val="00E96864"/>
    <w:rsid w:val="00E96933"/>
    <w:rsid w:val="00E969F9"/>
    <w:rsid w:val="00E96D1D"/>
    <w:rsid w:val="00E96D57"/>
    <w:rsid w:val="00E96EE1"/>
    <w:rsid w:val="00E971AD"/>
    <w:rsid w:val="00E976B3"/>
    <w:rsid w:val="00E97746"/>
    <w:rsid w:val="00E97DA5"/>
    <w:rsid w:val="00E97E87"/>
    <w:rsid w:val="00E97EEE"/>
    <w:rsid w:val="00EA04B4"/>
    <w:rsid w:val="00EA052F"/>
    <w:rsid w:val="00EA0F9B"/>
    <w:rsid w:val="00EA1056"/>
    <w:rsid w:val="00EA12DE"/>
    <w:rsid w:val="00EA146F"/>
    <w:rsid w:val="00EA16DA"/>
    <w:rsid w:val="00EA1D41"/>
    <w:rsid w:val="00EA1F0E"/>
    <w:rsid w:val="00EA22E5"/>
    <w:rsid w:val="00EA26A7"/>
    <w:rsid w:val="00EA27E9"/>
    <w:rsid w:val="00EA2CCF"/>
    <w:rsid w:val="00EA330E"/>
    <w:rsid w:val="00EA33B2"/>
    <w:rsid w:val="00EA3924"/>
    <w:rsid w:val="00EA3C82"/>
    <w:rsid w:val="00EA3DC4"/>
    <w:rsid w:val="00EA3EEE"/>
    <w:rsid w:val="00EA3F9C"/>
    <w:rsid w:val="00EA4108"/>
    <w:rsid w:val="00EA41AC"/>
    <w:rsid w:val="00EA41E1"/>
    <w:rsid w:val="00EA4801"/>
    <w:rsid w:val="00EA4920"/>
    <w:rsid w:val="00EA4AC8"/>
    <w:rsid w:val="00EA4CD6"/>
    <w:rsid w:val="00EA5529"/>
    <w:rsid w:val="00EA5736"/>
    <w:rsid w:val="00EA5BC6"/>
    <w:rsid w:val="00EA5DB3"/>
    <w:rsid w:val="00EA5F8C"/>
    <w:rsid w:val="00EA6094"/>
    <w:rsid w:val="00EA6311"/>
    <w:rsid w:val="00EA7273"/>
    <w:rsid w:val="00EA78B3"/>
    <w:rsid w:val="00EA791B"/>
    <w:rsid w:val="00EA795A"/>
    <w:rsid w:val="00EB00C7"/>
    <w:rsid w:val="00EB0264"/>
    <w:rsid w:val="00EB038D"/>
    <w:rsid w:val="00EB0888"/>
    <w:rsid w:val="00EB09DC"/>
    <w:rsid w:val="00EB0D9A"/>
    <w:rsid w:val="00EB10F9"/>
    <w:rsid w:val="00EB1C2C"/>
    <w:rsid w:val="00EB1C67"/>
    <w:rsid w:val="00EB258B"/>
    <w:rsid w:val="00EB2864"/>
    <w:rsid w:val="00EB2969"/>
    <w:rsid w:val="00EB2A2C"/>
    <w:rsid w:val="00EB2C29"/>
    <w:rsid w:val="00EB2DBB"/>
    <w:rsid w:val="00EB2EB3"/>
    <w:rsid w:val="00EB2F6A"/>
    <w:rsid w:val="00EB36E6"/>
    <w:rsid w:val="00EB3750"/>
    <w:rsid w:val="00EB37E3"/>
    <w:rsid w:val="00EB39D9"/>
    <w:rsid w:val="00EB40B3"/>
    <w:rsid w:val="00EB430C"/>
    <w:rsid w:val="00EB46D8"/>
    <w:rsid w:val="00EB4C19"/>
    <w:rsid w:val="00EB5321"/>
    <w:rsid w:val="00EB5CA6"/>
    <w:rsid w:val="00EB6073"/>
    <w:rsid w:val="00EB620A"/>
    <w:rsid w:val="00EB63BA"/>
    <w:rsid w:val="00EB6567"/>
    <w:rsid w:val="00EB68B3"/>
    <w:rsid w:val="00EB7628"/>
    <w:rsid w:val="00EB7BF0"/>
    <w:rsid w:val="00EC04C9"/>
    <w:rsid w:val="00EC0658"/>
    <w:rsid w:val="00EC0677"/>
    <w:rsid w:val="00EC0EF6"/>
    <w:rsid w:val="00EC1094"/>
    <w:rsid w:val="00EC13D2"/>
    <w:rsid w:val="00EC1A96"/>
    <w:rsid w:val="00EC1D62"/>
    <w:rsid w:val="00EC22D7"/>
    <w:rsid w:val="00EC248C"/>
    <w:rsid w:val="00EC271E"/>
    <w:rsid w:val="00EC2930"/>
    <w:rsid w:val="00EC2CA6"/>
    <w:rsid w:val="00EC2CF2"/>
    <w:rsid w:val="00EC2F00"/>
    <w:rsid w:val="00EC2F30"/>
    <w:rsid w:val="00EC3145"/>
    <w:rsid w:val="00EC3AB2"/>
    <w:rsid w:val="00EC3B6F"/>
    <w:rsid w:val="00EC3C4B"/>
    <w:rsid w:val="00EC3DFA"/>
    <w:rsid w:val="00EC3E17"/>
    <w:rsid w:val="00EC417F"/>
    <w:rsid w:val="00EC4229"/>
    <w:rsid w:val="00EC4637"/>
    <w:rsid w:val="00EC49CE"/>
    <w:rsid w:val="00EC4D1B"/>
    <w:rsid w:val="00EC51FF"/>
    <w:rsid w:val="00EC526F"/>
    <w:rsid w:val="00EC5282"/>
    <w:rsid w:val="00EC531A"/>
    <w:rsid w:val="00EC545C"/>
    <w:rsid w:val="00EC558C"/>
    <w:rsid w:val="00EC5A04"/>
    <w:rsid w:val="00EC5BD6"/>
    <w:rsid w:val="00EC5F3B"/>
    <w:rsid w:val="00EC6153"/>
    <w:rsid w:val="00EC6420"/>
    <w:rsid w:val="00EC705B"/>
    <w:rsid w:val="00EC72C8"/>
    <w:rsid w:val="00EC73C0"/>
    <w:rsid w:val="00EC78B9"/>
    <w:rsid w:val="00ED0169"/>
    <w:rsid w:val="00ED04C3"/>
    <w:rsid w:val="00ED0556"/>
    <w:rsid w:val="00ED0871"/>
    <w:rsid w:val="00ED09C6"/>
    <w:rsid w:val="00ED2824"/>
    <w:rsid w:val="00ED2D02"/>
    <w:rsid w:val="00ED2D98"/>
    <w:rsid w:val="00ED3140"/>
    <w:rsid w:val="00ED31C3"/>
    <w:rsid w:val="00ED4073"/>
    <w:rsid w:val="00ED43E4"/>
    <w:rsid w:val="00ED456A"/>
    <w:rsid w:val="00ED4ADC"/>
    <w:rsid w:val="00ED51F1"/>
    <w:rsid w:val="00ED5603"/>
    <w:rsid w:val="00ED578B"/>
    <w:rsid w:val="00ED5C73"/>
    <w:rsid w:val="00ED65C1"/>
    <w:rsid w:val="00ED6921"/>
    <w:rsid w:val="00ED69F1"/>
    <w:rsid w:val="00ED7A3F"/>
    <w:rsid w:val="00EE0797"/>
    <w:rsid w:val="00EE0BFB"/>
    <w:rsid w:val="00EE0C0B"/>
    <w:rsid w:val="00EE0C64"/>
    <w:rsid w:val="00EE0DB1"/>
    <w:rsid w:val="00EE10FD"/>
    <w:rsid w:val="00EE1162"/>
    <w:rsid w:val="00EE1EA3"/>
    <w:rsid w:val="00EE2306"/>
    <w:rsid w:val="00EE250D"/>
    <w:rsid w:val="00EE2AEB"/>
    <w:rsid w:val="00EE2C87"/>
    <w:rsid w:val="00EE2E09"/>
    <w:rsid w:val="00EE33AA"/>
    <w:rsid w:val="00EE35AA"/>
    <w:rsid w:val="00EE3912"/>
    <w:rsid w:val="00EE3962"/>
    <w:rsid w:val="00EE4253"/>
    <w:rsid w:val="00EE43DE"/>
    <w:rsid w:val="00EE4AE0"/>
    <w:rsid w:val="00EE5038"/>
    <w:rsid w:val="00EE60ED"/>
    <w:rsid w:val="00EE622D"/>
    <w:rsid w:val="00EE6512"/>
    <w:rsid w:val="00EE6997"/>
    <w:rsid w:val="00EE7080"/>
    <w:rsid w:val="00EE71DD"/>
    <w:rsid w:val="00EE7CE0"/>
    <w:rsid w:val="00EE7FA2"/>
    <w:rsid w:val="00EF01F8"/>
    <w:rsid w:val="00EF0324"/>
    <w:rsid w:val="00EF042B"/>
    <w:rsid w:val="00EF0BBA"/>
    <w:rsid w:val="00EF0FF9"/>
    <w:rsid w:val="00EF106C"/>
    <w:rsid w:val="00EF152F"/>
    <w:rsid w:val="00EF18A1"/>
    <w:rsid w:val="00EF1905"/>
    <w:rsid w:val="00EF1A50"/>
    <w:rsid w:val="00EF2103"/>
    <w:rsid w:val="00EF22C4"/>
    <w:rsid w:val="00EF288A"/>
    <w:rsid w:val="00EF292E"/>
    <w:rsid w:val="00EF2946"/>
    <w:rsid w:val="00EF2957"/>
    <w:rsid w:val="00EF31EE"/>
    <w:rsid w:val="00EF39DD"/>
    <w:rsid w:val="00EF3A67"/>
    <w:rsid w:val="00EF3C64"/>
    <w:rsid w:val="00EF4B20"/>
    <w:rsid w:val="00EF4E70"/>
    <w:rsid w:val="00EF4EA3"/>
    <w:rsid w:val="00EF5026"/>
    <w:rsid w:val="00EF5151"/>
    <w:rsid w:val="00EF5B02"/>
    <w:rsid w:val="00EF5BE4"/>
    <w:rsid w:val="00EF5FB0"/>
    <w:rsid w:val="00EF6179"/>
    <w:rsid w:val="00EF61A9"/>
    <w:rsid w:val="00EF647B"/>
    <w:rsid w:val="00EF69BB"/>
    <w:rsid w:val="00EF6DBB"/>
    <w:rsid w:val="00EF7532"/>
    <w:rsid w:val="00EF77F5"/>
    <w:rsid w:val="00EF789E"/>
    <w:rsid w:val="00EF7A7D"/>
    <w:rsid w:val="00EF7D1B"/>
    <w:rsid w:val="00F00623"/>
    <w:rsid w:val="00F00F56"/>
    <w:rsid w:val="00F013AD"/>
    <w:rsid w:val="00F014E0"/>
    <w:rsid w:val="00F0153E"/>
    <w:rsid w:val="00F01712"/>
    <w:rsid w:val="00F0176A"/>
    <w:rsid w:val="00F01ABF"/>
    <w:rsid w:val="00F01C0A"/>
    <w:rsid w:val="00F01ECA"/>
    <w:rsid w:val="00F02398"/>
    <w:rsid w:val="00F02926"/>
    <w:rsid w:val="00F02C8E"/>
    <w:rsid w:val="00F02D61"/>
    <w:rsid w:val="00F02E7C"/>
    <w:rsid w:val="00F0311D"/>
    <w:rsid w:val="00F03CAA"/>
    <w:rsid w:val="00F03DB1"/>
    <w:rsid w:val="00F03DD9"/>
    <w:rsid w:val="00F03FBC"/>
    <w:rsid w:val="00F048C8"/>
    <w:rsid w:val="00F04E31"/>
    <w:rsid w:val="00F0572D"/>
    <w:rsid w:val="00F0577C"/>
    <w:rsid w:val="00F057D0"/>
    <w:rsid w:val="00F05D87"/>
    <w:rsid w:val="00F05FFF"/>
    <w:rsid w:val="00F062B6"/>
    <w:rsid w:val="00F064FA"/>
    <w:rsid w:val="00F06673"/>
    <w:rsid w:val="00F06D6A"/>
    <w:rsid w:val="00F071F3"/>
    <w:rsid w:val="00F07944"/>
    <w:rsid w:val="00F07FB4"/>
    <w:rsid w:val="00F10165"/>
    <w:rsid w:val="00F10281"/>
    <w:rsid w:val="00F1036E"/>
    <w:rsid w:val="00F1040A"/>
    <w:rsid w:val="00F10434"/>
    <w:rsid w:val="00F10449"/>
    <w:rsid w:val="00F10C2E"/>
    <w:rsid w:val="00F10FB4"/>
    <w:rsid w:val="00F1127F"/>
    <w:rsid w:val="00F11646"/>
    <w:rsid w:val="00F11DF9"/>
    <w:rsid w:val="00F11E2A"/>
    <w:rsid w:val="00F11FD3"/>
    <w:rsid w:val="00F12228"/>
    <w:rsid w:val="00F125E9"/>
    <w:rsid w:val="00F12C39"/>
    <w:rsid w:val="00F12FEE"/>
    <w:rsid w:val="00F13690"/>
    <w:rsid w:val="00F137BB"/>
    <w:rsid w:val="00F13B1A"/>
    <w:rsid w:val="00F13F43"/>
    <w:rsid w:val="00F141FC"/>
    <w:rsid w:val="00F146E5"/>
    <w:rsid w:val="00F149A8"/>
    <w:rsid w:val="00F149D6"/>
    <w:rsid w:val="00F14D34"/>
    <w:rsid w:val="00F151C2"/>
    <w:rsid w:val="00F1522A"/>
    <w:rsid w:val="00F15E25"/>
    <w:rsid w:val="00F1648F"/>
    <w:rsid w:val="00F16777"/>
    <w:rsid w:val="00F16E85"/>
    <w:rsid w:val="00F17029"/>
    <w:rsid w:val="00F17147"/>
    <w:rsid w:val="00F17505"/>
    <w:rsid w:val="00F176A5"/>
    <w:rsid w:val="00F17A10"/>
    <w:rsid w:val="00F17E95"/>
    <w:rsid w:val="00F17EFF"/>
    <w:rsid w:val="00F17F9B"/>
    <w:rsid w:val="00F200BB"/>
    <w:rsid w:val="00F205E9"/>
    <w:rsid w:val="00F20881"/>
    <w:rsid w:val="00F20B0E"/>
    <w:rsid w:val="00F20BA9"/>
    <w:rsid w:val="00F217F6"/>
    <w:rsid w:val="00F21DBC"/>
    <w:rsid w:val="00F21EC1"/>
    <w:rsid w:val="00F21EE3"/>
    <w:rsid w:val="00F22025"/>
    <w:rsid w:val="00F22810"/>
    <w:rsid w:val="00F2295C"/>
    <w:rsid w:val="00F229DD"/>
    <w:rsid w:val="00F22A28"/>
    <w:rsid w:val="00F22A79"/>
    <w:rsid w:val="00F22FE7"/>
    <w:rsid w:val="00F23187"/>
    <w:rsid w:val="00F232FB"/>
    <w:rsid w:val="00F233FC"/>
    <w:rsid w:val="00F23443"/>
    <w:rsid w:val="00F235E8"/>
    <w:rsid w:val="00F2366C"/>
    <w:rsid w:val="00F23FA5"/>
    <w:rsid w:val="00F24097"/>
    <w:rsid w:val="00F24248"/>
    <w:rsid w:val="00F243AB"/>
    <w:rsid w:val="00F2455E"/>
    <w:rsid w:val="00F248DD"/>
    <w:rsid w:val="00F25229"/>
    <w:rsid w:val="00F2546F"/>
    <w:rsid w:val="00F25B12"/>
    <w:rsid w:val="00F25EC1"/>
    <w:rsid w:val="00F25F6D"/>
    <w:rsid w:val="00F2710D"/>
    <w:rsid w:val="00F271FD"/>
    <w:rsid w:val="00F272B0"/>
    <w:rsid w:val="00F273C3"/>
    <w:rsid w:val="00F27442"/>
    <w:rsid w:val="00F27512"/>
    <w:rsid w:val="00F2767E"/>
    <w:rsid w:val="00F27EE6"/>
    <w:rsid w:val="00F31047"/>
    <w:rsid w:val="00F31242"/>
    <w:rsid w:val="00F313B1"/>
    <w:rsid w:val="00F32070"/>
    <w:rsid w:val="00F323A8"/>
    <w:rsid w:val="00F323B8"/>
    <w:rsid w:val="00F328EC"/>
    <w:rsid w:val="00F33AF3"/>
    <w:rsid w:val="00F33D62"/>
    <w:rsid w:val="00F340DD"/>
    <w:rsid w:val="00F3441F"/>
    <w:rsid w:val="00F346A9"/>
    <w:rsid w:val="00F354D1"/>
    <w:rsid w:val="00F35786"/>
    <w:rsid w:val="00F3598D"/>
    <w:rsid w:val="00F360AB"/>
    <w:rsid w:val="00F36437"/>
    <w:rsid w:val="00F36B89"/>
    <w:rsid w:val="00F36DFD"/>
    <w:rsid w:val="00F36FF1"/>
    <w:rsid w:val="00F37571"/>
    <w:rsid w:val="00F4008E"/>
    <w:rsid w:val="00F40318"/>
    <w:rsid w:val="00F405A9"/>
    <w:rsid w:val="00F40681"/>
    <w:rsid w:val="00F40A24"/>
    <w:rsid w:val="00F41089"/>
    <w:rsid w:val="00F41713"/>
    <w:rsid w:val="00F41B13"/>
    <w:rsid w:val="00F42E61"/>
    <w:rsid w:val="00F4310B"/>
    <w:rsid w:val="00F431B0"/>
    <w:rsid w:val="00F432AE"/>
    <w:rsid w:val="00F43414"/>
    <w:rsid w:val="00F4349A"/>
    <w:rsid w:val="00F4369B"/>
    <w:rsid w:val="00F437B7"/>
    <w:rsid w:val="00F43A39"/>
    <w:rsid w:val="00F43A5E"/>
    <w:rsid w:val="00F43D45"/>
    <w:rsid w:val="00F440CB"/>
    <w:rsid w:val="00F443BA"/>
    <w:rsid w:val="00F44923"/>
    <w:rsid w:val="00F44DDF"/>
    <w:rsid w:val="00F451F3"/>
    <w:rsid w:val="00F453EB"/>
    <w:rsid w:val="00F45C35"/>
    <w:rsid w:val="00F45DA0"/>
    <w:rsid w:val="00F45E47"/>
    <w:rsid w:val="00F462A8"/>
    <w:rsid w:val="00F46638"/>
    <w:rsid w:val="00F469FE"/>
    <w:rsid w:val="00F47000"/>
    <w:rsid w:val="00F47106"/>
    <w:rsid w:val="00F471D1"/>
    <w:rsid w:val="00F47868"/>
    <w:rsid w:val="00F479B4"/>
    <w:rsid w:val="00F47F8D"/>
    <w:rsid w:val="00F5014E"/>
    <w:rsid w:val="00F5059B"/>
    <w:rsid w:val="00F506EA"/>
    <w:rsid w:val="00F50ED3"/>
    <w:rsid w:val="00F51269"/>
    <w:rsid w:val="00F51557"/>
    <w:rsid w:val="00F51641"/>
    <w:rsid w:val="00F516B6"/>
    <w:rsid w:val="00F516E2"/>
    <w:rsid w:val="00F51A4A"/>
    <w:rsid w:val="00F51D1B"/>
    <w:rsid w:val="00F52281"/>
    <w:rsid w:val="00F5241A"/>
    <w:rsid w:val="00F525D4"/>
    <w:rsid w:val="00F52693"/>
    <w:rsid w:val="00F52A42"/>
    <w:rsid w:val="00F52DDE"/>
    <w:rsid w:val="00F534CC"/>
    <w:rsid w:val="00F535E0"/>
    <w:rsid w:val="00F53A03"/>
    <w:rsid w:val="00F542BA"/>
    <w:rsid w:val="00F54332"/>
    <w:rsid w:val="00F547F1"/>
    <w:rsid w:val="00F54F80"/>
    <w:rsid w:val="00F5579B"/>
    <w:rsid w:val="00F557FA"/>
    <w:rsid w:val="00F55E1D"/>
    <w:rsid w:val="00F561D4"/>
    <w:rsid w:val="00F56519"/>
    <w:rsid w:val="00F5686C"/>
    <w:rsid w:val="00F56951"/>
    <w:rsid w:val="00F56AF5"/>
    <w:rsid w:val="00F56CF5"/>
    <w:rsid w:val="00F57656"/>
    <w:rsid w:val="00F578DC"/>
    <w:rsid w:val="00F57A9F"/>
    <w:rsid w:val="00F57B7F"/>
    <w:rsid w:val="00F57FF4"/>
    <w:rsid w:val="00F60013"/>
    <w:rsid w:val="00F603D2"/>
    <w:rsid w:val="00F603DF"/>
    <w:rsid w:val="00F6071F"/>
    <w:rsid w:val="00F60810"/>
    <w:rsid w:val="00F608C4"/>
    <w:rsid w:val="00F60EFA"/>
    <w:rsid w:val="00F61012"/>
    <w:rsid w:val="00F611BE"/>
    <w:rsid w:val="00F61632"/>
    <w:rsid w:val="00F61977"/>
    <w:rsid w:val="00F62378"/>
    <w:rsid w:val="00F623AB"/>
    <w:rsid w:val="00F62611"/>
    <w:rsid w:val="00F62695"/>
    <w:rsid w:val="00F62F69"/>
    <w:rsid w:val="00F63005"/>
    <w:rsid w:val="00F631C3"/>
    <w:rsid w:val="00F633FD"/>
    <w:rsid w:val="00F63676"/>
    <w:rsid w:val="00F63894"/>
    <w:rsid w:val="00F63A88"/>
    <w:rsid w:val="00F63EF8"/>
    <w:rsid w:val="00F63EFC"/>
    <w:rsid w:val="00F647F0"/>
    <w:rsid w:val="00F64999"/>
    <w:rsid w:val="00F65E4C"/>
    <w:rsid w:val="00F66462"/>
    <w:rsid w:val="00F668FD"/>
    <w:rsid w:val="00F66DF5"/>
    <w:rsid w:val="00F670F0"/>
    <w:rsid w:val="00F673B2"/>
    <w:rsid w:val="00F67628"/>
    <w:rsid w:val="00F67933"/>
    <w:rsid w:val="00F67984"/>
    <w:rsid w:val="00F67A43"/>
    <w:rsid w:val="00F67DBD"/>
    <w:rsid w:val="00F704F1"/>
    <w:rsid w:val="00F70C5B"/>
    <w:rsid w:val="00F7129F"/>
    <w:rsid w:val="00F712D5"/>
    <w:rsid w:val="00F71562"/>
    <w:rsid w:val="00F7220F"/>
    <w:rsid w:val="00F72227"/>
    <w:rsid w:val="00F7275F"/>
    <w:rsid w:val="00F728D0"/>
    <w:rsid w:val="00F72D4E"/>
    <w:rsid w:val="00F73105"/>
    <w:rsid w:val="00F73A82"/>
    <w:rsid w:val="00F73AFD"/>
    <w:rsid w:val="00F73E71"/>
    <w:rsid w:val="00F7433D"/>
    <w:rsid w:val="00F744FC"/>
    <w:rsid w:val="00F7450A"/>
    <w:rsid w:val="00F7490B"/>
    <w:rsid w:val="00F7510A"/>
    <w:rsid w:val="00F754F9"/>
    <w:rsid w:val="00F75ACD"/>
    <w:rsid w:val="00F762E3"/>
    <w:rsid w:val="00F76591"/>
    <w:rsid w:val="00F76AB6"/>
    <w:rsid w:val="00F76F62"/>
    <w:rsid w:val="00F77AE3"/>
    <w:rsid w:val="00F77DBC"/>
    <w:rsid w:val="00F81126"/>
    <w:rsid w:val="00F8123B"/>
    <w:rsid w:val="00F8156C"/>
    <w:rsid w:val="00F815DD"/>
    <w:rsid w:val="00F816E8"/>
    <w:rsid w:val="00F81897"/>
    <w:rsid w:val="00F81F57"/>
    <w:rsid w:val="00F82D21"/>
    <w:rsid w:val="00F834E7"/>
    <w:rsid w:val="00F83F9A"/>
    <w:rsid w:val="00F8423E"/>
    <w:rsid w:val="00F84520"/>
    <w:rsid w:val="00F8478F"/>
    <w:rsid w:val="00F849FF"/>
    <w:rsid w:val="00F84C41"/>
    <w:rsid w:val="00F85042"/>
    <w:rsid w:val="00F851F9"/>
    <w:rsid w:val="00F85CCA"/>
    <w:rsid w:val="00F86255"/>
    <w:rsid w:val="00F86440"/>
    <w:rsid w:val="00F86B75"/>
    <w:rsid w:val="00F86D93"/>
    <w:rsid w:val="00F87A3A"/>
    <w:rsid w:val="00F87CFF"/>
    <w:rsid w:val="00F908C8"/>
    <w:rsid w:val="00F90C86"/>
    <w:rsid w:val="00F90D87"/>
    <w:rsid w:val="00F917A1"/>
    <w:rsid w:val="00F9215E"/>
    <w:rsid w:val="00F92185"/>
    <w:rsid w:val="00F923A7"/>
    <w:rsid w:val="00F92F0D"/>
    <w:rsid w:val="00F934C8"/>
    <w:rsid w:val="00F938C3"/>
    <w:rsid w:val="00F939CC"/>
    <w:rsid w:val="00F93B7F"/>
    <w:rsid w:val="00F94581"/>
    <w:rsid w:val="00F948A9"/>
    <w:rsid w:val="00F94929"/>
    <w:rsid w:val="00F949A1"/>
    <w:rsid w:val="00F95635"/>
    <w:rsid w:val="00F956A5"/>
    <w:rsid w:val="00F956BF"/>
    <w:rsid w:val="00F9574D"/>
    <w:rsid w:val="00F95816"/>
    <w:rsid w:val="00F958B4"/>
    <w:rsid w:val="00F959F9"/>
    <w:rsid w:val="00F95DFA"/>
    <w:rsid w:val="00F95F55"/>
    <w:rsid w:val="00F96378"/>
    <w:rsid w:val="00F96697"/>
    <w:rsid w:val="00F966C6"/>
    <w:rsid w:val="00F966E4"/>
    <w:rsid w:val="00F96E20"/>
    <w:rsid w:val="00F97479"/>
    <w:rsid w:val="00F97553"/>
    <w:rsid w:val="00F975B8"/>
    <w:rsid w:val="00F9796F"/>
    <w:rsid w:val="00F97F1B"/>
    <w:rsid w:val="00FA066C"/>
    <w:rsid w:val="00FA06EA"/>
    <w:rsid w:val="00FA095D"/>
    <w:rsid w:val="00FA14A3"/>
    <w:rsid w:val="00FA14B8"/>
    <w:rsid w:val="00FA14DD"/>
    <w:rsid w:val="00FA1BA8"/>
    <w:rsid w:val="00FA1F6A"/>
    <w:rsid w:val="00FA2059"/>
    <w:rsid w:val="00FA2186"/>
    <w:rsid w:val="00FA2670"/>
    <w:rsid w:val="00FA26FD"/>
    <w:rsid w:val="00FA28EE"/>
    <w:rsid w:val="00FA3262"/>
    <w:rsid w:val="00FA3472"/>
    <w:rsid w:val="00FA41DF"/>
    <w:rsid w:val="00FA46A5"/>
    <w:rsid w:val="00FA4885"/>
    <w:rsid w:val="00FA48D9"/>
    <w:rsid w:val="00FA50BA"/>
    <w:rsid w:val="00FA526A"/>
    <w:rsid w:val="00FA5327"/>
    <w:rsid w:val="00FA5CDF"/>
    <w:rsid w:val="00FA5DD1"/>
    <w:rsid w:val="00FA6100"/>
    <w:rsid w:val="00FA6378"/>
    <w:rsid w:val="00FA6CB7"/>
    <w:rsid w:val="00FA70C2"/>
    <w:rsid w:val="00FA72DD"/>
    <w:rsid w:val="00FA7CE8"/>
    <w:rsid w:val="00FA7EAE"/>
    <w:rsid w:val="00FB0083"/>
    <w:rsid w:val="00FB01B5"/>
    <w:rsid w:val="00FB03D8"/>
    <w:rsid w:val="00FB0C17"/>
    <w:rsid w:val="00FB0D02"/>
    <w:rsid w:val="00FB0D28"/>
    <w:rsid w:val="00FB1189"/>
    <w:rsid w:val="00FB1772"/>
    <w:rsid w:val="00FB17C0"/>
    <w:rsid w:val="00FB1A11"/>
    <w:rsid w:val="00FB1B56"/>
    <w:rsid w:val="00FB1C03"/>
    <w:rsid w:val="00FB1FA5"/>
    <w:rsid w:val="00FB2214"/>
    <w:rsid w:val="00FB2550"/>
    <w:rsid w:val="00FB296A"/>
    <w:rsid w:val="00FB29F0"/>
    <w:rsid w:val="00FB2D70"/>
    <w:rsid w:val="00FB31D2"/>
    <w:rsid w:val="00FB32C8"/>
    <w:rsid w:val="00FB32F8"/>
    <w:rsid w:val="00FB3427"/>
    <w:rsid w:val="00FB39A3"/>
    <w:rsid w:val="00FB3F62"/>
    <w:rsid w:val="00FB4518"/>
    <w:rsid w:val="00FB4833"/>
    <w:rsid w:val="00FB4ED6"/>
    <w:rsid w:val="00FB5342"/>
    <w:rsid w:val="00FB5E83"/>
    <w:rsid w:val="00FB5ED1"/>
    <w:rsid w:val="00FB5FF2"/>
    <w:rsid w:val="00FB652B"/>
    <w:rsid w:val="00FB6C27"/>
    <w:rsid w:val="00FB6E7C"/>
    <w:rsid w:val="00FB7043"/>
    <w:rsid w:val="00FB79A2"/>
    <w:rsid w:val="00FB7E80"/>
    <w:rsid w:val="00FB7F0B"/>
    <w:rsid w:val="00FC056E"/>
    <w:rsid w:val="00FC07B8"/>
    <w:rsid w:val="00FC0957"/>
    <w:rsid w:val="00FC09CD"/>
    <w:rsid w:val="00FC0E2E"/>
    <w:rsid w:val="00FC0E66"/>
    <w:rsid w:val="00FC112C"/>
    <w:rsid w:val="00FC1385"/>
    <w:rsid w:val="00FC13A9"/>
    <w:rsid w:val="00FC1AA1"/>
    <w:rsid w:val="00FC1F2C"/>
    <w:rsid w:val="00FC27C2"/>
    <w:rsid w:val="00FC2C9E"/>
    <w:rsid w:val="00FC2D7D"/>
    <w:rsid w:val="00FC2F40"/>
    <w:rsid w:val="00FC31C2"/>
    <w:rsid w:val="00FC38A5"/>
    <w:rsid w:val="00FC3DAC"/>
    <w:rsid w:val="00FC4085"/>
    <w:rsid w:val="00FC43CD"/>
    <w:rsid w:val="00FC45FA"/>
    <w:rsid w:val="00FC541C"/>
    <w:rsid w:val="00FC5496"/>
    <w:rsid w:val="00FC5883"/>
    <w:rsid w:val="00FC5B64"/>
    <w:rsid w:val="00FC5C5F"/>
    <w:rsid w:val="00FC602B"/>
    <w:rsid w:val="00FC6217"/>
    <w:rsid w:val="00FC656A"/>
    <w:rsid w:val="00FC69DA"/>
    <w:rsid w:val="00FC6A07"/>
    <w:rsid w:val="00FC6B81"/>
    <w:rsid w:val="00FC6DA3"/>
    <w:rsid w:val="00FC6F59"/>
    <w:rsid w:val="00FC7134"/>
    <w:rsid w:val="00FC7223"/>
    <w:rsid w:val="00FC79A9"/>
    <w:rsid w:val="00FC7A52"/>
    <w:rsid w:val="00FC7DDB"/>
    <w:rsid w:val="00FD0233"/>
    <w:rsid w:val="00FD0C84"/>
    <w:rsid w:val="00FD0E6D"/>
    <w:rsid w:val="00FD12ED"/>
    <w:rsid w:val="00FD14D9"/>
    <w:rsid w:val="00FD193F"/>
    <w:rsid w:val="00FD1B92"/>
    <w:rsid w:val="00FD1BBD"/>
    <w:rsid w:val="00FD1E38"/>
    <w:rsid w:val="00FD1E62"/>
    <w:rsid w:val="00FD2005"/>
    <w:rsid w:val="00FD27FA"/>
    <w:rsid w:val="00FD2BC1"/>
    <w:rsid w:val="00FD2C17"/>
    <w:rsid w:val="00FD2F97"/>
    <w:rsid w:val="00FD310E"/>
    <w:rsid w:val="00FD3C9F"/>
    <w:rsid w:val="00FD3CCF"/>
    <w:rsid w:val="00FD3EAC"/>
    <w:rsid w:val="00FD4034"/>
    <w:rsid w:val="00FD43FB"/>
    <w:rsid w:val="00FD5596"/>
    <w:rsid w:val="00FD5657"/>
    <w:rsid w:val="00FD576F"/>
    <w:rsid w:val="00FD5ADA"/>
    <w:rsid w:val="00FD5FAA"/>
    <w:rsid w:val="00FD610A"/>
    <w:rsid w:val="00FD64BA"/>
    <w:rsid w:val="00FD64EE"/>
    <w:rsid w:val="00FD769D"/>
    <w:rsid w:val="00FD7906"/>
    <w:rsid w:val="00FD7F04"/>
    <w:rsid w:val="00FE01D3"/>
    <w:rsid w:val="00FE052A"/>
    <w:rsid w:val="00FE0C73"/>
    <w:rsid w:val="00FE0F64"/>
    <w:rsid w:val="00FE1133"/>
    <w:rsid w:val="00FE1793"/>
    <w:rsid w:val="00FE216B"/>
    <w:rsid w:val="00FE23A2"/>
    <w:rsid w:val="00FE2717"/>
    <w:rsid w:val="00FE2AC6"/>
    <w:rsid w:val="00FE31B0"/>
    <w:rsid w:val="00FE3294"/>
    <w:rsid w:val="00FE36A8"/>
    <w:rsid w:val="00FE39CA"/>
    <w:rsid w:val="00FE3AE9"/>
    <w:rsid w:val="00FE3D3B"/>
    <w:rsid w:val="00FE3D85"/>
    <w:rsid w:val="00FE3E75"/>
    <w:rsid w:val="00FE3ED5"/>
    <w:rsid w:val="00FE3FC5"/>
    <w:rsid w:val="00FE4622"/>
    <w:rsid w:val="00FE47ED"/>
    <w:rsid w:val="00FE517D"/>
    <w:rsid w:val="00FE531E"/>
    <w:rsid w:val="00FE53BA"/>
    <w:rsid w:val="00FE5AC9"/>
    <w:rsid w:val="00FE5E78"/>
    <w:rsid w:val="00FE622E"/>
    <w:rsid w:val="00FE6600"/>
    <w:rsid w:val="00FE6774"/>
    <w:rsid w:val="00FE68CF"/>
    <w:rsid w:val="00FE69A3"/>
    <w:rsid w:val="00FE6A15"/>
    <w:rsid w:val="00FE6D0F"/>
    <w:rsid w:val="00FE74C9"/>
    <w:rsid w:val="00FE765F"/>
    <w:rsid w:val="00FE79C1"/>
    <w:rsid w:val="00FE7B1A"/>
    <w:rsid w:val="00FE7B76"/>
    <w:rsid w:val="00FE7E43"/>
    <w:rsid w:val="00FE7FE9"/>
    <w:rsid w:val="00FF0B8C"/>
    <w:rsid w:val="00FF0D92"/>
    <w:rsid w:val="00FF154A"/>
    <w:rsid w:val="00FF227D"/>
    <w:rsid w:val="00FF25A5"/>
    <w:rsid w:val="00FF2EC8"/>
    <w:rsid w:val="00FF306A"/>
    <w:rsid w:val="00FF3188"/>
    <w:rsid w:val="00FF31D6"/>
    <w:rsid w:val="00FF34BC"/>
    <w:rsid w:val="00FF3635"/>
    <w:rsid w:val="00FF387F"/>
    <w:rsid w:val="00FF3C08"/>
    <w:rsid w:val="00FF3D80"/>
    <w:rsid w:val="00FF3DBA"/>
    <w:rsid w:val="00FF3DF1"/>
    <w:rsid w:val="00FF4041"/>
    <w:rsid w:val="00FF4760"/>
    <w:rsid w:val="00FF4CD5"/>
    <w:rsid w:val="00FF4D0A"/>
    <w:rsid w:val="00FF5135"/>
    <w:rsid w:val="00FF5193"/>
    <w:rsid w:val="00FF5408"/>
    <w:rsid w:val="00FF5DC0"/>
    <w:rsid w:val="00FF64EC"/>
    <w:rsid w:val="00FF6696"/>
    <w:rsid w:val="00FF6BC2"/>
    <w:rsid w:val="00FF6FFE"/>
    <w:rsid w:val="00FF71B3"/>
    <w:rsid w:val="00FF75DC"/>
    <w:rsid w:val="00FF7864"/>
    <w:rsid w:val="00FF7AFF"/>
    <w:rsid w:val="01161C6B"/>
    <w:rsid w:val="012A5806"/>
    <w:rsid w:val="01460460"/>
    <w:rsid w:val="0153398F"/>
    <w:rsid w:val="01541418"/>
    <w:rsid w:val="015C011D"/>
    <w:rsid w:val="015E1C4F"/>
    <w:rsid w:val="01674DB3"/>
    <w:rsid w:val="018502B5"/>
    <w:rsid w:val="019E25C3"/>
    <w:rsid w:val="01E518FF"/>
    <w:rsid w:val="02182ED7"/>
    <w:rsid w:val="02190440"/>
    <w:rsid w:val="022231E6"/>
    <w:rsid w:val="022A0485"/>
    <w:rsid w:val="02302DB9"/>
    <w:rsid w:val="02444B5C"/>
    <w:rsid w:val="02682005"/>
    <w:rsid w:val="02A209F3"/>
    <w:rsid w:val="02B50726"/>
    <w:rsid w:val="02CB7632"/>
    <w:rsid w:val="02D466EC"/>
    <w:rsid w:val="02DA01E2"/>
    <w:rsid w:val="02FA2D1C"/>
    <w:rsid w:val="0319026B"/>
    <w:rsid w:val="032334C4"/>
    <w:rsid w:val="03681D0D"/>
    <w:rsid w:val="03912F41"/>
    <w:rsid w:val="03B971F4"/>
    <w:rsid w:val="04081149"/>
    <w:rsid w:val="041F4C7F"/>
    <w:rsid w:val="041F78A1"/>
    <w:rsid w:val="042711AF"/>
    <w:rsid w:val="042F467C"/>
    <w:rsid w:val="04350A3B"/>
    <w:rsid w:val="043616D3"/>
    <w:rsid w:val="04383A1E"/>
    <w:rsid w:val="04504BAA"/>
    <w:rsid w:val="045226B8"/>
    <w:rsid w:val="04543675"/>
    <w:rsid w:val="04635CCB"/>
    <w:rsid w:val="046E6DDE"/>
    <w:rsid w:val="048F1A9B"/>
    <w:rsid w:val="04A85751"/>
    <w:rsid w:val="04AB3D71"/>
    <w:rsid w:val="04AF15DC"/>
    <w:rsid w:val="04BA5BDA"/>
    <w:rsid w:val="04BB0226"/>
    <w:rsid w:val="04D11CF5"/>
    <w:rsid w:val="04D43044"/>
    <w:rsid w:val="04DB461F"/>
    <w:rsid w:val="05501C89"/>
    <w:rsid w:val="055B6861"/>
    <w:rsid w:val="056A0BF9"/>
    <w:rsid w:val="0571576F"/>
    <w:rsid w:val="0574491D"/>
    <w:rsid w:val="05AC22B4"/>
    <w:rsid w:val="06017863"/>
    <w:rsid w:val="0645084E"/>
    <w:rsid w:val="064E7CC2"/>
    <w:rsid w:val="0656033C"/>
    <w:rsid w:val="067B4FBD"/>
    <w:rsid w:val="06AB318D"/>
    <w:rsid w:val="06DF3687"/>
    <w:rsid w:val="07141CA5"/>
    <w:rsid w:val="0732514D"/>
    <w:rsid w:val="073836D3"/>
    <w:rsid w:val="07504FBD"/>
    <w:rsid w:val="0759621C"/>
    <w:rsid w:val="0782131A"/>
    <w:rsid w:val="078D5486"/>
    <w:rsid w:val="07991051"/>
    <w:rsid w:val="07A1316E"/>
    <w:rsid w:val="07BE007D"/>
    <w:rsid w:val="08192A99"/>
    <w:rsid w:val="084A7291"/>
    <w:rsid w:val="086A2E85"/>
    <w:rsid w:val="086E0189"/>
    <w:rsid w:val="088B4007"/>
    <w:rsid w:val="08BD42FA"/>
    <w:rsid w:val="08BE3AA0"/>
    <w:rsid w:val="08C97C14"/>
    <w:rsid w:val="08E63B5F"/>
    <w:rsid w:val="08EE506D"/>
    <w:rsid w:val="08F80E90"/>
    <w:rsid w:val="08FD2E27"/>
    <w:rsid w:val="0911468D"/>
    <w:rsid w:val="09250A73"/>
    <w:rsid w:val="096E52C3"/>
    <w:rsid w:val="09910447"/>
    <w:rsid w:val="099524D8"/>
    <w:rsid w:val="09BC7A75"/>
    <w:rsid w:val="09DA6CC4"/>
    <w:rsid w:val="09ED3EBC"/>
    <w:rsid w:val="09F41564"/>
    <w:rsid w:val="0A0854B6"/>
    <w:rsid w:val="0A185D1B"/>
    <w:rsid w:val="0A1E7D15"/>
    <w:rsid w:val="0A224230"/>
    <w:rsid w:val="0A8F2D69"/>
    <w:rsid w:val="0B064214"/>
    <w:rsid w:val="0B4B13CA"/>
    <w:rsid w:val="0B5605CC"/>
    <w:rsid w:val="0B5731A0"/>
    <w:rsid w:val="0B60640F"/>
    <w:rsid w:val="0BD6320F"/>
    <w:rsid w:val="0C0E128E"/>
    <w:rsid w:val="0C446EC6"/>
    <w:rsid w:val="0C4813F5"/>
    <w:rsid w:val="0C5C7E64"/>
    <w:rsid w:val="0C7D45C3"/>
    <w:rsid w:val="0C812C03"/>
    <w:rsid w:val="0C983621"/>
    <w:rsid w:val="0CAC7F43"/>
    <w:rsid w:val="0CAE30EE"/>
    <w:rsid w:val="0CC70CE2"/>
    <w:rsid w:val="0CD41BFD"/>
    <w:rsid w:val="0CF62067"/>
    <w:rsid w:val="0D4452AA"/>
    <w:rsid w:val="0D4D42FA"/>
    <w:rsid w:val="0D543BFA"/>
    <w:rsid w:val="0D6201C7"/>
    <w:rsid w:val="0D670C3F"/>
    <w:rsid w:val="0D755341"/>
    <w:rsid w:val="0D931124"/>
    <w:rsid w:val="0D96074B"/>
    <w:rsid w:val="0DA40E02"/>
    <w:rsid w:val="0DB8731C"/>
    <w:rsid w:val="0DD471A6"/>
    <w:rsid w:val="0DED54D1"/>
    <w:rsid w:val="0E10273F"/>
    <w:rsid w:val="0E1D664B"/>
    <w:rsid w:val="0E4E4EAD"/>
    <w:rsid w:val="0E5E5E7D"/>
    <w:rsid w:val="0E6A0556"/>
    <w:rsid w:val="0E6C2948"/>
    <w:rsid w:val="0E7430F3"/>
    <w:rsid w:val="0E766320"/>
    <w:rsid w:val="0E834CA0"/>
    <w:rsid w:val="0E85451E"/>
    <w:rsid w:val="0E8B0D19"/>
    <w:rsid w:val="0E955833"/>
    <w:rsid w:val="0EBC16FB"/>
    <w:rsid w:val="0EBD02B9"/>
    <w:rsid w:val="0ECB40C6"/>
    <w:rsid w:val="0EEA6907"/>
    <w:rsid w:val="0EF80307"/>
    <w:rsid w:val="0F26052A"/>
    <w:rsid w:val="0F31164D"/>
    <w:rsid w:val="0F325899"/>
    <w:rsid w:val="0F3423C2"/>
    <w:rsid w:val="0F632DB0"/>
    <w:rsid w:val="0F7756E1"/>
    <w:rsid w:val="0F85496E"/>
    <w:rsid w:val="0F925469"/>
    <w:rsid w:val="0FAB63C3"/>
    <w:rsid w:val="0FD27B12"/>
    <w:rsid w:val="0FE90A3F"/>
    <w:rsid w:val="104D544B"/>
    <w:rsid w:val="109D1B6E"/>
    <w:rsid w:val="10A67900"/>
    <w:rsid w:val="10C009C2"/>
    <w:rsid w:val="10C36704"/>
    <w:rsid w:val="10CD48D0"/>
    <w:rsid w:val="10D75B54"/>
    <w:rsid w:val="10F226A8"/>
    <w:rsid w:val="1102754C"/>
    <w:rsid w:val="111E4A4C"/>
    <w:rsid w:val="11395163"/>
    <w:rsid w:val="11475BE9"/>
    <w:rsid w:val="114776A4"/>
    <w:rsid w:val="11905BB4"/>
    <w:rsid w:val="11EE3C7D"/>
    <w:rsid w:val="11FB5F18"/>
    <w:rsid w:val="120534D9"/>
    <w:rsid w:val="1212349F"/>
    <w:rsid w:val="12272221"/>
    <w:rsid w:val="122E5DFF"/>
    <w:rsid w:val="126E03F6"/>
    <w:rsid w:val="127A7444"/>
    <w:rsid w:val="12884403"/>
    <w:rsid w:val="12BD7227"/>
    <w:rsid w:val="12C72F62"/>
    <w:rsid w:val="12ED211B"/>
    <w:rsid w:val="13102782"/>
    <w:rsid w:val="1319085D"/>
    <w:rsid w:val="13270406"/>
    <w:rsid w:val="13467864"/>
    <w:rsid w:val="136A7050"/>
    <w:rsid w:val="136E2957"/>
    <w:rsid w:val="1378692F"/>
    <w:rsid w:val="13902C32"/>
    <w:rsid w:val="13AD3635"/>
    <w:rsid w:val="13DC6447"/>
    <w:rsid w:val="13E43F16"/>
    <w:rsid w:val="13E818B0"/>
    <w:rsid w:val="13FA18E2"/>
    <w:rsid w:val="14220B62"/>
    <w:rsid w:val="142D18C7"/>
    <w:rsid w:val="143A5F89"/>
    <w:rsid w:val="144F3A1E"/>
    <w:rsid w:val="1455447B"/>
    <w:rsid w:val="146A1CAB"/>
    <w:rsid w:val="1476085E"/>
    <w:rsid w:val="14C6704B"/>
    <w:rsid w:val="14D7277E"/>
    <w:rsid w:val="14ED3479"/>
    <w:rsid w:val="14EE207D"/>
    <w:rsid w:val="1514141F"/>
    <w:rsid w:val="153F3E41"/>
    <w:rsid w:val="15474548"/>
    <w:rsid w:val="154B2F52"/>
    <w:rsid w:val="15806814"/>
    <w:rsid w:val="15B43D10"/>
    <w:rsid w:val="15BD06ED"/>
    <w:rsid w:val="15CA0483"/>
    <w:rsid w:val="15E207F5"/>
    <w:rsid w:val="15ED6881"/>
    <w:rsid w:val="15F93D72"/>
    <w:rsid w:val="16040A17"/>
    <w:rsid w:val="16193238"/>
    <w:rsid w:val="165D3CB8"/>
    <w:rsid w:val="1673768B"/>
    <w:rsid w:val="16980E09"/>
    <w:rsid w:val="169E7183"/>
    <w:rsid w:val="16B514CE"/>
    <w:rsid w:val="16E11BCF"/>
    <w:rsid w:val="16F646AF"/>
    <w:rsid w:val="16FE2B67"/>
    <w:rsid w:val="171E3259"/>
    <w:rsid w:val="17246EA9"/>
    <w:rsid w:val="172A3039"/>
    <w:rsid w:val="17381E41"/>
    <w:rsid w:val="177B43B7"/>
    <w:rsid w:val="177F67BD"/>
    <w:rsid w:val="17936C35"/>
    <w:rsid w:val="179E20EB"/>
    <w:rsid w:val="17A9196F"/>
    <w:rsid w:val="17C52E06"/>
    <w:rsid w:val="17CD487A"/>
    <w:rsid w:val="17D43ECD"/>
    <w:rsid w:val="17F35F2B"/>
    <w:rsid w:val="17F7557E"/>
    <w:rsid w:val="18211855"/>
    <w:rsid w:val="182A5940"/>
    <w:rsid w:val="185648E8"/>
    <w:rsid w:val="18585F62"/>
    <w:rsid w:val="186500E4"/>
    <w:rsid w:val="18711E1D"/>
    <w:rsid w:val="18804A0D"/>
    <w:rsid w:val="18851D86"/>
    <w:rsid w:val="18965B0B"/>
    <w:rsid w:val="18980476"/>
    <w:rsid w:val="18AB63FB"/>
    <w:rsid w:val="18C2412B"/>
    <w:rsid w:val="18E11E1D"/>
    <w:rsid w:val="19101CE7"/>
    <w:rsid w:val="191D13ED"/>
    <w:rsid w:val="19277C40"/>
    <w:rsid w:val="19393878"/>
    <w:rsid w:val="19666556"/>
    <w:rsid w:val="19796421"/>
    <w:rsid w:val="1989410F"/>
    <w:rsid w:val="198E64C4"/>
    <w:rsid w:val="19A84D5E"/>
    <w:rsid w:val="19B92F98"/>
    <w:rsid w:val="19F2025E"/>
    <w:rsid w:val="1A0872DA"/>
    <w:rsid w:val="1A4B5A12"/>
    <w:rsid w:val="1A824D49"/>
    <w:rsid w:val="1A8E1F42"/>
    <w:rsid w:val="1A9F65D1"/>
    <w:rsid w:val="1AA172CC"/>
    <w:rsid w:val="1AAF7BD4"/>
    <w:rsid w:val="1AB36643"/>
    <w:rsid w:val="1AC70BAF"/>
    <w:rsid w:val="1AE33E0E"/>
    <w:rsid w:val="1B0413FC"/>
    <w:rsid w:val="1B1A0756"/>
    <w:rsid w:val="1B1B5506"/>
    <w:rsid w:val="1B4C75FD"/>
    <w:rsid w:val="1B650173"/>
    <w:rsid w:val="1B6C44ED"/>
    <w:rsid w:val="1BDB2B53"/>
    <w:rsid w:val="1C122A9F"/>
    <w:rsid w:val="1C1231E0"/>
    <w:rsid w:val="1C13053F"/>
    <w:rsid w:val="1C3700F7"/>
    <w:rsid w:val="1C3F653E"/>
    <w:rsid w:val="1C7861CA"/>
    <w:rsid w:val="1C7F5BD5"/>
    <w:rsid w:val="1C9839A1"/>
    <w:rsid w:val="1CA15B82"/>
    <w:rsid w:val="1CC01D49"/>
    <w:rsid w:val="1CCA2D74"/>
    <w:rsid w:val="1CD70403"/>
    <w:rsid w:val="1CEC3959"/>
    <w:rsid w:val="1CF34E02"/>
    <w:rsid w:val="1CF80F65"/>
    <w:rsid w:val="1D0E6AF9"/>
    <w:rsid w:val="1D1C32C4"/>
    <w:rsid w:val="1D1F61FE"/>
    <w:rsid w:val="1DB971ED"/>
    <w:rsid w:val="1E3D57BC"/>
    <w:rsid w:val="1E4114C8"/>
    <w:rsid w:val="1E4D6C9E"/>
    <w:rsid w:val="1E5F5CBE"/>
    <w:rsid w:val="1E943F4C"/>
    <w:rsid w:val="1E9C4BAF"/>
    <w:rsid w:val="1EAB175B"/>
    <w:rsid w:val="1EB57011"/>
    <w:rsid w:val="1ECB34E1"/>
    <w:rsid w:val="1EEC77BB"/>
    <w:rsid w:val="1F0419FB"/>
    <w:rsid w:val="1F1D1971"/>
    <w:rsid w:val="1F244811"/>
    <w:rsid w:val="1F6A300B"/>
    <w:rsid w:val="1F747257"/>
    <w:rsid w:val="1FED657B"/>
    <w:rsid w:val="1FF976B3"/>
    <w:rsid w:val="202B6D2F"/>
    <w:rsid w:val="203F5D37"/>
    <w:rsid w:val="2064464C"/>
    <w:rsid w:val="20AF077A"/>
    <w:rsid w:val="20B02E89"/>
    <w:rsid w:val="20B15D29"/>
    <w:rsid w:val="20F67CE8"/>
    <w:rsid w:val="21183B39"/>
    <w:rsid w:val="213071B8"/>
    <w:rsid w:val="213578D1"/>
    <w:rsid w:val="21D1773F"/>
    <w:rsid w:val="21D61F46"/>
    <w:rsid w:val="21DD3916"/>
    <w:rsid w:val="21E12E8E"/>
    <w:rsid w:val="21E161B6"/>
    <w:rsid w:val="220426D8"/>
    <w:rsid w:val="22370D00"/>
    <w:rsid w:val="223F251B"/>
    <w:rsid w:val="22417EF6"/>
    <w:rsid w:val="227C54F3"/>
    <w:rsid w:val="22846C67"/>
    <w:rsid w:val="22C6451F"/>
    <w:rsid w:val="22D34F9A"/>
    <w:rsid w:val="2318536F"/>
    <w:rsid w:val="232B64CF"/>
    <w:rsid w:val="2341649A"/>
    <w:rsid w:val="234A3A17"/>
    <w:rsid w:val="23960F83"/>
    <w:rsid w:val="23EF7392"/>
    <w:rsid w:val="2442571A"/>
    <w:rsid w:val="248D7070"/>
    <w:rsid w:val="249441E7"/>
    <w:rsid w:val="24973CD7"/>
    <w:rsid w:val="24A37238"/>
    <w:rsid w:val="24BD6D69"/>
    <w:rsid w:val="24C06D8A"/>
    <w:rsid w:val="24D429B4"/>
    <w:rsid w:val="24E31E1C"/>
    <w:rsid w:val="24F04BDF"/>
    <w:rsid w:val="24F726C5"/>
    <w:rsid w:val="254479BB"/>
    <w:rsid w:val="2553169E"/>
    <w:rsid w:val="255711DB"/>
    <w:rsid w:val="25A00DAB"/>
    <w:rsid w:val="25C92269"/>
    <w:rsid w:val="25E51382"/>
    <w:rsid w:val="26444C81"/>
    <w:rsid w:val="26934F4F"/>
    <w:rsid w:val="26BF074C"/>
    <w:rsid w:val="26CC7602"/>
    <w:rsid w:val="26DD14A4"/>
    <w:rsid w:val="27055EED"/>
    <w:rsid w:val="27A87E5F"/>
    <w:rsid w:val="27AB62A7"/>
    <w:rsid w:val="27F2054D"/>
    <w:rsid w:val="280629B1"/>
    <w:rsid w:val="283C3344"/>
    <w:rsid w:val="286478B1"/>
    <w:rsid w:val="28707158"/>
    <w:rsid w:val="288244B6"/>
    <w:rsid w:val="28856661"/>
    <w:rsid w:val="289B0478"/>
    <w:rsid w:val="28AA5AA1"/>
    <w:rsid w:val="28FF74DD"/>
    <w:rsid w:val="290C0AE8"/>
    <w:rsid w:val="291122AA"/>
    <w:rsid w:val="29454F9F"/>
    <w:rsid w:val="29641F51"/>
    <w:rsid w:val="297220D8"/>
    <w:rsid w:val="299C4CC3"/>
    <w:rsid w:val="29B34D53"/>
    <w:rsid w:val="29C92B85"/>
    <w:rsid w:val="29CC5566"/>
    <w:rsid w:val="29DA2AAA"/>
    <w:rsid w:val="2A0E616D"/>
    <w:rsid w:val="2A3B10D5"/>
    <w:rsid w:val="2A3F3288"/>
    <w:rsid w:val="2A872D43"/>
    <w:rsid w:val="2A8B79E3"/>
    <w:rsid w:val="2A9D1477"/>
    <w:rsid w:val="2AB84C11"/>
    <w:rsid w:val="2ACD0453"/>
    <w:rsid w:val="2AE3597B"/>
    <w:rsid w:val="2AFE616A"/>
    <w:rsid w:val="2B2C3206"/>
    <w:rsid w:val="2B58770E"/>
    <w:rsid w:val="2B943D04"/>
    <w:rsid w:val="2BAE0B66"/>
    <w:rsid w:val="2BB81219"/>
    <w:rsid w:val="2BB8586D"/>
    <w:rsid w:val="2BF40BCB"/>
    <w:rsid w:val="2BF47E82"/>
    <w:rsid w:val="2C0C2156"/>
    <w:rsid w:val="2C2B2E39"/>
    <w:rsid w:val="2C583CB1"/>
    <w:rsid w:val="2C853EF4"/>
    <w:rsid w:val="2C912F05"/>
    <w:rsid w:val="2C9F0BC0"/>
    <w:rsid w:val="2CA64C2E"/>
    <w:rsid w:val="2CEB2E12"/>
    <w:rsid w:val="2CF764CC"/>
    <w:rsid w:val="2D095047"/>
    <w:rsid w:val="2D53591D"/>
    <w:rsid w:val="2D9E400A"/>
    <w:rsid w:val="2DAA0BD9"/>
    <w:rsid w:val="2DC8065B"/>
    <w:rsid w:val="2DCB408C"/>
    <w:rsid w:val="2DD52104"/>
    <w:rsid w:val="2DE643D8"/>
    <w:rsid w:val="2E0306D9"/>
    <w:rsid w:val="2E094081"/>
    <w:rsid w:val="2E19059B"/>
    <w:rsid w:val="2E2C0D6F"/>
    <w:rsid w:val="2E6B304B"/>
    <w:rsid w:val="2E8B2FC7"/>
    <w:rsid w:val="2ECC3CAF"/>
    <w:rsid w:val="2ED46380"/>
    <w:rsid w:val="2EE1627B"/>
    <w:rsid w:val="2EE276DC"/>
    <w:rsid w:val="2EE30245"/>
    <w:rsid w:val="2EF97FF1"/>
    <w:rsid w:val="2F2E54B3"/>
    <w:rsid w:val="2F44099D"/>
    <w:rsid w:val="2F4D31F8"/>
    <w:rsid w:val="2F5B7547"/>
    <w:rsid w:val="2F9F0840"/>
    <w:rsid w:val="2FB97B7D"/>
    <w:rsid w:val="2FC5071D"/>
    <w:rsid w:val="2FF23DA8"/>
    <w:rsid w:val="300E4C34"/>
    <w:rsid w:val="301113B6"/>
    <w:rsid w:val="305A0773"/>
    <w:rsid w:val="305A41E2"/>
    <w:rsid w:val="30865E1D"/>
    <w:rsid w:val="309D2676"/>
    <w:rsid w:val="30A13EBE"/>
    <w:rsid w:val="30A734F4"/>
    <w:rsid w:val="30C54B0C"/>
    <w:rsid w:val="30D91CD6"/>
    <w:rsid w:val="311D56D7"/>
    <w:rsid w:val="31306A57"/>
    <w:rsid w:val="31510C46"/>
    <w:rsid w:val="31522F94"/>
    <w:rsid w:val="3166255C"/>
    <w:rsid w:val="318F30CE"/>
    <w:rsid w:val="31BA690E"/>
    <w:rsid w:val="31CA0D0E"/>
    <w:rsid w:val="32005F60"/>
    <w:rsid w:val="320C4D8F"/>
    <w:rsid w:val="32281537"/>
    <w:rsid w:val="325E46E7"/>
    <w:rsid w:val="327959FB"/>
    <w:rsid w:val="32B14D68"/>
    <w:rsid w:val="32BB5354"/>
    <w:rsid w:val="32CD62DF"/>
    <w:rsid w:val="32CF6EA6"/>
    <w:rsid w:val="32D57EA5"/>
    <w:rsid w:val="32DB035C"/>
    <w:rsid w:val="33566A79"/>
    <w:rsid w:val="338537FB"/>
    <w:rsid w:val="33A77D30"/>
    <w:rsid w:val="33A83403"/>
    <w:rsid w:val="33AB42A7"/>
    <w:rsid w:val="33BA52ED"/>
    <w:rsid w:val="33C20C6F"/>
    <w:rsid w:val="33D126B5"/>
    <w:rsid w:val="33D4570C"/>
    <w:rsid w:val="33D84D90"/>
    <w:rsid w:val="33F8424A"/>
    <w:rsid w:val="344529CD"/>
    <w:rsid w:val="34546C0C"/>
    <w:rsid w:val="349228A9"/>
    <w:rsid w:val="34B46282"/>
    <w:rsid w:val="34BF2B60"/>
    <w:rsid w:val="34C44A02"/>
    <w:rsid w:val="34CB2E3B"/>
    <w:rsid w:val="3514037B"/>
    <w:rsid w:val="351521B6"/>
    <w:rsid w:val="35215C48"/>
    <w:rsid w:val="353526E2"/>
    <w:rsid w:val="35496928"/>
    <w:rsid w:val="356935AD"/>
    <w:rsid w:val="358C0062"/>
    <w:rsid w:val="35D7161A"/>
    <w:rsid w:val="36064819"/>
    <w:rsid w:val="360B58CD"/>
    <w:rsid w:val="360C62D3"/>
    <w:rsid w:val="361B077B"/>
    <w:rsid w:val="361E1FC4"/>
    <w:rsid w:val="36302A1E"/>
    <w:rsid w:val="36316B94"/>
    <w:rsid w:val="36394A1F"/>
    <w:rsid w:val="36441BD2"/>
    <w:rsid w:val="364B6F26"/>
    <w:rsid w:val="36533C23"/>
    <w:rsid w:val="367A51B6"/>
    <w:rsid w:val="369A5EF2"/>
    <w:rsid w:val="36AD47C6"/>
    <w:rsid w:val="36CA55C6"/>
    <w:rsid w:val="36D526FA"/>
    <w:rsid w:val="36EF3804"/>
    <w:rsid w:val="36F32FEF"/>
    <w:rsid w:val="37265952"/>
    <w:rsid w:val="372D17BE"/>
    <w:rsid w:val="37465815"/>
    <w:rsid w:val="37645799"/>
    <w:rsid w:val="37861069"/>
    <w:rsid w:val="37862E15"/>
    <w:rsid w:val="37B53DFA"/>
    <w:rsid w:val="37CB22AA"/>
    <w:rsid w:val="37F45347"/>
    <w:rsid w:val="37F6691A"/>
    <w:rsid w:val="380F69A9"/>
    <w:rsid w:val="382C45DA"/>
    <w:rsid w:val="38755C7B"/>
    <w:rsid w:val="388270D7"/>
    <w:rsid w:val="389556CA"/>
    <w:rsid w:val="38C3207D"/>
    <w:rsid w:val="38D83564"/>
    <w:rsid w:val="38DC217D"/>
    <w:rsid w:val="38E40E03"/>
    <w:rsid w:val="39082BA8"/>
    <w:rsid w:val="3909473A"/>
    <w:rsid w:val="392B2F73"/>
    <w:rsid w:val="39450BA1"/>
    <w:rsid w:val="399C7FC2"/>
    <w:rsid w:val="39AA6DB1"/>
    <w:rsid w:val="39AC7EA6"/>
    <w:rsid w:val="39C53158"/>
    <w:rsid w:val="39E55A62"/>
    <w:rsid w:val="3A0F02EC"/>
    <w:rsid w:val="3A3201C2"/>
    <w:rsid w:val="3A50432A"/>
    <w:rsid w:val="3A5079F3"/>
    <w:rsid w:val="3A58393B"/>
    <w:rsid w:val="3A720DB6"/>
    <w:rsid w:val="3A9F4C93"/>
    <w:rsid w:val="3AA0496E"/>
    <w:rsid w:val="3AC11D66"/>
    <w:rsid w:val="3B037BEE"/>
    <w:rsid w:val="3B086309"/>
    <w:rsid w:val="3B281976"/>
    <w:rsid w:val="3B295FEF"/>
    <w:rsid w:val="3B3F2F35"/>
    <w:rsid w:val="3B407B76"/>
    <w:rsid w:val="3B45642B"/>
    <w:rsid w:val="3B5B43E3"/>
    <w:rsid w:val="3B7144B9"/>
    <w:rsid w:val="3B806E1C"/>
    <w:rsid w:val="3B905BF1"/>
    <w:rsid w:val="3BCF23A9"/>
    <w:rsid w:val="3BEB24E7"/>
    <w:rsid w:val="3C0C31C7"/>
    <w:rsid w:val="3C1474A0"/>
    <w:rsid w:val="3C217A2E"/>
    <w:rsid w:val="3C2C7366"/>
    <w:rsid w:val="3C2D1827"/>
    <w:rsid w:val="3C361083"/>
    <w:rsid w:val="3C5D324F"/>
    <w:rsid w:val="3C683B38"/>
    <w:rsid w:val="3C7314B6"/>
    <w:rsid w:val="3C887A8B"/>
    <w:rsid w:val="3CCE178D"/>
    <w:rsid w:val="3CDC693C"/>
    <w:rsid w:val="3CE913DA"/>
    <w:rsid w:val="3D211736"/>
    <w:rsid w:val="3D3305EA"/>
    <w:rsid w:val="3D365327"/>
    <w:rsid w:val="3D466A5D"/>
    <w:rsid w:val="3D645972"/>
    <w:rsid w:val="3D8212AE"/>
    <w:rsid w:val="3D8A7898"/>
    <w:rsid w:val="3DA17895"/>
    <w:rsid w:val="3DB844FE"/>
    <w:rsid w:val="3DD15C25"/>
    <w:rsid w:val="3E113F2B"/>
    <w:rsid w:val="3E204A79"/>
    <w:rsid w:val="3E643523"/>
    <w:rsid w:val="3E6B1D37"/>
    <w:rsid w:val="3E8754B5"/>
    <w:rsid w:val="3EA96C3A"/>
    <w:rsid w:val="3EB85F70"/>
    <w:rsid w:val="3ED63230"/>
    <w:rsid w:val="3EF90AD4"/>
    <w:rsid w:val="3EFF2A63"/>
    <w:rsid w:val="3F25098C"/>
    <w:rsid w:val="3F5B1F0D"/>
    <w:rsid w:val="3FAC33B4"/>
    <w:rsid w:val="3FB34F28"/>
    <w:rsid w:val="3FD63515"/>
    <w:rsid w:val="3FED6268"/>
    <w:rsid w:val="400133EE"/>
    <w:rsid w:val="400A17E0"/>
    <w:rsid w:val="402241F5"/>
    <w:rsid w:val="40310316"/>
    <w:rsid w:val="40321CCA"/>
    <w:rsid w:val="403E7096"/>
    <w:rsid w:val="40760B19"/>
    <w:rsid w:val="4077624A"/>
    <w:rsid w:val="4093656F"/>
    <w:rsid w:val="40BA773C"/>
    <w:rsid w:val="40CF51A3"/>
    <w:rsid w:val="40DE5358"/>
    <w:rsid w:val="40F76B13"/>
    <w:rsid w:val="410D4CAE"/>
    <w:rsid w:val="410F60FC"/>
    <w:rsid w:val="41213BA8"/>
    <w:rsid w:val="41296109"/>
    <w:rsid w:val="41561B02"/>
    <w:rsid w:val="41770E47"/>
    <w:rsid w:val="417C322F"/>
    <w:rsid w:val="419F605C"/>
    <w:rsid w:val="41B41A24"/>
    <w:rsid w:val="41BB0BF1"/>
    <w:rsid w:val="41BC207E"/>
    <w:rsid w:val="41C815D8"/>
    <w:rsid w:val="41D629E0"/>
    <w:rsid w:val="41E62C4A"/>
    <w:rsid w:val="421C0655"/>
    <w:rsid w:val="426E1E16"/>
    <w:rsid w:val="4274757F"/>
    <w:rsid w:val="427C5DA8"/>
    <w:rsid w:val="42A31643"/>
    <w:rsid w:val="42D96A5F"/>
    <w:rsid w:val="42E52C18"/>
    <w:rsid w:val="42E559A1"/>
    <w:rsid w:val="42EF4B38"/>
    <w:rsid w:val="42F64210"/>
    <w:rsid w:val="43063A21"/>
    <w:rsid w:val="430A1E0F"/>
    <w:rsid w:val="4321759A"/>
    <w:rsid w:val="435A5F48"/>
    <w:rsid w:val="435E5C94"/>
    <w:rsid w:val="43657023"/>
    <w:rsid w:val="438C45B0"/>
    <w:rsid w:val="438F13AF"/>
    <w:rsid w:val="43B91334"/>
    <w:rsid w:val="43C34104"/>
    <w:rsid w:val="43F05796"/>
    <w:rsid w:val="43FA1C05"/>
    <w:rsid w:val="441A7810"/>
    <w:rsid w:val="44292D92"/>
    <w:rsid w:val="44404A7B"/>
    <w:rsid w:val="444B2629"/>
    <w:rsid w:val="44786EE4"/>
    <w:rsid w:val="44A67B31"/>
    <w:rsid w:val="44AB3940"/>
    <w:rsid w:val="44AF631A"/>
    <w:rsid w:val="44EA6461"/>
    <w:rsid w:val="4509373F"/>
    <w:rsid w:val="450C4953"/>
    <w:rsid w:val="452306EA"/>
    <w:rsid w:val="452403A1"/>
    <w:rsid w:val="453D7416"/>
    <w:rsid w:val="45537E57"/>
    <w:rsid w:val="45550913"/>
    <w:rsid w:val="45637B3F"/>
    <w:rsid w:val="458A2D71"/>
    <w:rsid w:val="45D1274E"/>
    <w:rsid w:val="45E85956"/>
    <w:rsid w:val="46044B45"/>
    <w:rsid w:val="46164604"/>
    <w:rsid w:val="461E334C"/>
    <w:rsid w:val="4642364B"/>
    <w:rsid w:val="46462EEB"/>
    <w:rsid w:val="464C05DC"/>
    <w:rsid w:val="466435C2"/>
    <w:rsid w:val="466D602E"/>
    <w:rsid w:val="46994CDF"/>
    <w:rsid w:val="46A15D2C"/>
    <w:rsid w:val="46B034E7"/>
    <w:rsid w:val="46C201CD"/>
    <w:rsid w:val="47097360"/>
    <w:rsid w:val="470B3129"/>
    <w:rsid w:val="472F6522"/>
    <w:rsid w:val="47377BE4"/>
    <w:rsid w:val="474F35C1"/>
    <w:rsid w:val="47627207"/>
    <w:rsid w:val="478702CF"/>
    <w:rsid w:val="47C3112F"/>
    <w:rsid w:val="47EF0DB5"/>
    <w:rsid w:val="47F0451E"/>
    <w:rsid w:val="47FA5045"/>
    <w:rsid w:val="47FF27CA"/>
    <w:rsid w:val="481664DE"/>
    <w:rsid w:val="48186B9A"/>
    <w:rsid w:val="4831775A"/>
    <w:rsid w:val="487D3D7D"/>
    <w:rsid w:val="487E29DB"/>
    <w:rsid w:val="489C3FF5"/>
    <w:rsid w:val="48B12150"/>
    <w:rsid w:val="48FC60D7"/>
    <w:rsid w:val="4963158E"/>
    <w:rsid w:val="49651288"/>
    <w:rsid w:val="49A83E50"/>
    <w:rsid w:val="49B11720"/>
    <w:rsid w:val="49C865E9"/>
    <w:rsid w:val="49E9405B"/>
    <w:rsid w:val="49F32F14"/>
    <w:rsid w:val="4A0A598B"/>
    <w:rsid w:val="4A23119B"/>
    <w:rsid w:val="4A4C63DF"/>
    <w:rsid w:val="4A554513"/>
    <w:rsid w:val="4A5F5660"/>
    <w:rsid w:val="4A870B98"/>
    <w:rsid w:val="4AA77A88"/>
    <w:rsid w:val="4AAD5B60"/>
    <w:rsid w:val="4AF8015E"/>
    <w:rsid w:val="4B045107"/>
    <w:rsid w:val="4B0D2B00"/>
    <w:rsid w:val="4B252B3F"/>
    <w:rsid w:val="4B274ECF"/>
    <w:rsid w:val="4B2C3957"/>
    <w:rsid w:val="4B3C5236"/>
    <w:rsid w:val="4B3D7452"/>
    <w:rsid w:val="4B5000C4"/>
    <w:rsid w:val="4B543FE3"/>
    <w:rsid w:val="4B6A4681"/>
    <w:rsid w:val="4B986211"/>
    <w:rsid w:val="4B991A45"/>
    <w:rsid w:val="4BBA6D40"/>
    <w:rsid w:val="4BCE3916"/>
    <w:rsid w:val="4BEA3528"/>
    <w:rsid w:val="4C082C41"/>
    <w:rsid w:val="4C0D1067"/>
    <w:rsid w:val="4C147838"/>
    <w:rsid w:val="4C151199"/>
    <w:rsid w:val="4C234E0A"/>
    <w:rsid w:val="4C3A1E08"/>
    <w:rsid w:val="4C42348D"/>
    <w:rsid w:val="4C9307F0"/>
    <w:rsid w:val="4CC325C7"/>
    <w:rsid w:val="4CCD268C"/>
    <w:rsid w:val="4D002791"/>
    <w:rsid w:val="4D0A3597"/>
    <w:rsid w:val="4D0D39B5"/>
    <w:rsid w:val="4D3652FB"/>
    <w:rsid w:val="4D3D2DBF"/>
    <w:rsid w:val="4D4402A5"/>
    <w:rsid w:val="4D511082"/>
    <w:rsid w:val="4D517FF8"/>
    <w:rsid w:val="4D6E7B47"/>
    <w:rsid w:val="4D9B20D1"/>
    <w:rsid w:val="4DA4699A"/>
    <w:rsid w:val="4DBC5E9B"/>
    <w:rsid w:val="4DD24ADC"/>
    <w:rsid w:val="4DEC63B1"/>
    <w:rsid w:val="4DF5434F"/>
    <w:rsid w:val="4E0849A7"/>
    <w:rsid w:val="4E0A1873"/>
    <w:rsid w:val="4E1006A6"/>
    <w:rsid w:val="4E115752"/>
    <w:rsid w:val="4E26314C"/>
    <w:rsid w:val="4E2F4D4E"/>
    <w:rsid w:val="4E593C28"/>
    <w:rsid w:val="4E6C3C88"/>
    <w:rsid w:val="4E9E72BE"/>
    <w:rsid w:val="4EC32B68"/>
    <w:rsid w:val="4EC7035A"/>
    <w:rsid w:val="4ED446E7"/>
    <w:rsid w:val="4EDD4020"/>
    <w:rsid w:val="4EE169D5"/>
    <w:rsid w:val="4EF32C76"/>
    <w:rsid w:val="4F01411C"/>
    <w:rsid w:val="4F244236"/>
    <w:rsid w:val="4F5916B4"/>
    <w:rsid w:val="4F59795E"/>
    <w:rsid w:val="4F634474"/>
    <w:rsid w:val="4F792D65"/>
    <w:rsid w:val="4F8F0C47"/>
    <w:rsid w:val="4FA33873"/>
    <w:rsid w:val="4FB40F6B"/>
    <w:rsid w:val="4FC414BB"/>
    <w:rsid w:val="4FD456DD"/>
    <w:rsid w:val="4FE53E37"/>
    <w:rsid w:val="5014381E"/>
    <w:rsid w:val="501716A5"/>
    <w:rsid w:val="501C3E87"/>
    <w:rsid w:val="50334005"/>
    <w:rsid w:val="50493828"/>
    <w:rsid w:val="504B4849"/>
    <w:rsid w:val="506F328F"/>
    <w:rsid w:val="50812266"/>
    <w:rsid w:val="50953CB6"/>
    <w:rsid w:val="50E00C05"/>
    <w:rsid w:val="510D69FE"/>
    <w:rsid w:val="511B4E80"/>
    <w:rsid w:val="514E348D"/>
    <w:rsid w:val="514E6630"/>
    <w:rsid w:val="51874608"/>
    <w:rsid w:val="519933D1"/>
    <w:rsid w:val="51B71737"/>
    <w:rsid w:val="51B94BBD"/>
    <w:rsid w:val="51D96A64"/>
    <w:rsid w:val="51F32478"/>
    <w:rsid w:val="52094E9C"/>
    <w:rsid w:val="52296707"/>
    <w:rsid w:val="522A494F"/>
    <w:rsid w:val="523B07C7"/>
    <w:rsid w:val="523C5B0D"/>
    <w:rsid w:val="52553529"/>
    <w:rsid w:val="52607008"/>
    <w:rsid w:val="52687572"/>
    <w:rsid w:val="52997328"/>
    <w:rsid w:val="52A47972"/>
    <w:rsid w:val="52FE08FA"/>
    <w:rsid w:val="53493715"/>
    <w:rsid w:val="534D0B32"/>
    <w:rsid w:val="536B6632"/>
    <w:rsid w:val="536B6C7D"/>
    <w:rsid w:val="53893D0E"/>
    <w:rsid w:val="539022F6"/>
    <w:rsid w:val="53AE397C"/>
    <w:rsid w:val="53DC2CA4"/>
    <w:rsid w:val="53EE3946"/>
    <w:rsid w:val="53EF6D89"/>
    <w:rsid w:val="5402344C"/>
    <w:rsid w:val="54030928"/>
    <w:rsid w:val="542B76AE"/>
    <w:rsid w:val="54512E84"/>
    <w:rsid w:val="54862B82"/>
    <w:rsid w:val="54AD2706"/>
    <w:rsid w:val="54BF2C52"/>
    <w:rsid w:val="54EA309A"/>
    <w:rsid w:val="54F102FD"/>
    <w:rsid w:val="55004755"/>
    <w:rsid w:val="55036310"/>
    <w:rsid w:val="55320C14"/>
    <w:rsid w:val="55503752"/>
    <w:rsid w:val="556D5105"/>
    <w:rsid w:val="55774994"/>
    <w:rsid w:val="557D0CB5"/>
    <w:rsid w:val="558B4F16"/>
    <w:rsid w:val="55C962F0"/>
    <w:rsid w:val="55E6367E"/>
    <w:rsid w:val="56010E2D"/>
    <w:rsid w:val="563934FD"/>
    <w:rsid w:val="56484914"/>
    <w:rsid w:val="566248E8"/>
    <w:rsid w:val="56686400"/>
    <w:rsid w:val="566A07AE"/>
    <w:rsid w:val="56887D9F"/>
    <w:rsid w:val="569F41A2"/>
    <w:rsid w:val="57315742"/>
    <w:rsid w:val="578A782F"/>
    <w:rsid w:val="57A676EE"/>
    <w:rsid w:val="57AE02F8"/>
    <w:rsid w:val="57CE0632"/>
    <w:rsid w:val="57DA148C"/>
    <w:rsid w:val="57F6378F"/>
    <w:rsid w:val="58105195"/>
    <w:rsid w:val="58271C57"/>
    <w:rsid w:val="584D7249"/>
    <w:rsid w:val="585D4E78"/>
    <w:rsid w:val="58874986"/>
    <w:rsid w:val="58945F68"/>
    <w:rsid w:val="58AF248D"/>
    <w:rsid w:val="58BD32D3"/>
    <w:rsid w:val="58D04E06"/>
    <w:rsid w:val="58D4539D"/>
    <w:rsid w:val="59034904"/>
    <w:rsid w:val="59375C42"/>
    <w:rsid w:val="5939374C"/>
    <w:rsid w:val="59A40268"/>
    <w:rsid w:val="59B36773"/>
    <w:rsid w:val="59B630AC"/>
    <w:rsid w:val="5A035242"/>
    <w:rsid w:val="5A0F7614"/>
    <w:rsid w:val="5A2A6479"/>
    <w:rsid w:val="5A526C51"/>
    <w:rsid w:val="5A557CBB"/>
    <w:rsid w:val="5A57262F"/>
    <w:rsid w:val="5A6476E8"/>
    <w:rsid w:val="5AB0697E"/>
    <w:rsid w:val="5AD760BB"/>
    <w:rsid w:val="5AF81F48"/>
    <w:rsid w:val="5AFA505E"/>
    <w:rsid w:val="5B1A5B33"/>
    <w:rsid w:val="5B265D84"/>
    <w:rsid w:val="5B4414F6"/>
    <w:rsid w:val="5B443062"/>
    <w:rsid w:val="5B676F19"/>
    <w:rsid w:val="5B807C7B"/>
    <w:rsid w:val="5BEF3EDB"/>
    <w:rsid w:val="5BF136F2"/>
    <w:rsid w:val="5C39244B"/>
    <w:rsid w:val="5C7B773B"/>
    <w:rsid w:val="5C7E509F"/>
    <w:rsid w:val="5C843FF9"/>
    <w:rsid w:val="5C8C4586"/>
    <w:rsid w:val="5C9861C7"/>
    <w:rsid w:val="5CAE5C61"/>
    <w:rsid w:val="5CD32960"/>
    <w:rsid w:val="5CD9690D"/>
    <w:rsid w:val="5CDC368A"/>
    <w:rsid w:val="5CF46867"/>
    <w:rsid w:val="5CF55F3A"/>
    <w:rsid w:val="5CF63D13"/>
    <w:rsid w:val="5D24451F"/>
    <w:rsid w:val="5D2B0DFC"/>
    <w:rsid w:val="5D96523F"/>
    <w:rsid w:val="5DB91FC5"/>
    <w:rsid w:val="5DC402E7"/>
    <w:rsid w:val="5DD12DA4"/>
    <w:rsid w:val="5DD86D3C"/>
    <w:rsid w:val="5DE74DAC"/>
    <w:rsid w:val="5DEB7CE8"/>
    <w:rsid w:val="5E1D11A0"/>
    <w:rsid w:val="5E5823A6"/>
    <w:rsid w:val="5E871099"/>
    <w:rsid w:val="5E875BC6"/>
    <w:rsid w:val="5E940589"/>
    <w:rsid w:val="5E9B2EE4"/>
    <w:rsid w:val="5EC05E39"/>
    <w:rsid w:val="5ECC399C"/>
    <w:rsid w:val="5ECF3A06"/>
    <w:rsid w:val="5EDA34E3"/>
    <w:rsid w:val="5EDD680E"/>
    <w:rsid w:val="5EED022C"/>
    <w:rsid w:val="5EF966C0"/>
    <w:rsid w:val="5F010A7F"/>
    <w:rsid w:val="5F013871"/>
    <w:rsid w:val="5F0658D2"/>
    <w:rsid w:val="5F295255"/>
    <w:rsid w:val="5F4B2453"/>
    <w:rsid w:val="5F536036"/>
    <w:rsid w:val="5F5C47FA"/>
    <w:rsid w:val="5F78399D"/>
    <w:rsid w:val="5F7E5892"/>
    <w:rsid w:val="5FD710E9"/>
    <w:rsid w:val="5FD84437"/>
    <w:rsid w:val="601C6864"/>
    <w:rsid w:val="601E7412"/>
    <w:rsid w:val="602E0AF2"/>
    <w:rsid w:val="606472C0"/>
    <w:rsid w:val="6072391C"/>
    <w:rsid w:val="60746C02"/>
    <w:rsid w:val="60906DB4"/>
    <w:rsid w:val="60980D0C"/>
    <w:rsid w:val="60996056"/>
    <w:rsid w:val="609D43B9"/>
    <w:rsid w:val="60A01243"/>
    <w:rsid w:val="60AF23EF"/>
    <w:rsid w:val="60B14498"/>
    <w:rsid w:val="60B84E4C"/>
    <w:rsid w:val="60E37357"/>
    <w:rsid w:val="60FC56A3"/>
    <w:rsid w:val="611539DF"/>
    <w:rsid w:val="616D2D99"/>
    <w:rsid w:val="618227B0"/>
    <w:rsid w:val="618734DF"/>
    <w:rsid w:val="61C7767E"/>
    <w:rsid w:val="61E37F7C"/>
    <w:rsid w:val="626C13D3"/>
    <w:rsid w:val="62767C80"/>
    <w:rsid w:val="627C4370"/>
    <w:rsid w:val="62A72091"/>
    <w:rsid w:val="62AB3E4D"/>
    <w:rsid w:val="62D93DAE"/>
    <w:rsid w:val="62F40C3F"/>
    <w:rsid w:val="63035044"/>
    <w:rsid w:val="632F5D7C"/>
    <w:rsid w:val="63560B05"/>
    <w:rsid w:val="635A52D6"/>
    <w:rsid w:val="635B0DEE"/>
    <w:rsid w:val="63871979"/>
    <w:rsid w:val="64004CDA"/>
    <w:rsid w:val="64012C1C"/>
    <w:rsid w:val="643373F5"/>
    <w:rsid w:val="647642FC"/>
    <w:rsid w:val="64A070E4"/>
    <w:rsid w:val="64B16031"/>
    <w:rsid w:val="64D160D4"/>
    <w:rsid w:val="64EC0EFA"/>
    <w:rsid w:val="65005C1C"/>
    <w:rsid w:val="650318BB"/>
    <w:rsid w:val="653E102A"/>
    <w:rsid w:val="654B202F"/>
    <w:rsid w:val="65590ED6"/>
    <w:rsid w:val="65A50ADB"/>
    <w:rsid w:val="65BA41F1"/>
    <w:rsid w:val="65C430BF"/>
    <w:rsid w:val="65CB57CD"/>
    <w:rsid w:val="65E8624E"/>
    <w:rsid w:val="65F27965"/>
    <w:rsid w:val="660F7C7A"/>
    <w:rsid w:val="6617255E"/>
    <w:rsid w:val="6621093E"/>
    <w:rsid w:val="662819F5"/>
    <w:rsid w:val="663732CE"/>
    <w:rsid w:val="664005CD"/>
    <w:rsid w:val="666739AF"/>
    <w:rsid w:val="66822DFB"/>
    <w:rsid w:val="66C83C00"/>
    <w:rsid w:val="66D460EA"/>
    <w:rsid w:val="66FE3167"/>
    <w:rsid w:val="670642DE"/>
    <w:rsid w:val="673602A1"/>
    <w:rsid w:val="6747380D"/>
    <w:rsid w:val="677602AB"/>
    <w:rsid w:val="67896A1A"/>
    <w:rsid w:val="67901D66"/>
    <w:rsid w:val="67916833"/>
    <w:rsid w:val="67B54302"/>
    <w:rsid w:val="67B9696F"/>
    <w:rsid w:val="67BD44D7"/>
    <w:rsid w:val="67C75816"/>
    <w:rsid w:val="67CA256E"/>
    <w:rsid w:val="67CD3451"/>
    <w:rsid w:val="67D961FB"/>
    <w:rsid w:val="67FA31D2"/>
    <w:rsid w:val="68134854"/>
    <w:rsid w:val="681A5B8D"/>
    <w:rsid w:val="6865117C"/>
    <w:rsid w:val="68882CE8"/>
    <w:rsid w:val="689D681E"/>
    <w:rsid w:val="68AA0EB0"/>
    <w:rsid w:val="68D564B2"/>
    <w:rsid w:val="68F92E24"/>
    <w:rsid w:val="69217B6C"/>
    <w:rsid w:val="69336FFC"/>
    <w:rsid w:val="696E280C"/>
    <w:rsid w:val="697274F4"/>
    <w:rsid w:val="69A851D0"/>
    <w:rsid w:val="69C1710D"/>
    <w:rsid w:val="69C667E5"/>
    <w:rsid w:val="6A05409D"/>
    <w:rsid w:val="6A1278DF"/>
    <w:rsid w:val="6A1A0C10"/>
    <w:rsid w:val="6A3356DC"/>
    <w:rsid w:val="6A4D5A43"/>
    <w:rsid w:val="6A4E1D48"/>
    <w:rsid w:val="6A56470A"/>
    <w:rsid w:val="6A734C2C"/>
    <w:rsid w:val="6AC41FD2"/>
    <w:rsid w:val="6AC54093"/>
    <w:rsid w:val="6AE54329"/>
    <w:rsid w:val="6AEC32C5"/>
    <w:rsid w:val="6AF801AB"/>
    <w:rsid w:val="6B2A51A7"/>
    <w:rsid w:val="6B52083F"/>
    <w:rsid w:val="6B8E1AFF"/>
    <w:rsid w:val="6BA32D42"/>
    <w:rsid w:val="6BAD292A"/>
    <w:rsid w:val="6BAF20BC"/>
    <w:rsid w:val="6BBB5183"/>
    <w:rsid w:val="6BBF1934"/>
    <w:rsid w:val="6BCB154A"/>
    <w:rsid w:val="6BD46244"/>
    <w:rsid w:val="6C0D746E"/>
    <w:rsid w:val="6C0E15CB"/>
    <w:rsid w:val="6C1964F1"/>
    <w:rsid w:val="6C285B7D"/>
    <w:rsid w:val="6C3730F2"/>
    <w:rsid w:val="6CBE4C3C"/>
    <w:rsid w:val="6CC17D08"/>
    <w:rsid w:val="6CD160B8"/>
    <w:rsid w:val="6CE179F3"/>
    <w:rsid w:val="6CE4190F"/>
    <w:rsid w:val="6CFB3956"/>
    <w:rsid w:val="6D2560C2"/>
    <w:rsid w:val="6D271F41"/>
    <w:rsid w:val="6D3731A5"/>
    <w:rsid w:val="6D603160"/>
    <w:rsid w:val="6DC7730C"/>
    <w:rsid w:val="6DFF4E12"/>
    <w:rsid w:val="6E2E7E8E"/>
    <w:rsid w:val="6E416E6E"/>
    <w:rsid w:val="6E873A42"/>
    <w:rsid w:val="6E88549E"/>
    <w:rsid w:val="6E921DAB"/>
    <w:rsid w:val="6EAB14DE"/>
    <w:rsid w:val="6EC2098B"/>
    <w:rsid w:val="6EF6543D"/>
    <w:rsid w:val="6F2602E0"/>
    <w:rsid w:val="6F3C65DA"/>
    <w:rsid w:val="6FE47A0A"/>
    <w:rsid w:val="70020AE3"/>
    <w:rsid w:val="70392508"/>
    <w:rsid w:val="703B7834"/>
    <w:rsid w:val="703F6560"/>
    <w:rsid w:val="70855983"/>
    <w:rsid w:val="70A0528E"/>
    <w:rsid w:val="70AB20CF"/>
    <w:rsid w:val="70BC6B65"/>
    <w:rsid w:val="70BD2481"/>
    <w:rsid w:val="70C07453"/>
    <w:rsid w:val="70C27F4D"/>
    <w:rsid w:val="71123A50"/>
    <w:rsid w:val="711B0131"/>
    <w:rsid w:val="713428EF"/>
    <w:rsid w:val="713D1899"/>
    <w:rsid w:val="7198718A"/>
    <w:rsid w:val="71AA1F21"/>
    <w:rsid w:val="71CF1332"/>
    <w:rsid w:val="720109F1"/>
    <w:rsid w:val="72100FE8"/>
    <w:rsid w:val="721E7CA5"/>
    <w:rsid w:val="722F32D4"/>
    <w:rsid w:val="722F3B8C"/>
    <w:rsid w:val="723D7666"/>
    <w:rsid w:val="724A66CB"/>
    <w:rsid w:val="726E28A4"/>
    <w:rsid w:val="72852E7C"/>
    <w:rsid w:val="72853B30"/>
    <w:rsid w:val="72AE2DB6"/>
    <w:rsid w:val="73142535"/>
    <w:rsid w:val="73155ADF"/>
    <w:rsid w:val="732336C4"/>
    <w:rsid w:val="73311893"/>
    <w:rsid w:val="736A7E6E"/>
    <w:rsid w:val="736D104D"/>
    <w:rsid w:val="73812510"/>
    <w:rsid w:val="73900213"/>
    <w:rsid w:val="73905AE9"/>
    <w:rsid w:val="7391074D"/>
    <w:rsid w:val="73CE48BE"/>
    <w:rsid w:val="73D03409"/>
    <w:rsid w:val="73EB056C"/>
    <w:rsid w:val="73EF5920"/>
    <w:rsid w:val="740A0FD3"/>
    <w:rsid w:val="741B5670"/>
    <w:rsid w:val="742F02EA"/>
    <w:rsid w:val="743C55A5"/>
    <w:rsid w:val="744844F7"/>
    <w:rsid w:val="74531FDC"/>
    <w:rsid w:val="746F0739"/>
    <w:rsid w:val="74A51BF4"/>
    <w:rsid w:val="74D177C5"/>
    <w:rsid w:val="74E7348C"/>
    <w:rsid w:val="75175D00"/>
    <w:rsid w:val="75226DD5"/>
    <w:rsid w:val="75337EE9"/>
    <w:rsid w:val="75475B88"/>
    <w:rsid w:val="754C53E0"/>
    <w:rsid w:val="755955BA"/>
    <w:rsid w:val="755B7563"/>
    <w:rsid w:val="75861907"/>
    <w:rsid w:val="75AD1961"/>
    <w:rsid w:val="75B6399B"/>
    <w:rsid w:val="76200A04"/>
    <w:rsid w:val="762F4C74"/>
    <w:rsid w:val="763E0069"/>
    <w:rsid w:val="76606EC5"/>
    <w:rsid w:val="76700851"/>
    <w:rsid w:val="767A018E"/>
    <w:rsid w:val="769F5A6E"/>
    <w:rsid w:val="76AE5E1D"/>
    <w:rsid w:val="76B8557F"/>
    <w:rsid w:val="76C128E7"/>
    <w:rsid w:val="76FA162C"/>
    <w:rsid w:val="771D1A03"/>
    <w:rsid w:val="77243B00"/>
    <w:rsid w:val="77417297"/>
    <w:rsid w:val="7743097E"/>
    <w:rsid w:val="77514FB2"/>
    <w:rsid w:val="77883016"/>
    <w:rsid w:val="778B59F9"/>
    <w:rsid w:val="779E2207"/>
    <w:rsid w:val="77BF012D"/>
    <w:rsid w:val="782D00FA"/>
    <w:rsid w:val="784B1865"/>
    <w:rsid w:val="7859644F"/>
    <w:rsid w:val="786530F1"/>
    <w:rsid w:val="788373F4"/>
    <w:rsid w:val="78923136"/>
    <w:rsid w:val="7895079B"/>
    <w:rsid w:val="78A07BDA"/>
    <w:rsid w:val="78A44295"/>
    <w:rsid w:val="78AE585D"/>
    <w:rsid w:val="78D54C3B"/>
    <w:rsid w:val="78DC76CC"/>
    <w:rsid w:val="78EE3C86"/>
    <w:rsid w:val="78F509DD"/>
    <w:rsid w:val="79052265"/>
    <w:rsid w:val="79256303"/>
    <w:rsid w:val="793214F1"/>
    <w:rsid w:val="79392372"/>
    <w:rsid w:val="793F14FF"/>
    <w:rsid w:val="794C7D62"/>
    <w:rsid w:val="795D4526"/>
    <w:rsid w:val="79616433"/>
    <w:rsid w:val="799B0220"/>
    <w:rsid w:val="79B40DB7"/>
    <w:rsid w:val="79D641D8"/>
    <w:rsid w:val="79FC11B7"/>
    <w:rsid w:val="7A03462C"/>
    <w:rsid w:val="7A264444"/>
    <w:rsid w:val="7A267C06"/>
    <w:rsid w:val="7A2801C1"/>
    <w:rsid w:val="7A4510D8"/>
    <w:rsid w:val="7A4F7B0A"/>
    <w:rsid w:val="7A5C5D83"/>
    <w:rsid w:val="7A644C6A"/>
    <w:rsid w:val="7A69439B"/>
    <w:rsid w:val="7A6B640D"/>
    <w:rsid w:val="7AB145C7"/>
    <w:rsid w:val="7ACE5999"/>
    <w:rsid w:val="7AD63AFA"/>
    <w:rsid w:val="7AD95625"/>
    <w:rsid w:val="7AFA44ED"/>
    <w:rsid w:val="7B04559A"/>
    <w:rsid w:val="7B0A534B"/>
    <w:rsid w:val="7B241E85"/>
    <w:rsid w:val="7B346CFF"/>
    <w:rsid w:val="7B44636B"/>
    <w:rsid w:val="7B4E7530"/>
    <w:rsid w:val="7B640780"/>
    <w:rsid w:val="7B6A55CB"/>
    <w:rsid w:val="7BC4511F"/>
    <w:rsid w:val="7BC57E1C"/>
    <w:rsid w:val="7BE06610"/>
    <w:rsid w:val="7C105737"/>
    <w:rsid w:val="7C522A21"/>
    <w:rsid w:val="7C767A9D"/>
    <w:rsid w:val="7C896A33"/>
    <w:rsid w:val="7CCA2407"/>
    <w:rsid w:val="7CD64954"/>
    <w:rsid w:val="7CD711BD"/>
    <w:rsid w:val="7CF70E45"/>
    <w:rsid w:val="7D1930F8"/>
    <w:rsid w:val="7D404956"/>
    <w:rsid w:val="7D55240C"/>
    <w:rsid w:val="7DDA43EA"/>
    <w:rsid w:val="7DEE3415"/>
    <w:rsid w:val="7DF145C9"/>
    <w:rsid w:val="7E0E019A"/>
    <w:rsid w:val="7E551957"/>
    <w:rsid w:val="7E7713DD"/>
    <w:rsid w:val="7E9B3555"/>
    <w:rsid w:val="7EBE527C"/>
    <w:rsid w:val="7ECD2E10"/>
    <w:rsid w:val="7EE10F4C"/>
    <w:rsid w:val="7EEE1BA7"/>
    <w:rsid w:val="7EFB6DC3"/>
    <w:rsid w:val="7EFE4FF4"/>
    <w:rsid w:val="7F833F39"/>
    <w:rsid w:val="7F946DF9"/>
    <w:rsid w:val="7FA1624F"/>
    <w:rsid w:val="7FA22864"/>
    <w:rsid w:val="7FC60D11"/>
    <w:rsid w:val="7FCC5AF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0" w:name="HTML Acronym"/>
    <w:lsdException w:qFormat="1" w:unhideWhenUsed="0" w:uiPriority="0" w:semiHidden="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qFormat="1" w:unhideWhenUsed="0" w:uiPriority="0" w:semiHidden="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textAlignment w:val="bottom"/>
    </w:pPr>
    <w:rPr>
      <w:rFonts w:ascii="Times New Roman" w:hAnsi="Times New Roman" w:eastAsia="宋体" w:cs="Times New Roman"/>
      <w:sz w:val="28"/>
      <w:lang w:val="en-US" w:eastAsia="zh-CN" w:bidi="ar-SA"/>
    </w:rPr>
  </w:style>
  <w:style w:type="paragraph" w:styleId="4">
    <w:name w:val="heading 1"/>
    <w:basedOn w:val="1"/>
    <w:next w:val="1"/>
    <w:link w:val="71"/>
    <w:qFormat/>
    <w:uiPriority w:val="0"/>
    <w:pPr>
      <w:keepNext/>
      <w:keepLines/>
      <w:spacing w:before="240" w:after="240" w:line="240" w:lineRule="auto"/>
      <w:ind w:firstLine="0" w:firstLineChars="0"/>
      <w:textAlignment w:val="auto"/>
      <w:outlineLvl w:val="0"/>
    </w:pPr>
    <w:rPr>
      <w:rFonts w:ascii="隶书" w:hAnsi="隶书"/>
      <w:b/>
      <w:bCs/>
      <w:kern w:val="44"/>
      <w:sz w:val="44"/>
    </w:rPr>
  </w:style>
  <w:style w:type="paragraph" w:styleId="5">
    <w:name w:val="heading 2"/>
    <w:basedOn w:val="1"/>
    <w:next w:val="1"/>
    <w:link w:val="72"/>
    <w:qFormat/>
    <w:uiPriority w:val="0"/>
    <w:pPr>
      <w:keepNext/>
      <w:keepLines/>
      <w:spacing w:before="260" w:after="260" w:line="416" w:lineRule="auto"/>
      <w:ind w:firstLine="0" w:firstLineChars="0"/>
      <w:jc w:val="both"/>
      <w:textAlignment w:val="auto"/>
      <w:outlineLvl w:val="1"/>
    </w:pPr>
    <w:rPr>
      <w:rFonts w:ascii="Arial" w:hAnsi="Arial" w:eastAsia="黑体"/>
      <w:b/>
      <w:bCs/>
      <w:kern w:val="2"/>
      <w:sz w:val="32"/>
      <w:szCs w:val="32"/>
    </w:rPr>
  </w:style>
  <w:style w:type="paragraph" w:styleId="6">
    <w:name w:val="heading 3"/>
    <w:basedOn w:val="1"/>
    <w:next w:val="1"/>
    <w:link w:val="70"/>
    <w:qFormat/>
    <w:uiPriority w:val="0"/>
    <w:pPr>
      <w:keepNext/>
      <w:keepLines/>
      <w:ind w:firstLine="0" w:firstLineChars="0"/>
      <w:jc w:val="both"/>
      <w:textAlignment w:val="auto"/>
      <w:outlineLvl w:val="2"/>
    </w:pPr>
    <w:rPr>
      <w:b/>
      <w:bCs/>
      <w:kern w:val="2"/>
      <w:szCs w:val="32"/>
    </w:rPr>
  </w:style>
  <w:style w:type="paragraph" w:styleId="3">
    <w:name w:val="heading 4"/>
    <w:basedOn w:val="1"/>
    <w:next w:val="2"/>
    <w:link w:val="73"/>
    <w:qFormat/>
    <w:uiPriority w:val="0"/>
    <w:pPr>
      <w:keepNext/>
      <w:keepLines/>
      <w:ind w:firstLine="0" w:firstLineChars="0"/>
      <w:outlineLvl w:val="3"/>
    </w:pPr>
    <w:rPr>
      <w:rFonts w:eastAsia="黑体"/>
      <w:bCs/>
      <w:sz w:val="24"/>
      <w:szCs w:val="28"/>
    </w:rPr>
  </w:style>
  <w:style w:type="paragraph" w:styleId="7">
    <w:name w:val="heading 5"/>
    <w:basedOn w:val="1"/>
    <w:next w:val="1"/>
    <w:link w:val="74"/>
    <w:qFormat/>
    <w:uiPriority w:val="0"/>
    <w:pPr>
      <w:keepNext/>
      <w:keepLines/>
      <w:tabs>
        <w:tab w:val="left" w:pos="240"/>
        <w:tab w:val="left" w:pos="480"/>
        <w:tab w:val="left" w:pos="720"/>
      </w:tabs>
      <w:adjustRightInd w:val="0"/>
      <w:spacing w:before="280" w:after="290" w:line="376" w:lineRule="atLeast"/>
      <w:ind w:left="2100" w:hanging="420" w:firstLineChars="0"/>
      <w:textAlignment w:val="baseline"/>
      <w:outlineLvl w:val="4"/>
    </w:pPr>
    <w:rPr>
      <w:b/>
      <w:color w:val="FF0000"/>
    </w:rPr>
  </w:style>
  <w:style w:type="paragraph" w:styleId="8">
    <w:name w:val="heading 6"/>
    <w:basedOn w:val="1"/>
    <w:next w:val="1"/>
    <w:link w:val="75"/>
    <w:qFormat/>
    <w:uiPriority w:val="0"/>
    <w:pPr>
      <w:keepNext/>
      <w:keepLines/>
      <w:tabs>
        <w:tab w:val="left" w:pos="240"/>
        <w:tab w:val="left" w:pos="480"/>
        <w:tab w:val="left" w:pos="720"/>
      </w:tabs>
      <w:adjustRightInd w:val="0"/>
      <w:spacing w:before="240" w:after="64" w:line="320" w:lineRule="atLeast"/>
      <w:ind w:left="2520" w:hanging="420" w:firstLineChars="0"/>
      <w:textAlignment w:val="baseline"/>
      <w:outlineLvl w:val="5"/>
    </w:pPr>
    <w:rPr>
      <w:rFonts w:ascii="Arial" w:hAnsi="Arial" w:eastAsia="黑体"/>
      <w:b/>
      <w:color w:val="FF0000"/>
      <w:sz w:val="24"/>
    </w:rPr>
  </w:style>
  <w:style w:type="paragraph" w:styleId="9">
    <w:name w:val="heading 7"/>
    <w:basedOn w:val="1"/>
    <w:next w:val="1"/>
    <w:link w:val="76"/>
    <w:qFormat/>
    <w:uiPriority w:val="0"/>
    <w:pPr>
      <w:keepNext/>
      <w:keepLines/>
      <w:tabs>
        <w:tab w:val="left" w:pos="240"/>
        <w:tab w:val="left" w:pos="480"/>
        <w:tab w:val="left" w:pos="720"/>
      </w:tabs>
      <w:adjustRightInd w:val="0"/>
      <w:spacing w:before="240" w:after="64" w:line="320" w:lineRule="atLeast"/>
      <w:ind w:left="2940" w:hanging="420" w:firstLineChars="0"/>
      <w:textAlignment w:val="baseline"/>
      <w:outlineLvl w:val="6"/>
    </w:pPr>
    <w:rPr>
      <w:b/>
      <w:color w:val="FF0000"/>
      <w:sz w:val="24"/>
    </w:rPr>
  </w:style>
  <w:style w:type="paragraph" w:styleId="10">
    <w:name w:val="heading 8"/>
    <w:basedOn w:val="1"/>
    <w:next w:val="1"/>
    <w:link w:val="77"/>
    <w:qFormat/>
    <w:uiPriority w:val="0"/>
    <w:pPr>
      <w:keepNext/>
      <w:keepLines/>
      <w:tabs>
        <w:tab w:val="left" w:pos="240"/>
        <w:tab w:val="left" w:pos="480"/>
        <w:tab w:val="left" w:pos="720"/>
      </w:tabs>
      <w:adjustRightInd w:val="0"/>
      <w:spacing w:before="240" w:after="64" w:line="320" w:lineRule="atLeast"/>
      <w:ind w:left="3360" w:hanging="420" w:firstLineChars="0"/>
      <w:textAlignment w:val="baseline"/>
      <w:outlineLvl w:val="7"/>
    </w:pPr>
    <w:rPr>
      <w:rFonts w:ascii="Arial" w:hAnsi="Arial" w:eastAsia="黑体"/>
      <w:b/>
      <w:color w:val="FF0000"/>
      <w:sz w:val="24"/>
    </w:rPr>
  </w:style>
  <w:style w:type="paragraph" w:styleId="11">
    <w:name w:val="heading 9"/>
    <w:basedOn w:val="1"/>
    <w:next w:val="1"/>
    <w:link w:val="78"/>
    <w:qFormat/>
    <w:uiPriority w:val="0"/>
    <w:pPr>
      <w:keepNext/>
      <w:keepLines/>
      <w:tabs>
        <w:tab w:val="left" w:pos="240"/>
        <w:tab w:val="left" w:pos="480"/>
        <w:tab w:val="left" w:pos="720"/>
      </w:tabs>
      <w:adjustRightInd w:val="0"/>
      <w:spacing w:before="240" w:after="64" w:line="320" w:lineRule="atLeast"/>
      <w:ind w:left="3780" w:hanging="420" w:firstLineChars="0"/>
      <w:textAlignment w:val="baseline"/>
      <w:outlineLvl w:val="8"/>
    </w:pPr>
    <w:rPr>
      <w:rFonts w:ascii="Arial" w:hAnsi="Arial" w:eastAsia="黑体"/>
      <w:b/>
      <w:color w:val="FF0000"/>
      <w:sz w:val="21"/>
    </w:rPr>
  </w:style>
  <w:style w:type="character" w:default="1" w:styleId="62">
    <w:name w:val="Default Paragraph Font"/>
    <w:semiHidden/>
    <w:unhideWhenUsed/>
    <w:qFormat/>
    <w:uiPriority w:val="1"/>
  </w:style>
  <w:style w:type="table" w:default="1" w:styleId="5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82"/>
    <w:qFormat/>
    <w:uiPriority w:val="0"/>
    <w:pPr>
      <w:spacing w:line="240" w:lineRule="auto"/>
      <w:ind w:firstLine="420"/>
      <w:jc w:val="both"/>
      <w:textAlignment w:val="auto"/>
    </w:pPr>
    <w:rPr>
      <w:kern w:val="2"/>
    </w:rPr>
  </w:style>
  <w:style w:type="paragraph" w:styleId="12">
    <w:name w:val="toc 7"/>
    <w:basedOn w:val="1"/>
    <w:next w:val="1"/>
    <w:qFormat/>
    <w:uiPriority w:val="0"/>
    <w:pPr>
      <w:ind w:left="1680"/>
    </w:pPr>
    <w:rPr>
      <w:rFonts w:asciiTheme="minorHAnsi" w:hAnsiTheme="minorHAnsi" w:cstheme="minorHAnsi"/>
      <w:sz w:val="18"/>
      <w:szCs w:val="18"/>
    </w:rPr>
  </w:style>
  <w:style w:type="paragraph" w:styleId="13">
    <w:name w:val="Note Heading"/>
    <w:basedOn w:val="1"/>
    <w:next w:val="1"/>
    <w:link w:val="393"/>
    <w:qFormat/>
    <w:uiPriority w:val="0"/>
    <w:pPr>
      <w:spacing w:line="240" w:lineRule="auto"/>
      <w:ind w:firstLine="0" w:firstLineChars="0"/>
      <w:jc w:val="center"/>
      <w:textAlignment w:val="auto"/>
    </w:pPr>
    <w:rPr>
      <w:rFonts w:ascii="宋体" w:hAnsi="宋体"/>
      <w:sz w:val="20"/>
      <w:szCs w:val="24"/>
    </w:rPr>
  </w:style>
  <w:style w:type="paragraph" w:styleId="14">
    <w:name w:val="E-mail Signature"/>
    <w:basedOn w:val="1"/>
    <w:link w:val="345"/>
    <w:qFormat/>
    <w:uiPriority w:val="0"/>
    <w:pPr>
      <w:spacing w:line="240" w:lineRule="auto"/>
      <w:ind w:firstLine="0" w:firstLineChars="0"/>
      <w:jc w:val="both"/>
      <w:textAlignment w:val="auto"/>
    </w:pPr>
    <w:rPr>
      <w:rFonts w:ascii="宋体" w:hAnsi="宋体"/>
      <w:sz w:val="20"/>
      <w:szCs w:val="24"/>
    </w:rPr>
  </w:style>
  <w:style w:type="paragraph" w:styleId="15">
    <w:name w:val="caption"/>
    <w:basedOn w:val="1"/>
    <w:next w:val="1"/>
    <w:link w:val="365"/>
    <w:qFormat/>
    <w:uiPriority w:val="0"/>
    <w:pPr>
      <w:spacing w:line="240" w:lineRule="auto"/>
      <w:ind w:firstLine="0" w:firstLineChars="0"/>
      <w:jc w:val="center"/>
      <w:textAlignment w:val="auto"/>
    </w:pPr>
    <w:rPr>
      <w:rFonts w:ascii="Arial" w:hAnsi="Arial" w:cs="Arial"/>
      <w:b/>
      <w:snapToGrid w:val="0"/>
      <w:sz w:val="24"/>
      <w:szCs w:val="24"/>
    </w:rPr>
  </w:style>
  <w:style w:type="paragraph" w:styleId="16">
    <w:name w:val="Document Map"/>
    <w:basedOn w:val="1"/>
    <w:link w:val="83"/>
    <w:qFormat/>
    <w:uiPriority w:val="0"/>
    <w:pPr>
      <w:spacing w:line="240" w:lineRule="auto"/>
      <w:ind w:firstLine="0" w:firstLineChars="0"/>
      <w:jc w:val="both"/>
      <w:textAlignment w:val="auto"/>
    </w:pPr>
    <w:rPr>
      <w:rFonts w:ascii="宋体"/>
      <w:kern w:val="2"/>
      <w:sz w:val="18"/>
      <w:szCs w:val="18"/>
    </w:rPr>
  </w:style>
  <w:style w:type="paragraph" w:styleId="17">
    <w:name w:val="annotation text"/>
    <w:basedOn w:val="1"/>
    <w:link w:val="79"/>
    <w:qFormat/>
    <w:uiPriority w:val="0"/>
    <w:pPr>
      <w:spacing w:line="240" w:lineRule="auto"/>
      <w:ind w:firstLine="0" w:firstLineChars="0"/>
      <w:textAlignment w:val="auto"/>
    </w:pPr>
    <w:rPr>
      <w:kern w:val="2"/>
      <w:sz w:val="21"/>
      <w:szCs w:val="24"/>
    </w:rPr>
  </w:style>
  <w:style w:type="paragraph" w:styleId="18">
    <w:name w:val="index 6"/>
    <w:basedOn w:val="1"/>
    <w:next w:val="1"/>
    <w:qFormat/>
    <w:uiPriority w:val="0"/>
    <w:pPr>
      <w:ind w:left="1000" w:leftChars="1000" w:firstLine="0"/>
    </w:pPr>
  </w:style>
  <w:style w:type="paragraph" w:styleId="19">
    <w:name w:val="Salutation"/>
    <w:basedOn w:val="1"/>
    <w:next w:val="1"/>
    <w:link w:val="84"/>
    <w:qFormat/>
    <w:uiPriority w:val="0"/>
    <w:pPr>
      <w:spacing w:line="240" w:lineRule="auto"/>
      <w:ind w:firstLine="0" w:firstLineChars="0"/>
      <w:jc w:val="both"/>
      <w:textAlignment w:val="auto"/>
    </w:pPr>
    <w:rPr>
      <w:rFonts w:ascii="宋体" w:hAnsi="宋体"/>
      <w:sz w:val="20"/>
      <w:szCs w:val="24"/>
    </w:rPr>
  </w:style>
  <w:style w:type="paragraph" w:styleId="20">
    <w:name w:val="Body Text 3"/>
    <w:basedOn w:val="1"/>
    <w:link w:val="85"/>
    <w:qFormat/>
    <w:uiPriority w:val="0"/>
    <w:pPr>
      <w:spacing w:line="320" w:lineRule="exact"/>
      <w:ind w:firstLine="0" w:firstLineChars="0"/>
      <w:jc w:val="both"/>
      <w:textAlignment w:val="auto"/>
    </w:pPr>
    <w:rPr>
      <w:color w:val="000000"/>
      <w:kern w:val="2"/>
      <w:sz w:val="24"/>
      <w:szCs w:val="24"/>
    </w:rPr>
  </w:style>
  <w:style w:type="paragraph" w:styleId="21">
    <w:name w:val="Closing"/>
    <w:basedOn w:val="1"/>
    <w:link w:val="406"/>
    <w:qFormat/>
    <w:uiPriority w:val="0"/>
    <w:pPr>
      <w:spacing w:line="240" w:lineRule="auto"/>
      <w:ind w:left="100" w:leftChars="2100" w:firstLine="0" w:firstLineChars="0"/>
      <w:jc w:val="both"/>
      <w:textAlignment w:val="auto"/>
    </w:pPr>
    <w:rPr>
      <w:rFonts w:ascii="宋体" w:hAnsi="宋体"/>
      <w:sz w:val="20"/>
      <w:szCs w:val="24"/>
    </w:rPr>
  </w:style>
  <w:style w:type="paragraph" w:styleId="22">
    <w:name w:val="Body Text"/>
    <w:basedOn w:val="1"/>
    <w:next w:val="1"/>
    <w:link w:val="86"/>
    <w:qFormat/>
    <w:uiPriority w:val="0"/>
    <w:pPr>
      <w:spacing w:after="120"/>
    </w:pPr>
  </w:style>
  <w:style w:type="paragraph" w:styleId="23">
    <w:name w:val="Body Text Indent"/>
    <w:basedOn w:val="1"/>
    <w:next w:val="15"/>
    <w:link w:val="87"/>
    <w:qFormat/>
    <w:uiPriority w:val="0"/>
    <w:pPr>
      <w:spacing w:after="120" w:line="240" w:lineRule="auto"/>
      <w:ind w:left="420" w:leftChars="200" w:firstLine="0" w:firstLineChars="0"/>
      <w:jc w:val="both"/>
      <w:textAlignment w:val="auto"/>
    </w:pPr>
    <w:rPr>
      <w:kern w:val="2"/>
    </w:rPr>
  </w:style>
  <w:style w:type="paragraph" w:styleId="24">
    <w:name w:val="List 2"/>
    <w:next w:val="1"/>
    <w:link w:val="88"/>
    <w:qFormat/>
    <w:uiPriority w:val="0"/>
    <w:pPr>
      <w:jc w:val="center"/>
    </w:pPr>
    <w:rPr>
      <w:rFonts w:ascii="Times New Roman" w:hAnsi="Times New Roman" w:eastAsia="Times New Roman" w:cs="Times New Roman"/>
      <w:lang w:val="en-US" w:eastAsia="zh-CN" w:bidi="ar-SA"/>
    </w:rPr>
  </w:style>
  <w:style w:type="paragraph" w:styleId="25">
    <w:name w:val="Block Text"/>
    <w:basedOn w:val="1"/>
    <w:qFormat/>
    <w:uiPriority w:val="0"/>
    <w:pPr>
      <w:spacing w:after="120"/>
      <w:ind w:left="1440" w:leftChars="700" w:right="1440" w:rightChars="700"/>
    </w:pPr>
  </w:style>
  <w:style w:type="paragraph" w:styleId="26">
    <w:name w:val="List Bullet 2"/>
    <w:basedOn w:val="1"/>
    <w:qFormat/>
    <w:uiPriority w:val="0"/>
    <w:pPr>
      <w:tabs>
        <w:tab w:val="left" w:pos="360"/>
      </w:tabs>
      <w:spacing w:line="500" w:lineRule="exact"/>
      <w:ind w:left="360" w:hanging="360" w:firstLineChars="0"/>
      <w:jc w:val="both"/>
      <w:textAlignment w:val="auto"/>
    </w:pPr>
    <w:rPr>
      <w:rFonts w:eastAsia="仿宋_GB2312"/>
      <w:snapToGrid w:val="0"/>
      <w:color w:val="000000"/>
      <w:szCs w:val="32"/>
    </w:rPr>
  </w:style>
  <w:style w:type="paragraph" w:styleId="27">
    <w:name w:val="HTML Address"/>
    <w:basedOn w:val="1"/>
    <w:link w:val="364"/>
    <w:qFormat/>
    <w:uiPriority w:val="0"/>
    <w:pPr>
      <w:spacing w:line="240" w:lineRule="auto"/>
      <w:ind w:firstLine="0" w:firstLineChars="0"/>
      <w:jc w:val="both"/>
      <w:textAlignment w:val="auto"/>
    </w:pPr>
    <w:rPr>
      <w:rFonts w:ascii="Courier New" w:hAnsi="Courier New" w:cs="Courier New"/>
      <w:sz w:val="20"/>
    </w:rPr>
  </w:style>
  <w:style w:type="paragraph" w:styleId="28">
    <w:name w:val="toc 5"/>
    <w:basedOn w:val="1"/>
    <w:next w:val="1"/>
    <w:qFormat/>
    <w:uiPriority w:val="0"/>
    <w:pPr>
      <w:ind w:left="1120"/>
    </w:pPr>
    <w:rPr>
      <w:rFonts w:asciiTheme="minorHAnsi" w:hAnsiTheme="minorHAnsi" w:cstheme="minorHAnsi"/>
      <w:sz w:val="18"/>
      <w:szCs w:val="18"/>
    </w:rPr>
  </w:style>
  <w:style w:type="paragraph" w:styleId="29">
    <w:name w:val="toc 3"/>
    <w:basedOn w:val="1"/>
    <w:next w:val="1"/>
    <w:qFormat/>
    <w:uiPriority w:val="39"/>
    <w:pPr>
      <w:ind w:left="560"/>
    </w:pPr>
    <w:rPr>
      <w:rFonts w:asciiTheme="minorHAnsi" w:hAnsiTheme="minorHAnsi" w:cstheme="minorHAnsi"/>
      <w:i/>
      <w:iCs/>
      <w:sz w:val="20"/>
    </w:rPr>
  </w:style>
  <w:style w:type="paragraph" w:styleId="30">
    <w:name w:val="Plain Text"/>
    <w:basedOn w:val="1"/>
    <w:link w:val="89"/>
    <w:qFormat/>
    <w:uiPriority w:val="0"/>
    <w:pPr>
      <w:spacing w:line="240" w:lineRule="auto"/>
      <w:ind w:firstLine="0" w:firstLineChars="0"/>
      <w:jc w:val="both"/>
      <w:textAlignment w:val="auto"/>
    </w:pPr>
    <w:rPr>
      <w:rFonts w:ascii="宋体" w:hAnsi="Courier New"/>
      <w:kern w:val="2"/>
      <w:sz w:val="21"/>
      <w:szCs w:val="21"/>
    </w:rPr>
  </w:style>
  <w:style w:type="paragraph" w:styleId="31">
    <w:name w:val="toc 8"/>
    <w:basedOn w:val="1"/>
    <w:next w:val="1"/>
    <w:qFormat/>
    <w:uiPriority w:val="0"/>
    <w:pPr>
      <w:ind w:left="1960"/>
    </w:pPr>
    <w:rPr>
      <w:rFonts w:asciiTheme="minorHAnsi" w:hAnsiTheme="minorHAnsi" w:cstheme="minorHAnsi"/>
      <w:sz w:val="18"/>
      <w:szCs w:val="18"/>
    </w:rPr>
  </w:style>
  <w:style w:type="paragraph" w:styleId="32">
    <w:name w:val="Date"/>
    <w:basedOn w:val="1"/>
    <w:next w:val="1"/>
    <w:link w:val="90"/>
    <w:qFormat/>
    <w:uiPriority w:val="0"/>
    <w:pPr>
      <w:spacing w:line="240" w:lineRule="auto"/>
      <w:ind w:left="100" w:leftChars="2500" w:firstLine="0" w:firstLineChars="0"/>
      <w:jc w:val="both"/>
      <w:textAlignment w:val="auto"/>
    </w:pPr>
    <w:rPr>
      <w:kern w:val="2"/>
    </w:rPr>
  </w:style>
  <w:style w:type="paragraph" w:styleId="33">
    <w:name w:val="Body Text Indent 2"/>
    <w:basedOn w:val="1"/>
    <w:link w:val="91"/>
    <w:qFormat/>
    <w:uiPriority w:val="0"/>
    <w:pPr>
      <w:spacing w:after="120" w:line="480" w:lineRule="auto"/>
      <w:ind w:left="420" w:leftChars="200" w:firstLine="0" w:firstLineChars="0"/>
      <w:jc w:val="both"/>
      <w:textAlignment w:val="auto"/>
    </w:pPr>
    <w:rPr>
      <w:kern w:val="2"/>
      <w:sz w:val="21"/>
      <w:szCs w:val="24"/>
    </w:rPr>
  </w:style>
  <w:style w:type="paragraph" w:styleId="34">
    <w:name w:val="Balloon Text"/>
    <w:basedOn w:val="1"/>
    <w:link w:val="92"/>
    <w:qFormat/>
    <w:uiPriority w:val="0"/>
    <w:pPr>
      <w:spacing w:line="240" w:lineRule="auto"/>
      <w:ind w:firstLine="0" w:firstLineChars="0"/>
      <w:jc w:val="both"/>
      <w:textAlignment w:val="auto"/>
    </w:pPr>
    <w:rPr>
      <w:kern w:val="2"/>
      <w:sz w:val="18"/>
      <w:szCs w:val="18"/>
    </w:rPr>
  </w:style>
  <w:style w:type="paragraph" w:styleId="35">
    <w:name w:val="footer"/>
    <w:basedOn w:val="1"/>
    <w:link w:val="93"/>
    <w:qFormat/>
    <w:uiPriority w:val="99"/>
    <w:pPr>
      <w:tabs>
        <w:tab w:val="center" w:pos="4153"/>
        <w:tab w:val="right" w:pos="8306"/>
      </w:tabs>
      <w:snapToGrid w:val="0"/>
      <w:spacing w:line="240" w:lineRule="auto"/>
      <w:ind w:firstLine="0" w:firstLineChars="0"/>
      <w:textAlignment w:val="auto"/>
    </w:pPr>
    <w:rPr>
      <w:kern w:val="2"/>
      <w:sz w:val="18"/>
      <w:szCs w:val="18"/>
    </w:rPr>
  </w:style>
  <w:style w:type="paragraph" w:styleId="36">
    <w:name w:val="header"/>
    <w:basedOn w:val="1"/>
    <w:link w:val="95"/>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37">
    <w:name w:val="Signature"/>
    <w:basedOn w:val="1"/>
    <w:link w:val="346"/>
    <w:qFormat/>
    <w:uiPriority w:val="0"/>
    <w:pPr>
      <w:spacing w:line="240" w:lineRule="auto"/>
      <w:ind w:left="100" w:leftChars="2100" w:firstLine="0" w:firstLineChars="0"/>
      <w:jc w:val="both"/>
      <w:textAlignment w:val="auto"/>
    </w:pPr>
    <w:rPr>
      <w:rFonts w:ascii="宋体" w:hAnsi="宋体"/>
      <w:sz w:val="20"/>
      <w:szCs w:val="24"/>
    </w:rPr>
  </w:style>
  <w:style w:type="paragraph" w:styleId="38">
    <w:name w:val="toc 1"/>
    <w:basedOn w:val="1"/>
    <w:next w:val="1"/>
    <w:qFormat/>
    <w:uiPriority w:val="39"/>
    <w:pPr>
      <w:spacing w:before="120" w:after="120"/>
    </w:pPr>
    <w:rPr>
      <w:rFonts w:asciiTheme="minorHAnsi" w:hAnsiTheme="minorHAnsi" w:cstheme="minorHAnsi"/>
      <w:b/>
      <w:bCs/>
      <w:caps/>
      <w:sz w:val="20"/>
    </w:rPr>
  </w:style>
  <w:style w:type="paragraph" w:styleId="39">
    <w:name w:val="toc 4"/>
    <w:basedOn w:val="1"/>
    <w:next w:val="1"/>
    <w:qFormat/>
    <w:uiPriority w:val="0"/>
    <w:pPr>
      <w:ind w:left="840"/>
    </w:pPr>
    <w:rPr>
      <w:rFonts w:asciiTheme="minorHAnsi" w:hAnsiTheme="minorHAnsi" w:cstheme="minorHAnsi"/>
      <w:sz w:val="18"/>
      <w:szCs w:val="18"/>
    </w:rPr>
  </w:style>
  <w:style w:type="paragraph" w:styleId="40">
    <w:name w:val="Subtitle"/>
    <w:basedOn w:val="1"/>
    <w:link w:val="378"/>
    <w:qFormat/>
    <w:uiPriority w:val="0"/>
    <w:pPr>
      <w:spacing w:before="240" w:after="60" w:line="312" w:lineRule="auto"/>
      <w:ind w:firstLine="0" w:firstLineChars="0"/>
      <w:jc w:val="center"/>
      <w:textAlignment w:val="auto"/>
      <w:outlineLvl w:val="1"/>
    </w:pPr>
    <w:rPr>
      <w:rFonts w:ascii="Arial" w:hAnsi="Arial" w:cs="Arial"/>
      <w:b/>
      <w:bCs/>
      <w:kern w:val="28"/>
      <w:sz w:val="32"/>
      <w:szCs w:val="32"/>
    </w:rPr>
  </w:style>
  <w:style w:type="paragraph" w:styleId="41">
    <w:name w:val="List"/>
    <w:basedOn w:val="1"/>
    <w:qFormat/>
    <w:uiPriority w:val="0"/>
    <w:pPr>
      <w:ind w:left="200" w:hanging="200" w:hangingChars="200"/>
    </w:pPr>
  </w:style>
  <w:style w:type="paragraph" w:styleId="42">
    <w:name w:val="footnote text"/>
    <w:basedOn w:val="1"/>
    <w:link w:val="361"/>
    <w:semiHidden/>
    <w:qFormat/>
    <w:uiPriority w:val="0"/>
    <w:pPr>
      <w:snapToGrid w:val="0"/>
      <w:spacing w:line="240" w:lineRule="auto"/>
      <w:ind w:firstLine="0" w:firstLineChars="0"/>
      <w:textAlignment w:val="auto"/>
    </w:pPr>
    <w:rPr>
      <w:rFonts w:ascii="宋体" w:hAnsi="宋体"/>
      <w:sz w:val="18"/>
      <w:szCs w:val="18"/>
    </w:rPr>
  </w:style>
  <w:style w:type="paragraph" w:styleId="43">
    <w:name w:val="toc 6"/>
    <w:basedOn w:val="1"/>
    <w:next w:val="1"/>
    <w:qFormat/>
    <w:uiPriority w:val="0"/>
    <w:pPr>
      <w:ind w:left="1400"/>
    </w:pPr>
    <w:rPr>
      <w:rFonts w:asciiTheme="minorHAnsi" w:hAnsiTheme="minorHAnsi" w:cstheme="minorHAnsi"/>
      <w:sz w:val="18"/>
      <w:szCs w:val="18"/>
    </w:rPr>
  </w:style>
  <w:style w:type="paragraph" w:styleId="44">
    <w:name w:val="Body Text Indent 3"/>
    <w:basedOn w:val="1"/>
    <w:link w:val="96"/>
    <w:qFormat/>
    <w:uiPriority w:val="0"/>
    <w:pPr>
      <w:spacing w:after="120" w:line="240" w:lineRule="auto"/>
      <w:ind w:left="420" w:leftChars="200" w:firstLine="0" w:firstLineChars="0"/>
      <w:jc w:val="both"/>
      <w:textAlignment w:val="auto"/>
    </w:pPr>
    <w:rPr>
      <w:kern w:val="2"/>
      <w:sz w:val="16"/>
      <w:szCs w:val="16"/>
    </w:rPr>
  </w:style>
  <w:style w:type="paragraph" w:styleId="45">
    <w:name w:val="toc 2"/>
    <w:basedOn w:val="1"/>
    <w:next w:val="1"/>
    <w:qFormat/>
    <w:uiPriority w:val="39"/>
    <w:pPr>
      <w:ind w:left="280"/>
    </w:pPr>
    <w:rPr>
      <w:rFonts w:asciiTheme="minorHAnsi" w:hAnsiTheme="minorHAnsi" w:cstheme="minorHAnsi"/>
      <w:smallCaps/>
      <w:sz w:val="20"/>
    </w:rPr>
  </w:style>
  <w:style w:type="paragraph" w:styleId="46">
    <w:name w:val="toc 9"/>
    <w:basedOn w:val="1"/>
    <w:next w:val="1"/>
    <w:qFormat/>
    <w:uiPriority w:val="0"/>
    <w:pPr>
      <w:ind w:left="2240"/>
    </w:pPr>
    <w:rPr>
      <w:rFonts w:asciiTheme="minorHAnsi" w:hAnsiTheme="minorHAnsi" w:cstheme="minorHAnsi"/>
      <w:sz w:val="18"/>
      <w:szCs w:val="18"/>
    </w:rPr>
  </w:style>
  <w:style w:type="paragraph" w:styleId="47">
    <w:name w:val="Body Text 2"/>
    <w:basedOn w:val="1"/>
    <w:link w:val="97"/>
    <w:qFormat/>
    <w:uiPriority w:val="0"/>
    <w:pPr>
      <w:spacing w:after="120" w:line="480" w:lineRule="auto"/>
      <w:ind w:firstLine="0" w:firstLineChars="0"/>
      <w:jc w:val="both"/>
      <w:textAlignment w:val="auto"/>
    </w:pPr>
    <w:rPr>
      <w:kern w:val="2"/>
    </w:rPr>
  </w:style>
  <w:style w:type="paragraph" w:styleId="48">
    <w:name w:val="Message Header"/>
    <w:basedOn w:val="1"/>
    <w:link w:val="407"/>
    <w:qFormat/>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jc w:val="both"/>
      <w:textAlignment w:val="auto"/>
    </w:pPr>
    <w:rPr>
      <w:rFonts w:ascii="Arial" w:hAnsi="Arial" w:cs="Arial"/>
      <w:sz w:val="24"/>
      <w:szCs w:val="24"/>
    </w:rPr>
  </w:style>
  <w:style w:type="paragraph" w:styleId="49">
    <w:name w:val="HTML Preformatted"/>
    <w:basedOn w:val="1"/>
    <w:link w:val="9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0" w:firstLineChars="0"/>
      <w:textAlignment w:val="auto"/>
    </w:pPr>
    <w:rPr>
      <w:rFonts w:ascii="Arial" w:hAnsi="Arial"/>
      <w:sz w:val="21"/>
      <w:szCs w:val="21"/>
    </w:rPr>
  </w:style>
  <w:style w:type="paragraph" w:styleId="50">
    <w:name w:val="Normal (Web)"/>
    <w:basedOn w:val="1"/>
    <w:link w:val="99"/>
    <w:qFormat/>
    <w:uiPriority w:val="0"/>
    <w:pPr>
      <w:widowControl/>
      <w:spacing w:before="100" w:beforeAutospacing="1" w:after="100" w:afterAutospacing="1" w:line="240" w:lineRule="auto"/>
      <w:ind w:firstLine="0" w:firstLineChars="0"/>
      <w:textAlignment w:val="auto"/>
    </w:pPr>
    <w:rPr>
      <w:rFonts w:ascii="宋体" w:hAnsi="宋体" w:cs="宋体"/>
      <w:sz w:val="24"/>
      <w:szCs w:val="24"/>
    </w:rPr>
  </w:style>
  <w:style w:type="paragraph" w:styleId="51">
    <w:name w:val="index 1"/>
    <w:basedOn w:val="1"/>
    <w:next w:val="1"/>
    <w:qFormat/>
    <w:uiPriority w:val="0"/>
    <w:pPr>
      <w:tabs>
        <w:tab w:val="left" w:pos="5580"/>
      </w:tabs>
      <w:spacing w:line="280" w:lineRule="exact"/>
      <w:ind w:firstLine="0" w:firstLineChars="0"/>
      <w:jc w:val="both"/>
      <w:textAlignment w:val="auto"/>
    </w:pPr>
    <w:rPr>
      <w:rFonts w:ascii="宋体" w:hAnsi="宋体"/>
      <w:spacing w:val="10"/>
      <w:kern w:val="2"/>
      <w:sz w:val="21"/>
      <w:szCs w:val="24"/>
    </w:rPr>
  </w:style>
  <w:style w:type="paragraph" w:styleId="52">
    <w:name w:val="Title"/>
    <w:basedOn w:val="1"/>
    <w:next w:val="1"/>
    <w:link w:val="100"/>
    <w:qFormat/>
    <w:uiPriority w:val="0"/>
    <w:pPr>
      <w:spacing w:before="240" w:after="60" w:line="240" w:lineRule="auto"/>
      <w:ind w:firstLine="0" w:firstLineChars="0"/>
      <w:jc w:val="center"/>
      <w:textAlignment w:val="auto"/>
      <w:outlineLvl w:val="0"/>
    </w:pPr>
    <w:rPr>
      <w:rFonts w:ascii="Cambria" w:hAnsi="Cambria"/>
      <w:b/>
      <w:bCs/>
      <w:kern w:val="2"/>
      <w:sz w:val="32"/>
      <w:szCs w:val="32"/>
    </w:rPr>
  </w:style>
  <w:style w:type="paragraph" w:styleId="53">
    <w:name w:val="annotation subject"/>
    <w:basedOn w:val="17"/>
    <w:next w:val="17"/>
    <w:link w:val="80"/>
    <w:qFormat/>
    <w:uiPriority w:val="0"/>
    <w:rPr>
      <w:b/>
      <w:bCs/>
    </w:rPr>
  </w:style>
  <w:style w:type="paragraph" w:styleId="54">
    <w:name w:val="Body Text First Indent"/>
    <w:basedOn w:val="1"/>
    <w:link w:val="81"/>
    <w:qFormat/>
    <w:uiPriority w:val="0"/>
    <w:pPr>
      <w:suppressAutoHyphens/>
      <w:topLinePunct/>
      <w:adjustRightInd w:val="0"/>
      <w:ind w:firstLine="567" w:firstLineChars="0"/>
      <w:jc w:val="both"/>
      <w:textAlignment w:val="baseline"/>
    </w:pPr>
  </w:style>
  <w:style w:type="paragraph" w:styleId="55">
    <w:name w:val="Body Text First Indent 2"/>
    <w:basedOn w:val="23"/>
    <w:next w:val="1"/>
    <w:link w:val="94"/>
    <w:qFormat/>
    <w:uiPriority w:val="0"/>
    <w:pPr>
      <w:ind w:firstLine="420" w:firstLineChars="200"/>
    </w:pPr>
    <w:rPr>
      <w:sz w:val="21"/>
      <w:szCs w:val="24"/>
    </w:rPr>
  </w:style>
  <w:style w:type="table" w:styleId="57">
    <w:name w:val="Table Grid"/>
    <w:basedOn w:val="56"/>
    <w:qFormat/>
    <w:uiPriority w:val="0"/>
    <w:pPr>
      <w:widowControl w:val="0"/>
      <w:spacing w:line="360" w:lineRule="auto"/>
      <w:ind w:firstLine="200" w:firstLineChars="200"/>
      <w:textAlignment w:val="bottom"/>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8">
    <w:name w:val="Table Theme"/>
    <w:basedOn w:val="5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9">
    <w:name w:val="Table List 7"/>
    <w:basedOn w:val="56"/>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auto"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60">
    <w:name w:val="Table Grid 1"/>
    <w:basedOn w:val="56"/>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1">
    <w:name w:val="Table Professional"/>
    <w:basedOn w:val="56"/>
    <w:qFormat/>
    <w:uiPriority w:val="0"/>
    <w:pPr>
      <w:widowControl w:val="0"/>
      <w:jc w:val="both"/>
    </w:pPr>
    <w:tblP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63">
    <w:name w:val="Strong"/>
    <w:qFormat/>
    <w:uiPriority w:val="0"/>
    <w:rPr>
      <w:rFonts w:ascii="Times New Roman" w:hAnsi="Times New Roman" w:eastAsia="宋体" w:cs="Times New Roman"/>
      <w:b/>
      <w:bCs/>
    </w:rPr>
  </w:style>
  <w:style w:type="character" w:styleId="64">
    <w:name w:val="page number"/>
    <w:qFormat/>
    <w:uiPriority w:val="0"/>
    <w:rPr>
      <w:rFonts w:ascii="Times New Roman" w:hAnsi="Times New Roman" w:eastAsia="宋体" w:cs="Times New Roman"/>
      <w:b/>
      <w:sz w:val="21"/>
    </w:rPr>
  </w:style>
  <w:style w:type="character" w:styleId="65">
    <w:name w:val="FollowedHyperlink"/>
    <w:qFormat/>
    <w:uiPriority w:val="0"/>
    <w:rPr>
      <w:rFonts w:ascii="Times New Roman" w:hAnsi="Times New Roman" w:eastAsia="宋体" w:cs="Times New Roman"/>
      <w:color w:val="800080"/>
      <w:u w:val="single"/>
    </w:rPr>
  </w:style>
  <w:style w:type="character" w:styleId="66">
    <w:name w:val="Emphasis"/>
    <w:qFormat/>
    <w:uiPriority w:val="0"/>
    <w:rPr>
      <w:rFonts w:ascii="Times New Roman" w:hAnsi="Times New Roman" w:eastAsia="宋体" w:cs="Times New Roman"/>
      <w:color w:val="CC0000"/>
    </w:rPr>
  </w:style>
  <w:style w:type="character" w:styleId="67">
    <w:name w:val="HTML Typewriter"/>
    <w:qFormat/>
    <w:uiPriority w:val="0"/>
    <w:rPr>
      <w:rFonts w:hint="eastAsia" w:ascii="黑体" w:hAnsi="Courier New" w:eastAsia="黑体" w:cs="Courier New"/>
      <w:sz w:val="18"/>
      <w:szCs w:val="18"/>
      <w:lang w:val="en-US" w:eastAsia="en-US" w:bidi="ar-SA"/>
    </w:rPr>
  </w:style>
  <w:style w:type="character" w:styleId="68">
    <w:name w:val="Hyperlink"/>
    <w:qFormat/>
    <w:uiPriority w:val="99"/>
    <w:rPr>
      <w:rFonts w:ascii="Times New Roman" w:hAnsi="Times New Roman" w:eastAsia="宋体" w:cs="Times New Roman"/>
      <w:color w:val="0000FF"/>
      <w:u w:val="single"/>
    </w:rPr>
  </w:style>
  <w:style w:type="character" w:styleId="69">
    <w:name w:val="annotation reference"/>
    <w:qFormat/>
    <w:uiPriority w:val="0"/>
    <w:rPr>
      <w:rFonts w:ascii="Times New Roman" w:hAnsi="Times New Roman" w:eastAsia="宋体" w:cs="Times New Roman"/>
      <w:sz w:val="21"/>
      <w:szCs w:val="21"/>
    </w:rPr>
  </w:style>
  <w:style w:type="character" w:customStyle="1" w:styleId="70">
    <w:name w:val="标题 3 字符1"/>
    <w:link w:val="6"/>
    <w:qFormat/>
    <w:uiPriority w:val="0"/>
    <w:rPr>
      <w:rFonts w:ascii="Times New Roman" w:hAnsi="Times New Roman" w:eastAsia="宋体" w:cs="Times New Roman"/>
      <w:b/>
      <w:bCs/>
      <w:kern w:val="2"/>
      <w:sz w:val="28"/>
      <w:szCs w:val="32"/>
    </w:rPr>
  </w:style>
  <w:style w:type="character" w:customStyle="1" w:styleId="71">
    <w:name w:val="标题 1 字符"/>
    <w:link w:val="4"/>
    <w:qFormat/>
    <w:uiPriority w:val="0"/>
    <w:rPr>
      <w:rFonts w:ascii="隶书" w:hAnsi="隶书" w:eastAsia="宋体" w:cs="Times New Roman"/>
      <w:b/>
      <w:bCs/>
      <w:kern w:val="44"/>
      <w:sz w:val="44"/>
    </w:rPr>
  </w:style>
  <w:style w:type="character" w:customStyle="1" w:styleId="72">
    <w:name w:val="标题 2 字符1"/>
    <w:link w:val="5"/>
    <w:qFormat/>
    <w:uiPriority w:val="0"/>
    <w:rPr>
      <w:rFonts w:ascii="Arial" w:hAnsi="Arial" w:eastAsia="黑体" w:cs="Times New Roman"/>
      <w:b/>
      <w:bCs/>
      <w:kern w:val="2"/>
      <w:sz w:val="32"/>
      <w:szCs w:val="32"/>
      <w:lang w:val="en-US" w:eastAsia="zh-CN" w:bidi="ar-SA"/>
    </w:rPr>
  </w:style>
  <w:style w:type="character" w:customStyle="1" w:styleId="73">
    <w:name w:val="标题 4 字符1"/>
    <w:link w:val="3"/>
    <w:qFormat/>
    <w:uiPriority w:val="0"/>
    <w:rPr>
      <w:rFonts w:ascii="Times New Roman" w:hAnsi="Times New Roman" w:eastAsia="黑体" w:cs="Times New Roman"/>
      <w:bCs/>
      <w:sz w:val="24"/>
      <w:szCs w:val="28"/>
    </w:rPr>
  </w:style>
  <w:style w:type="character" w:customStyle="1" w:styleId="74">
    <w:name w:val="标题 5 字符"/>
    <w:link w:val="7"/>
    <w:qFormat/>
    <w:uiPriority w:val="0"/>
    <w:rPr>
      <w:rFonts w:ascii="Times New Roman" w:hAnsi="Times New Roman" w:eastAsia="宋体" w:cs="Times New Roman"/>
      <w:b/>
      <w:color w:val="FF0000"/>
      <w:sz w:val="28"/>
      <w:lang w:bidi="ar-SA"/>
    </w:rPr>
  </w:style>
  <w:style w:type="character" w:customStyle="1" w:styleId="75">
    <w:name w:val="标题 6 字符"/>
    <w:link w:val="8"/>
    <w:qFormat/>
    <w:uiPriority w:val="0"/>
    <w:rPr>
      <w:rFonts w:ascii="Arial" w:hAnsi="Arial" w:eastAsia="黑体" w:cs="Times New Roman"/>
      <w:b/>
      <w:color w:val="FF0000"/>
      <w:sz w:val="24"/>
      <w:lang w:bidi="ar-SA"/>
    </w:rPr>
  </w:style>
  <w:style w:type="character" w:customStyle="1" w:styleId="76">
    <w:name w:val="标题 7 字符"/>
    <w:link w:val="9"/>
    <w:qFormat/>
    <w:uiPriority w:val="0"/>
    <w:rPr>
      <w:rFonts w:ascii="Times New Roman" w:hAnsi="Times New Roman" w:eastAsia="宋体" w:cs="Times New Roman"/>
      <w:b/>
      <w:color w:val="FF0000"/>
      <w:sz w:val="24"/>
      <w:lang w:bidi="ar-SA"/>
    </w:rPr>
  </w:style>
  <w:style w:type="character" w:customStyle="1" w:styleId="77">
    <w:name w:val="标题 8 字符"/>
    <w:link w:val="10"/>
    <w:qFormat/>
    <w:uiPriority w:val="0"/>
    <w:rPr>
      <w:rFonts w:ascii="Arial" w:hAnsi="Arial" w:eastAsia="黑体" w:cs="Times New Roman"/>
      <w:b/>
      <w:color w:val="FF0000"/>
      <w:sz w:val="24"/>
      <w:lang w:bidi="ar-SA"/>
    </w:rPr>
  </w:style>
  <w:style w:type="character" w:customStyle="1" w:styleId="78">
    <w:name w:val="标题 9 字符"/>
    <w:link w:val="11"/>
    <w:qFormat/>
    <w:uiPriority w:val="0"/>
    <w:rPr>
      <w:rFonts w:ascii="Arial" w:hAnsi="Arial" w:eastAsia="黑体" w:cs="Times New Roman"/>
      <w:b/>
      <w:color w:val="FF0000"/>
      <w:sz w:val="21"/>
      <w:lang w:bidi="ar-SA"/>
    </w:rPr>
  </w:style>
  <w:style w:type="character" w:customStyle="1" w:styleId="79">
    <w:name w:val="批注文字 字符1"/>
    <w:link w:val="17"/>
    <w:qFormat/>
    <w:uiPriority w:val="0"/>
    <w:rPr>
      <w:rFonts w:ascii="Times New Roman" w:hAnsi="Times New Roman" w:eastAsia="宋体" w:cs="Times New Roman"/>
      <w:kern w:val="2"/>
      <w:sz w:val="21"/>
      <w:szCs w:val="24"/>
      <w:lang w:bidi="ar-SA"/>
    </w:rPr>
  </w:style>
  <w:style w:type="character" w:customStyle="1" w:styleId="80">
    <w:name w:val="批注主题 字符"/>
    <w:link w:val="53"/>
    <w:qFormat/>
    <w:locked/>
    <w:uiPriority w:val="0"/>
    <w:rPr>
      <w:b/>
      <w:bCs/>
      <w:kern w:val="2"/>
      <w:sz w:val="21"/>
      <w:szCs w:val="24"/>
    </w:rPr>
  </w:style>
  <w:style w:type="character" w:customStyle="1" w:styleId="81">
    <w:name w:val="正文文本首行缩进 字符"/>
    <w:link w:val="54"/>
    <w:qFormat/>
    <w:uiPriority w:val="0"/>
    <w:rPr>
      <w:rFonts w:ascii="Times New Roman" w:hAnsi="Times New Roman" w:eastAsia="宋体" w:cs="Times New Roman"/>
      <w:sz w:val="28"/>
      <w:lang w:val="en-US" w:eastAsia="zh-CN" w:bidi="ar-SA"/>
    </w:rPr>
  </w:style>
  <w:style w:type="character" w:customStyle="1" w:styleId="82">
    <w:name w:val="正文缩进 字符"/>
    <w:link w:val="2"/>
    <w:qFormat/>
    <w:uiPriority w:val="0"/>
    <w:rPr>
      <w:rFonts w:ascii="Times New Roman" w:hAnsi="Times New Roman" w:eastAsia="宋体" w:cs="Times New Roman"/>
      <w:kern w:val="2"/>
      <w:sz w:val="28"/>
      <w:lang w:bidi="ar-SA"/>
    </w:rPr>
  </w:style>
  <w:style w:type="character" w:customStyle="1" w:styleId="83">
    <w:name w:val="文档结构图 字符"/>
    <w:link w:val="16"/>
    <w:qFormat/>
    <w:uiPriority w:val="0"/>
    <w:rPr>
      <w:rFonts w:ascii="宋体" w:hAnsi="Times New Roman" w:eastAsia="宋体" w:cs="Times New Roman"/>
      <w:kern w:val="2"/>
      <w:sz w:val="18"/>
      <w:szCs w:val="18"/>
      <w:lang w:bidi="ar-SA"/>
    </w:rPr>
  </w:style>
  <w:style w:type="character" w:customStyle="1" w:styleId="84">
    <w:name w:val="称呼 字符"/>
    <w:link w:val="19"/>
    <w:qFormat/>
    <w:locked/>
    <w:uiPriority w:val="0"/>
    <w:rPr>
      <w:rFonts w:ascii="宋体" w:hAnsi="宋体"/>
      <w:szCs w:val="24"/>
    </w:rPr>
  </w:style>
  <w:style w:type="character" w:customStyle="1" w:styleId="85">
    <w:name w:val="正文文本 3 字符"/>
    <w:link w:val="20"/>
    <w:qFormat/>
    <w:uiPriority w:val="0"/>
    <w:rPr>
      <w:rFonts w:ascii="Times New Roman" w:hAnsi="Times New Roman" w:eastAsia="宋体" w:cs="Times New Roman"/>
      <w:color w:val="000000"/>
      <w:kern w:val="2"/>
      <w:sz w:val="24"/>
      <w:szCs w:val="24"/>
      <w:lang w:bidi="ar-SA"/>
    </w:rPr>
  </w:style>
  <w:style w:type="character" w:customStyle="1" w:styleId="86">
    <w:name w:val="正文文本 字符"/>
    <w:link w:val="22"/>
    <w:qFormat/>
    <w:uiPriority w:val="0"/>
    <w:rPr>
      <w:rFonts w:ascii="Times New Roman" w:hAnsi="Times New Roman" w:eastAsia="宋体" w:cs="Times New Roman"/>
      <w:sz w:val="28"/>
      <w:lang w:val="en-US" w:eastAsia="zh-CN" w:bidi="ar-SA"/>
    </w:rPr>
  </w:style>
  <w:style w:type="character" w:customStyle="1" w:styleId="87">
    <w:name w:val="正文文本缩进 字符"/>
    <w:link w:val="23"/>
    <w:qFormat/>
    <w:uiPriority w:val="0"/>
    <w:rPr>
      <w:rFonts w:ascii="Times New Roman" w:hAnsi="Times New Roman" w:eastAsia="宋体" w:cs="Times New Roman"/>
      <w:kern w:val="2"/>
      <w:sz w:val="28"/>
      <w:lang w:bidi="ar-SA"/>
    </w:rPr>
  </w:style>
  <w:style w:type="character" w:customStyle="1" w:styleId="88">
    <w:name w:val="列表 2 字符"/>
    <w:link w:val="24"/>
    <w:qFormat/>
    <w:uiPriority w:val="0"/>
    <w:rPr>
      <w:rFonts w:eastAsia="Times New Roman"/>
      <w:lang w:val="en-US" w:eastAsia="zh-CN" w:bidi="ar-SA"/>
    </w:rPr>
  </w:style>
  <w:style w:type="character" w:customStyle="1" w:styleId="89">
    <w:name w:val="纯文本 字符"/>
    <w:link w:val="30"/>
    <w:qFormat/>
    <w:uiPriority w:val="0"/>
    <w:rPr>
      <w:rFonts w:ascii="宋体" w:hAnsi="Courier New" w:eastAsia="宋体" w:cs="Times New Roman"/>
      <w:kern w:val="2"/>
      <w:sz w:val="21"/>
      <w:szCs w:val="21"/>
      <w:lang w:bidi="ar-SA"/>
    </w:rPr>
  </w:style>
  <w:style w:type="character" w:customStyle="1" w:styleId="90">
    <w:name w:val="日期 字符"/>
    <w:link w:val="32"/>
    <w:qFormat/>
    <w:uiPriority w:val="0"/>
    <w:rPr>
      <w:rFonts w:ascii="Times New Roman" w:hAnsi="Times New Roman" w:eastAsia="宋体" w:cs="Times New Roman"/>
      <w:kern w:val="2"/>
      <w:sz w:val="28"/>
      <w:lang w:bidi="ar-SA"/>
    </w:rPr>
  </w:style>
  <w:style w:type="character" w:customStyle="1" w:styleId="91">
    <w:name w:val="正文文本缩进 2 字符"/>
    <w:link w:val="33"/>
    <w:qFormat/>
    <w:uiPriority w:val="0"/>
    <w:rPr>
      <w:rFonts w:ascii="Times New Roman" w:hAnsi="Times New Roman" w:eastAsia="宋体" w:cs="Times New Roman"/>
      <w:kern w:val="2"/>
      <w:sz w:val="21"/>
      <w:szCs w:val="24"/>
      <w:lang w:bidi="ar-SA"/>
    </w:rPr>
  </w:style>
  <w:style w:type="character" w:customStyle="1" w:styleId="92">
    <w:name w:val="批注框文本 字符"/>
    <w:link w:val="34"/>
    <w:qFormat/>
    <w:uiPriority w:val="0"/>
    <w:rPr>
      <w:rFonts w:ascii="Times New Roman" w:hAnsi="Times New Roman" w:eastAsia="宋体" w:cs="Times New Roman"/>
      <w:kern w:val="2"/>
      <w:sz w:val="18"/>
      <w:szCs w:val="18"/>
      <w:lang w:bidi="ar-SA"/>
    </w:rPr>
  </w:style>
  <w:style w:type="character" w:customStyle="1" w:styleId="93">
    <w:name w:val="页脚 字符"/>
    <w:link w:val="35"/>
    <w:qFormat/>
    <w:uiPriority w:val="99"/>
    <w:rPr>
      <w:rFonts w:ascii="Times New Roman" w:hAnsi="Times New Roman" w:eastAsia="宋体" w:cs="Times New Roman"/>
      <w:kern w:val="2"/>
      <w:sz w:val="18"/>
      <w:szCs w:val="18"/>
      <w:lang w:bidi="ar-SA"/>
    </w:rPr>
  </w:style>
  <w:style w:type="character" w:customStyle="1" w:styleId="94">
    <w:name w:val="正文文本首行缩进 2 字符"/>
    <w:link w:val="55"/>
    <w:qFormat/>
    <w:uiPriority w:val="0"/>
    <w:rPr>
      <w:rFonts w:ascii="Times New Roman" w:hAnsi="Times New Roman" w:eastAsia="宋体" w:cs="Times New Roman"/>
      <w:kern w:val="2"/>
      <w:sz w:val="21"/>
      <w:szCs w:val="24"/>
      <w:lang w:val="en-US" w:eastAsia="zh-CN" w:bidi="ar-SA"/>
    </w:rPr>
  </w:style>
  <w:style w:type="character" w:customStyle="1" w:styleId="95">
    <w:name w:val="页眉 字符1"/>
    <w:link w:val="36"/>
    <w:qFormat/>
    <w:uiPriority w:val="0"/>
    <w:rPr>
      <w:rFonts w:ascii="Times New Roman" w:hAnsi="Times New Roman" w:eastAsia="宋体" w:cs="Times New Roman"/>
      <w:sz w:val="18"/>
      <w:szCs w:val="18"/>
      <w:lang w:val="en-US" w:eastAsia="zh-CN" w:bidi="ar-SA"/>
    </w:rPr>
  </w:style>
  <w:style w:type="character" w:customStyle="1" w:styleId="96">
    <w:name w:val="正文文本缩进 3 字符"/>
    <w:link w:val="44"/>
    <w:qFormat/>
    <w:uiPriority w:val="0"/>
    <w:rPr>
      <w:rFonts w:ascii="Times New Roman" w:hAnsi="Times New Roman" w:eastAsia="宋体" w:cs="Times New Roman"/>
      <w:kern w:val="2"/>
      <w:sz w:val="16"/>
      <w:szCs w:val="16"/>
      <w:lang w:bidi="ar-SA"/>
    </w:rPr>
  </w:style>
  <w:style w:type="character" w:customStyle="1" w:styleId="97">
    <w:name w:val="正文文本 2 字符"/>
    <w:link w:val="47"/>
    <w:qFormat/>
    <w:uiPriority w:val="0"/>
    <w:rPr>
      <w:rFonts w:ascii="Times New Roman" w:hAnsi="Times New Roman" w:eastAsia="宋体" w:cs="Times New Roman"/>
      <w:kern w:val="2"/>
      <w:sz w:val="28"/>
      <w:lang w:bidi="ar-SA"/>
    </w:rPr>
  </w:style>
  <w:style w:type="character" w:customStyle="1" w:styleId="98">
    <w:name w:val="HTML 预设格式 字符"/>
    <w:link w:val="49"/>
    <w:qFormat/>
    <w:uiPriority w:val="99"/>
    <w:rPr>
      <w:rFonts w:ascii="Arial" w:hAnsi="Arial" w:eastAsia="宋体" w:cs="Times New Roman"/>
      <w:sz w:val="21"/>
      <w:szCs w:val="21"/>
      <w:lang w:bidi="ar-SA"/>
    </w:rPr>
  </w:style>
  <w:style w:type="character" w:customStyle="1" w:styleId="99">
    <w:name w:val="普通(网站) 字符"/>
    <w:link w:val="50"/>
    <w:qFormat/>
    <w:locked/>
    <w:uiPriority w:val="0"/>
    <w:rPr>
      <w:rFonts w:ascii="宋体" w:hAnsi="宋体" w:cs="宋体"/>
      <w:sz w:val="24"/>
      <w:szCs w:val="24"/>
    </w:rPr>
  </w:style>
  <w:style w:type="character" w:customStyle="1" w:styleId="100">
    <w:name w:val="标题 字符"/>
    <w:link w:val="52"/>
    <w:qFormat/>
    <w:uiPriority w:val="0"/>
    <w:rPr>
      <w:rFonts w:ascii="Cambria" w:hAnsi="Cambria" w:eastAsia="宋体" w:cs="Times New Roman"/>
      <w:b/>
      <w:bCs/>
      <w:kern w:val="2"/>
      <w:sz w:val="32"/>
      <w:szCs w:val="32"/>
      <w:lang w:bidi="ar-SA"/>
    </w:rPr>
  </w:style>
  <w:style w:type="character" w:customStyle="1" w:styleId="101">
    <w:name w:val="内容 Char Char"/>
    <w:qFormat/>
    <w:uiPriority w:val="0"/>
    <w:rPr>
      <w:rFonts w:ascii="Times New Roman" w:hAnsi="Times New Roman" w:eastAsia="宋体" w:cs="宋体"/>
      <w:sz w:val="24"/>
    </w:rPr>
  </w:style>
  <w:style w:type="character" w:customStyle="1" w:styleId="102">
    <w:name w:val="Footer-Even Char"/>
    <w:qFormat/>
    <w:uiPriority w:val="0"/>
    <w:rPr>
      <w:rFonts w:ascii="Times New Roman" w:hAnsi="Times New Roman" w:eastAsia="宋体" w:cs="Times New Roman"/>
      <w:kern w:val="2"/>
      <w:sz w:val="18"/>
      <w:szCs w:val="18"/>
      <w:lang w:val="en-US" w:eastAsia="zh-CN" w:bidi="ar-SA"/>
    </w:rPr>
  </w:style>
  <w:style w:type="character" w:customStyle="1" w:styleId="103">
    <w:name w:val="正文1 Char"/>
    <w:link w:val="104"/>
    <w:qFormat/>
    <w:uiPriority w:val="0"/>
    <w:rPr>
      <w:rFonts w:ascii="Times New Roman" w:hAnsi="Times New Roman" w:eastAsia="宋体" w:cs="Times New Roman"/>
      <w:kern w:val="2"/>
      <w:sz w:val="28"/>
      <w:lang w:bidi="ar-SA"/>
    </w:rPr>
  </w:style>
  <w:style w:type="paragraph" w:customStyle="1" w:styleId="104">
    <w:name w:val="正文11"/>
    <w:basedOn w:val="1"/>
    <w:link w:val="103"/>
    <w:qFormat/>
    <w:uiPriority w:val="0"/>
    <w:pPr>
      <w:adjustRightInd w:val="0"/>
      <w:snapToGrid w:val="0"/>
      <w:spacing w:line="500" w:lineRule="atLeast"/>
      <w:ind w:firstLine="567" w:firstLineChars="0"/>
      <w:jc w:val="both"/>
      <w:textAlignment w:val="auto"/>
    </w:pPr>
    <w:rPr>
      <w:kern w:val="2"/>
    </w:rPr>
  </w:style>
  <w:style w:type="character" w:customStyle="1" w:styleId="105">
    <w:name w:val="font181"/>
    <w:qFormat/>
    <w:uiPriority w:val="0"/>
    <w:rPr>
      <w:rFonts w:hint="eastAsia" w:ascii="宋体" w:hAnsi="宋体" w:eastAsia="宋体" w:cs="宋体"/>
      <w:b/>
      <w:color w:val="000000"/>
      <w:sz w:val="22"/>
      <w:szCs w:val="22"/>
      <w:u w:val="none"/>
    </w:rPr>
  </w:style>
  <w:style w:type="character" w:customStyle="1" w:styleId="106">
    <w:name w:val="文本 Char"/>
    <w:link w:val="107"/>
    <w:qFormat/>
    <w:uiPriority w:val="0"/>
    <w:rPr>
      <w:rFonts w:ascii="Times New Roman" w:hAnsi="Times New Roman" w:eastAsia="宋体" w:cs="Times New Roman"/>
      <w:kern w:val="2"/>
      <w:sz w:val="24"/>
      <w:szCs w:val="24"/>
      <w:lang w:bidi="ar-SA"/>
    </w:rPr>
  </w:style>
  <w:style w:type="paragraph" w:customStyle="1" w:styleId="107">
    <w:name w:val="文本"/>
    <w:basedOn w:val="1"/>
    <w:link w:val="106"/>
    <w:qFormat/>
    <w:uiPriority w:val="0"/>
    <w:pPr>
      <w:ind w:firstLine="480"/>
      <w:jc w:val="both"/>
      <w:textAlignment w:val="auto"/>
    </w:pPr>
    <w:rPr>
      <w:kern w:val="2"/>
      <w:sz w:val="24"/>
      <w:szCs w:val="24"/>
    </w:rPr>
  </w:style>
  <w:style w:type="character" w:customStyle="1" w:styleId="108">
    <w:name w:val="普通文字 Char2"/>
    <w:link w:val="109"/>
    <w:qFormat/>
    <w:uiPriority w:val="0"/>
    <w:rPr>
      <w:rFonts w:ascii="宋体" w:hAnsi="Courier New" w:eastAsia="宋体"/>
      <w:sz w:val="22"/>
      <w:lang w:val="en-US" w:eastAsia="en-US" w:bidi="ar-SA"/>
    </w:rPr>
  </w:style>
  <w:style w:type="paragraph" w:customStyle="1" w:styleId="109">
    <w:name w:val="纯文本11"/>
    <w:basedOn w:val="1"/>
    <w:link w:val="108"/>
    <w:qFormat/>
    <w:uiPriority w:val="0"/>
    <w:pPr>
      <w:spacing w:line="240" w:lineRule="auto"/>
      <w:ind w:firstLine="0" w:firstLineChars="0"/>
      <w:jc w:val="both"/>
      <w:textAlignment w:val="auto"/>
    </w:pPr>
    <w:rPr>
      <w:rFonts w:ascii="宋体" w:hAnsi="Courier New"/>
      <w:sz w:val="22"/>
      <w:lang w:eastAsia="en-US"/>
    </w:rPr>
  </w:style>
  <w:style w:type="character" w:customStyle="1" w:styleId="110">
    <w:name w:val="font131"/>
    <w:qFormat/>
    <w:uiPriority w:val="0"/>
    <w:rPr>
      <w:rFonts w:hint="default" w:ascii="Times New Roman" w:hAnsi="Times New Roman" w:eastAsia="宋体" w:cs="Times New Roman"/>
      <w:b/>
      <w:color w:val="000000"/>
      <w:sz w:val="22"/>
      <w:szCs w:val="22"/>
      <w:u w:val="none"/>
    </w:rPr>
  </w:style>
  <w:style w:type="character" w:customStyle="1" w:styleId="111">
    <w:name w:val="表头 Char Char"/>
    <w:qFormat/>
    <w:uiPriority w:val="0"/>
    <w:rPr>
      <w:rFonts w:ascii="Times New Roman" w:hAnsi="Times New Roman" w:eastAsia="宋体" w:cs="宋体"/>
      <w:b/>
      <w:kern w:val="2"/>
      <w:sz w:val="24"/>
      <w:lang w:val="en-US" w:eastAsia="zh-CN" w:bidi="ar-SA"/>
    </w:rPr>
  </w:style>
  <w:style w:type="character" w:customStyle="1" w:styleId="112">
    <w:name w:val="Re Char"/>
    <w:qFormat/>
    <w:uiPriority w:val="0"/>
    <w:rPr>
      <w:rFonts w:ascii="Times New Roman" w:hAnsi="Times New Roman" w:eastAsia="宋体" w:cs="Times New Roman"/>
      <w:b/>
      <w:bCs/>
      <w:kern w:val="2"/>
      <w:sz w:val="32"/>
      <w:szCs w:val="32"/>
    </w:rPr>
  </w:style>
  <w:style w:type="character" w:customStyle="1" w:styleId="113">
    <w:name w:val="正文文本 Char"/>
    <w:qFormat/>
    <w:uiPriority w:val="0"/>
    <w:rPr>
      <w:rFonts w:eastAsia="宋体"/>
      <w:sz w:val="28"/>
      <w:lang w:val="en-US" w:eastAsia="zh-CN" w:bidi="ar-SA"/>
    </w:rPr>
  </w:style>
  <w:style w:type="character" w:customStyle="1" w:styleId="114">
    <w:name w:val="标题 1 Char Char Char Char"/>
    <w:qFormat/>
    <w:uiPriority w:val="0"/>
    <w:rPr>
      <w:rFonts w:ascii="宋体" w:hAnsi="宋体" w:eastAsia="宋体" w:cs="Times New Roman"/>
      <w:b/>
      <w:bCs/>
      <w:kern w:val="44"/>
      <w:sz w:val="44"/>
      <w:szCs w:val="44"/>
      <w:lang w:val="en-US" w:eastAsia="zh-CN" w:bidi="ar-SA"/>
    </w:rPr>
  </w:style>
  <w:style w:type="character" w:customStyle="1" w:styleId="115">
    <w:name w:val="页码1"/>
    <w:qFormat/>
    <w:uiPriority w:val="0"/>
    <w:rPr>
      <w:rFonts w:ascii="Times New Roman" w:hAnsi="Times New Roman" w:eastAsia="宋体" w:cs="Times New Roman"/>
    </w:rPr>
  </w:style>
  <w:style w:type="character" w:customStyle="1" w:styleId="116">
    <w:name w:val="正文小四首缩1.3行距 Char"/>
    <w:link w:val="117"/>
    <w:qFormat/>
    <w:uiPriority w:val="0"/>
    <w:rPr>
      <w:rFonts w:ascii="Times New Roman" w:hAnsi="Times New Roman" w:eastAsia="宋体" w:cs="Times New Roman"/>
      <w:kern w:val="2"/>
      <w:sz w:val="24"/>
      <w:szCs w:val="24"/>
    </w:rPr>
  </w:style>
  <w:style w:type="paragraph" w:customStyle="1" w:styleId="117">
    <w:name w:val="正文小四首缩1.3行距"/>
    <w:basedOn w:val="1"/>
    <w:link w:val="116"/>
    <w:qFormat/>
    <w:uiPriority w:val="0"/>
    <w:pPr>
      <w:spacing w:line="312" w:lineRule="auto"/>
      <w:ind w:firstLine="420"/>
      <w:jc w:val="both"/>
      <w:textAlignment w:val="auto"/>
    </w:pPr>
    <w:rPr>
      <w:kern w:val="2"/>
      <w:sz w:val="24"/>
      <w:szCs w:val="24"/>
    </w:rPr>
  </w:style>
  <w:style w:type="character" w:customStyle="1" w:styleId="118">
    <w:name w:val="font171"/>
    <w:qFormat/>
    <w:uiPriority w:val="0"/>
    <w:rPr>
      <w:rFonts w:hint="default" w:ascii="Times New Roman" w:hAnsi="Times New Roman" w:eastAsia="宋体" w:cs="Times New Roman"/>
      <w:color w:val="000000"/>
      <w:sz w:val="16"/>
      <w:szCs w:val="16"/>
      <w:u w:val="none"/>
    </w:rPr>
  </w:style>
  <w:style w:type="character" w:customStyle="1" w:styleId="119">
    <w:name w:val="font01"/>
    <w:qFormat/>
    <w:uiPriority w:val="0"/>
    <w:rPr>
      <w:rFonts w:hint="eastAsia" w:ascii="宋体" w:hAnsi="宋体" w:eastAsia="宋体" w:cs="宋体"/>
      <w:b/>
      <w:color w:val="000000"/>
      <w:sz w:val="18"/>
      <w:szCs w:val="18"/>
      <w:u w:val="none"/>
    </w:rPr>
  </w:style>
  <w:style w:type="character" w:customStyle="1" w:styleId="120">
    <w:name w:val="页眉18 Char"/>
    <w:qFormat/>
    <w:uiPriority w:val="0"/>
    <w:rPr>
      <w:rFonts w:ascii="Times New Roman" w:hAnsi="Times New Roman" w:eastAsia="宋体" w:cs="Times New Roman"/>
      <w:kern w:val="2"/>
      <w:sz w:val="18"/>
      <w:szCs w:val="18"/>
      <w:lang w:val="en-US" w:eastAsia="zh-CN" w:bidi="ar-SA"/>
    </w:rPr>
  </w:style>
  <w:style w:type="character" w:customStyle="1" w:styleId="121">
    <w:name w:val="表格名 Char"/>
    <w:link w:val="122"/>
    <w:qFormat/>
    <w:uiPriority w:val="0"/>
    <w:rPr>
      <w:rFonts w:ascii="Times New Roman" w:hAnsi="Times New Roman" w:eastAsia="宋体" w:cs="Times New Roman"/>
      <w:b/>
      <w:bCs/>
      <w:color w:val="000000"/>
      <w:kern w:val="2"/>
      <w:sz w:val="21"/>
      <w:szCs w:val="21"/>
      <w:lang w:bidi="ar-SA"/>
    </w:rPr>
  </w:style>
  <w:style w:type="paragraph" w:customStyle="1" w:styleId="122">
    <w:name w:val="表格名"/>
    <w:basedOn w:val="1"/>
    <w:link w:val="121"/>
    <w:qFormat/>
    <w:uiPriority w:val="0"/>
    <w:pPr>
      <w:spacing w:beforeLines="50" w:afterLines="50" w:line="240" w:lineRule="auto"/>
      <w:ind w:firstLine="0" w:firstLineChars="0"/>
      <w:jc w:val="center"/>
      <w:textAlignment w:val="auto"/>
    </w:pPr>
    <w:rPr>
      <w:b/>
      <w:bCs/>
      <w:color w:val="000000"/>
      <w:kern w:val="2"/>
      <w:sz w:val="21"/>
      <w:szCs w:val="21"/>
    </w:rPr>
  </w:style>
  <w:style w:type="character" w:customStyle="1" w:styleId="123">
    <w:name w:val="style1"/>
    <w:qFormat/>
    <w:uiPriority w:val="0"/>
    <w:rPr>
      <w:rFonts w:hint="default" w:ascii="Times" w:hAnsi="Times" w:eastAsia="宋体" w:cs="Times New Roman"/>
      <w:color w:val="000000"/>
      <w:sz w:val="18"/>
      <w:szCs w:val="18"/>
    </w:rPr>
  </w:style>
  <w:style w:type="character" w:customStyle="1" w:styleId="124">
    <w:name w:val="表格标题 Char"/>
    <w:link w:val="125"/>
    <w:qFormat/>
    <w:uiPriority w:val="0"/>
    <w:rPr>
      <w:rFonts w:ascii="Times New Roman" w:hAnsi="Times New Roman" w:eastAsia="黑体" w:cs="Times New Roman"/>
      <w:b/>
      <w:snapToGrid w:val="0"/>
      <w:sz w:val="24"/>
      <w:szCs w:val="24"/>
      <w:lang w:bidi="ar-SA"/>
    </w:rPr>
  </w:style>
  <w:style w:type="paragraph" w:customStyle="1" w:styleId="125">
    <w:name w:val="表格标题"/>
    <w:basedOn w:val="1"/>
    <w:link w:val="124"/>
    <w:qFormat/>
    <w:uiPriority w:val="0"/>
    <w:pPr>
      <w:adjustRightInd w:val="0"/>
      <w:snapToGrid w:val="0"/>
      <w:spacing w:beforeLines="10" w:line="460" w:lineRule="exact"/>
      <w:ind w:firstLine="0" w:firstLineChars="0"/>
      <w:jc w:val="center"/>
      <w:textAlignment w:val="auto"/>
    </w:pPr>
    <w:rPr>
      <w:rFonts w:eastAsia="黑体"/>
      <w:b/>
      <w:snapToGrid w:val="0"/>
      <w:sz w:val="24"/>
      <w:szCs w:val="24"/>
    </w:rPr>
  </w:style>
  <w:style w:type="character" w:customStyle="1" w:styleId="126">
    <w:name w:val="font81"/>
    <w:qFormat/>
    <w:uiPriority w:val="0"/>
    <w:rPr>
      <w:rFonts w:hint="eastAsia" w:ascii="宋体" w:hAnsi="宋体" w:eastAsia="宋体" w:cs="宋体"/>
      <w:color w:val="000000"/>
      <w:sz w:val="22"/>
      <w:szCs w:val="22"/>
      <w:u w:val="none"/>
    </w:rPr>
  </w:style>
  <w:style w:type="character" w:customStyle="1" w:styleId="127">
    <w:name w:val="无间隔 字符"/>
    <w:link w:val="128"/>
    <w:qFormat/>
    <w:uiPriority w:val="0"/>
    <w:rPr>
      <w:rFonts w:ascii="Calibri" w:hAnsi="Calibri"/>
      <w:sz w:val="22"/>
      <w:szCs w:val="22"/>
      <w:lang w:val="en-US" w:eastAsia="zh-CN" w:bidi="ar-SA"/>
    </w:rPr>
  </w:style>
  <w:style w:type="paragraph" w:styleId="128">
    <w:name w:val="No Spacing"/>
    <w:link w:val="127"/>
    <w:qFormat/>
    <w:uiPriority w:val="0"/>
    <w:rPr>
      <w:rFonts w:ascii="Calibri" w:hAnsi="Calibri" w:eastAsia="宋体" w:cs="Times New Roman"/>
      <w:sz w:val="22"/>
      <w:szCs w:val="22"/>
      <w:lang w:val="en-US" w:eastAsia="zh-CN" w:bidi="ar-SA"/>
    </w:rPr>
  </w:style>
  <w:style w:type="character" w:customStyle="1" w:styleId="129">
    <w:name w:val="1正文段落 Char"/>
    <w:link w:val="130"/>
    <w:qFormat/>
    <w:uiPriority w:val="0"/>
    <w:rPr>
      <w:rFonts w:ascii="Times New Roman" w:hAnsi="Times New Roman" w:eastAsia="宋体" w:cs="Times New Roman"/>
      <w:snapToGrid w:val="0"/>
      <w:szCs w:val="24"/>
      <w:lang w:bidi="ar-SA"/>
    </w:rPr>
  </w:style>
  <w:style w:type="paragraph" w:customStyle="1" w:styleId="130">
    <w:name w:val="1正文段落"/>
    <w:basedOn w:val="1"/>
    <w:link w:val="129"/>
    <w:qFormat/>
    <w:uiPriority w:val="0"/>
    <w:pPr>
      <w:ind w:firstLine="480"/>
      <w:textAlignment w:val="auto"/>
    </w:pPr>
    <w:rPr>
      <w:snapToGrid w:val="0"/>
      <w:sz w:val="20"/>
      <w:szCs w:val="24"/>
    </w:rPr>
  </w:style>
  <w:style w:type="character" w:customStyle="1" w:styleId="131">
    <w:name w:val="表格 Char Char"/>
    <w:qFormat/>
    <w:uiPriority w:val="0"/>
    <w:rPr>
      <w:rFonts w:ascii="Times New Roman" w:hAnsi="Times New Roman" w:eastAsia="宋体" w:cs="Times New Roman"/>
      <w:sz w:val="24"/>
      <w:szCs w:val="24"/>
    </w:rPr>
  </w:style>
  <w:style w:type="character" w:customStyle="1" w:styleId="132">
    <w:name w:val="表格 Char"/>
    <w:link w:val="133"/>
    <w:qFormat/>
    <w:uiPriority w:val="0"/>
    <w:rPr>
      <w:rFonts w:ascii="Times New Roman" w:hAnsi="Times New Roman" w:eastAsia="宋体" w:cs="Times New Roman"/>
      <w:color w:val="000000"/>
      <w:sz w:val="21"/>
      <w:szCs w:val="24"/>
      <w:lang w:bidi="ar-SA"/>
    </w:rPr>
  </w:style>
  <w:style w:type="paragraph" w:customStyle="1" w:styleId="133">
    <w:name w:val="表格"/>
    <w:basedOn w:val="1"/>
    <w:link w:val="132"/>
    <w:qFormat/>
    <w:uiPriority w:val="0"/>
    <w:pPr>
      <w:spacing w:line="400" w:lineRule="exact"/>
      <w:ind w:firstLine="0" w:firstLineChars="0"/>
      <w:jc w:val="center"/>
      <w:textAlignment w:val="auto"/>
    </w:pPr>
    <w:rPr>
      <w:color w:val="000000"/>
      <w:sz w:val="21"/>
      <w:szCs w:val="24"/>
    </w:rPr>
  </w:style>
  <w:style w:type="character" w:customStyle="1" w:styleId="134">
    <w:name w:val="px14"/>
    <w:basedOn w:val="62"/>
    <w:qFormat/>
    <w:uiPriority w:val="0"/>
  </w:style>
  <w:style w:type="character" w:customStyle="1" w:styleId="135">
    <w:name w:val="报告正文 Char"/>
    <w:qFormat/>
    <w:uiPriority w:val="0"/>
    <w:rPr>
      <w:rFonts w:ascii="Times New Roman" w:hAnsi="Times New Roman" w:eastAsia="宋体" w:cs="Times New Roman"/>
      <w:sz w:val="28"/>
      <w:szCs w:val="20"/>
    </w:rPr>
  </w:style>
  <w:style w:type="character" w:customStyle="1" w:styleId="136">
    <w:name w:val="~~表内容 Char Char"/>
    <w:link w:val="137"/>
    <w:qFormat/>
    <w:uiPriority w:val="0"/>
    <w:rPr>
      <w:rFonts w:ascii="Times New Roman" w:hAnsi="Times New Roman" w:eastAsia="宋体" w:cs="Times New Roman"/>
      <w:kern w:val="2"/>
      <w:sz w:val="21"/>
      <w:szCs w:val="21"/>
      <w:lang w:bidi="ar-SA"/>
    </w:rPr>
  </w:style>
  <w:style w:type="paragraph" w:customStyle="1" w:styleId="137">
    <w:name w:val="~~表内容"/>
    <w:basedOn w:val="1"/>
    <w:link w:val="136"/>
    <w:qFormat/>
    <w:uiPriority w:val="0"/>
    <w:pPr>
      <w:spacing w:line="240" w:lineRule="auto"/>
      <w:ind w:firstLine="0" w:firstLineChars="0"/>
      <w:jc w:val="center"/>
      <w:textAlignment w:val="auto"/>
    </w:pPr>
    <w:rPr>
      <w:kern w:val="2"/>
      <w:sz w:val="21"/>
      <w:szCs w:val="21"/>
    </w:rPr>
  </w:style>
  <w:style w:type="character" w:customStyle="1" w:styleId="138">
    <w:name w:val="font111"/>
    <w:qFormat/>
    <w:uiPriority w:val="0"/>
    <w:rPr>
      <w:rFonts w:hint="default" w:ascii="Times New Roman" w:hAnsi="Times New Roman" w:eastAsia="宋体" w:cs="Times New Roman"/>
      <w:color w:val="000000"/>
      <w:sz w:val="22"/>
      <w:szCs w:val="22"/>
      <w:u w:val="none"/>
    </w:rPr>
  </w:style>
  <w:style w:type="character" w:customStyle="1" w:styleId="139">
    <w:name w:val="普通文字 Char Char Char3"/>
    <w:qFormat/>
    <w:uiPriority w:val="0"/>
    <w:rPr>
      <w:rFonts w:ascii="宋体" w:hAnsi="Courier New" w:eastAsia="仿宋_GB2312" w:cs="Courier New"/>
      <w:kern w:val="2"/>
      <w:sz w:val="28"/>
      <w:szCs w:val="21"/>
      <w:lang w:val="en-US" w:eastAsia="zh-CN" w:bidi="ar-SA"/>
    </w:rPr>
  </w:style>
  <w:style w:type="character" w:customStyle="1" w:styleId="140">
    <w:name w:val="正文01 Char"/>
    <w:link w:val="141"/>
    <w:qFormat/>
    <w:uiPriority w:val="0"/>
    <w:rPr>
      <w:rFonts w:ascii="Times New Roman" w:hAnsi="Times New Roman" w:eastAsia="宋体" w:cs="Times New Roman"/>
      <w:kern w:val="2"/>
      <w:sz w:val="24"/>
      <w:lang w:bidi="ar-SA"/>
    </w:rPr>
  </w:style>
  <w:style w:type="paragraph" w:customStyle="1" w:styleId="141">
    <w:name w:val="正文01"/>
    <w:basedOn w:val="2"/>
    <w:link w:val="140"/>
    <w:qFormat/>
    <w:uiPriority w:val="0"/>
    <w:pPr>
      <w:spacing w:line="360" w:lineRule="auto"/>
      <w:ind w:firstLine="480"/>
    </w:pPr>
    <w:rPr>
      <w:sz w:val="24"/>
    </w:rPr>
  </w:style>
  <w:style w:type="character" w:customStyle="1" w:styleId="142">
    <w:name w:val="正文正文 正文 正文 正文 正文  1.5 倍行距 首行缩进:  2 字符 + 首行缩进:  2 字符 Char"/>
    <w:link w:val="143"/>
    <w:qFormat/>
    <w:uiPriority w:val="0"/>
    <w:rPr>
      <w:rFonts w:ascii="Times New Roman" w:hAnsi="Times New Roman" w:eastAsia="宋体" w:cs="Times New Roman"/>
      <w:kern w:val="2"/>
      <w:sz w:val="24"/>
      <w:szCs w:val="24"/>
      <w:lang w:bidi="ar-SA"/>
    </w:rPr>
  </w:style>
  <w:style w:type="paragraph" w:customStyle="1" w:styleId="143">
    <w:name w:val="正文正文 正文 正文 正文 正文  1.5 倍行距 首行缩进:  2 字符 + 首行缩进:  2 字符"/>
    <w:basedOn w:val="1"/>
    <w:link w:val="142"/>
    <w:qFormat/>
    <w:uiPriority w:val="0"/>
    <w:pPr>
      <w:spacing w:line="500" w:lineRule="exact"/>
      <w:ind w:firstLine="480"/>
      <w:jc w:val="both"/>
      <w:textAlignment w:val="auto"/>
    </w:pPr>
    <w:rPr>
      <w:kern w:val="2"/>
      <w:sz w:val="24"/>
      <w:szCs w:val="24"/>
    </w:rPr>
  </w:style>
  <w:style w:type="character" w:customStyle="1" w:styleId="144">
    <w:name w:val="正文111 Char"/>
    <w:link w:val="145"/>
    <w:qFormat/>
    <w:uiPriority w:val="0"/>
    <w:rPr>
      <w:rFonts w:ascii="Times New Roman" w:hAnsi="Times New Roman" w:eastAsia="宋体" w:cs="Times New Roman"/>
      <w:b/>
      <w:spacing w:val="6"/>
      <w:sz w:val="21"/>
      <w:szCs w:val="21"/>
      <w:lang w:bidi="ar-SA"/>
    </w:rPr>
  </w:style>
  <w:style w:type="paragraph" w:customStyle="1" w:styleId="145">
    <w:name w:val="正文111"/>
    <w:basedOn w:val="1"/>
    <w:link w:val="144"/>
    <w:qFormat/>
    <w:uiPriority w:val="0"/>
    <w:pPr>
      <w:spacing w:line="520" w:lineRule="exact"/>
      <w:ind w:firstLine="446"/>
      <w:jc w:val="center"/>
      <w:textAlignment w:val="auto"/>
    </w:pPr>
    <w:rPr>
      <w:b/>
      <w:spacing w:val="6"/>
      <w:sz w:val="21"/>
      <w:szCs w:val="21"/>
    </w:rPr>
  </w:style>
  <w:style w:type="character" w:customStyle="1" w:styleId="146">
    <w:name w:val="font151"/>
    <w:qFormat/>
    <w:uiPriority w:val="0"/>
    <w:rPr>
      <w:rFonts w:hint="eastAsia" w:ascii="宋体" w:hAnsi="宋体" w:eastAsia="宋体" w:cs="宋体"/>
      <w:color w:val="000000"/>
      <w:sz w:val="16"/>
      <w:szCs w:val="16"/>
      <w:u w:val="none"/>
    </w:rPr>
  </w:style>
  <w:style w:type="character" w:customStyle="1" w:styleId="147">
    <w:name w:val="font101"/>
    <w:qFormat/>
    <w:uiPriority w:val="0"/>
    <w:rPr>
      <w:rFonts w:hint="default" w:ascii="Times New Roman" w:hAnsi="Times New Roman" w:eastAsia="宋体" w:cs="Times New Roman"/>
      <w:b/>
      <w:color w:val="000000"/>
      <w:sz w:val="18"/>
      <w:szCs w:val="18"/>
      <w:u w:val="none"/>
    </w:rPr>
  </w:style>
  <w:style w:type="character" w:customStyle="1" w:styleId="148">
    <w:name w:val="表头 Char1"/>
    <w:link w:val="149"/>
    <w:qFormat/>
    <w:uiPriority w:val="0"/>
    <w:rPr>
      <w:rFonts w:ascii="仿宋_GB2312" w:hAnsi="Times New Roman" w:eastAsia="仿宋_GB2312" w:cs="Times New Roman"/>
      <w:sz w:val="24"/>
      <w:lang w:bidi="ar-SA"/>
    </w:rPr>
  </w:style>
  <w:style w:type="paragraph" w:customStyle="1" w:styleId="149">
    <w:name w:val="表头"/>
    <w:basedOn w:val="1"/>
    <w:next w:val="1"/>
    <w:link w:val="148"/>
    <w:qFormat/>
    <w:uiPriority w:val="0"/>
    <w:pPr>
      <w:adjustRightInd w:val="0"/>
      <w:spacing w:before="80" w:after="80" w:line="240" w:lineRule="auto"/>
      <w:ind w:firstLine="0" w:firstLineChars="0"/>
      <w:jc w:val="center"/>
      <w:textAlignment w:val="baseline"/>
    </w:pPr>
    <w:rPr>
      <w:rFonts w:ascii="仿宋_GB2312" w:eastAsia="仿宋_GB2312"/>
      <w:sz w:val="24"/>
    </w:rPr>
  </w:style>
  <w:style w:type="character" w:customStyle="1" w:styleId="150">
    <w:name w:val="font21"/>
    <w:qFormat/>
    <w:uiPriority w:val="0"/>
    <w:rPr>
      <w:rFonts w:hint="default" w:ascii="Times New Roman" w:hAnsi="Times New Roman" w:eastAsia="宋体" w:cs="Times New Roman"/>
      <w:b/>
      <w:color w:val="000000"/>
      <w:sz w:val="18"/>
      <w:szCs w:val="18"/>
      <w:u w:val="none"/>
    </w:rPr>
  </w:style>
  <w:style w:type="character" w:customStyle="1" w:styleId="151">
    <w:name w:val="正文(首行缩进) Char"/>
    <w:link w:val="152"/>
    <w:qFormat/>
    <w:uiPriority w:val="0"/>
    <w:rPr>
      <w:rFonts w:ascii="Times New Roman" w:hAnsi="Times New Roman" w:eastAsia="宋体" w:cs="Times New Roman"/>
      <w:snapToGrid w:val="0"/>
      <w:sz w:val="24"/>
      <w:szCs w:val="24"/>
      <w:lang w:bidi="ar-SA"/>
    </w:rPr>
  </w:style>
  <w:style w:type="paragraph" w:customStyle="1" w:styleId="152">
    <w:name w:val="正文(首行缩进)"/>
    <w:basedOn w:val="1"/>
    <w:link w:val="151"/>
    <w:qFormat/>
    <w:uiPriority w:val="0"/>
    <w:pPr>
      <w:adjustRightInd w:val="0"/>
      <w:snapToGrid w:val="0"/>
      <w:jc w:val="both"/>
      <w:textAlignment w:val="auto"/>
    </w:pPr>
    <w:rPr>
      <w:snapToGrid w:val="0"/>
      <w:sz w:val="24"/>
      <w:szCs w:val="24"/>
    </w:rPr>
  </w:style>
  <w:style w:type="character" w:customStyle="1" w:styleId="153">
    <w:name w:val="报告书正文 Char"/>
    <w:qFormat/>
    <w:uiPriority w:val="0"/>
    <w:rPr>
      <w:rFonts w:ascii="Times New Roman" w:hAnsi="Times New Roman" w:eastAsia="宋体" w:cs="Times New Roman"/>
      <w:kern w:val="2"/>
      <w:sz w:val="24"/>
      <w:szCs w:val="24"/>
    </w:rPr>
  </w:style>
  <w:style w:type="character" w:customStyle="1" w:styleId="154">
    <w:name w:val="页码11"/>
    <w:qFormat/>
    <w:uiPriority w:val="0"/>
    <w:rPr>
      <w:rFonts w:ascii="Times New Roman" w:hAnsi="Times New Roman" w:eastAsia="宋体" w:cs="Times New Roman"/>
    </w:rPr>
  </w:style>
  <w:style w:type="character" w:customStyle="1" w:styleId="155">
    <w:name w:val="表格内容 Char"/>
    <w:link w:val="156"/>
    <w:qFormat/>
    <w:uiPriority w:val="0"/>
    <w:rPr>
      <w:rFonts w:ascii="宋体" w:hAnsi="宋体"/>
      <w:kern w:val="2"/>
      <w:sz w:val="21"/>
      <w:szCs w:val="21"/>
      <w:lang w:val="en-US" w:eastAsia="zh-CN" w:bidi="ar-SA"/>
    </w:rPr>
  </w:style>
  <w:style w:type="paragraph" w:customStyle="1" w:styleId="156">
    <w:name w:val="表格内容"/>
    <w:link w:val="155"/>
    <w:qFormat/>
    <w:uiPriority w:val="0"/>
    <w:pPr>
      <w:widowControl w:val="0"/>
      <w:snapToGrid w:val="0"/>
      <w:spacing w:line="240" w:lineRule="atLeast"/>
      <w:jc w:val="center"/>
    </w:pPr>
    <w:rPr>
      <w:rFonts w:ascii="宋体" w:hAnsi="宋体" w:eastAsia="宋体" w:cs="Times New Roman"/>
      <w:kern w:val="2"/>
      <w:sz w:val="21"/>
      <w:szCs w:val="21"/>
      <w:lang w:val="en-US" w:eastAsia="zh-CN" w:bidi="ar-SA"/>
    </w:rPr>
  </w:style>
  <w:style w:type="character" w:customStyle="1" w:styleId="157">
    <w:name w:val="报告正文 Char Char"/>
    <w:link w:val="158"/>
    <w:qFormat/>
    <w:uiPriority w:val="0"/>
    <w:rPr>
      <w:rFonts w:ascii="宋体" w:hAnsi="Times New Roman" w:eastAsia="宋体" w:cs="Times New Roman"/>
      <w:kern w:val="2"/>
      <w:sz w:val="24"/>
      <w:lang w:bidi="ar-SA"/>
    </w:rPr>
  </w:style>
  <w:style w:type="paragraph" w:customStyle="1" w:styleId="158">
    <w:name w:val="报告正文"/>
    <w:basedOn w:val="1"/>
    <w:link w:val="157"/>
    <w:qFormat/>
    <w:uiPriority w:val="0"/>
    <w:pPr>
      <w:adjustRightInd w:val="0"/>
      <w:snapToGrid w:val="0"/>
      <w:jc w:val="both"/>
      <w:textAlignment w:val="auto"/>
    </w:pPr>
    <w:rPr>
      <w:rFonts w:ascii="宋体"/>
      <w:kern w:val="2"/>
      <w:sz w:val="24"/>
    </w:rPr>
  </w:style>
  <w:style w:type="character" w:customStyle="1" w:styleId="159">
    <w:name w:val="yyp Char"/>
    <w:link w:val="160"/>
    <w:qFormat/>
    <w:locked/>
    <w:uiPriority w:val="0"/>
    <w:rPr>
      <w:rFonts w:ascii="宋体" w:hAnsi="宋体"/>
      <w:sz w:val="24"/>
      <w:szCs w:val="24"/>
    </w:rPr>
  </w:style>
  <w:style w:type="paragraph" w:customStyle="1" w:styleId="160">
    <w:name w:val="yyp"/>
    <w:basedOn w:val="1"/>
    <w:next w:val="1"/>
    <w:link w:val="159"/>
    <w:qFormat/>
    <w:uiPriority w:val="0"/>
    <w:pPr>
      <w:widowControl/>
      <w:spacing w:after="120"/>
      <w:ind w:firstLine="480"/>
      <w:textAlignment w:val="auto"/>
    </w:pPr>
    <w:rPr>
      <w:rFonts w:ascii="宋体" w:hAnsi="宋体"/>
      <w:sz w:val="24"/>
      <w:szCs w:val="24"/>
    </w:rPr>
  </w:style>
  <w:style w:type="character" w:customStyle="1" w:styleId="161">
    <w:name w:val="标题 2 Char"/>
    <w:qFormat/>
    <w:uiPriority w:val="0"/>
    <w:rPr>
      <w:rFonts w:ascii="Arial" w:hAnsi="Arial" w:eastAsia="黑体" w:cs="Times New Roman"/>
      <w:b/>
      <w:bCs/>
      <w:kern w:val="2"/>
      <w:sz w:val="32"/>
      <w:szCs w:val="32"/>
      <w:lang w:val="en-US" w:eastAsia="zh-CN" w:bidi="ar-SA"/>
    </w:rPr>
  </w:style>
  <w:style w:type="character" w:customStyle="1" w:styleId="162">
    <w:name w:val="报告书正文 Char Char"/>
    <w:link w:val="163"/>
    <w:qFormat/>
    <w:uiPriority w:val="0"/>
    <w:rPr>
      <w:rFonts w:ascii="Times New Roman" w:hAnsi="Times New Roman" w:eastAsia="宋体" w:cs="Times New Roman"/>
      <w:kern w:val="2"/>
      <w:sz w:val="24"/>
      <w:szCs w:val="24"/>
      <w:lang w:bidi="ar-SA"/>
    </w:rPr>
  </w:style>
  <w:style w:type="paragraph" w:customStyle="1" w:styleId="163">
    <w:name w:val="报告书正文"/>
    <w:basedOn w:val="1"/>
    <w:next w:val="1"/>
    <w:link w:val="162"/>
    <w:qFormat/>
    <w:uiPriority w:val="0"/>
    <w:pPr>
      <w:jc w:val="both"/>
      <w:textAlignment w:val="auto"/>
    </w:pPr>
    <w:rPr>
      <w:kern w:val="2"/>
      <w:sz w:val="24"/>
      <w:szCs w:val="24"/>
    </w:rPr>
  </w:style>
  <w:style w:type="character" w:customStyle="1" w:styleId="164">
    <w:name w:val="font51"/>
    <w:qFormat/>
    <w:uiPriority w:val="0"/>
    <w:rPr>
      <w:rFonts w:hint="default" w:ascii="Times New Roman" w:hAnsi="Times New Roman" w:eastAsia="宋体" w:cs="Times New Roman"/>
      <w:b/>
      <w:color w:val="000000"/>
      <w:sz w:val="18"/>
      <w:szCs w:val="18"/>
      <w:u w:val="none"/>
      <w:vertAlign w:val="superscript"/>
    </w:rPr>
  </w:style>
  <w:style w:type="character" w:customStyle="1" w:styleId="165">
    <w:name w:val="标准 Char"/>
    <w:link w:val="166"/>
    <w:qFormat/>
    <w:uiPriority w:val="0"/>
    <w:rPr>
      <w:rFonts w:ascii="楷体_GB2312" w:hAnsi="Times New Roman" w:eastAsia="楷体_GB2312" w:cs="Times New Roman"/>
      <w:sz w:val="28"/>
    </w:rPr>
  </w:style>
  <w:style w:type="paragraph" w:customStyle="1" w:styleId="166">
    <w:name w:val="标准"/>
    <w:basedOn w:val="1"/>
    <w:link w:val="165"/>
    <w:qFormat/>
    <w:uiPriority w:val="0"/>
    <w:pPr>
      <w:adjustRightInd w:val="0"/>
      <w:ind w:firstLine="0" w:firstLineChars="0"/>
      <w:jc w:val="both"/>
      <w:textAlignment w:val="baseline"/>
    </w:pPr>
    <w:rPr>
      <w:rFonts w:ascii="楷体_GB2312" w:eastAsia="楷体_GB2312"/>
    </w:rPr>
  </w:style>
  <w:style w:type="character" w:customStyle="1" w:styleId="167">
    <w:name w:val="表文字 Char1"/>
    <w:link w:val="168"/>
    <w:qFormat/>
    <w:uiPriority w:val="0"/>
    <w:rPr>
      <w:rFonts w:ascii="Times New Roman" w:hAnsi="Times New Roman" w:eastAsia="宋体" w:cs="Times New Roman"/>
      <w:sz w:val="24"/>
      <w:lang w:val="en-US" w:eastAsia="zh-CN" w:bidi="ar-SA"/>
    </w:rPr>
  </w:style>
  <w:style w:type="paragraph" w:customStyle="1" w:styleId="168">
    <w:name w:val="表文字"/>
    <w:basedOn w:val="1"/>
    <w:link w:val="167"/>
    <w:qFormat/>
    <w:uiPriority w:val="0"/>
    <w:pPr>
      <w:overflowPunct w:val="0"/>
      <w:autoSpaceDE w:val="0"/>
      <w:autoSpaceDN w:val="0"/>
      <w:adjustRightInd w:val="0"/>
      <w:spacing w:line="240" w:lineRule="atLeast"/>
      <w:ind w:firstLine="0" w:firstLineChars="0"/>
      <w:jc w:val="center"/>
      <w:textAlignment w:val="baseline"/>
    </w:pPr>
    <w:rPr>
      <w:sz w:val="24"/>
    </w:rPr>
  </w:style>
  <w:style w:type="character" w:customStyle="1" w:styleId="169">
    <w:name w:val="Char Char15"/>
    <w:qFormat/>
    <w:uiPriority w:val="0"/>
    <w:rPr>
      <w:rFonts w:ascii="Times New Roman" w:hAnsi="Times New Roman" w:eastAsia="宋体" w:cs="Times New Roman"/>
      <w:kern w:val="2"/>
      <w:sz w:val="18"/>
      <w:szCs w:val="18"/>
    </w:rPr>
  </w:style>
  <w:style w:type="character" w:customStyle="1" w:styleId="170">
    <w:name w:val="正文四号 Char"/>
    <w:link w:val="171"/>
    <w:qFormat/>
    <w:uiPriority w:val="0"/>
    <w:rPr>
      <w:rFonts w:ascii="Times New Roman" w:hAnsi="Times New Roman" w:eastAsia="宋体" w:cs="Times New Roman"/>
      <w:sz w:val="28"/>
      <w:lang w:bidi="ar-SA"/>
    </w:rPr>
  </w:style>
  <w:style w:type="paragraph" w:customStyle="1" w:styleId="171">
    <w:name w:val="正文四号"/>
    <w:basedOn w:val="1"/>
    <w:link w:val="170"/>
    <w:qFormat/>
    <w:uiPriority w:val="0"/>
    <w:pPr>
      <w:jc w:val="both"/>
      <w:textAlignment w:val="auto"/>
    </w:pPr>
  </w:style>
  <w:style w:type="character" w:customStyle="1" w:styleId="172">
    <w:name w:val="正文内容 Char Char"/>
    <w:link w:val="173"/>
    <w:qFormat/>
    <w:uiPriority w:val="0"/>
    <w:rPr>
      <w:kern w:val="2"/>
      <w:sz w:val="24"/>
      <w:szCs w:val="24"/>
      <w:lang w:val="en-US" w:eastAsia="zh-CN" w:bidi="ar-SA"/>
    </w:rPr>
  </w:style>
  <w:style w:type="paragraph" w:customStyle="1" w:styleId="173">
    <w:name w:val="正文内容"/>
    <w:link w:val="172"/>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74">
    <w:name w:val="~~表*标题 Char Char"/>
    <w:link w:val="175"/>
    <w:qFormat/>
    <w:uiPriority w:val="0"/>
    <w:rPr>
      <w:rFonts w:ascii="Times New Roman" w:hAnsi="Times New Roman" w:eastAsia="黑体" w:cs="Times New Roman"/>
      <w:kern w:val="2"/>
      <w:sz w:val="24"/>
      <w:szCs w:val="24"/>
      <w:lang w:bidi="ar-SA"/>
    </w:rPr>
  </w:style>
  <w:style w:type="paragraph" w:customStyle="1" w:styleId="175">
    <w:name w:val="~~表*标题"/>
    <w:basedOn w:val="1"/>
    <w:link w:val="174"/>
    <w:qFormat/>
    <w:uiPriority w:val="0"/>
    <w:pPr>
      <w:spacing w:line="520" w:lineRule="exact"/>
      <w:ind w:firstLine="480"/>
      <w:jc w:val="both"/>
      <w:textAlignment w:val="auto"/>
    </w:pPr>
    <w:rPr>
      <w:rFonts w:eastAsia="黑体"/>
      <w:kern w:val="2"/>
      <w:sz w:val="24"/>
      <w:szCs w:val="24"/>
    </w:rPr>
  </w:style>
  <w:style w:type="character" w:customStyle="1" w:styleId="176">
    <w:name w:val="font71"/>
    <w:qFormat/>
    <w:uiPriority w:val="0"/>
    <w:rPr>
      <w:rFonts w:hint="eastAsia" w:ascii="宋体" w:hAnsi="宋体" w:eastAsia="宋体" w:cs="宋体"/>
      <w:color w:val="000000"/>
      <w:sz w:val="18"/>
      <w:szCs w:val="18"/>
      <w:u w:val="none"/>
    </w:rPr>
  </w:style>
  <w:style w:type="character" w:customStyle="1" w:styleId="177">
    <w:name w:val="apple-style-span"/>
    <w:qFormat/>
    <w:uiPriority w:val="0"/>
    <w:rPr>
      <w:rFonts w:ascii="Times New Roman" w:hAnsi="Times New Roman" w:eastAsia="宋体" w:cs="Times New Roman"/>
    </w:rPr>
  </w:style>
  <w:style w:type="character" w:customStyle="1" w:styleId="178">
    <w:name w:val="批注文字 Char1"/>
    <w:qFormat/>
    <w:uiPriority w:val="0"/>
    <w:rPr>
      <w:rFonts w:ascii="Times New Roman" w:hAnsi="Times New Roman" w:eastAsia="宋体" w:cs="Times New Roman"/>
      <w:kern w:val="2"/>
      <w:sz w:val="21"/>
      <w:szCs w:val="24"/>
      <w:lang w:bidi="ar-SA"/>
    </w:rPr>
  </w:style>
  <w:style w:type="character" w:customStyle="1" w:styleId="179">
    <w:name w:val="环评报告正文 Char"/>
    <w:link w:val="180"/>
    <w:qFormat/>
    <w:uiPriority w:val="0"/>
    <w:rPr>
      <w:rFonts w:ascii="宋体" w:hAnsi="宋体"/>
      <w:bCs/>
      <w:kern w:val="2"/>
      <w:sz w:val="24"/>
    </w:rPr>
  </w:style>
  <w:style w:type="paragraph" w:customStyle="1" w:styleId="180">
    <w:name w:val="环评报告正文"/>
    <w:basedOn w:val="1"/>
    <w:link w:val="179"/>
    <w:qFormat/>
    <w:uiPriority w:val="0"/>
    <w:pPr>
      <w:ind w:firstLine="480"/>
      <w:jc w:val="both"/>
      <w:textAlignment w:val="auto"/>
    </w:pPr>
    <w:rPr>
      <w:rFonts w:ascii="宋体" w:hAnsi="宋体"/>
      <w:bCs/>
      <w:kern w:val="2"/>
      <w:sz w:val="24"/>
    </w:rPr>
  </w:style>
  <w:style w:type="character" w:customStyle="1" w:styleId="181">
    <w:name w:val="威顿报告正文 Char"/>
    <w:link w:val="182"/>
    <w:qFormat/>
    <w:uiPriority w:val="0"/>
    <w:rPr>
      <w:rFonts w:ascii="Times New Roman" w:hAnsi="Times New Roman" w:eastAsia="宋体" w:cs="Times New Roman"/>
      <w:color w:val="000000"/>
      <w:sz w:val="24"/>
      <w:szCs w:val="24"/>
      <w:lang w:val="en-US" w:eastAsia="zh-CN" w:bidi="ar-SA"/>
    </w:rPr>
  </w:style>
  <w:style w:type="paragraph" w:customStyle="1" w:styleId="182">
    <w:name w:val="威顿报告正文"/>
    <w:basedOn w:val="1"/>
    <w:link w:val="181"/>
    <w:qFormat/>
    <w:uiPriority w:val="0"/>
    <w:pPr>
      <w:adjustRightInd w:val="0"/>
      <w:snapToGrid w:val="0"/>
      <w:spacing w:beforeLines="25" w:line="440" w:lineRule="exact"/>
      <w:jc w:val="both"/>
      <w:textAlignment w:val="auto"/>
    </w:pPr>
    <w:rPr>
      <w:color w:val="000000"/>
      <w:sz w:val="24"/>
      <w:szCs w:val="24"/>
    </w:rPr>
  </w:style>
  <w:style w:type="character" w:customStyle="1" w:styleId="183">
    <w:name w:val="正文缩进 Char Char Char"/>
    <w:qFormat/>
    <w:uiPriority w:val="0"/>
    <w:rPr>
      <w:rFonts w:ascii="Times New Roman" w:hAnsi="Times New Roman" w:eastAsia="宋体" w:cs="Times New Roman"/>
      <w:kern w:val="2"/>
      <w:sz w:val="28"/>
    </w:rPr>
  </w:style>
  <w:style w:type="character" w:customStyle="1" w:styleId="184">
    <w:name w:val="样式标题5 Char"/>
    <w:link w:val="185"/>
    <w:qFormat/>
    <w:uiPriority w:val="0"/>
    <w:rPr>
      <w:rFonts w:ascii="Times New Roman" w:hAnsi="Times New Roman" w:eastAsia="宋体" w:cs="Times New Roman"/>
      <w:kern w:val="2"/>
      <w:sz w:val="24"/>
      <w:szCs w:val="24"/>
      <w:lang w:bidi="ar-SA"/>
    </w:rPr>
  </w:style>
  <w:style w:type="paragraph" w:customStyle="1" w:styleId="185">
    <w:name w:val="样式标题5"/>
    <w:basedOn w:val="1"/>
    <w:next w:val="163"/>
    <w:link w:val="184"/>
    <w:qFormat/>
    <w:uiPriority w:val="0"/>
    <w:pPr>
      <w:ind w:firstLine="400" w:firstLineChars="0"/>
      <w:jc w:val="both"/>
      <w:textAlignment w:val="auto"/>
    </w:pPr>
    <w:rPr>
      <w:kern w:val="2"/>
      <w:sz w:val="24"/>
      <w:szCs w:val="24"/>
    </w:rPr>
  </w:style>
  <w:style w:type="character" w:customStyle="1" w:styleId="186">
    <w:name w:val="提头 Char"/>
    <w:link w:val="187"/>
    <w:qFormat/>
    <w:uiPriority w:val="0"/>
    <w:rPr>
      <w:rFonts w:ascii="Times New Roman" w:hAnsi="宋体" w:eastAsia="宋体" w:cs="Times New Roman"/>
      <w:b/>
      <w:kern w:val="2"/>
      <w:sz w:val="21"/>
      <w:szCs w:val="21"/>
      <w:lang w:bidi="ar-SA"/>
    </w:rPr>
  </w:style>
  <w:style w:type="paragraph" w:customStyle="1" w:styleId="187">
    <w:name w:val="提头"/>
    <w:basedOn w:val="1"/>
    <w:next w:val="1"/>
    <w:link w:val="186"/>
    <w:qFormat/>
    <w:uiPriority w:val="0"/>
    <w:pPr>
      <w:tabs>
        <w:tab w:val="left" w:pos="227"/>
      </w:tabs>
      <w:spacing w:before="48" w:line="520" w:lineRule="exact"/>
      <w:jc w:val="center"/>
      <w:textAlignment w:val="auto"/>
    </w:pPr>
    <w:rPr>
      <w:rFonts w:hAnsi="宋体"/>
      <w:b/>
      <w:kern w:val="2"/>
      <w:sz w:val="21"/>
      <w:szCs w:val="21"/>
    </w:rPr>
  </w:style>
  <w:style w:type="character" w:customStyle="1" w:styleId="188">
    <w:name w:val="批注文字 Char"/>
    <w:qFormat/>
    <w:uiPriority w:val="0"/>
    <w:rPr>
      <w:rFonts w:eastAsia="宋体"/>
      <w:kern w:val="2"/>
      <w:sz w:val="21"/>
      <w:szCs w:val="24"/>
      <w:lang w:bidi="ar-SA"/>
    </w:rPr>
  </w:style>
  <w:style w:type="character" w:customStyle="1" w:styleId="189">
    <w:name w:val="表头 Char"/>
    <w:qFormat/>
    <w:uiPriority w:val="0"/>
    <w:rPr>
      <w:rFonts w:ascii="Times New Roman" w:hAnsi="Times New Roman" w:eastAsia="宋体" w:cs="Times New Roman"/>
      <w:b/>
      <w:color w:val="000000"/>
      <w:kern w:val="32"/>
      <w:sz w:val="24"/>
      <w:lang w:val="en-US" w:eastAsia="zh-CN" w:bidi="ar-SA"/>
    </w:rPr>
  </w:style>
  <w:style w:type="character" w:customStyle="1" w:styleId="190">
    <w:name w:val="表格文字 Char"/>
    <w:link w:val="191"/>
    <w:qFormat/>
    <w:uiPriority w:val="0"/>
    <w:rPr>
      <w:rFonts w:eastAsia="楷体_GB2312"/>
      <w:bCs/>
      <w:sz w:val="24"/>
      <w:lang w:val="en-US" w:eastAsia="zh-CN" w:bidi="ar-SA"/>
    </w:rPr>
  </w:style>
  <w:style w:type="paragraph" w:customStyle="1" w:styleId="191">
    <w:name w:val="表格文字"/>
    <w:next w:val="22"/>
    <w:link w:val="190"/>
    <w:qFormat/>
    <w:uiPriority w:val="0"/>
    <w:pPr>
      <w:jc w:val="center"/>
    </w:pPr>
    <w:rPr>
      <w:rFonts w:ascii="Times New Roman" w:hAnsi="Times New Roman" w:eastAsia="楷体_GB2312" w:cs="Times New Roman"/>
      <w:bCs/>
      <w:sz w:val="24"/>
      <w:lang w:val="en-US" w:eastAsia="zh-CN" w:bidi="ar-SA"/>
    </w:rPr>
  </w:style>
  <w:style w:type="character" w:customStyle="1" w:styleId="192">
    <w:name w:val="内容 Char"/>
    <w:link w:val="193"/>
    <w:qFormat/>
    <w:uiPriority w:val="0"/>
    <w:rPr>
      <w:rFonts w:ascii="Times New Roman" w:hAnsi="Times New Roman" w:eastAsia="宋体" w:cs="宋体"/>
      <w:kern w:val="2"/>
      <w:sz w:val="24"/>
      <w:lang w:val="en-US" w:eastAsia="zh-CN" w:bidi="ar-SA"/>
    </w:rPr>
  </w:style>
  <w:style w:type="paragraph" w:customStyle="1" w:styleId="193">
    <w:name w:val="内容"/>
    <w:basedOn w:val="1"/>
    <w:link w:val="192"/>
    <w:qFormat/>
    <w:uiPriority w:val="0"/>
    <w:pPr>
      <w:ind w:firstLine="480"/>
      <w:jc w:val="both"/>
      <w:textAlignment w:val="auto"/>
    </w:pPr>
    <w:rPr>
      <w:rFonts w:cs="宋体"/>
      <w:kern w:val="2"/>
      <w:sz w:val="24"/>
    </w:rPr>
  </w:style>
  <w:style w:type="character" w:customStyle="1" w:styleId="194">
    <w:name w:val="正文新 Char"/>
    <w:link w:val="195"/>
    <w:qFormat/>
    <w:uiPriority w:val="0"/>
    <w:rPr>
      <w:rFonts w:ascii="宋体" w:hAnsi="宋体"/>
      <w:kern w:val="2"/>
      <w:sz w:val="24"/>
      <w:szCs w:val="24"/>
    </w:rPr>
  </w:style>
  <w:style w:type="paragraph" w:customStyle="1" w:styleId="195">
    <w:name w:val="正文新"/>
    <w:basedOn w:val="1"/>
    <w:link w:val="194"/>
    <w:qFormat/>
    <w:uiPriority w:val="0"/>
    <w:pPr>
      <w:adjustRightInd w:val="0"/>
      <w:snapToGrid w:val="0"/>
      <w:spacing w:line="500" w:lineRule="exact"/>
      <w:ind w:firstLine="480"/>
      <w:jc w:val="both"/>
      <w:textAlignment w:val="auto"/>
    </w:pPr>
    <w:rPr>
      <w:rFonts w:ascii="宋体" w:hAnsi="宋体"/>
      <w:kern w:val="2"/>
      <w:sz w:val="24"/>
      <w:szCs w:val="24"/>
    </w:rPr>
  </w:style>
  <w:style w:type="character" w:customStyle="1" w:styleId="196">
    <w:name w:val="正文（首行缩进两字） Char1"/>
    <w:qFormat/>
    <w:uiPriority w:val="0"/>
    <w:rPr>
      <w:rFonts w:ascii="Times New Roman" w:hAnsi="Times New Roman" w:eastAsia="宋体" w:cs="Times New Roman"/>
      <w:sz w:val="28"/>
      <w:szCs w:val="20"/>
    </w:rPr>
  </w:style>
  <w:style w:type="character" w:customStyle="1" w:styleId="197">
    <w:name w:val="font31"/>
    <w:qFormat/>
    <w:uiPriority w:val="0"/>
    <w:rPr>
      <w:rFonts w:hint="default" w:ascii="Times New Roman" w:hAnsi="Times New Roman" w:eastAsia="宋体" w:cs="Times New Roman"/>
      <w:color w:val="000000"/>
      <w:sz w:val="20"/>
      <w:szCs w:val="20"/>
      <w:u w:val="none"/>
    </w:rPr>
  </w:style>
  <w:style w:type="character" w:customStyle="1" w:styleId="198">
    <w:name w:val="纯文本 Char Char Char"/>
    <w:qFormat/>
    <w:uiPriority w:val="0"/>
    <w:rPr>
      <w:rFonts w:ascii="宋体" w:hAnsi="Courier New" w:eastAsia="宋体" w:cs="Courier New"/>
      <w:kern w:val="2"/>
      <w:sz w:val="21"/>
      <w:szCs w:val="21"/>
      <w:lang w:val="en-US" w:eastAsia="zh-CN" w:bidi="ar-SA"/>
    </w:rPr>
  </w:style>
  <w:style w:type="character" w:customStyle="1" w:styleId="199">
    <w:name w:val="font41"/>
    <w:qFormat/>
    <w:uiPriority w:val="0"/>
    <w:rPr>
      <w:rFonts w:hint="eastAsia" w:ascii="宋体" w:hAnsi="宋体" w:eastAsia="宋体" w:cs="宋体"/>
      <w:b/>
      <w:color w:val="000000"/>
      <w:sz w:val="18"/>
      <w:szCs w:val="18"/>
      <w:u w:val="none"/>
    </w:rPr>
  </w:style>
  <w:style w:type="paragraph" w:customStyle="1" w:styleId="200">
    <w:name w:val="样式 (符号) 宋体 二号 加粗 居中 段前: 15.6 磅 段后: 5 磅 行距: 固定值 40 磅"/>
    <w:basedOn w:val="52"/>
    <w:qFormat/>
    <w:uiPriority w:val="0"/>
    <w:pPr>
      <w:spacing w:before="312" w:after="100" w:line="800" w:lineRule="exact"/>
    </w:pPr>
    <w:rPr>
      <w:rFonts w:ascii="Times New Roman" w:hAnsi="宋体" w:cs="宋体"/>
      <w:b w:val="0"/>
      <w:bCs w:val="0"/>
      <w:sz w:val="44"/>
    </w:rPr>
  </w:style>
  <w:style w:type="paragraph" w:customStyle="1" w:styleId="201">
    <w:name w:val="TOC 标题1"/>
    <w:basedOn w:val="4"/>
    <w:next w:val="1"/>
    <w:qFormat/>
    <w:uiPriority w:val="0"/>
    <w:pPr>
      <w:widowControl/>
      <w:spacing w:before="100" w:beforeAutospacing="1" w:after="100" w:afterAutospacing="1" w:line="276" w:lineRule="auto"/>
      <w:outlineLvl w:val="9"/>
    </w:pPr>
    <w:rPr>
      <w:rFonts w:ascii="Cambria" w:hAnsi="Cambria"/>
      <w:color w:val="365F91"/>
      <w:kern w:val="0"/>
      <w:sz w:val="28"/>
      <w:szCs w:val="28"/>
    </w:rPr>
  </w:style>
  <w:style w:type="paragraph" w:customStyle="1" w:styleId="202">
    <w:name w:val="Char Char1 Char Char Char Char Char Char Char"/>
    <w:basedOn w:val="1"/>
    <w:qFormat/>
    <w:uiPriority w:val="0"/>
    <w:pPr>
      <w:spacing w:line="520" w:lineRule="exact"/>
      <w:jc w:val="both"/>
      <w:textAlignment w:val="auto"/>
    </w:pPr>
    <w:rPr>
      <w:kern w:val="2"/>
      <w:sz w:val="24"/>
      <w:szCs w:val="24"/>
    </w:rPr>
  </w:style>
  <w:style w:type="paragraph" w:customStyle="1" w:styleId="203">
    <w:name w:val="Char1"/>
    <w:basedOn w:val="1"/>
    <w:qFormat/>
    <w:uiPriority w:val="0"/>
    <w:pPr>
      <w:spacing w:beforeLines="100" w:afterLines="50" w:line="600" w:lineRule="exact"/>
      <w:jc w:val="both"/>
      <w:textAlignment w:val="auto"/>
    </w:pPr>
    <w:rPr>
      <w:kern w:val="2"/>
      <w:sz w:val="21"/>
    </w:rPr>
  </w:style>
  <w:style w:type="paragraph" w:customStyle="1" w:styleId="204">
    <w:name w:val="Char3"/>
    <w:basedOn w:val="1"/>
    <w:link w:val="205"/>
    <w:qFormat/>
    <w:uiPriority w:val="0"/>
    <w:pPr>
      <w:spacing w:line="240" w:lineRule="auto"/>
      <w:ind w:firstLine="0" w:firstLineChars="0"/>
      <w:jc w:val="both"/>
      <w:textAlignment w:val="auto"/>
    </w:pPr>
    <w:rPr>
      <w:kern w:val="2"/>
      <w:sz w:val="21"/>
    </w:rPr>
  </w:style>
  <w:style w:type="character" w:customStyle="1" w:styleId="205">
    <w:name w:val="Char Char1"/>
    <w:link w:val="204"/>
    <w:qFormat/>
    <w:uiPriority w:val="0"/>
    <w:rPr>
      <w:kern w:val="2"/>
      <w:sz w:val="21"/>
    </w:rPr>
  </w:style>
  <w:style w:type="paragraph" w:customStyle="1" w:styleId="206">
    <w:name w:val="Char1 Char Char Char1 Char Char Char"/>
    <w:basedOn w:val="1"/>
    <w:qFormat/>
    <w:uiPriority w:val="0"/>
    <w:pPr>
      <w:jc w:val="both"/>
      <w:textAlignment w:val="auto"/>
    </w:pPr>
    <w:rPr>
      <w:rFonts w:ascii="宋体" w:hAnsi="宋体" w:cs="宋体"/>
      <w:kern w:val="2"/>
      <w:sz w:val="24"/>
      <w:szCs w:val="24"/>
    </w:rPr>
  </w:style>
  <w:style w:type="paragraph" w:customStyle="1" w:styleId="207">
    <w:name w:val="样式 标题 2 + 黑体 四号 非加粗"/>
    <w:basedOn w:val="5"/>
    <w:qFormat/>
    <w:uiPriority w:val="0"/>
    <w:pPr>
      <w:widowControl/>
      <w:spacing w:before="156" w:after="156"/>
      <w:ind w:left="100" w:leftChars="100" w:right="100" w:rightChars="100"/>
      <w:jc w:val="left"/>
    </w:pPr>
    <w:rPr>
      <w:rFonts w:ascii="黑体" w:hAnsi="黑体" w:eastAsia="宋体"/>
      <w:b w:val="0"/>
      <w:bCs w:val="0"/>
      <w:color w:val="000000"/>
      <w:sz w:val="28"/>
    </w:rPr>
  </w:style>
  <w:style w:type="paragraph" w:customStyle="1" w:styleId="208">
    <w:name w:val="段落"/>
    <w:basedOn w:val="1"/>
    <w:link w:val="209"/>
    <w:qFormat/>
    <w:uiPriority w:val="0"/>
    <w:pPr>
      <w:widowControl/>
      <w:spacing w:line="420" w:lineRule="exact"/>
      <w:ind w:firstLine="480"/>
      <w:textAlignment w:val="auto"/>
    </w:pPr>
    <w:rPr>
      <w:rFonts w:cs="宋体"/>
      <w:kern w:val="2"/>
      <w:sz w:val="24"/>
      <w:szCs w:val="21"/>
    </w:rPr>
  </w:style>
  <w:style w:type="character" w:customStyle="1" w:styleId="209">
    <w:name w:val="段落 Char"/>
    <w:link w:val="208"/>
    <w:qFormat/>
    <w:locked/>
    <w:uiPriority w:val="0"/>
    <w:rPr>
      <w:rFonts w:cs="宋体"/>
      <w:kern w:val="2"/>
      <w:sz w:val="24"/>
      <w:szCs w:val="21"/>
    </w:rPr>
  </w:style>
  <w:style w:type="paragraph" w:customStyle="1" w:styleId="210">
    <w:name w:val="Char Char1 Char Char Char Char Char Char Char Char Char Char Char Char Char Char Char Char Char Char Char Char1 Char"/>
    <w:basedOn w:val="1"/>
    <w:qFormat/>
    <w:uiPriority w:val="0"/>
    <w:pPr>
      <w:jc w:val="both"/>
      <w:textAlignment w:val="auto"/>
    </w:pPr>
    <w:rPr>
      <w:rFonts w:ascii="宋体" w:hAnsi="宋体" w:cs="宋体"/>
      <w:kern w:val="2"/>
      <w:sz w:val="24"/>
      <w:szCs w:val="24"/>
    </w:rPr>
  </w:style>
  <w:style w:type="paragraph" w:customStyle="1" w:styleId="211">
    <w:name w:val="Char Char Char1 Char Char Char Char Char Char Char Char Char Char Char Char Char Char Char Char Char Char Char"/>
    <w:basedOn w:val="1"/>
    <w:qFormat/>
    <w:uiPriority w:val="0"/>
    <w:pPr>
      <w:jc w:val="both"/>
      <w:textAlignment w:val="auto"/>
    </w:pPr>
    <w:rPr>
      <w:rFonts w:ascii="宋体" w:hAnsi="宋体" w:cs="宋体"/>
      <w:kern w:val="2"/>
      <w:sz w:val="24"/>
      <w:szCs w:val="24"/>
    </w:rPr>
  </w:style>
  <w:style w:type="paragraph" w:customStyle="1" w:styleId="212">
    <w:name w:val="简单回函地址"/>
    <w:basedOn w:val="1"/>
    <w:qFormat/>
    <w:uiPriority w:val="0"/>
    <w:pPr>
      <w:spacing w:line="500" w:lineRule="exact"/>
      <w:ind w:firstLine="0" w:firstLineChars="0"/>
      <w:jc w:val="both"/>
      <w:textAlignment w:val="auto"/>
    </w:pPr>
    <w:rPr>
      <w:kern w:val="2"/>
      <w:sz w:val="21"/>
    </w:rPr>
  </w:style>
  <w:style w:type="paragraph" w:customStyle="1" w:styleId="213">
    <w:name w:val="目录 31"/>
    <w:basedOn w:val="1"/>
    <w:next w:val="1"/>
    <w:qFormat/>
    <w:uiPriority w:val="39"/>
    <w:pPr>
      <w:spacing w:line="240" w:lineRule="auto"/>
      <w:ind w:left="840" w:leftChars="400" w:firstLine="0" w:firstLineChars="0"/>
      <w:jc w:val="both"/>
      <w:textAlignment w:val="auto"/>
    </w:pPr>
    <w:rPr>
      <w:rFonts w:ascii="Calibri" w:hAnsi="Calibri"/>
      <w:kern w:val="2"/>
      <w:sz w:val="24"/>
      <w:szCs w:val="22"/>
    </w:rPr>
  </w:style>
  <w:style w:type="paragraph" w:customStyle="1" w:styleId="214">
    <w:name w:val="Char Char Char Char Char Char Char Char Char Char Char Char Char Char Char Char Char Char Char Char Char Char Char Char"/>
    <w:basedOn w:val="1"/>
    <w:qFormat/>
    <w:uiPriority w:val="0"/>
    <w:pPr>
      <w:spacing w:line="240" w:lineRule="auto"/>
      <w:ind w:firstLine="0" w:firstLineChars="0"/>
      <w:jc w:val="both"/>
      <w:textAlignment w:val="auto"/>
    </w:pPr>
    <w:rPr>
      <w:kern w:val="2"/>
      <w:sz w:val="21"/>
      <w:szCs w:val="24"/>
    </w:rPr>
  </w:style>
  <w:style w:type="paragraph" w:customStyle="1" w:styleId="215">
    <w:name w:val="表格式"/>
    <w:basedOn w:val="41"/>
    <w:qFormat/>
    <w:uiPriority w:val="0"/>
    <w:pPr>
      <w:spacing w:line="400" w:lineRule="exact"/>
      <w:ind w:left="0" w:firstLine="0" w:firstLineChars="0"/>
      <w:jc w:val="center"/>
      <w:textAlignment w:val="auto"/>
    </w:pPr>
    <w:rPr>
      <w:rFonts w:ascii="宋体"/>
      <w:kern w:val="2"/>
      <w:sz w:val="21"/>
    </w:rPr>
  </w:style>
  <w:style w:type="paragraph" w:customStyle="1" w:styleId="216">
    <w:name w:val="样式4(正文)"/>
    <w:qFormat/>
    <w:uiPriority w:val="0"/>
    <w:pPr>
      <w:spacing w:beforeLines="25" w:line="440" w:lineRule="exact"/>
      <w:ind w:firstLine="200" w:firstLineChars="200"/>
    </w:pPr>
    <w:rPr>
      <w:rFonts w:ascii="Times New Roman" w:hAnsi="Times New Roman" w:eastAsia="宋体" w:cs="Times New Roman"/>
      <w:sz w:val="24"/>
      <w:lang w:val="en-US" w:eastAsia="zh-CN" w:bidi="ar-SA"/>
    </w:rPr>
  </w:style>
  <w:style w:type="paragraph" w:customStyle="1" w:styleId="217">
    <w:name w:val="Char Char Char Char Char Char Char"/>
    <w:basedOn w:val="1"/>
    <w:qFormat/>
    <w:uiPriority w:val="0"/>
    <w:pPr>
      <w:spacing w:line="240" w:lineRule="auto"/>
      <w:ind w:firstLine="0" w:firstLineChars="0"/>
      <w:jc w:val="both"/>
      <w:textAlignment w:val="auto"/>
    </w:pPr>
    <w:rPr>
      <w:kern w:val="2"/>
      <w:sz w:val="21"/>
      <w:szCs w:val="24"/>
    </w:rPr>
  </w:style>
  <w:style w:type="paragraph" w:customStyle="1" w:styleId="218">
    <w:name w:val="6表内文字 居中"/>
    <w:basedOn w:val="1"/>
    <w:qFormat/>
    <w:uiPriority w:val="0"/>
    <w:pPr>
      <w:adjustRightInd w:val="0"/>
      <w:spacing w:line="240" w:lineRule="atLeast"/>
      <w:ind w:firstLine="0" w:firstLineChars="0"/>
      <w:jc w:val="center"/>
      <w:textAlignment w:val="baseline"/>
    </w:pPr>
    <w:rPr>
      <w:snapToGrid w:val="0"/>
      <w:sz w:val="21"/>
    </w:rPr>
  </w:style>
  <w:style w:type="paragraph" w:customStyle="1" w:styleId="219">
    <w:name w:val="流程图"/>
    <w:basedOn w:val="1"/>
    <w:qFormat/>
    <w:uiPriority w:val="0"/>
    <w:pPr>
      <w:tabs>
        <w:tab w:val="left" w:pos="0"/>
      </w:tabs>
      <w:autoSpaceDE w:val="0"/>
      <w:autoSpaceDN w:val="0"/>
      <w:adjustRightInd w:val="0"/>
      <w:spacing w:line="240" w:lineRule="atLeast"/>
      <w:ind w:firstLine="0" w:firstLineChars="0"/>
      <w:jc w:val="center"/>
    </w:pPr>
    <w:rPr>
      <w:rFonts w:ascii="宋体"/>
      <w:kern w:val="2"/>
      <w:sz w:val="21"/>
    </w:rPr>
  </w:style>
  <w:style w:type="paragraph" w:customStyle="1" w:styleId="220">
    <w:name w:val="dandan6-13正文 Char Char Char"/>
    <w:basedOn w:val="1"/>
    <w:next w:val="1"/>
    <w:qFormat/>
    <w:uiPriority w:val="0"/>
    <w:pPr>
      <w:keepNext/>
      <w:keepLines/>
      <w:widowControl/>
      <w:adjustRightInd w:val="0"/>
      <w:spacing w:before="40" w:after="40"/>
      <w:jc w:val="both"/>
      <w:textAlignment w:val="baseline"/>
    </w:pPr>
    <w:rPr>
      <w:rFonts w:cs="宋体"/>
      <w:sz w:val="24"/>
      <w:szCs w:val="28"/>
    </w:rPr>
  </w:style>
  <w:style w:type="paragraph" w:customStyle="1" w:styleId="221">
    <w:name w:val="p0"/>
    <w:basedOn w:val="1"/>
    <w:qFormat/>
    <w:uiPriority w:val="0"/>
    <w:pPr>
      <w:widowControl/>
      <w:snapToGrid w:val="0"/>
      <w:spacing w:line="312" w:lineRule="atLeast"/>
      <w:ind w:firstLine="0" w:firstLineChars="0"/>
      <w:jc w:val="both"/>
      <w:textAlignment w:val="auto"/>
    </w:pPr>
    <w:rPr>
      <w:sz w:val="24"/>
      <w:szCs w:val="21"/>
    </w:rPr>
  </w:style>
  <w:style w:type="paragraph" w:customStyle="1" w:styleId="222">
    <w:name w:val="样式 首行缩进:  2 字符"/>
    <w:basedOn w:val="1"/>
    <w:qFormat/>
    <w:uiPriority w:val="0"/>
    <w:pPr>
      <w:autoSpaceDE w:val="0"/>
      <w:autoSpaceDN w:val="0"/>
      <w:adjustRightInd w:val="0"/>
      <w:snapToGrid w:val="0"/>
      <w:spacing w:line="520" w:lineRule="exact"/>
      <w:ind w:firstLine="0" w:firstLineChars="0"/>
      <w:jc w:val="both"/>
      <w:textAlignment w:val="auto"/>
    </w:pPr>
    <w:rPr>
      <w:rFonts w:ascii="宋体" w:hAnsi="宋体"/>
      <w:sz w:val="24"/>
      <w:szCs w:val="24"/>
    </w:rPr>
  </w:style>
  <w:style w:type="paragraph" w:customStyle="1" w:styleId="223">
    <w:name w:val="Char"/>
    <w:basedOn w:val="1"/>
    <w:qFormat/>
    <w:uiPriority w:val="0"/>
    <w:pPr>
      <w:spacing w:beforeLines="100" w:afterLines="50" w:line="600" w:lineRule="exact"/>
      <w:jc w:val="both"/>
      <w:textAlignment w:val="auto"/>
    </w:pPr>
    <w:rPr>
      <w:kern w:val="2"/>
      <w:sz w:val="21"/>
      <w:szCs w:val="24"/>
    </w:rPr>
  </w:style>
  <w:style w:type="paragraph" w:customStyle="1" w:styleId="224">
    <w:name w:val="默认段落字体 Para Char Char Char Char Char Char Char Char Char Char"/>
    <w:basedOn w:val="1"/>
    <w:qFormat/>
    <w:uiPriority w:val="0"/>
    <w:pPr>
      <w:adjustRightInd w:val="0"/>
      <w:ind w:firstLine="0" w:firstLineChars="0"/>
      <w:jc w:val="both"/>
      <w:textAlignment w:val="auto"/>
    </w:pPr>
    <w:rPr>
      <w:sz w:val="24"/>
    </w:rPr>
  </w:style>
  <w:style w:type="paragraph" w:customStyle="1" w:styleId="225">
    <w:name w:val="样式1"/>
    <w:basedOn w:val="36"/>
    <w:qFormat/>
    <w:uiPriority w:val="0"/>
    <w:pPr>
      <w:ind w:firstLine="0" w:firstLineChars="0"/>
      <w:textAlignment w:val="auto"/>
    </w:pPr>
    <w:rPr>
      <w:kern w:val="2"/>
    </w:rPr>
  </w:style>
  <w:style w:type="paragraph" w:customStyle="1" w:styleId="226">
    <w:name w:val="样式 居中"/>
    <w:basedOn w:val="1"/>
    <w:qFormat/>
    <w:uiPriority w:val="0"/>
    <w:pPr>
      <w:spacing w:line="240" w:lineRule="auto"/>
      <w:ind w:firstLine="0" w:firstLineChars="0"/>
      <w:jc w:val="center"/>
      <w:textAlignment w:val="auto"/>
    </w:pPr>
    <w:rPr>
      <w:rFonts w:cs="宋体"/>
      <w:kern w:val="2"/>
      <w:sz w:val="21"/>
    </w:rPr>
  </w:style>
  <w:style w:type="paragraph" w:customStyle="1" w:styleId="227">
    <w:name w:val="默认段落字体 Para Char"/>
    <w:basedOn w:val="1"/>
    <w:next w:val="1"/>
    <w:qFormat/>
    <w:uiPriority w:val="0"/>
    <w:pPr>
      <w:jc w:val="both"/>
      <w:textAlignment w:val="auto"/>
    </w:pPr>
    <w:rPr>
      <w:rFonts w:ascii="宋体" w:hAnsi="宋体" w:cs="宋体"/>
      <w:kern w:val="2"/>
      <w:sz w:val="24"/>
      <w:szCs w:val="24"/>
    </w:rPr>
  </w:style>
  <w:style w:type="paragraph" w:customStyle="1" w:styleId="228">
    <w:name w:val="5正文"/>
    <w:qFormat/>
    <w:uiPriority w:val="0"/>
    <w:pPr>
      <w:widowControl w:val="0"/>
      <w:spacing w:line="520" w:lineRule="exact"/>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29">
    <w:name w:val="报告表正文"/>
    <w:basedOn w:val="1"/>
    <w:qFormat/>
    <w:uiPriority w:val="0"/>
    <w:pPr>
      <w:adjustRightInd w:val="0"/>
      <w:spacing w:line="312" w:lineRule="auto"/>
      <w:ind w:left="113" w:right="113" w:firstLine="482" w:firstLineChars="0"/>
      <w:textAlignment w:val="baseline"/>
    </w:pPr>
    <w:rPr>
      <w:sz w:val="24"/>
    </w:rPr>
  </w:style>
  <w:style w:type="paragraph" w:customStyle="1" w:styleId="230">
    <w:name w:val="样式2"/>
    <w:basedOn w:val="36"/>
    <w:link w:val="231"/>
    <w:qFormat/>
    <w:uiPriority w:val="0"/>
    <w:pPr>
      <w:pBdr>
        <w:bottom w:val="thinThickSmallGap" w:color="auto" w:sz="12" w:space="1"/>
      </w:pBdr>
      <w:ind w:firstLine="0" w:firstLineChars="0"/>
      <w:jc w:val="left"/>
      <w:textAlignment w:val="auto"/>
    </w:pPr>
    <w:rPr>
      <w:rFonts w:ascii="宋体" w:hAnsi="宋体"/>
      <w:kern w:val="2"/>
    </w:rPr>
  </w:style>
  <w:style w:type="character" w:customStyle="1" w:styleId="231">
    <w:name w:val="样式2 Char"/>
    <w:link w:val="230"/>
    <w:qFormat/>
    <w:locked/>
    <w:uiPriority w:val="0"/>
    <w:rPr>
      <w:rFonts w:ascii="宋体" w:hAnsi="宋体"/>
      <w:kern w:val="2"/>
      <w:sz w:val="18"/>
      <w:szCs w:val="18"/>
    </w:rPr>
  </w:style>
  <w:style w:type="paragraph" w:customStyle="1" w:styleId="232">
    <w:name w:val="二级无标题条"/>
    <w:basedOn w:val="1"/>
    <w:qFormat/>
    <w:uiPriority w:val="0"/>
    <w:pPr>
      <w:spacing w:line="500" w:lineRule="exact"/>
      <w:ind w:firstLine="0" w:firstLineChars="0"/>
      <w:jc w:val="both"/>
      <w:textAlignment w:val="auto"/>
    </w:pPr>
    <w:rPr>
      <w:kern w:val="2"/>
      <w:sz w:val="21"/>
      <w:szCs w:val="24"/>
    </w:rPr>
  </w:style>
  <w:style w:type="paragraph" w:customStyle="1" w:styleId="233">
    <w:name w:val="Char Char Char Char Char Char Char Char Char Char Char Char Char Char Char Char Char Char"/>
    <w:basedOn w:val="1"/>
    <w:semiHidden/>
    <w:qFormat/>
    <w:uiPriority w:val="0"/>
    <w:pPr>
      <w:spacing w:line="500" w:lineRule="exact"/>
      <w:ind w:firstLine="0" w:firstLineChars="0"/>
      <w:jc w:val="both"/>
      <w:textAlignment w:val="auto"/>
    </w:pPr>
    <w:rPr>
      <w:kern w:val="2"/>
      <w:sz w:val="21"/>
      <w:szCs w:val="21"/>
    </w:rPr>
  </w:style>
  <w:style w:type="paragraph" w:customStyle="1" w:styleId="234">
    <w:name w:val="Char1 Char Char Char"/>
    <w:basedOn w:val="1"/>
    <w:qFormat/>
    <w:uiPriority w:val="0"/>
    <w:pPr>
      <w:spacing w:beforeLines="100" w:afterLines="50" w:line="600" w:lineRule="exact"/>
      <w:jc w:val="both"/>
      <w:textAlignment w:val="auto"/>
    </w:pPr>
    <w:rPr>
      <w:kern w:val="2"/>
      <w:sz w:val="21"/>
      <w:szCs w:val="24"/>
    </w:rPr>
  </w:style>
  <w:style w:type="paragraph" w:customStyle="1" w:styleId="235">
    <w:name w:val="我的正文"/>
    <w:basedOn w:val="1"/>
    <w:link w:val="236"/>
    <w:qFormat/>
    <w:uiPriority w:val="0"/>
    <w:pPr>
      <w:spacing w:line="460" w:lineRule="atLeast"/>
      <w:ind w:firstLine="482" w:firstLineChars="0"/>
      <w:jc w:val="both"/>
      <w:textAlignment w:val="auto"/>
    </w:pPr>
    <w:rPr>
      <w:kern w:val="2"/>
      <w:sz w:val="24"/>
      <w:szCs w:val="24"/>
    </w:rPr>
  </w:style>
  <w:style w:type="character" w:customStyle="1" w:styleId="236">
    <w:name w:val="我的正文 Char"/>
    <w:link w:val="235"/>
    <w:qFormat/>
    <w:locked/>
    <w:uiPriority w:val="0"/>
    <w:rPr>
      <w:kern w:val="2"/>
      <w:sz w:val="24"/>
      <w:szCs w:val="24"/>
    </w:rPr>
  </w:style>
  <w:style w:type="paragraph" w:customStyle="1" w:styleId="237">
    <w:name w:val="Char Char Char1 Char Char Char Char Char Char Char Char Char Char Char Char2 Char Char Char Char Char"/>
    <w:basedOn w:val="1"/>
    <w:qFormat/>
    <w:uiPriority w:val="0"/>
    <w:pPr>
      <w:widowControl/>
      <w:textAlignment w:val="auto"/>
    </w:pPr>
    <w:rPr>
      <w:rFonts w:cs="宋体"/>
      <w:kern w:val="2"/>
      <w:sz w:val="24"/>
      <w:szCs w:val="21"/>
    </w:rPr>
  </w:style>
  <w:style w:type="paragraph" w:customStyle="1" w:styleId="238">
    <w:name w:val="表格1"/>
    <w:basedOn w:val="25"/>
    <w:qFormat/>
    <w:uiPriority w:val="0"/>
    <w:pPr>
      <w:adjustRightInd w:val="0"/>
      <w:snapToGrid w:val="0"/>
      <w:spacing w:after="0" w:line="360" w:lineRule="exact"/>
      <w:ind w:left="0" w:leftChars="0" w:right="0" w:rightChars="0" w:firstLine="0" w:firstLineChars="0"/>
      <w:jc w:val="center"/>
      <w:textAlignment w:val="auto"/>
    </w:pPr>
    <w:rPr>
      <w:rFonts w:eastAsia="黑体"/>
      <w:sz w:val="24"/>
      <w:szCs w:val="28"/>
    </w:rPr>
  </w:style>
  <w:style w:type="paragraph" w:customStyle="1" w:styleId="239">
    <w:name w:val="Char Char Char Char Char Char Char1"/>
    <w:basedOn w:val="1"/>
    <w:qFormat/>
    <w:uiPriority w:val="0"/>
    <w:pPr>
      <w:spacing w:line="240" w:lineRule="auto"/>
      <w:ind w:firstLine="0" w:firstLineChars="0"/>
      <w:jc w:val="both"/>
      <w:textAlignment w:val="auto"/>
    </w:pPr>
    <w:rPr>
      <w:kern w:val="2"/>
      <w:sz w:val="21"/>
      <w:szCs w:val="21"/>
    </w:rPr>
  </w:style>
  <w:style w:type="paragraph" w:customStyle="1" w:styleId="240">
    <w:name w:val="表内"/>
    <w:basedOn w:val="1"/>
    <w:qFormat/>
    <w:uiPriority w:val="0"/>
    <w:pPr>
      <w:spacing w:line="500" w:lineRule="exact"/>
      <w:ind w:firstLine="0" w:firstLineChars="0"/>
      <w:jc w:val="center"/>
      <w:textAlignment w:val="auto"/>
    </w:pPr>
    <w:rPr>
      <w:kern w:val="2"/>
      <w:sz w:val="21"/>
      <w:szCs w:val="24"/>
    </w:rPr>
  </w:style>
  <w:style w:type="paragraph" w:customStyle="1" w:styleId="241">
    <w:name w:val="正文正"/>
    <w:basedOn w:val="1"/>
    <w:link w:val="242"/>
    <w:qFormat/>
    <w:uiPriority w:val="0"/>
    <w:pPr>
      <w:spacing w:line="500" w:lineRule="exact"/>
      <w:ind w:firstLine="560"/>
      <w:jc w:val="both"/>
      <w:textAlignment w:val="auto"/>
    </w:pPr>
    <w:rPr>
      <w:kern w:val="2"/>
      <w:szCs w:val="24"/>
    </w:rPr>
  </w:style>
  <w:style w:type="character" w:customStyle="1" w:styleId="242">
    <w:name w:val="正文正 Char"/>
    <w:link w:val="241"/>
    <w:qFormat/>
    <w:locked/>
    <w:uiPriority w:val="0"/>
    <w:rPr>
      <w:kern w:val="2"/>
      <w:sz w:val="28"/>
      <w:szCs w:val="24"/>
    </w:rPr>
  </w:style>
  <w:style w:type="paragraph" w:customStyle="1" w:styleId="243">
    <w:name w:val="小四表文左齐"/>
    <w:basedOn w:val="1"/>
    <w:qFormat/>
    <w:uiPriority w:val="0"/>
    <w:pPr>
      <w:widowControl/>
      <w:tabs>
        <w:tab w:val="left" w:pos="4500"/>
      </w:tabs>
      <w:spacing w:line="240" w:lineRule="auto"/>
      <w:ind w:firstLine="0" w:firstLineChars="0"/>
      <w:jc w:val="center"/>
      <w:textAlignment w:val="auto"/>
    </w:pPr>
    <w:rPr>
      <w:rFonts w:hAnsi="宋体"/>
      <w:sz w:val="21"/>
      <w:szCs w:val="21"/>
    </w:rPr>
  </w:style>
  <w:style w:type="paragraph" w:customStyle="1" w:styleId="244">
    <w:name w:val="正文233"/>
    <w:basedOn w:val="1"/>
    <w:qFormat/>
    <w:uiPriority w:val="0"/>
    <w:pPr>
      <w:widowControl/>
      <w:autoSpaceDE w:val="0"/>
      <w:autoSpaceDN w:val="0"/>
      <w:adjustRightInd w:val="0"/>
      <w:snapToGrid w:val="0"/>
      <w:spacing w:line="480" w:lineRule="exact"/>
      <w:jc w:val="both"/>
      <w:textAlignment w:val="auto"/>
    </w:pPr>
    <w:rPr>
      <w:rFonts w:cs="宋体"/>
      <w:sz w:val="24"/>
    </w:rPr>
  </w:style>
  <w:style w:type="paragraph" w:customStyle="1" w:styleId="24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auto"/>
    </w:pPr>
    <w:rPr>
      <w:rFonts w:ascii="Arial Unicode MS" w:hAnsi="Arial Unicode MS" w:eastAsia="Arial Unicode MS" w:cs="Arial Unicode MS"/>
      <w:sz w:val="18"/>
      <w:szCs w:val="18"/>
    </w:rPr>
  </w:style>
  <w:style w:type="paragraph" w:customStyle="1" w:styleId="246">
    <w:name w:val="pictext"/>
    <w:basedOn w:val="1"/>
    <w:qFormat/>
    <w:uiPriority w:val="0"/>
    <w:pPr>
      <w:widowControl/>
      <w:spacing w:before="100" w:beforeAutospacing="1" w:after="100" w:afterAutospacing="1" w:line="240" w:lineRule="auto"/>
      <w:ind w:firstLine="0" w:firstLineChars="0"/>
      <w:textAlignment w:val="auto"/>
    </w:pPr>
    <w:rPr>
      <w:rFonts w:ascii="宋体" w:hAnsi="宋体" w:cs="宋体"/>
      <w:sz w:val="24"/>
      <w:szCs w:val="24"/>
    </w:rPr>
  </w:style>
  <w:style w:type="paragraph" w:customStyle="1" w:styleId="247">
    <w:name w:val="修订1"/>
    <w:qFormat/>
    <w:uiPriority w:val="0"/>
    <w:rPr>
      <w:rFonts w:ascii="Times New Roman" w:hAnsi="Times New Roman" w:eastAsia="宋体" w:cs="Times New Roman"/>
      <w:kern w:val="2"/>
      <w:sz w:val="21"/>
      <w:szCs w:val="24"/>
      <w:lang w:val="en-US" w:eastAsia="zh-CN" w:bidi="ar-SA"/>
    </w:rPr>
  </w:style>
  <w:style w:type="paragraph" w:customStyle="1" w:styleId="248">
    <w:name w:val="正文 Char Char Char"/>
    <w:basedOn w:val="1"/>
    <w:qFormat/>
    <w:uiPriority w:val="0"/>
    <w:pPr>
      <w:spacing w:line="520" w:lineRule="exact"/>
      <w:jc w:val="both"/>
      <w:textAlignment w:val="auto"/>
    </w:pPr>
    <w:rPr>
      <w:kern w:val="2"/>
      <w:sz w:val="24"/>
    </w:rPr>
  </w:style>
  <w:style w:type="paragraph" w:customStyle="1" w:styleId="249">
    <w:name w:val="表"/>
    <w:basedOn w:val="1"/>
    <w:qFormat/>
    <w:uiPriority w:val="0"/>
    <w:pPr>
      <w:spacing w:line="320" w:lineRule="exact"/>
      <w:ind w:firstLine="0" w:firstLineChars="0"/>
      <w:textAlignment w:val="auto"/>
    </w:pPr>
    <w:rPr>
      <w:sz w:val="21"/>
    </w:rPr>
  </w:style>
  <w:style w:type="paragraph" w:customStyle="1" w:styleId="250">
    <w:name w:val="Char2"/>
    <w:basedOn w:val="1"/>
    <w:qFormat/>
    <w:uiPriority w:val="0"/>
    <w:pPr>
      <w:spacing w:beforeLines="100" w:afterLines="50" w:line="600" w:lineRule="exact"/>
      <w:jc w:val="both"/>
      <w:textAlignment w:val="auto"/>
    </w:pPr>
    <w:rPr>
      <w:kern w:val="2"/>
      <w:sz w:val="21"/>
      <w:szCs w:val="24"/>
    </w:rPr>
  </w:style>
  <w:style w:type="paragraph" w:styleId="251">
    <w:name w:val="List Paragraph"/>
    <w:basedOn w:val="1"/>
    <w:qFormat/>
    <w:uiPriority w:val="0"/>
    <w:pPr>
      <w:spacing w:line="240" w:lineRule="auto"/>
      <w:ind w:firstLine="420"/>
      <w:jc w:val="both"/>
      <w:textAlignment w:val="auto"/>
    </w:pPr>
    <w:rPr>
      <w:kern w:val="2"/>
    </w:rPr>
  </w:style>
  <w:style w:type="paragraph" w:customStyle="1" w:styleId="252">
    <w:name w:val="reader-word-layer"/>
    <w:basedOn w:val="1"/>
    <w:qFormat/>
    <w:uiPriority w:val="0"/>
    <w:pPr>
      <w:widowControl/>
      <w:spacing w:before="100" w:beforeAutospacing="1" w:after="100" w:afterAutospacing="1" w:line="240" w:lineRule="auto"/>
      <w:ind w:firstLine="0" w:firstLineChars="0"/>
      <w:textAlignment w:val="auto"/>
    </w:pPr>
    <w:rPr>
      <w:rFonts w:ascii="宋体" w:hAnsi="宋体" w:cs="宋体"/>
      <w:sz w:val="24"/>
      <w:szCs w:val="24"/>
    </w:rPr>
  </w:style>
  <w:style w:type="paragraph" w:customStyle="1" w:styleId="253">
    <w:name w:val="样式 标题 1 + 加粗 首行缩进:  0 厘米"/>
    <w:basedOn w:val="4"/>
    <w:qFormat/>
    <w:uiPriority w:val="0"/>
    <w:pPr>
      <w:widowControl/>
      <w:adjustRightInd w:val="0"/>
      <w:snapToGrid w:val="0"/>
      <w:spacing w:before="360" w:after="360" w:line="480" w:lineRule="atLeast"/>
    </w:pPr>
    <w:rPr>
      <w:rFonts w:ascii="Times New Roman" w:cs="宋体"/>
      <w:sz w:val="32"/>
      <w:szCs w:val="36"/>
    </w:rPr>
  </w:style>
  <w:style w:type="paragraph" w:customStyle="1" w:styleId="254">
    <w:name w:val="Char Char6"/>
    <w:basedOn w:val="1"/>
    <w:qFormat/>
    <w:uiPriority w:val="0"/>
    <w:pPr>
      <w:spacing w:beforeLines="100" w:afterLines="50" w:line="600" w:lineRule="exact"/>
      <w:jc w:val="both"/>
      <w:textAlignment w:val="auto"/>
    </w:pPr>
    <w:rPr>
      <w:kern w:val="2"/>
      <w:sz w:val="21"/>
      <w:szCs w:val="24"/>
    </w:rPr>
  </w:style>
  <w:style w:type="paragraph" w:customStyle="1" w:styleId="255">
    <w:name w:val="表格正文"/>
    <w:basedOn w:val="1"/>
    <w:qFormat/>
    <w:uiPriority w:val="0"/>
    <w:pPr>
      <w:spacing w:line="360" w:lineRule="exact"/>
      <w:ind w:firstLine="0" w:firstLineChars="0"/>
      <w:jc w:val="center"/>
      <w:textAlignment w:val="auto"/>
    </w:pPr>
    <w:rPr>
      <w:rFonts w:ascii="Arial" w:hAnsi="Arial"/>
      <w:kern w:val="2"/>
      <w:sz w:val="21"/>
      <w:szCs w:val="24"/>
    </w:rPr>
  </w:style>
  <w:style w:type="paragraph" w:customStyle="1" w:styleId="256">
    <w:name w:val="2"/>
    <w:basedOn w:val="1"/>
    <w:next w:val="44"/>
    <w:qFormat/>
    <w:uiPriority w:val="0"/>
    <w:pPr>
      <w:spacing w:line="240" w:lineRule="auto"/>
      <w:ind w:firstLine="527"/>
      <w:jc w:val="both"/>
      <w:textAlignment w:val="auto"/>
    </w:pPr>
    <w:rPr>
      <w:rFonts w:ascii="宋体"/>
      <w:spacing w:val="5"/>
      <w:kern w:val="2"/>
      <w:sz w:val="25"/>
      <w:szCs w:val="25"/>
    </w:rPr>
  </w:style>
  <w:style w:type="paragraph" w:customStyle="1" w:styleId="257">
    <w:name w:val="标题4"/>
    <w:basedOn w:val="1"/>
    <w:next w:val="1"/>
    <w:qFormat/>
    <w:uiPriority w:val="0"/>
    <w:pPr>
      <w:spacing w:line="520" w:lineRule="exact"/>
      <w:ind w:firstLine="0" w:firstLineChars="0"/>
      <w:jc w:val="both"/>
      <w:textAlignment w:val="auto"/>
    </w:pPr>
    <w:rPr>
      <w:color w:val="000000"/>
      <w:kern w:val="2"/>
      <w:szCs w:val="24"/>
    </w:rPr>
  </w:style>
  <w:style w:type="paragraph" w:customStyle="1" w:styleId="258">
    <w:name w:val="4 Char Char"/>
    <w:basedOn w:val="1"/>
    <w:qFormat/>
    <w:uiPriority w:val="0"/>
    <w:pPr>
      <w:autoSpaceDE w:val="0"/>
      <w:autoSpaceDN w:val="0"/>
      <w:adjustRightInd w:val="0"/>
      <w:snapToGrid w:val="0"/>
      <w:ind w:firstLine="567" w:firstLineChars="0"/>
      <w:textAlignment w:val="auto"/>
    </w:pPr>
    <w:rPr>
      <w:kern w:val="2"/>
      <w:szCs w:val="24"/>
    </w:rPr>
  </w:style>
  <w:style w:type="paragraph" w:customStyle="1" w:styleId="259">
    <w:name w:val="图号"/>
    <w:basedOn w:val="1"/>
    <w:next w:val="1"/>
    <w:qFormat/>
    <w:uiPriority w:val="0"/>
    <w:pPr>
      <w:spacing w:line="240" w:lineRule="auto"/>
      <w:ind w:firstLine="288" w:firstLineChars="0"/>
      <w:jc w:val="center"/>
      <w:textAlignment w:val="auto"/>
    </w:pPr>
    <w:rPr>
      <w:b/>
      <w:kern w:val="2"/>
      <w:sz w:val="24"/>
      <w:szCs w:val="24"/>
    </w:rPr>
  </w:style>
  <w:style w:type="paragraph" w:customStyle="1" w:styleId="260">
    <w:name w:val="样式 正文 +1"/>
    <w:basedOn w:val="1"/>
    <w:qFormat/>
    <w:uiPriority w:val="0"/>
    <w:pPr>
      <w:widowControl/>
      <w:textAlignment w:val="auto"/>
    </w:pPr>
    <w:rPr>
      <w:rFonts w:cs="宋体"/>
      <w:sz w:val="24"/>
    </w:rPr>
  </w:style>
  <w:style w:type="paragraph" w:customStyle="1" w:styleId="261">
    <w:name w:val="Char Char1 Char Char Char Char Char Char Char Char Char Char Char Char Char Char Char Char Char Char Char Char1 Char1"/>
    <w:basedOn w:val="1"/>
    <w:qFormat/>
    <w:uiPriority w:val="0"/>
    <w:pPr>
      <w:jc w:val="both"/>
      <w:textAlignment w:val="auto"/>
    </w:pPr>
    <w:rPr>
      <w:rFonts w:ascii="宋体" w:hAnsi="宋体" w:cs="宋体"/>
      <w:kern w:val="2"/>
      <w:sz w:val="24"/>
      <w:szCs w:val="24"/>
    </w:rPr>
  </w:style>
  <w:style w:type="paragraph" w:customStyle="1" w:styleId="262">
    <w:name w:val="Default"/>
    <w:qFormat/>
    <w:uiPriority w:val="0"/>
    <w:pPr>
      <w:widowControl w:val="0"/>
      <w:autoSpaceDE w:val="0"/>
      <w:autoSpaceDN w:val="0"/>
      <w:adjustRightInd w:val="0"/>
    </w:pPr>
    <w:rPr>
      <w:rFonts w:ascii="宋体" w:hAnsi="等线" w:eastAsia="宋体" w:cs="宋体"/>
      <w:color w:val="000000"/>
      <w:sz w:val="24"/>
      <w:szCs w:val="24"/>
      <w:lang w:val="en-US" w:eastAsia="zh-CN" w:bidi="ar-SA"/>
    </w:rPr>
  </w:style>
  <w:style w:type="paragraph" w:customStyle="1" w:styleId="263">
    <w:name w:val="Char Char Char Char"/>
    <w:basedOn w:val="1"/>
    <w:qFormat/>
    <w:uiPriority w:val="0"/>
    <w:pPr>
      <w:snapToGrid w:val="0"/>
      <w:jc w:val="both"/>
      <w:textAlignment w:val="auto"/>
    </w:pPr>
    <w:rPr>
      <w:rFonts w:eastAsia="仿宋_GB2312"/>
      <w:kern w:val="2"/>
      <w:sz w:val="24"/>
      <w:szCs w:val="24"/>
    </w:rPr>
  </w:style>
  <w:style w:type="paragraph" w:customStyle="1" w:styleId="264">
    <w:name w:val="默认段落字体 Para Char Char Char Char"/>
    <w:basedOn w:val="1"/>
    <w:qFormat/>
    <w:uiPriority w:val="0"/>
    <w:pPr>
      <w:spacing w:beforeLines="100" w:afterLines="50" w:line="600" w:lineRule="exact"/>
      <w:jc w:val="both"/>
      <w:textAlignment w:val="auto"/>
    </w:pPr>
    <w:rPr>
      <w:rFonts w:eastAsia="黑体"/>
      <w:kern w:val="2"/>
      <w:szCs w:val="24"/>
    </w:rPr>
  </w:style>
  <w:style w:type="paragraph" w:customStyle="1" w:styleId="265">
    <w:name w:val="五级条标题"/>
    <w:basedOn w:val="1"/>
    <w:qFormat/>
    <w:uiPriority w:val="0"/>
    <w:pPr>
      <w:tabs>
        <w:tab w:val="left" w:pos="1296"/>
        <w:tab w:val="left" w:pos="2940"/>
      </w:tabs>
      <w:spacing w:line="240" w:lineRule="auto"/>
      <w:ind w:left="2940" w:hanging="420" w:firstLineChars="0"/>
      <w:jc w:val="both"/>
      <w:textAlignment w:val="auto"/>
    </w:pPr>
    <w:rPr>
      <w:kern w:val="2"/>
      <w:sz w:val="21"/>
      <w:szCs w:val="24"/>
    </w:rPr>
  </w:style>
  <w:style w:type="paragraph" w:customStyle="1" w:styleId="266">
    <w:name w:val="Char1 Char Char Char1"/>
    <w:basedOn w:val="1"/>
    <w:qFormat/>
    <w:uiPriority w:val="0"/>
    <w:pPr>
      <w:spacing w:beforeLines="100" w:afterLines="50" w:line="600" w:lineRule="exact"/>
      <w:jc w:val="both"/>
      <w:textAlignment w:val="auto"/>
    </w:pPr>
    <w:rPr>
      <w:kern w:val="2"/>
      <w:sz w:val="21"/>
      <w:szCs w:val="24"/>
    </w:rPr>
  </w:style>
  <w:style w:type="paragraph" w:customStyle="1" w:styleId="267">
    <w:name w:val="Char Char Char3 Char"/>
    <w:basedOn w:val="1"/>
    <w:qFormat/>
    <w:uiPriority w:val="0"/>
    <w:pPr>
      <w:jc w:val="both"/>
      <w:textAlignment w:val="auto"/>
    </w:pPr>
    <w:rPr>
      <w:rFonts w:ascii="宋体" w:hAnsi="宋体" w:cs="宋体"/>
      <w:kern w:val="2"/>
      <w:sz w:val="24"/>
      <w:szCs w:val="24"/>
    </w:rPr>
  </w:style>
  <w:style w:type="paragraph" w:customStyle="1" w:styleId="268">
    <w:name w:val="1"/>
    <w:basedOn w:val="1"/>
    <w:next w:val="22"/>
    <w:qFormat/>
    <w:uiPriority w:val="0"/>
    <w:pPr>
      <w:spacing w:after="120" w:line="240" w:lineRule="auto"/>
      <w:ind w:firstLine="0" w:firstLineChars="0"/>
      <w:jc w:val="both"/>
      <w:textAlignment w:val="auto"/>
    </w:pPr>
    <w:rPr>
      <w:kern w:val="2"/>
      <w:sz w:val="21"/>
      <w:szCs w:val="24"/>
    </w:rPr>
  </w:style>
  <w:style w:type="paragraph" w:customStyle="1" w:styleId="269">
    <w:name w:val="正文1"/>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paragraph" w:customStyle="1" w:styleId="270">
    <w:name w:val="Char Char Char Char Char Char"/>
    <w:basedOn w:val="1"/>
    <w:qFormat/>
    <w:uiPriority w:val="0"/>
    <w:pPr>
      <w:spacing w:line="500" w:lineRule="exact"/>
      <w:ind w:firstLine="0" w:firstLineChars="0"/>
      <w:jc w:val="both"/>
      <w:textAlignment w:val="auto"/>
    </w:pPr>
    <w:rPr>
      <w:kern w:val="2"/>
      <w:sz w:val="24"/>
      <w:szCs w:val="24"/>
    </w:rPr>
  </w:style>
  <w:style w:type="paragraph" w:customStyle="1" w:styleId="271">
    <w:name w:val="Char Char Char Char1"/>
    <w:basedOn w:val="1"/>
    <w:qFormat/>
    <w:uiPriority w:val="0"/>
    <w:pPr>
      <w:snapToGrid w:val="0"/>
      <w:jc w:val="both"/>
      <w:textAlignment w:val="auto"/>
    </w:pPr>
    <w:rPr>
      <w:rFonts w:eastAsia="仿宋_GB2312"/>
      <w:kern w:val="2"/>
      <w:sz w:val="24"/>
      <w:szCs w:val="24"/>
    </w:rPr>
  </w:style>
  <w:style w:type="paragraph" w:customStyle="1" w:styleId="272">
    <w:name w:val="Char Char6 Char Char"/>
    <w:basedOn w:val="1"/>
    <w:qFormat/>
    <w:uiPriority w:val="0"/>
    <w:pPr>
      <w:spacing w:beforeLines="100" w:afterLines="50" w:line="600" w:lineRule="exact"/>
      <w:jc w:val="both"/>
      <w:textAlignment w:val="auto"/>
    </w:pPr>
    <w:rPr>
      <w:kern w:val="2"/>
      <w:sz w:val="21"/>
      <w:szCs w:val="24"/>
    </w:rPr>
  </w:style>
  <w:style w:type="paragraph" w:customStyle="1" w:styleId="27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auto"/>
    </w:pPr>
    <w:rPr>
      <w:rFonts w:ascii="Arial Unicode MS" w:hAnsi="Arial Unicode MS" w:eastAsia="Arial Unicode MS" w:cs="Arial Unicode MS"/>
      <w:sz w:val="18"/>
      <w:szCs w:val="18"/>
    </w:rPr>
  </w:style>
  <w:style w:type="paragraph" w:customStyle="1" w:styleId="274">
    <w:name w:val="宋小4+25"/>
    <w:basedOn w:val="1"/>
    <w:qFormat/>
    <w:uiPriority w:val="0"/>
    <w:pPr>
      <w:adjustRightInd w:val="0"/>
      <w:snapToGrid w:val="0"/>
      <w:spacing w:line="500" w:lineRule="exact"/>
      <w:textAlignment w:val="auto"/>
    </w:pPr>
    <w:rPr>
      <w:kern w:val="2"/>
      <w:sz w:val="24"/>
      <w:szCs w:val="24"/>
    </w:rPr>
  </w:style>
  <w:style w:type="paragraph" w:customStyle="1" w:styleId="275">
    <w:name w:val="Char Char Char Char Char Char Char Char Char Char Char Char Char Char Char Char Char Char Char"/>
    <w:basedOn w:val="1"/>
    <w:qFormat/>
    <w:uiPriority w:val="0"/>
    <w:pPr>
      <w:spacing w:line="240" w:lineRule="auto"/>
      <w:ind w:firstLine="0" w:firstLineChars="0"/>
      <w:jc w:val="both"/>
      <w:textAlignment w:val="auto"/>
    </w:pPr>
    <w:rPr>
      <w:kern w:val="2"/>
      <w:sz w:val="24"/>
      <w:szCs w:val="24"/>
    </w:rPr>
  </w:style>
  <w:style w:type="paragraph" w:customStyle="1" w:styleId="276">
    <w:name w:val="标题3 Char Char Char Char"/>
    <w:basedOn w:val="1"/>
    <w:qFormat/>
    <w:uiPriority w:val="0"/>
    <w:pPr>
      <w:spacing w:afterLines="50" w:line="560" w:lineRule="exact"/>
      <w:ind w:firstLine="0" w:firstLineChars="0"/>
      <w:jc w:val="both"/>
      <w:textAlignment w:val="auto"/>
    </w:pPr>
    <w:rPr>
      <w:rFonts w:eastAsia="黑体"/>
      <w:kern w:val="2"/>
      <w:sz w:val="30"/>
      <w:szCs w:val="30"/>
    </w:rPr>
  </w:style>
  <w:style w:type="paragraph" w:customStyle="1" w:styleId="277">
    <w:name w:val="p17"/>
    <w:basedOn w:val="1"/>
    <w:qFormat/>
    <w:uiPriority w:val="0"/>
    <w:pPr>
      <w:widowControl/>
      <w:spacing w:line="420" w:lineRule="atLeast"/>
      <w:ind w:firstLine="420" w:firstLineChars="0"/>
      <w:jc w:val="both"/>
      <w:textAlignment w:val="auto"/>
    </w:pPr>
    <w:rPr>
      <w:rFonts w:ascii="宋体" w:hAnsi="宋体" w:cs="宋体"/>
      <w:kern w:val="2"/>
      <w:sz w:val="24"/>
      <w:szCs w:val="24"/>
    </w:rPr>
  </w:style>
  <w:style w:type="paragraph" w:customStyle="1" w:styleId="278">
    <w:name w:val="样式 黑体 小四 段后: 6 磅 行距: 固定值 28 磅"/>
    <w:basedOn w:val="1"/>
    <w:qFormat/>
    <w:uiPriority w:val="0"/>
    <w:pPr>
      <w:spacing w:after="120" w:line="560" w:lineRule="exact"/>
      <w:ind w:firstLine="480"/>
      <w:jc w:val="both"/>
      <w:textAlignment w:val="auto"/>
    </w:pPr>
    <w:rPr>
      <w:rFonts w:ascii="黑体" w:eastAsia="黑体" w:cs="宋体"/>
      <w:kern w:val="2"/>
      <w:sz w:val="24"/>
    </w:rPr>
  </w:style>
  <w:style w:type="paragraph" w:customStyle="1" w:styleId="279">
    <w:name w:val="Char12"/>
    <w:basedOn w:val="1"/>
    <w:qFormat/>
    <w:uiPriority w:val="0"/>
    <w:pPr>
      <w:adjustRightInd w:val="0"/>
      <w:spacing w:line="360" w:lineRule="atLeast"/>
      <w:ind w:firstLine="0" w:firstLineChars="0"/>
      <w:jc w:val="both"/>
      <w:textAlignment w:val="auto"/>
    </w:pPr>
    <w:rPr>
      <w:rFonts w:eastAsia="黑体"/>
      <w:b/>
      <w:kern w:val="28"/>
    </w:rPr>
  </w:style>
  <w:style w:type="paragraph" w:customStyle="1" w:styleId="280">
    <w:name w:val="正"/>
    <w:basedOn w:val="1"/>
    <w:link w:val="281"/>
    <w:qFormat/>
    <w:uiPriority w:val="0"/>
    <w:pPr>
      <w:spacing w:line="240" w:lineRule="auto"/>
      <w:ind w:firstLine="0" w:firstLineChars="0"/>
      <w:jc w:val="both"/>
      <w:textAlignment w:val="auto"/>
    </w:pPr>
    <w:rPr>
      <w:rFonts w:ascii="Calibri" w:hAnsi="Calibri" w:eastAsia="Times New Roman"/>
      <w:kern w:val="2"/>
      <w:sz w:val="24"/>
    </w:rPr>
  </w:style>
  <w:style w:type="character" w:customStyle="1" w:styleId="281">
    <w:name w:val="正 Char"/>
    <w:link w:val="280"/>
    <w:qFormat/>
    <w:locked/>
    <w:uiPriority w:val="0"/>
    <w:rPr>
      <w:rFonts w:ascii="Calibri" w:hAnsi="Calibri" w:eastAsia="Times New Roman"/>
      <w:kern w:val="2"/>
      <w:sz w:val="24"/>
    </w:rPr>
  </w:style>
  <w:style w:type="paragraph" w:customStyle="1" w:styleId="282">
    <w:name w:val="xl31"/>
    <w:basedOn w:val="1"/>
    <w:qFormat/>
    <w:uiPriority w:val="0"/>
    <w:pPr>
      <w:widowControl/>
      <w:spacing w:before="100" w:beforeAutospacing="1" w:after="100" w:afterAutospacing="1" w:line="240" w:lineRule="auto"/>
      <w:ind w:firstLine="0" w:firstLineChars="0"/>
      <w:jc w:val="center"/>
      <w:textAlignment w:val="center"/>
    </w:pPr>
    <w:rPr>
      <w:rFonts w:ascii="Arial Unicode MS" w:hAnsi="Arial Unicode MS" w:eastAsia="Arial Unicode MS"/>
      <w:sz w:val="24"/>
      <w:szCs w:val="24"/>
    </w:rPr>
  </w:style>
  <w:style w:type="paragraph" w:customStyle="1" w:styleId="283">
    <w:name w:val="表头图表"/>
    <w:qFormat/>
    <w:uiPriority w:val="0"/>
    <w:pPr>
      <w:widowControl w:val="0"/>
      <w:autoSpaceDE w:val="0"/>
      <w:autoSpaceDN w:val="0"/>
      <w:adjustRightInd w:val="0"/>
      <w:snapToGrid w:val="0"/>
      <w:spacing w:line="240" w:lineRule="atLeast"/>
      <w:jc w:val="center"/>
    </w:pPr>
    <w:rPr>
      <w:rFonts w:ascii="Times New Roman" w:hAnsi="Times New Roman" w:eastAsia="宋体" w:cs="宋体"/>
      <w:b/>
      <w:color w:val="000000"/>
      <w:sz w:val="24"/>
      <w:szCs w:val="24"/>
      <w:lang w:val="en-US" w:eastAsia="zh-CN" w:bidi="ar-SA"/>
    </w:rPr>
  </w:style>
  <w:style w:type="paragraph" w:customStyle="1" w:styleId="284">
    <w:name w:val="样式3"/>
    <w:basedOn w:val="5"/>
    <w:qFormat/>
    <w:uiPriority w:val="0"/>
    <w:pPr>
      <w:widowControl/>
      <w:pBdr>
        <w:top w:val="none" w:color="auto" w:sz="0" w:space="1"/>
        <w:left w:val="none" w:color="auto" w:sz="0" w:space="4"/>
        <w:bottom w:val="thickThinMediumGap" w:color="auto" w:sz="12" w:space="1"/>
        <w:right w:val="none" w:color="auto" w:sz="0" w:space="4"/>
      </w:pBdr>
      <w:spacing w:line="413" w:lineRule="auto"/>
    </w:pPr>
    <w:rPr>
      <w:rFonts w:ascii="Times New Roman" w:hAnsi="Times New Roman" w:eastAsia="宋体"/>
      <w:bCs w:val="0"/>
      <w:color w:val="000000"/>
      <w:szCs w:val="20"/>
    </w:rPr>
  </w:style>
  <w:style w:type="paragraph" w:customStyle="1" w:styleId="285">
    <w:name w:val="Char Char Char1 Char Char Char Char Char Char Char Char Char Char Char Char Char Char Char Char Char Char Char1"/>
    <w:basedOn w:val="1"/>
    <w:qFormat/>
    <w:uiPriority w:val="0"/>
    <w:pPr>
      <w:jc w:val="both"/>
      <w:textAlignment w:val="auto"/>
    </w:pPr>
    <w:rPr>
      <w:rFonts w:ascii="宋体" w:hAnsi="宋体" w:cs="宋体"/>
      <w:kern w:val="2"/>
      <w:sz w:val="24"/>
      <w:szCs w:val="24"/>
    </w:rPr>
  </w:style>
  <w:style w:type="paragraph" w:customStyle="1" w:styleId="286">
    <w:name w:val="Char11"/>
    <w:basedOn w:val="1"/>
    <w:qFormat/>
    <w:uiPriority w:val="0"/>
    <w:pPr>
      <w:spacing w:beforeLines="100" w:afterLines="50" w:line="600" w:lineRule="exact"/>
      <w:jc w:val="both"/>
      <w:textAlignment w:val="auto"/>
    </w:pPr>
    <w:rPr>
      <w:kern w:val="2"/>
      <w:sz w:val="21"/>
    </w:rPr>
  </w:style>
  <w:style w:type="paragraph" w:customStyle="1" w:styleId="287">
    <w:name w:val="样式 表中文字 + 两端对齐"/>
    <w:basedOn w:val="1"/>
    <w:qFormat/>
    <w:uiPriority w:val="0"/>
    <w:pPr>
      <w:spacing w:line="270" w:lineRule="exact"/>
      <w:ind w:firstLine="0" w:firstLineChars="0"/>
      <w:jc w:val="center"/>
      <w:textAlignment w:val="auto"/>
    </w:pPr>
    <w:rPr>
      <w:rFonts w:ascii="仿宋_GB2312" w:eastAsia="仿宋_GB2312" w:cs="宋体"/>
      <w:kern w:val="2"/>
      <w:sz w:val="21"/>
      <w:szCs w:val="21"/>
    </w:rPr>
  </w:style>
  <w:style w:type="paragraph" w:customStyle="1" w:styleId="288">
    <w:name w:val="Char Char Char Char Char Char Char Char Char Char Char Char Char Char Char Char Char Char Char1"/>
    <w:basedOn w:val="1"/>
    <w:qFormat/>
    <w:uiPriority w:val="0"/>
    <w:pPr>
      <w:spacing w:line="240" w:lineRule="auto"/>
      <w:ind w:firstLine="0" w:firstLineChars="0"/>
      <w:jc w:val="both"/>
      <w:textAlignment w:val="auto"/>
    </w:pPr>
    <w:rPr>
      <w:kern w:val="2"/>
      <w:sz w:val="24"/>
      <w:szCs w:val="24"/>
    </w:rPr>
  </w:style>
  <w:style w:type="paragraph" w:customStyle="1" w:styleId="289">
    <w:name w:val="普通文字"/>
    <w:basedOn w:val="1"/>
    <w:qFormat/>
    <w:uiPriority w:val="0"/>
    <w:pPr>
      <w:adjustRightInd w:val="0"/>
      <w:snapToGrid w:val="0"/>
      <w:spacing w:line="360" w:lineRule="exact"/>
      <w:ind w:firstLine="0" w:firstLineChars="0"/>
      <w:jc w:val="both"/>
      <w:textAlignment w:val="baseline"/>
    </w:pPr>
    <w:rPr>
      <w:rFonts w:eastAsia="仿宋_GB2312"/>
      <w:snapToGrid w:val="0"/>
      <w:kern w:val="21"/>
      <w:sz w:val="21"/>
      <w:szCs w:val="21"/>
    </w:rPr>
  </w:style>
  <w:style w:type="paragraph" w:customStyle="1" w:styleId="290">
    <w:name w:val="Char Char Char"/>
    <w:basedOn w:val="1"/>
    <w:qFormat/>
    <w:uiPriority w:val="0"/>
    <w:pPr>
      <w:spacing w:line="240" w:lineRule="auto"/>
      <w:ind w:firstLine="0" w:firstLineChars="0"/>
      <w:jc w:val="both"/>
      <w:textAlignment w:val="auto"/>
    </w:pPr>
    <w:rPr>
      <w:rFonts w:ascii="Tahoma" w:hAnsi="Tahoma"/>
      <w:kern w:val="2"/>
      <w:sz w:val="24"/>
    </w:rPr>
  </w:style>
  <w:style w:type="paragraph" w:customStyle="1" w:styleId="291">
    <w:name w:val="样式1 Char"/>
    <w:basedOn w:val="23"/>
    <w:qFormat/>
    <w:uiPriority w:val="0"/>
    <w:pPr>
      <w:spacing w:after="0" w:line="360" w:lineRule="auto"/>
      <w:ind w:left="0" w:leftChars="0" w:firstLine="600"/>
      <w:textAlignment w:val="bottom"/>
    </w:pPr>
    <w:rPr>
      <w:rFonts w:hint="eastAsia" w:hAnsi="宋体"/>
      <w:color w:val="000000"/>
      <w:kern w:val="0"/>
      <w:sz w:val="30"/>
    </w:rPr>
  </w:style>
  <w:style w:type="paragraph" w:customStyle="1" w:styleId="292">
    <w:name w:val="z正文"/>
    <w:basedOn w:val="1"/>
    <w:qFormat/>
    <w:uiPriority w:val="0"/>
    <w:pPr>
      <w:spacing w:line="500" w:lineRule="exact"/>
      <w:jc w:val="both"/>
      <w:textAlignment w:val="auto"/>
    </w:pPr>
    <w:rPr>
      <w:kern w:val="2"/>
      <w:sz w:val="24"/>
      <w:szCs w:val="24"/>
    </w:rPr>
  </w:style>
  <w:style w:type="paragraph" w:customStyle="1" w:styleId="293">
    <w:name w:val="正文缩进1"/>
    <w:basedOn w:val="1"/>
    <w:qFormat/>
    <w:uiPriority w:val="0"/>
    <w:pPr>
      <w:spacing w:line="365" w:lineRule="atLeast"/>
      <w:ind w:firstLine="420"/>
      <w:jc w:val="both"/>
    </w:pPr>
    <w:rPr>
      <w:rFonts w:hint="eastAsia"/>
      <w:sz w:val="20"/>
    </w:rPr>
  </w:style>
  <w:style w:type="paragraph" w:customStyle="1" w:styleId="294">
    <w:name w:val="样式 首行缩进:  2 字符8"/>
    <w:basedOn w:val="1"/>
    <w:qFormat/>
    <w:uiPriority w:val="0"/>
    <w:pPr>
      <w:spacing w:line="520" w:lineRule="exact"/>
      <w:jc w:val="both"/>
      <w:textAlignment w:val="auto"/>
    </w:pPr>
    <w:rPr>
      <w:rFonts w:ascii="Calibri" w:hAnsi="Calibri" w:cs="宋体"/>
      <w:kern w:val="2"/>
      <w:sz w:val="24"/>
    </w:rPr>
  </w:style>
  <w:style w:type="paragraph" w:customStyle="1" w:styleId="295">
    <w:name w:val="xl27"/>
    <w:basedOn w:val="1"/>
    <w:qFormat/>
    <w:uiPriority w:val="0"/>
    <w:pPr>
      <w:widowControl/>
      <w:pBdr>
        <w:bottom w:val="single" w:color="auto" w:sz="12" w:space="0"/>
      </w:pBdr>
      <w:spacing w:before="100" w:after="100" w:line="240" w:lineRule="auto"/>
      <w:ind w:firstLine="0" w:firstLineChars="0"/>
      <w:jc w:val="center"/>
      <w:textAlignment w:val="auto"/>
    </w:pPr>
    <w:rPr>
      <w:rFonts w:ascii="宋体" w:hAnsi="宋体"/>
      <w:sz w:val="21"/>
    </w:rPr>
  </w:style>
  <w:style w:type="paragraph" w:customStyle="1" w:styleId="296">
    <w:name w:val="缩进"/>
    <w:basedOn w:val="1"/>
    <w:qFormat/>
    <w:uiPriority w:val="0"/>
    <w:pPr>
      <w:autoSpaceDE w:val="0"/>
      <w:autoSpaceDN w:val="0"/>
      <w:adjustRightInd w:val="0"/>
      <w:spacing w:line="400" w:lineRule="atLeast"/>
      <w:jc w:val="both"/>
      <w:textAlignment w:val="baseline"/>
    </w:pPr>
    <w:rPr>
      <w:sz w:val="24"/>
    </w:rPr>
  </w:style>
  <w:style w:type="paragraph" w:customStyle="1" w:styleId="297">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特殊标题３"/>
    <w:basedOn w:val="1"/>
    <w:qFormat/>
    <w:uiPriority w:val="0"/>
    <w:pPr>
      <w:autoSpaceDE w:val="0"/>
      <w:autoSpaceDN w:val="0"/>
      <w:adjustRightInd w:val="0"/>
      <w:ind w:firstLine="0" w:firstLineChars="0"/>
      <w:jc w:val="both"/>
      <w:textAlignment w:val="baseline"/>
    </w:pPr>
    <w:rPr>
      <w:rFonts w:ascii="宋体" w:hAnsi="宋体"/>
      <w:color w:val="000000"/>
      <w:szCs w:val="28"/>
    </w:rPr>
  </w:style>
  <w:style w:type="table" w:customStyle="1" w:styleId="299">
    <w:name w:val="网格型2"/>
    <w:basedOn w:val="5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
    <w:name w:val="列表型 71"/>
    <w:basedOn w:val="56"/>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auto" w:sz="6" w:space="0"/>
      </w:tblBorders>
    </w:tblPr>
    <w:tblStylePr w:type="firstRow">
      <w:tcPr>
        <w:tcBorders>
          <w:top w:val="nil"/>
          <w:left w:val="nil"/>
          <w:bottom w:val="single" w:color="008000" w:sz="12" w:space="0"/>
          <w:right w:val="nil"/>
          <w:insideH w:val="nil"/>
          <w:insideV w:val="nil"/>
          <w:tl2br w:val="nil"/>
          <w:tr2bl w:val="nil"/>
        </w:tcBorders>
        <w:shd w:val="solid" w:color="C0C0C0" w:fill="FFFFFF"/>
      </w:tcPr>
    </w:tblStylePr>
    <w:tblStylePr w:type="lastRow">
      <w:tcPr>
        <w:tcBorders>
          <w:top w:val="single" w:color="008000" w:sz="12" w:space="0"/>
          <w:left w:val="nil"/>
          <w:bottom w:val="nil"/>
          <w:right w:val="nil"/>
          <w:insideH w:val="nil"/>
          <w:insideV w:val="nil"/>
          <w:tl2br w:val="nil"/>
          <w:tr2bl w:val="nil"/>
        </w:tcBorders>
      </w:tcPr>
    </w:tblStylePr>
    <w:tblStylePr w:type="firstCol">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01">
    <w:name w:val="专业型1"/>
    <w:basedOn w:val="56"/>
    <w:qFormat/>
    <w:uiPriority w:val="0"/>
    <w:pPr>
      <w:widowControl w:val="0"/>
      <w:jc w:val="both"/>
    </w:pPr>
    <w:tblP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
    <w:tcPr>
      <w:shd w:val="clear" w:color="auto" w:fill="auto"/>
    </w:tcPr>
    <w:tblStylePr w:type="firstRow">
      <w:tcPr>
        <w:tcBorders>
          <w:top w:val="nil"/>
          <w:left w:val="nil"/>
          <w:bottom w:val="nil"/>
          <w:right w:val="nil"/>
          <w:insideH w:val="nil"/>
          <w:insideV w:val="nil"/>
          <w:tl2br w:val="nil"/>
          <w:tr2bl w:val="nil"/>
        </w:tcBorders>
        <w:shd w:val="solid" w:color="000000" w:fill="FFFFFF"/>
      </w:tcPr>
    </w:tblStylePr>
  </w:style>
  <w:style w:type="table" w:customStyle="1" w:styleId="302">
    <w:name w:val="专用"/>
    <w:basedOn w:val="56"/>
    <w:semiHidden/>
    <w:qFormat/>
    <w:uiPriority w:val="0"/>
    <w:pPr>
      <w:widowControl w:val="0"/>
      <w:jc w:val="center"/>
    </w:pPr>
    <w:tblPr>
      <w:tblBorders>
        <w:top w:val="single" w:color="auto" w:sz="4" w:space="0"/>
        <w:bottom w:val="single" w:color="auto" w:sz="4" w:space="0"/>
        <w:insideH w:val="single" w:color="auto" w:sz="4" w:space="0"/>
        <w:insideV w:val="single" w:color="auto" w:sz="4" w:space="0"/>
      </w:tblBorders>
    </w:tblPr>
    <w:tcPr>
      <w:vAlign w:val="center"/>
    </w:tcPr>
  </w:style>
  <w:style w:type="table" w:customStyle="1" w:styleId="303">
    <w:name w:val="网格型1"/>
    <w:basedOn w:val="56"/>
    <w:qFormat/>
    <w:uiPriority w:val="0"/>
    <w:pPr>
      <w:widowControl w:val="0"/>
      <w:jc w:val="both"/>
    </w:pPr>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character" w:customStyle="1" w:styleId="304">
    <w:name w:val="页眉 字符"/>
    <w:qFormat/>
    <w:uiPriority w:val="0"/>
    <w:rPr>
      <w:rFonts w:ascii="Times New Roman" w:hAnsi="Times New Roman" w:eastAsia="宋体" w:cs="Times New Roman"/>
      <w:sz w:val="18"/>
      <w:szCs w:val="18"/>
      <w:lang w:val="en-US" w:eastAsia="zh-CN" w:bidi="ar-SA"/>
    </w:rPr>
  </w:style>
  <w:style w:type="character" w:customStyle="1" w:styleId="305">
    <w:name w:val="15正文 Char"/>
    <w:link w:val="306"/>
    <w:qFormat/>
    <w:uiPriority w:val="0"/>
    <w:rPr>
      <w:kern w:val="2"/>
      <w:sz w:val="24"/>
      <w:szCs w:val="24"/>
      <w:lang w:val="en-US" w:eastAsia="zh-CN" w:bidi="ar-SA"/>
    </w:rPr>
  </w:style>
  <w:style w:type="paragraph" w:customStyle="1" w:styleId="306">
    <w:name w:val="15正文"/>
    <w:link w:val="305"/>
    <w:qFormat/>
    <w:uiPriority w:val="0"/>
    <w:pPr>
      <w:spacing w:line="480" w:lineRule="atLeast"/>
      <w:ind w:firstLine="480" w:firstLineChars="200"/>
      <w:jc w:val="both"/>
    </w:pPr>
    <w:rPr>
      <w:rFonts w:ascii="Times New Roman" w:hAnsi="Times New Roman" w:eastAsia="宋体" w:cs="Times New Roman"/>
      <w:kern w:val="2"/>
      <w:sz w:val="24"/>
      <w:szCs w:val="24"/>
      <w:lang w:val="en-US" w:eastAsia="zh-CN" w:bidi="ar-SA"/>
    </w:rPr>
  </w:style>
  <w:style w:type="character" w:customStyle="1" w:styleId="307">
    <w:name w:val="称呼 Char1"/>
    <w:basedOn w:val="62"/>
    <w:qFormat/>
    <w:uiPriority w:val="99"/>
    <w:rPr>
      <w:sz w:val="28"/>
    </w:rPr>
  </w:style>
  <w:style w:type="character" w:customStyle="1" w:styleId="308">
    <w:name w:val="批注文字 字符"/>
    <w:qFormat/>
    <w:uiPriority w:val="99"/>
    <w:rPr>
      <w:rFonts w:ascii="Times New Roman" w:hAnsi="Times New Roman" w:eastAsia="宋体" w:cs="Times New Roman"/>
      <w:kern w:val="2"/>
      <w:sz w:val="21"/>
      <w:szCs w:val="24"/>
      <w:lang w:bidi="ar-SA"/>
    </w:rPr>
  </w:style>
  <w:style w:type="character" w:customStyle="1" w:styleId="309">
    <w:name w:val="标题 4 字符"/>
    <w:qFormat/>
    <w:uiPriority w:val="0"/>
    <w:rPr>
      <w:rFonts w:ascii="Times New Roman" w:hAnsi="Times New Roman" w:eastAsia="黑体" w:cs="Times New Roman"/>
      <w:bCs/>
      <w:sz w:val="24"/>
      <w:szCs w:val="28"/>
    </w:rPr>
  </w:style>
  <w:style w:type="character" w:customStyle="1" w:styleId="310">
    <w:name w:val="标题 3 字符"/>
    <w:qFormat/>
    <w:uiPriority w:val="0"/>
    <w:rPr>
      <w:rFonts w:ascii="Times New Roman" w:hAnsi="Times New Roman" w:eastAsia="宋体" w:cs="Times New Roman"/>
      <w:b/>
      <w:bCs/>
      <w:kern w:val="2"/>
      <w:sz w:val="28"/>
      <w:szCs w:val="32"/>
    </w:rPr>
  </w:style>
  <w:style w:type="character" w:customStyle="1" w:styleId="311">
    <w:name w:val="标题 2 字符"/>
    <w:qFormat/>
    <w:uiPriority w:val="0"/>
    <w:rPr>
      <w:rFonts w:ascii="Arial" w:hAnsi="Arial" w:eastAsia="黑体" w:cs="Times New Roman"/>
      <w:b/>
      <w:bCs/>
      <w:kern w:val="2"/>
      <w:sz w:val="32"/>
      <w:szCs w:val="32"/>
      <w:lang w:val="en-US" w:eastAsia="zh-CN" w:bidi="ar-SA"/>
    </w:rPr>
  </w:style>
  <w:style w:type="character" w:customStyle="1" w:styleId="312">
    <w:name w:val="正正文 Char"/>
    <w:link w:val="313"/>
    <w:qFormat/>
    <w:uiPriority w:val="0"/>
    <w:rPr>
      <w:kern w:val="2"/>
      <w:sz w:val="30"/>
      <w:szCs w:val="30"/>
    </w:rPr>
  </w:style>
  <w:style w:type="paragraph" w:customStyle="1" w:styleId="313">
    <w:name w:val="正正文"/>
    <w:basedOn w:val="1"/>
    <w:link w:val="312"/>
    <w:qFormat/>
    <w:uiPriority w:val="0"/>
    <w:pPr>
      <w:spacing w:line="240" w:lineRule="auto"/>
      <w:textAlignment w:val="auto"/>
    </w:pPr>
    <w:rPr>
      <w:kern w:val="2"/>
      <w:sz w:val="30"/>
      <w:szCs w:val="30"/>
    </w:rPr>
  </w:style>
  <w:style w:type="paragraph" w:customStyle="1" w:styleId="314">
    <w:name w:val="Char1 Char Char Char1 Char Char Char11"/>
    <w:basedOn w:val="1"/>
    <w:qFormat/>
    <w:uiPriority w:val="0"/>
    <w:pPr>
      <w:jc w:val="both"/>
      <w:textAlignment w:val="auto"/>
    </w:pPr>
    <w:rPr>
      <w:rFonts w:ascii="宋体" w:hAnsi="宋体" w:cs="宋体"/>
      <w:kern w:val="2"/>
      <w:sz w:val="24"/>
      <w:szCs w:val="24"/>
    </w:rPr>
  </w:style>
  <w:style w:type="paragraph" w:customStyle="1" w:styleId="315">
    <w:name w:val="Char1 Char Char Char1 Char Char Char21"/>
    <w:basedOn w:val="1"/>
    <w:qFormat/>
    <w:uiPriority w:val="0"/>
    <w:pPr>
      <w:jc w:val="both"/>
      <w:textAlignment w:val="auto"/>
    </w:pPr>
    <w:rPr>
      <w:rFonts w:ascii="宋体" w:hAnsi="宋体" w:cs="宋体"/>
      <w:kern w:val="2"/>
      <w:sz w:val="24"/>
      <w:szCs w:val="24"/>
    </w:rPr>
  </w:style>
  <w:style w:type="paragraph" w:customStyle="1" w:styleId="316">
    <w:name w:val="Char1 Char Char Char1 Char Char Char31"/>
    <w:basedOn w:val="1"/>
    <w:qFormat/>
    <w:uiPriority w:val="0"/>
    <w:pPr>
      <w:jc w:val="both"/>
      <w:textAlignment w:val="auto"/>
    </w:pPr>
    <w:rPr>
      <w:rFonts w:ascii="宋体" w:hAnsi="宋体" w:cs="宋体"/>
      <w:kern w:val="2"/>
      <w:sz w:val="24"/>
      <w:szCs w:val="24"/>
    </w:rPr>
  </w:style>
  <w:style w:type="paragraph" w:customStyle="1" w:styleId="317">
    <w:name w:val="Char1 Char Char Char1 Char Char Char41"/>
    <w:basedOn w:val="1"/>
    <w:qFormat/>
    <w:uiPriority w:val="0"/>
    <w:pPr>
      <w:jc w:val="both"/>
      <w:textAlignment w:val="auto"/>
    </w:pPr>
    <w:rPr>
      <w:rFonts w:ascii="宋体" w:hAnsi="宋体" w:cs="宋体"/>
      <w:kern w:val="2"/>
      <w:sz w:val="24"/>
      <w:szCs w:val="24"/>
    </w:rPr>
  </w:style>
  <w:style w:type="paragraph" w:customStyle="1" w:styleId="318">
    <w:name w:val="Char1 Char Char Char1 Char Char Char51"/>
    <w:basedOn w:val="1"/>
    <w:qFormat/>
    <w:uiPriority w:val="0"/>
    <w:pPr>
      <w:jc w:val="both"/>
      <w:textAlignment w:val="auto"/>
    </w:pPr>
    <w:rPr>
      <w:rFonts w:ascii="宋体" w:hAnsi="宋体" w:cs="宋体"/>
      <w:kern w:val="2"/>
      <w:sz w:val="24"/>
      <w:szCs w:val="24"/>
    </w:rPr>
  </w:style>
  <w:style w:type="paragraph" w:customStyle="1" w:styleId="319">
    <w:name w:val="Char1 Char Char Char1 Char Char Char61"/>
    <w:basedOn w:val="1"/>
    <w:qFormat/>
    <w:uiPriority w:val="0"/>
    <w:pPr>
      <w:jc w:val="both"/>
      <w:textAlignment w:val="auto"/>
    </w:pPr>
    <w:rPr>
      <w:rFonts w:ascii="宋体" w:hAnsi="宋体" w:cs="宋体"/>
      <w:kern w:val="2"/>
      <w:sz w:val="24"/>
      <w:szCs w:val="24"/>
    </w:rPr>
  </w:style>
  <w:style w:type="paragraph" w:customStyle="1" w:styleId="320">
    <w:name w:val="Char1 Char Char Char1 Char Char Char71"/>
    <w:basedOn w:val="1"/>
    <w:qFormat/>
    <w:uiPriority w:val="0"/>
    <w:pPr>
      <w:jc w:val="both"/>
      <w:textAlignment w:val="auto"/>
    </w:pPr>
    <w:rPr>
      <w:rFonts w:ascii="宋体" w:hAnsi="宋体" w:cs="宋体"/>
      <w:kern w:val="2"/>
      <w:sz w:val="24"/>
      <w:szCs w:val="24"/>
    </w:rPr>
  </w:style>
  <w:style w:type="character" w:customStyle="1" w:styleId="321">
    <w:name w:val="fontstyle01"/>
    <w:basedOn w:val="62"/>
    <w:qFormat/>
    <w:uiPriority w:val="0"/>
    <w:rPr>
      <w:rFonts w:hint="eastAsia" w:ascii="宋体" w:hAnsi="宋体" w:eastAsia="宋体"/>
      <w:color w:val="000000"/>
      <w:sz w:val="22"/>
      <w:szCs w:val="22"/>
    </w:rPr>
  </w:style>
  <w:style w:type="character" w:customStyle="1" w:styleId="322">
    <w:name w:val="font11"/>
    <w:basedOn w:val="62"/>
    <w:qFormat/>
    <w:uiPriority w:val="0"/>
    <w:rPr>
      <w:rFonts w:hint="eastAsia" w:ascii="宋体" w:hAnsi="宋体" w:eastAsia="宋体"/>
      <w:color w:val="E36C0A"/>
      <w:sz w:val="21"/>
      <w:szCs w:val="21"/>
      <w:u w:val="none"/>
    </w:rPr>
  </w:style>
  <w:style w:type="paragraph" w:customStyle="1" w:styleId="323">
    <w:name w:val="TOC 标题11"/>
    <w:basedOn w:val="4"/>
    <w:next w:val="1"/>
    <w:qFormat/>
    <w:uiPriority w:val="0"/>
    <w:pPr>
      <w:widowControl/>
      <w:spacing w:before="100" w:beforeAutospacing="1" w:after="100" w:afterAutospacing="1" w:line="276" w:lineRule="auto"/>
      <w:outlineLvl w:val="9"/>
    </w:pPr>
    <w:rPr>
      <w:rFonts w:ascii="Cambria" w:hAnsi="Cambria"/>
      <w:color w:val="365F91"/>
      <w:kern w:val="0"/>
      <w:sz w:val="28"/>
      <w:szCs w:val="28"/>
    </w:rPr>
  </w:style>
  <w:style w:type="paragraph" w:customStyle="1" w:styleId="324">
    <w:name w:val="修订11"/>
    <w:qFormat/>
    <w:uiPriority w:val="0"/>
    <w:rPr>
      <w:rFonts w:ascii="Times New Roman" w:hAnsi="Times New Roman" w:eastAsia="宋体" w:cs="Times New Roman"/>
      <w:kern w:val="2"/>
      <w:sz w:val="21"/>
      <w:szCs w:val="24"/>
      <w:lang w:val="en-US" w:eastAsia="zh-CN" w:bidi="ar-SA"/>
    </w:rPr>
  </w:style>
  <w:style w:type="paragraph" w:customStyle="1" w:styleId="325">
    <w:name w:val="Char1 Char Char Char1 Char Char Char1"/>
    <w:basedOn w:val="1"/>
    <w:qFormat/>
    <w:uiPriority w:val="0"/>
    <w:pPr>
      <w:jc w:val="both"/>
      <w:textAlignment w:val="auto"/>
    </w:pPr>
    <w:rPr>
      <w:rFonts w:ascii="宋体" w:hAnsi="宋体" w:cs="宋体"/>
      <w:kern w:val="2"/>
      <w:sz w:val="24"/>
      <w:szCs w:val="24"/>
    </w:rPr>
  </w:style>
  <w:style w:type="paragraph" w:customStyle="1" w:styleId="326">
    <w:name w:val="Char1 Char Char Char1 Char Char Char2"/>
    <w:basedOn w:val="1"/>
    <w:qFormat/>
    <w:uiPriority w:val="0"/>
    <w:pPr>
      <w:jc w:val="both"/>
      <w:textAlignment w:val="auto"/>
    </w:pPr>
    <w:rPr>
      <w:rFonts w:ascii="宋体" w:hAnsi="宋体" w:cs="宋体"/>
      <w:kern w:val="2"/>
      <w:sz w:val="24"/>
      <w:szCs w:val="24"/>
    </w:rPr>
  </w:style>
  <w:style w:type="paragraph" w:customStyle="1" w:styleId="327">
    <w:name w:val="Char1 Char Char Char1 Char Char Char3"/>
    <w:basedOn w:val="1"/>
    <w:qFormat/>
    <w:uiPriority w:val="0"/>
    <w:pPr>
      <w:jc w:val="both"/>
      <w:textAlignment w:val="auto"/>
    </w:pPr>
    <w:rPr>
      <w:rFonts w:ascii="宋体" w:hAnsi="宋体" w:cs="宋体"/>
      <w:kern w:val="2"/>
      <w:sz w:val="24"/>
      <w:szCs w:val="24"/>
    </w:rPr>
  </w:style>
  <w:style w:type="paragraph" w:customStyle="1" w:styleId="328">
    <w:name w:val="Char1 Char Char Char1 Char Char Char4"/>
    <w:basedOn w:val="1"/>
    <w:qFormat/>
    <w:uiPriority w:val="0"/>
    <w:pPr>
      <w:jc w:val="both"/>
      <w:textAlignment w:val="auto"/>
    </w:pPr>
    <w:rPr>
      <w:rFonts w:ascii="宋体" w:hAnsi="宋体" w:cs="宋体"/>
      <w:kern w:val="2"/>
      <w:sz w:val="24"/>
      <w:szCs w:val="24"/>
    </w:rPr>
  </w:style>
  <w:style w:type="paragraph" w:customStyle="1" w:styleId="329">
    <w:name w:val="Char1 Char Char Char1 Char Char Char5"/>
    <w:basedOn w:val="1"/>
    <w:qFormat/>
    <w:uiPriority w:val="0"/>
    <w:pPr>
      <w:jc w:val="both"/>
      <w:textAlignment w:val="auto"/>
    </w:pPr>
    <w:rPr>
      <w:rFonts w:ascii="宋体" w:hAnsi="宋体" w:cs="宋体"/>
      <w:kern w:val="2"/>
      <w:sz w:val="24"/>
      <w:szCs w:val="24"/>
    </w:rPr>
  </w:style>
  <w:style w:type="paragraph" w:customStyle="1" w:styleId="330">
    <w:name w:val="Char1 Char Char Char1 Char Char Char6"/>
    <w:basedOn w:val="1"/>
    <w:qFormat/>
    <w:uiPriority w:val="0"/>
    <w:pPr>
      <w:jc w:val="both"/>
      <w:textAlignment w:val="auto"/>
    </w:pPr>
    <w:rPr>
      <w:rFonts w:ascii="宋体" w:hAnsi="宋体" w:cs="宋体"/>
      <w:kern w:val="2"/>
      <w:sz w:val="24"/>
      <w:szCs w:val="24"/>
    </w:rPr>
  </w:style>
  <w:style w:type="paragraph" w:customStyle="1" w:styleId="331">
    <w:name w:val="Char1 Char Char Char1 Char Char Char7"/>
    <w:basedOn w:val="1"/>
    <w:qFormat/>
    <w:uiPriority w:val="0"/>
    <w:pPr>
      <w:jc w:val="both"/>
      <w:textAlignment w:val="auto"/>
    </w:pPr>
    <w:rPr>
      <w:rFonts w:ascii="宋体" w:hAnsi="宋体" w:cs="宋体"/>
      <w:kern w:val="2"/>
      <w:sz w:val="24"/>
      <w:szCs w:val="24"/>
    </w:rPr>
  </w:style>
  <w:style w:type="character" w:customStyle="1" w:styleId="332">
    <w:name w:val="font61"/>
    <w:basedOn w:val="62"/>
    <w:qFormat/>
    <w:uiPriority w:val="0"/>
    <w:rPr>
      <w:rFonts w:hint="default" w:ascii="Times New Roman" w:hAnsi="Times New Roman" w:cs="Times New Roman"/>
      <w:color w:val="000000"/>
      <w:sz w:val="21"/>
      <w:szCs w:val="21"/>
      <w:u w:val="none"/>
    </w:rPr>
  </w:style>
  <w:style w:type="character" w:customStyle="1" w:styleId="333">
    <w:name w:val="表头文字 Char"/>
    <w:link w:val="334"/>
    <w:qFormat/>
    <w:locked/>
    <w:uiPriority w:val="0"/>
    <w:rPr>
      <w:rFonts w:ascii="黑体" w:eastAsia="黑体"/>
      <w:sz w:val="24"/>
      <w:szCs w:val="24"/>
    </w:rPr>
  </w:style>
  <w:style w:type="paragraph" w:customStyle="1" w:styleId="334">
    <w:name w:val="表头文字"/>
    <w:basedOn w:val="1"/>
    <w:link w:val="333"/>
    <w:qFormat/>
    <w:uiPriority w:val="0"/>
    <w:pPr>
      <w:spacing w:line="240" w:lineRule="auto"/>
      <w:ind w:firstLine="0" w:firstLineChars="0"/>
      <w:jc w:val="center"/>
      <w:textAlignment w:val="auto"/>
    </w:pPr>
    <w:rPr>
      <w:rFonts w:ascii="黑体" w:eastAsia="黑体"/>
      <w:sz w:val="24"/>
      <w:szCs w:val="24"/>
    </w:rPr>
  </w:style>
  <w:style w:type="character" w:customStyle="1" w:styleId="335">
    <w:name w:val="编制日期 Char"/>
    <w:link w:val="336"/>
    <w:qFormat/>
    <w:locked/>
    <w:uiPriority w:val="0"/>
    <w:rPr>
      <w:rFonts w:ascii="宋体" w:hAnsi="宋体"/>
      <w:sz w:val="32"/>
      <w:szCs w:val="28"/>
    </w:rPr>
  </w:style>
  <w:style w:type="paragraph" w:customStyle="1" w:styleId="336">
    <w:name w:val="编制日期"/>
    <w:basedOn w:val="1"/>
    <w:link w:val="335"/>
    <w:qFormat/>
    <w:uiPriority w:val="0"/>
    <w:pPr>
      <w:keepNext/>
      <w:tabs>
        <w:tab w:val="left" w:pos="2190"/>
      </w:tabs>
      <w:adjustRightInd w:val="0"/>
      <w:snapToGrid w:val="0"/>
      <w:ind w:firstLine="0" w:firstLineChars="0"/>
      <w:jc w:val="center"/>
      <w:textAlignment w:val="auto"/>
    </w:pPr>
    <w:rPr>
      <w:rFonts w:ascii="宋体" w:hAnsi="宋体"/>
      <w:sz w:val="32"/>
      <w:szCs w:val="28"/>
    </w:rPr>
  </w:style>
  <w:style w:type="character" w:customStyle="1" w:styleId="337">
    <w:name w:val="宋体 13 磅 行距: 固定值 24 磅 Char Char"/>
    <w:link w:val="338"/>
    <w:qFormat/>
    <w:locked/>
    <w:uiPriority w:val="0"/>
    <w:rPr>
      <w:rFonts w:ascii="宋体" w:hAnsi="宋体" w:cs="宋体"/>
      <w:sz w:val="26"/>
    </w:rPr>
  </w:style>
  <w:style w:type="paragraph" w:customStyle="1" w:styleId="338">
    <w:name w:val="宋体 13 磅 行距: 固定值 24 磅"/>
    <w:basedOn w:val="1"/>
    <w:link w:val="337"/>
    <w:qFormat/>
    <w:uiPriority w:val="0"/>
    <w:pPr>
      <w:spacing w:line="480" w:lineRule="exact"/>
      <w:ind w:firstLine="520"/>
      <w:jc w:val="both"/>
      <w:textAlignment w:val="auto"/>
    </w:pPr>
    <w:rPr>
      <w:rFonts w:ascii="宋体" w:hAnsi="宋体" w:cs="宋体"/>
      <w:sz w:val="26"/>
    </w:rPr>
  </w:style>
  <w:style w:type="character" w:customStyle="1" w:styleId="339">
    <w:name w:val="图例 Char"/>
    <w:link w:val="340"/>
    <w:qFormat/>
    <w:locked/>
    <w:uiPriority w:val="0"/>
    <w:rPr>
      <w:rFonts w:ascii="宋体" w:hAnsi="宋体"/>
      <w:b/>
      <w:bCs/>
      <w:szCs w:val="24"/>
      <w:lang w:val="zh-CN"/>
    </w:rPr>
  </w:style>
  <w:style w:type="paragraph" w:customStyle="1" w:styleId="340">
    <w:name w:val="图例"/>
    <w:basedOn w:val="341"/>
    <w:link w:val="339"/>
    <w:qFormat/>
    <w:uiPriority w:val="0"/>
    <w:rPr>
      <w:szCs w:val="24"/>
    </w:rPr>
  </w:style>
  <w:style w:type="paragraph" w:customStyle="1" w:styleId="341">
    <w:name w:val="题注图名"/>
    <w:basedOn w:val="1"/>
    <w:link w:val="342"/>
    <w:qFormat/>
    <w:uiPriority w:val="0"/>
    <w:pPr>
      <w:spacing w:after="120" w:line="300" w:lineRule="auto"/>
      <w:ind w:firstLine="0" w:firstLineChars="0"/>
      <w:jc w:val="center"/>
      <w:textAlignment w:val="auto"/>
    </w:pPr>
    <w:rPr>
      <w:rFonts w:ascii="宋体" w:hAnsi="宋体"/>
      <w:b/>
      <w:bCs/>
      <w:sz w:val="20"/>
      <w:lang w:val="zh-CN"/>
    </w:rPr>
  </w:style>
  <w:style w:type="character" w:customStyle="1" w:styleId="342">
    <w:name w:val="题注图名 Char"/>
    <w:link w:val="341"/>
    <w:qFormat/>
    <w:locked/>
    <w:uiPriority w:val="0"/>
    <w:rPr>
      <w:rFonts w:ascii="宋体" w:hAnsi="宋体"/>
      <w:b/>
      <w:bCs/>
      <w:lang w:val="zh-CN"/>
    </w:rPr>
  </w:style>
  <w:style w:type="character" w:customStyle="1" w:styleId="343">
    <w:name w:val="节2 Char"/>
    <w:link w:val="344"/>
    <w:qFormat/>
    <w:locked/>
    <w:uiPriority w:val="0"/>
    <w:rPr>
      <w:rFonts w:ascii="宋体" w:hAnsi="宋体" w:eastAsia="黑体"/>
      <w:b/>
      <w:sz w:val="28"/>
    </w:rPr>
  </w:style>
  <w:style w:type="paragraph" w:customStyle="1" w:styleId="344">
    <w:name w:val="节2"/>
    <w:basedOn w:val="1"/>
    <w:link w:val="343"/>
    <w:qFormat/>
    <w:uiPriority w:val="0"/>
    <w:pPr>
      <w:autoSpaceDE w:val="0"/>
      <w:autoSpaceDN w:val="0"/>
      <w:adjustRightInd w:val="0"/>
      <w:spacing w:line="600" w:lineRule="exact"/>
      <w:jc w:val="both"/>
      <w:textAlignment w:val="auto"/>
      <w:outlineLvl w:val="1"/>
    </w:pPr>
    <w:rPr>
      <w:rFonts w:ascii="宋体" w:hAnsi="宋体" w:eastAsia="黑体"/>
      <w:b/>
    </w:rPr>
  </w:style>
  <w:style w:type="character" w:customStyle="1" w:styleId="345">
    <w:name w:val="电子邮件签名 字符"/>
    <w:link w:val="14"/>
    <w:qFormat/>
    <w:locked/>
    <w:uiPriority w:val="0"/>
    <w:rPr>
      <w:rFonts w:ascii="宋体" w:hAnsi="宋体"/>
      <w:szCs w:val="24"/>
    </w:rPr>
  </w:style>
  <w:style w:type="character" w:customStyle="1" w:styleId="346">
    <w:name w:val="签名 字符"/>
    <w:link w:val="37"/>
    <w:qFormat/>
    <w:locked/>
    <w:uiPriority w:val="0"/>
    <w:rPr>
      <w:rFonts w:ascii="宋体" w:hAnsi="宋体"/>
      <w:szCs w:val="24"/>
    </w:rPr>
  </w:style>
  <w:style w:type="character" w:customStyle="1" w:styleId="347">
    <w:name w:val="正文1-1 Char"/>
    <w:link w:val="348"/>
    <w:qFormat/>
    <w:locked/>
    <w:uiPriority w:val="0"/>
    <w:rPr>
      <w:rFonts w:ascii="宋体" w:hAnsi="宋体" w:eastAsia="仿宋_GB2312" w:cs="宋体"/>
      <w:sz w:val="28"/>
      <w:szCs w:val="24"/>
    </w:rPr>
  </w:style>
  <w:style w:type="paragraph" w:customStyle="1" w:styleId="348">
    <w:name w:val="正文1-1"/>
    <w:basedOn w:val="1"/>
    <w:link w:val="347"/>
    <w:qFormat/>
    <w:uiPriority w:val="0"/>
    <w:pPr>
      <w:widowControl/>
      <w:snapToGrid w:val="0"/>
      <w:textAlignment w:val="auto"/>
    </w:pPr>
    <w:rPr>
      <w:rFonts w:ascii="宋体" w:hAnsi="宋体" w:eastAsia="仿宋_GB2312" w:cs="宋体"/>
      <w:szCs w:val="24"/>
    </w:rPr>
  </w:style>
  <w:style w:type="character" w:customStyle="1" w:styleId="349">
    <w:name w:val="内容部分 Char Char"/>
    <w:link w:val="350"/>
    <w:qFormat/>
    <w:locked/>
    <w:uiPriority w:val="0"/>
    <w:rPr>
      <w:rFonts w:ascii="宋体" w:hAnsi="宋体"/>
      <w:sz w:val="28"/>
      <w:szCs w:val="28"/>
    </w:rPr>
  </w:style>
  <w:style w:type="paragraph" w:customStyle="1" w:styleId="350">
    <w:name w:val="内容部分"/>
    <w:basedOn w:val="1"/>
    <w:link w:val="349"/>
    <w:qFormat/>
    <w:uiPriority w:val="0"/>
    <w:pPr>
      <w:tabs>
        <w:tab w:val="right" w:pos="7980"/>
      </w:tabs>
      <w:spacing w:line="440" w:lineRule="exact"/>
      <w:ind w:firstLine="560"/>
      <w:jc w:val="both"/>
      <w:textAlignment w:val="auto"/>
    </w:pPr>
    <w:rPr>
      <w:rFonts w:ascii="宋体" w:hAnsi="宋体"/>
      <w:szCs w:val="28"/>
    </w:rPr>
  </w:style>
  <w:style w:type="character" w:customStyle="1" w:styleId="351">
    <w:name w:val="MTDisplayEquation Char Char"/>
    <w:link w:val="352"/>
    <w:qFormat/>
    <w:locked/>
    <w:uiPriority w:val="0"/>
    <w:rPr>
      <w:rFonts w:ascii="宋体" w:hAnsi="宋体"/>
      <w:sz w:val="24"/>
      <w:szCs w:val="24"/>
    </w:rPr>
  </w:style>
  <w:style w:type="paragraph" w:customStyle="1" w:styleId="352">
    <w:name w:val="MTDisplayEquation"/>
    <w:basedOn w:val="1"/>
    <w:next w:val="1"/>
    <w:link w:val="351"/>
    <w:qFormat/>
    <w:uiPriority w:val="0"/>
    <w:pPr>
      <w:tabs>
        <w:tab w:val="center" w:pos="4520"/>
        <w:tab w:val="right" w:pos="9020"/>
      </w:tabs>
      <w:spacing w:line="500" w:lineRule="exact"/>
      <w:ind w:firstLine="480"/>
      <w:textAlignment w:val="auto"/>
    </w:pPr>
    <w:rPr>
      <w:rFonts w:ascii="宋体" w:hAnsi="宋体"/>
      <w:sz w:val="24"/>
      <w:szCs w:val="24"/>
    </w:rPr>
  </w:style>
  <w:style w:type="character" w:customStyle="1" w:styleId="353">
    <w:name w:val="小表左 Char"/>
    <w:link w:val="354"/>
    <w:qFormat/>
    <w:locked/>
    <w:uiPriority w:val="0"/>
    <w:rPr>
      <w:rFonts w:ascii="宋体" w:hAnsi="宋体"/>
      <w:szCs w:val="21"/>
    </w:rPr>
  </w:style>
  <w:style w:type="paragraph" w:customStyle="1" w:styleId="354">
    <w:name w:val="小表左"/>
    <w:basedOn w:val="1"/>
    <w:link w:val="353"/>
    <w:qFormat/>
    <w:uiPriority w:val="0"/>
    <w:pPr>
      <w:keepNext/>
      <w:adjustRightInd w:val="0"/>
      <w:snapToGrid w:val="0"/>
      <w:spacing w:line="240" w:lineRule="atLeast"/>
      <w:ind w:firstLine="0" w:firstLineChars="0"/>
      <w:jc w:val="both"/>
      <w:textAlignment w:val="auto"/>
    </w:pPr>
    <w:rPr>
      <w:rFonts w:ascii="宋体" w:hAnsi="宋体"/>
      <w:sz w:val="20"/>
      <w:szCs w:val="21"/>
    </w:rPr>
  </w:style>
  <w:style w:type="character" w:customStyle="1" w:styleId="355">
    <w:name w:val="正文2 Char1"/>
    <w:link w:val="356"/>
    <w:qFormat/>
    <w:locked/>
    <w:uiPriority w:val="0"/>
    <w:rPr>
      <w:rFonts w:ascii="宋体" w:hAnsi="宋体"/>
      <w:kern w:val="2"/>
      <w:sz w:val="24"/>
      <w:szCs w:val="22"/>
    </w:rPr>
  </w:style>
  <w:style w:type="paragraph" w:customStyle="1" w:styleId="356">
    <w:name w:val="正文2"/>
    <w:link w:val="355"/>
    <w:qFormat/>
    <w:uiPriority w:val="0"/>
    <w:pPr>
      <w:widowControl w:val="0"/>
      <w:adjustRightInd w:val="0"/>
      <w:spacing w:line="315" w:lineRule="atLeast"/>
      <w:jc w:val="both"/>
    </w:pPr>
    <w:rPr>
      <w:rFonts w:ascii="宋体" w:hAnsi="宋体" w:eastAsia="宋体" w:cs="Times New Roman"/>
      <w:kern w:val="2"/>
      <w:sz w:val="24"/>
      <w:szCs w:val="22"/>
      <w:lang w:val="en-US" w:eastAsia="zh-CN" w:bidi="ar-SA"/>
    </w:rPr>
  </w:style>
  <w:style w:type="character" w:customStyle="1" w:styleId="357">
    <w:name w:val="正文标准 Char"/>
    <w:link w:val="358"/>
    <w:qFormat/>
    <w:locked/>
    <w:uiPriority w:val="0"/>
    <w:rPr>
      <w:rFonts w:ascii="宋体" w:hAnsi="宋体" w:eastAsia="仿宋_GB2312" w:cs="宋体"/>
      <w:bCs/>
      <w:color w:val="000000"/>
      <w:sz w:val="28"/>
      <w:szCs w:val="28"/>
    </w:rPr>
  </w:style>
  <w:style w:type="paragraph" w:customStyle="1" w:styleId="358">
    <w:name w:val="正文标准"/>
    <w:basedOn w:val="22"/>
    <w:link w:val="357"/>
    <w:qFormat/>
    <w:uiPriority w:val="0"/>
    <w:pPr>
      <w:tabs>
        <w:tab w:val="left" w:pos="4935"/>
      </w:tabs>
      <w:spacing w:after="0"/>
      <w:ind w:firstLine="560"/>
      <w:jc w:val="both"/>
      <w:textAlignment w:val="auto"/>
    </w:pPr>
    <w:rPr>
      <w:rFonts w:ascii="宋体" w:hAnsi="宋体" w:eastAsia="仿宋_GB2312" w:cs="宋体"/>
      <w:bCs/>
      <w:color w:val="000000"/>
      <w:szCs w:val="28"/>
    </w:rPr>
  </w:style>
  <w:style w:type="character" w:customStyle="1" w:styleId="359">
    <w:name w:val="报告 Char"/>
    <w:link w:val="360"/>
    <w:qFormat/>
    <w:locked/>
    <w:uiPriority w:val="0"/>
    <w:rPr>
      <w:rFonts w:ascii="宋体" w:hAnsi="宋体"/>
      <w:sz w:val="24"/>
    </w:rPr>
  </w:style>
  <w:style w:type="paragraph" w:customStyle="1" w:styleId="360">
    <w:name w:val="报告"/>
    <w:basedOn w:val="1"/>
    <w:link w:val="359"/>
    <w:qFormat/>
    <w:uiPriority w:val="0"/>
    <w:pPr>
      <w:overflowPunct w:val="0"/>
      <w:autoSpaceDE w:val="0"/>
      <w:autoSpaceDN w:val="0"/>
      <w:adjustRightInd w:val="0"/>
      <w:spacing w:beforeLines="30" w:afterLines="30" w:line="400" w:lineRule="atLeast"/>
      <w:ind w:left="200" w:leftChars="200"/>
      <w:jc w:val="both"/>
      <w:textAlignment w:val="auto"/>
    </w:pPr>
    <w:rPr>
      <w:rFonts w:ascii="宋体" w:hAnsi="宋体"/>
      <w:sz w:val="24"/>
    </w:rPr>
  </w:style>
  <w:style w:type="character" w:customStyle="1" w:styleId="361">
    <w:name w:val="脚注文本 字符"/>
    <w:link w:val="42"/>
    <w:semiHidden/>
    <w:qFormat/>
    <w:locked/>
    <w:uiPriority w:val="0"/>
    <w:rPr>
      <w:rFonts w:ascii="宋体" w:hAnsi="宋体"/>
      <w:sz w:val="18"/>
      <w:szCs w:val="18"/>
    </w:rPr>
  </w:style>
  <w:style w:type="character" w:customStyle="1" w:styleId="362">
    <w:name w:val="小表右 Char"/>
    <w:link w:val="363"/>
    <w:qFormat/>
    <w:locked/>
    <w:uiPriority w:val="0"/>
    <w:rPr>
      <w:rFonts w:ascii="宋体" w:hAnsi="宋体"/>
    </w:rPr>
  </w:style>
  <w:style w:type="paragraph" w:customStyle="1" w:styleId="363">
    <w:name w:val="小表右"/>
    <w:basedOn w:val="1"/>
    <w:link w:val="362"/>
    <w:qFormat/>
    <w:uiPriority w:val="0"/>
    <w:pPr>
      <w:keepNext/>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10" w:rightChars="10" w:firstLine="0" w:firstLineChars="0"/>
      <w:jc w:val="right"/>
      <w:textAlignment w:val="auto"/>
    </w:pPr>
    <w:rPr>
      <w:rFonts w:ascii="宋体" w:hAnsi="宋体"/>
      <w:sz w:val="20"/>
    </w:rPr>
  </w:style>
  <w:style w:type="character" w:customStyle="1" w:styleId="364">
    <w:name w:val="HTML 地址 字符"/>
    <w:link w:val="27"/>
    <w:qFormat/>
    <w:locked/>
    <w:uiPriority w:val="0"/>
    <w:rPr>
      <w:rFonts w:ascii="Courier New" w:hAnsi="Courier New" w:cs="Courier New"/>
    </w:rPr>
  </w:style>
  <w:style w:type="character" w:customStyle="1" w:styleId="365">
    <w:name w:val="题注 字符"/>
    <w:link w:val="15"/>
    <w:qFormat/>
    <w:uiPriority w:val="0"/>
    <w:rPr>
      <w:rFonts w:ascii="Arial" w:hAnsi="Arial" w:cs="Arial"/>
      <w:b/>
      <w:snapToGrid w:val="0"/>
      <w:sz w:val="24"/>
      <w:szCs w:val="24"/>
    </w:rPr>
  </w:style>
  <w:style w:type="character" w:customStyle="1" w:styleId="366">
    <w:name w:val="正文格式 Char"/>
    <w:link w:val="367"/>
    <w:semiHidden/>
    <w:qFormat/>
    <w:locked/>
    <w:uiPriority w:val="0"/>
    <w:rPr>
      <w:rFonts w:ascii="宋体" w:hAnsi="宋体" w:cs="宋体"/>
      <w:sz w:val="24"/>
      <w:szCs w:val="24"/>
    </w:rPr>
  </w:style>
  <w:style w:type="paragraph" w:customStyle="1" w:styleId="367">
    <w:name w:val="正文格式"/>
    <w:basedOn w:val="1"/>
    <w:link w:val="366"/>
    <w:semiHidden/>
    <w:qFormat/>
    <w:uiPriority w:val="0"/>
    <w:pPr>
      <w:ind w:firstLine="544"/>
      <w:jc w:val="both"/>
      <w:textAlignment w:val="auto"/>
    </w:pPr>
    <w:rPr>
      <w:rFonts w:ascii="宋体" w:hAnsi="宋体" w:cs="宋体"/>
      <w:sz w:val="24"/>
      <w:szCs w:val="24"/>
    </w:rPr>
  </w:style>
  <w:style w:type="character" w:customStyle="1" w:styleId="368">
    <w:name w:val="表头1 Char"/>
    <w:link w:val="369"/>
    <w:qFormat/>
    <w:locked/>
    <w:uiPriority w:val="0"/>
    <w:rPr>
      <w:rFonts w:ascii="黑体" w:eastAsia="黑体"/>
      <w:szCs w:val="28"/>
    </w:rPr>
  </w:style>
  <w:style w:type="paragraph" w:customStyle="1" w:styleId="369">
    <w:name w:val="表头1"/>
    <w:basedOn w:val="1"/>
    <w:next w:val="1"/>
    <w:link w:val="368"/>
    <w:qFormat/>
    <w:uiPriority w:val="0"/>
    <w:pPr>
      <w:tabs>
        <w:tab w:val="left" w:pos="605"/>
      </w:tabs>
      <w:adjustRightInd w:val="0"/>
      <w:snapToGrid w:val="0"/>
      <w:spacing w:line="240" w:lineRule="auto"/>
      <w:ind w:firstLine="0" w:firstLineChars="0"/>
      <w:jc w:val="center"/>
      <w:textAlignment w:val="auto"/>
    </w:pPr>
    <w:rPr>
      <w:rFonts w:ascii="黑体" w:eastAsia="黑体"/>
      <w:sz w:val="20"/>
      <w:szCs w:val="28"/>
    </w:rPr>
  </w:style>
  <w:style w:type="character" w:customStyle="1" w:styleId="370">
    <w:name w:val="0-4 Char"/>
    <w:link w:val="371"/>
    <w:qFormat/>
    <w:locked/>
    <w:uiPriority w:val="0"/>
    <w:rPr>
      <w:rFonts w:ascii="宋体" w:hAnsi="宋体" w:cs="宋体"/>
      <w:color w:val="FF0000"/>
      <w:sz w:val="24"/>
      <w:szCs w:val="24"/>
    </w:rPr>
  </w:style>
  <w:style w:type="paragraph" w:customStyle="1" w:styleId="371">
    <w:name w:val="0-4"/>
    <w:basedOn w:val="1"/>
    <w:link w:val="370"/>
    <w:qFormat/>
    <w:uiPriority w:val="0"/>
    <w:pPr>
      <w:ind w:firstLine="480"/>
      <w:jc w:val="both"/>
      <w:textAlignment w:val="auto"/>
    </w:pPr>
    <w:rPr>
      <w:rFonts w:ascii="宋体" w:hAnsi="宋体" w:cs="宋体"/>
      <w:color w:val="FF0000"/>
      <w:sz w:val="24"/>
      <w:szCs w:val="24"/>
    </w:rPr>
  </w:style>
  <w:style w:type="character" w:customStyle="1" w:styleId="372">
    <w:name w:val="明显引用 字符"/>
    <w:link w:val="373"/>
    <w:qFormat/>
    <w:locked/>
    <w:uiPriority w:val="0"/>
    <w:rPr>
      <w:rFonts w:ascii="宋体" w:hAnsi="宋体"/>
      <w:b/>
      <w:bCs/>
      <w:i/>
      <w:iCs/>
      <w:color w:val="4F81BD"/>
      <w:szCs w:val="24"/>
    </w:rPr>
  </w:style>
  <w:style w:type="paragraph" w:styleId="373">
    <w:name w:val="Intense Quote"/>
    <w:basedOn w:val="1"/>
    <w:next w:val="1"/>
    <w:link w:val="372"/>
    <w:qFormat/>
    <w:uiPriority w:val="0"/>
    <w:pPr>
      <w:pBdr>
        <w:bottom w:val="single" w:color="4F81BD" w:sz="4" w:space="4"/>
      </w:pBdr>
      <w:spacing w:before="200" w:after="280" w:line="240" w:lineRule="auto"/>
      <w:ind w:left="936" w:right="936" w:firstLine="0" w:firstLineChars="0"/>
      <w:jc w:val="both"/>
      <w:textAlignment w:val="auto"/>
    </w:pPr>
    <w:rPr>
      <w:rFonts w:ascii="宋体" w:hAnsi="宋体"/>
      <w:b/>
      <w:bCs/>
      <w:i/>
      <w:iCs/>
      <w:color w:val="4F81BD"/>
      <w:sz w:val="20"/>
      <w:szCs w:val="24"/>
    </w:rPr>
  </w:style>
  <w:style w:type="character" w:customStyle="1" w:styleId="374">
    <w:name w:val="样式 正文文本 + 首行缩进:  2 字符 Char1"/>
    <w:link w:val="375"/>
    <w:qFormat/>
    <w:locked/>
    <w:uiPriority w:val="0"/>
    <w:rPr>
      <w:rFonts w:ascii="黑体" w:hAnsi="黑体" w:eastAsia="黑体"/>
      <w:b/>
      <w:sz w:val="24"/>
    </w:rPr>
  </w:style>
  <w:style w:type="paragraph" w:customStyle="1" w:styleId="375">
    <w:name w:val="样式 正文文本 + 首行缩进:  2 字符"/>
    <w:basedOn w:val="22"/>
    <w:link w:val="374"/>
    <w:qFormat/>
    <w:uiPriority w:val="0"/>
    <w:pPr>
      <w:spacing w:after="0" w:line="540" w:lineRule="exact"/>
      <w:ind w:firstLine="0" w:firstLineChars="0"/>
      <w:jc w:val="center"/>
      <w:textAlignment w:val="auto"/>
    </w:pPr>
    <w:rPr>
      <w:rFonts w:ascii="黑体" w:hAnsi="黑体" w:eastAsia="黑体"/>
      <w:b/>
      <w:sz w:val="24"/>
    </w:rPr>
  </w:style>
  <w:style w:type="character" w:customStyle="1" w:styleId="376">
    <w:name w:val="【表头】 Char"/>
    <w:link w:val="377"/>
    <w:qFormat/>
    <w:locked/>
    <w:uiPriority w:val="0"/>
    <w:rPr>
      <w:rFonts w:eastAsia="黑体"/>
      <w:b/>
      <w:szCs w:val="24"/>
    </w:rPr>
  </w:style>
  <w:style w:type="paragraph" w:customStyle="1" w:styleId="377">
    <w:name w:val="【表头】"/>
    <w:basedOn w:val="1"/>
    <w:link w:val="376"/>
    <w:qFormat/>
    <w:uiPriority w:val="0"/>
    <w:pPr>
      <w:spacing w:beforeLines="10" w:afterLines="10" w:line="240" w:lineRule="auto"/>
      <w:ind w:firstLine="0" w:firstLineChars="0"/>
      <w:jc w:val="center"/>
      <w:textAlignment w:val="auto"/>
    </w:pPr>
    <w:rPr>
      <w:rFonts w:eastAsia="黑体"/>
      <w:b/>
      <w:sz w:val="20"/>
      <w:szCs w:val="24"/>
    </w:rPr>
  </w:style>
  <w:style w:type="character" w:customStyle="1" w:styleId="378">
    <w:name w:val="副标题 字符"/>
    <w:link w:val="40"/>
    <w:qFormat/>
    <w:locked/>
    <w:uiPriority w:val="0"/>
    <w:rPr>
      <w:rFonts w:ascii="Arial" w:hAnsi="Arial" w:cs="Arial"/>
      <w:b/>
      <w:bCs/>
      <w:kern w:val="28"/>
      <w:sz w:val="32"/>
      <w:szCs w:val="32"/>
    </w:rPr>
  </w:style>
  <w:style w:type="character" w:customStyle="1" w:styleId="379">
    <w:name w:val="三级标题 Char"/>
    <w:link w:val="380"/>
    <w:qFormat/>
    <w:uiPriority w:val="0"/>
    <w:rPr>
      <w:rFonts w:eastAsia="黑体"/>
      <w:b/>
      <w:sz w:val="28"/>
      <w:szCs w:val="24"/>
    </w:rPr>
  </w:style>
  <w:style w:type="paragraph" w:customStyle="1" w:styleId="380">
    <w:name w:val="标题 31"/>
    <w:basedOn w:val="1"/>
    <w:next w:val="1"/>
    <w:link w:val="379"/>
    <w:qFormat/>
    <w:uiPriority w:val="0"/>
    <w:pPr>
      <w:keepNext/>
      <w:keepLines/>
      <w:spacing w:before="260" w:after="260" w:line="416" w:lineRule="auto"/>
      <w:ind w:firstLine="0" w:firstLineChars="0"/>
      <w:jc w:val="both"/>
      <w:textAlignment w:val="auto"/>
      <w:outlineLvl w:val="2"/>
    </w:pPr>
    <w:rPr>
      <w:rFonts w:eastAsia="黑体"/>
      <w:b/>
      <w:szCs w:val="24"/>
    </w:rPr>
  </w:style>
  <w:style w:type="character" w:customStyle="1" w:styleId="381">
    <w:name w:val="样式 节正文 + 首行缩进:  2 字符 Char"/>
    <w:link w:val="382"/>
    <w:qFormat/>
    <w:locked/>
    <w:uiPriority w:val="0"/>
    <w:rPr>
      <w:rFonts w:ascii="宋体" w:hAnsi="宋体" w:cs="宋体"/>
      <w:sz w:val="24"/>
    </w:rPr>
  </w:style>
  <w:style w:type="paragraph" w:customStyle="1" w:styleId="382">
    <w:name w:val="样式 节正文 + 首行缩进:  2 字符"/>
    <w:basedOn w:val="1"/>
    <w:link w:val="381"/>
    <w:qFormat/>
    <w:uiPriority w:val="0"/>
    <w:pPr>
      <w:autoSpaceDE w:val="0"/>
      <w:autoSpaceDN w:val="0"/>
      <w:adjustRightInd w:val="0"/>
      <w:spacing w:line="560" w:lineRule="exact"/>
      <w:ind w:firstLine="560"/>
      <w:jc w:val="both"/>
      <w:textAlignment w:val="auto"/>
    </w:pPr>
    <w:rPr>
      <w:rFonts w:ascii="宋体" w:hAnsi="宋体" w:cs="宋体"/>
      <w:sz w:val="24"/>
    </w:rPr>
  </w:style>
  <w:style w:type="character" w:customStyle="1" w:styleId="383">
    <w:name w:val="样式5 Char"/>
    <w:link w:val="384"/>
    <w:qFormat/>
    <w:locked/>
    <w:uiPriority w:val="0"/>
    <w:rPr>
      <w:rFonts w:ascii="黑体" w:eastAsia="黑体"/>
      <w:bCs/>
      <w:sz w:val="24"/>
      <w:szCs w:val="24"/>
    </w:rPr>
  </w:style>
  <w:style w:type="paragraph" w:customStyle="1" w:styleId="384">
    <w:name w:val="样式5"/>
    <w:basedOn w:val="269"/>
    <w:link w:val="383"/>
    <w:qFormat/>
    <w:uiPriority w:val="0"/>
    <w:pPr>
      <w:widowControl/>
      <w:adjustRightInd/>
      <w:spacing w:line="580" w:lineRule="exact"/>
      <w:ind w:firstLine="720" w:firstLineChars="300"/>
      <w:textAlignment w:val="auto"/>
    </w:pPr>
    <w:rPr>
      <w:rFonts w:ascii="黑体" w:eastAsia="黑体"/>
      <w:bCs/>
      <w:spacing w:val="0"/>
      <w:sz w:val="24"/>
      <w:szCs w:val="24"/>
    </w:rPr>
  </w:style>
  <w:style w:type="character" w:customStyle="1" w:styleId="385">
    <w:name w:val="大纲正文 Char"/>
    <w:link w:val="386"/>
    <w:qFormat/>
    <w:locked/>
    <w:uiPriority w:val="0"/>
    <w:rPr>
      <w:rFonts w:ascii="宋体" w:hAnsi="宋体" w:cs="宋体"/>
      <w:sz w:val="24"/>
      <w:szCs w:val="24"/>
    </w:rPr>
  </w:style>
  <w:style w:type="paragraph" w:customStyle="1" w:styleId="386">
    <w:name w:val="大纲正文"/>
    <w:basedOn w:val="1"/>
    <w:link w:val="385"/>
    <w:qFormat/>
    <w:uiPriority w:val="0"/>
    <w:pPr>
      <w:widowControl/>
      <w:adjustRightInd w:val="0"/>
      <w:snapToGrid w:val="0"/>
      <w:spacing w:line="300" w:lineRule="auto"/>
      <w:ind w:firstLine="480"/>
      <w:jc w:val="both"/>
      <w:textAlignment w:val="auto"/>
    </w:pPr>
    <w:rPr>
      <w:rFonts w:ascii="宋体" w:hAnsi="宋体" w:cs="宋体"/>
      <w:sz w:val="24"/>
      <w:szCs w:val="24"/>
    </w:rPr>
  </w:style>
  <w:style w:type="character" w:customStyle="1" w:styleId="387">
    <w:name w:val="正文缩进1 Char Char3 Char"/>
    <w:link w:val="388"/>
    <w:qFormat/>
    <w:locked/>
    <w:uiPriority w:val="0"/>
    <w:rPr>
      <w:rFonts w:ascii="宋体" w:hAnsi="宋体" w:cs="宋体"/>
      <w:szCs w:val="24"/>
    </w:rPr>
  </w:style>
  <w:style w:type="paragraph" w:customStyle="1" w:styleId="388">
    <w:name w:val="正文缩进1 Char Char3"/>
    <w:basedOn w:val="2"/>
    <w:link w:val="387"/>
    <w:qFormat/>
    <w:uiPriority w:val="0"/>
    <w:pPr>
      <w:spacing w:line="288" w:lineRule="auto"/>
      <w:ind w:firstLine="0" w:firstLineChars="0"/>
    </w:pPr>
    <w:rPr>
      <w:rFonts w:ascii="宋体" w:hAnsi="宋体" w:cs="宋体"/>
      <w:kern w:val="0"/>
      <w:sz w:val="20"/>
      <w:szCs w:val="24"/>
    </w:rPr>
  </w:style>
  <w:style w:type="character" w:customStyle="1" w:styleId="389">
    <w:name w:val="席雪萍正文22 Char Char"/>
    <w:link w:val="390"/>
    <w:qFormat/>
    <w:locked/>
    <w:uiPriority w:val="0"/>
    <w:rPr>
      <w:rFonts w:ascii="宋体" w:hAnsi="宋体" w:cs="宋体"/>
      <w:sz w:val="24"/>
      <w:szCs w:val="24"/>
    </w:rPr>
  </w:style>
  <w:style w:type="paragraph" w:customStyle="1" w:styleId="390">
    <w:name w:val="席雪萍正文22"/>
    <w:basedOn w:val="1"/>
    <w:link w:val="389"/>
    <w:qFormat/>
    <w:uiPriority w:val="0"/>
    <w:pPr>
      <w:autoSpaceDE w:val="0"/>
      <w:autoSpaceDN w:val="0"/>
      <w:adjustRightInd w:val="0"/>
      <w:ind w:firstLine="420"/>
      <w:textAlignment w:val="auto"/>
    </w:pPr>
    <w:rPr>
      <w:rFonts w:ascii="宋体" w:hAnsi="宋体" w:cs="宋体"/>
      <w:sz w:val="24"/>
      <w:szCs w:val="24"/>
    </w:rPr>
  </w:style>
  <w:style w:type="character" w:customStyle="1" w:styleId="391">
    <w:name w:val="级别二 Char Char"/>
    <w:link w:val="392"/>
    <w:qFormat/>
    <w:locked/>
    <w:uiPriority w:val="0"/>
    <w:rPr>
      <w:rFonts w:ascii="黑体" w:hAnsi="黑体" w:eastAsia="黑体"/>
      <w:b/>
      <w:bCs/>
      <w:sz w:val="28"/>
    </w:rPr>
  </w:style>
  <w:style w:type="paragraph" w:customStyle="1" w:styleId="392">
    <w:name w:val="级别二 Char"/>
    <w:basedOn w:val="47"/>
    <w:link w:val="391"/>
    <w:qFormat/>
    <w:uiPriority w:val="0"/>
    <w:pPr>
      <w:spacing w:line="520" w:lineRule="exact"/>
    </w:pPr>
    <w:rPr>
      <w:rFonts w:ascii="黑体" w:hAnsi="黑体" w:eastAsia="黑体"/>
      <w:b/>
      <w:bCs/>
      <w:kern w:val="0"/>
    </w:rPr>
  </w:style>
  <w:style w:type="character" w:customStyle="1" w:styleId="393">
    <w:name w:val="注释标题 字符"/>
    <w:link w:val="13"/>
    <w:qFormat/>
    <w:locked/>
    <w:uiPriority w:val="0"/>
    <w:rPr>
      <w:rFonts w:ascii="宋体" w:hAnsi="宋体"/>
      <w:szCs w:val="24"/>
    </w:rPr>
  </w:style>
  <w:style w:type="character" w:customStyle="1" w:styleId="394">
    <w:name w:val="正文首行缩进 Char2 Char"/>
    <w:link w:val="395"/>
    <w:qFormat/>
    <w:uiPriority w:val="0"/>
    <w:rPr>
      <w:sz w:val="24"/>
    </w:rPr>
  </w:style>
  <w:style w:type="paragraph" w:customStyle="1" w:styleId="395">
    <w:name w:val="正文首行缩进1"/>
    <w:basedOn w:val="22"/>
    <w:link w:val="394"/>
    <w:qFormat/>
    <w:uiPriority w:val="0"/>
    <w:pPr>
      <w:spacing w:line="240" w:lineRule="auto"/>
      <w:ind w:firstLine="420" w:firstLineChars="100"/>
      <w:jc w:val="both"/>
      <w:textAlignment w:val="auto"/>
    </w:pPr>
    <w:rPr>
      <w:sz w:val="24"/>
    </w:rPr>
  </w:style>
  <w:style w:type="character" w:customStyle="1" w:styleId="396">
    <w:name w:val="ohz正文 Char"/>
    <w:link w:val="397"/>
    <w:qFormat/>
    <w:locked/>
    <w:uiPriority w:val="0"/>
    <w:rPr>
      <w:rFonts w:ascii="宋体" w:hAnsi="宋体"/>
      <w:sz w:val="24"/>
    </w:rPr>
  </w:style>
  <w:style w:type="paragraph" w:customStyle="1" w:styleId="397">
    <w:name w:val="ohz正文"/>
    <w:basedOn w:val="1"/>
    <w:link w:val="396"/>
    <w:qFormat/>
    <w:uiPriority w:val="0"/>
    <w:pPr>
      <w:jc w:val="both"/>
      <w:textAlignment w:val="auto"/>
    </w:pPr>
    <w:rPr>
      <w:rFonts w:ascii="宋体" w:hAnsi="宋体"/>
      <w:sz w:val="24"/>
    </w:rPr>
  </w:style>
  <w:style w:type="character" w:customStyle="1" w:styleId="398">
    <w:name w:val="小表中 Char"/>
    <w:link w:val="399"/>
    <w:qFormat/>
    <w:locked/>
    <w:uiPriority w:val="0"/>
    <w:rPr>
      <w:rFonts w:ascii="宋体" w:hAnsi="宋体"/>
    </w:rPr>
  </w:style>
  <w:style w:type="paragraph" w:customStyle="1" w:styleId="399">
    <w:name w:val="小表中"/>
    <w:basedOn w:val="1"/>
    <w:link w:val="398"/>
    <w:qFormat/>
    <w:uiPriority w:val="0"/>
    <w:pPr>
      <w:keepNext/>
      <w:tabs>
        <w:tab w:val="left" w:pos="1769"/>
      </w:tabs>
      <w:adjustRightInd w:val="0"/>
      <w:snapToGrid w:val="0"/>
      <w:spacing w:line="240" w:lineRule="atLeast"/>
      <w:ind w:firstLine="0" w:firstLineChars="0"/>
      <w:jc w:val="center"/>
      <w:textAlignment w:val="auto"/>
    </w:pPr>
    <w:rPr>
      <w:rFonts w:ascii="宋体" w:hAnsi="宋体"/>
      <w:sz w:val="20"/>
    </w:rPr>
  </w:style>
  <w:style w:type="character" w:customStyle="1" w:styleId="400">
    <w:name w:val="节正文 Char"/>
    <w:link w:val="401"/>
    <w:qFormat/>
    <w:locked/>
    <w:uiPriority w:val="0"/>
    <w:rPr>
      <w:rFonts w:ascii="宋体" w:hAnsi="宋体"/>
      <w:sz w:val="24"/>
    </w:rPr>
  </w:style>
  <w:style w:type="paragraph" w:customStyle="1" w:styleId="401">
    <w:name w:val="节正文"/>
    <w:basedOn w:val="1"/>
    <w:link w:val="400"/>
    <w:qFormat/>
    <w:uiPriority w:val="0"/>
    <w:pPr>
      <w:autoSpaceDE w:val="0"/>
      <w:autoSpaceDN w:val="0"/>
      <w:adjustRightInd w:val="0"/>
      <w:spacing w:line="480" w:lineRule="exact"/>
      <w:jc w:val="both"/>
      <w:textAlignment w:val="auto"/>
    </w:pPr>
    <w:rPr>
      <w:rFonts w:ascii="宋体" w:hAnsi="宋体"/>
      <w:sz w:val="24"/>
    </w:rPr>
  </w:style>
  <w:style w:type="character" w:customStyle="1" w:styleId="402">
    <w:name w:val="图录821 Char"/>
    <w:link w:val="403"/>
    <w:qFormat/>
    <w:locked/>
    <w:uiPriority w:val="0"/>
    <w:rPr>
      <w:rFonts w:ascii="宋体" w:hAnsi="宋体"/>
      <w:b/>
      <w:szCs w:val="21"/>
    </w:rPr>
  </w:style>
  <w:style w:type="paragraph" w:customStyle="1" w:styleId="403">
    <w:name w:val="图录821"/>
    <w:basedOn w:val="1"/>
    <w:link w:val="402"/>
    <w:qFormat/>
    <w:uiPriority w:val="0"/>
    <w:pPr>
      <w:spacing w:line="240" w:lineRule="auto"/>
      <w:ind w:firstLine="0" w:firstLineChars="0"/>
      <w:jc w:val="center"/>
      <w:textAlignment w:val="auto"/>
    </w:pPr>
    <w:rPr>
      <w:rFonts w:ascii="宋体" w:hAnsi="宋体"/>
      <w:b/>
      <w:sz w:val="20"/>
      <w:szCs w:val="21"/>
    </w:rPr>
  </w:style>
  <w:style w:type="character" w:customStyle="1" w:styleId="404">
    <w:name w:val="图表标题 Char"/>
    <w:link w:val="405"/>
    <w:qFormat/>
    <w:locked/>
    <w:uiPriority w:val="0"/>
    <w:rPr>
      <w:rFonts w:ascii="黑体" w:eastAsia="黑体"/>
      <w:b/>
      <w:color w:val="000000"/>
      <w:sz w:val="24"/>
      <w:szCs w:val="21"/>
    </w:rPr>
  </w:style>
  <w:style w:type="paragraph" w:customStyle="1" w:styleId="405">
    <w:name w:val="图表标题"/>
    <w:basedOn w:val="1"/>
    <w:link w:val="404"/>
    <w:qFormat/>
    <w:uiPriority w:val="0"/>
    <w:pPr>
      <w:adjustRightInd w:val="0"/>
      <w:snapToGrid w:val="0"/>
      <w:ind w:firstLine="0" w:firstLineChars="0"/>
      <w:jc w:val="center"/>
      <w:textAlignment w:val="auto"/>
    </w:pPr>
    <w:rPr>
      <w:rFonts w:ascii="黑体" w:eastAsia="黑体"/>
      <w:b/>
      <w:color w:val="000000"/>
      <w:sz w:val="24"/>
      <w:szCs w:val="21"/>
    </w:rPr>
  </w:style>
  <w:style w:type="character" w:customStyle="1" w:styleId="406">
    <w:name w:val="结束语 字符"/>
    <w:link w:val="21"/>
    <w:qFormat/>
    <w:locked/>
    <w:uiPriority w:val="0"/>
    <w:rPr>
      <w:rFonts w:ascii="宋体" w:hAnsi="宋体"/>
      <w:szCs w:val="24"/>
    </w:rPr>
  </w:style>
  <w:style w:type="character" w:customStyle="1" w:styleId="407">
    <w:name w:val="信息标题 字符"/>
    <w:link w:val="48"/>
    <w:qFormat/>
    <w:locked/>
    <w:uiPriority w:val="0"/>
    <w:rPr>
      <w:rFonts w:ascii="Arial" w:hAnsi="Arial" w:cs="Arial"/>
      <w:sz w:val="24"/>
      <w:szCs w:val="24"/>
      <w:shd w:val="pct20" w:color="auto" w:fill="auto"/>
    </w:rPr>
  </w:style>
  <w:style w:type="character" w:customStyle="1" w:styleId="408">
    <w:name w:val="电子邮件签名 字符1"/>
    <w:basedOn w:val="62"/>
    <w:semiHidden/>
    <w:qFormat/>
    <w:uiPriority w:val="0"/>
    <w:rPr>
      <w:sz w:val="28"/>
    </w:rPr>
  </w:style>
  <w:style w:type="character" w:customStyle="1" w:styleId="409">
    <w:name w:val="信息标题 字符1"/>
    <w:basedOn w:val="62"/>
    <w:qFormat/>
    <w:uiPriority w:val="0"/>
    <w:rPr>
      <w:rFonts w:asciiTheme="majorHAnsi" w:hAnsiTheme="majorHAnsi" w:eastAsiaTheme="majorEastAsia" w:cstheme="majorBidi"/>
      <w:sz w:val="24"/>
      <w:szCs w:val="24"/>
      <w:shd w:val="pct20" w:color="auto" w:fill="auto"/>
    </w:rPr>
  </w:style>
  <w:style w:type="character" w:customStyle="1" w:styleId="410">
    <w:name w:val="结束语 字符1"/>
    <w:basedOn w:val="62"/>
    <w:semiHidden/>
    <w:qFormat/>
    <w:uiPriority w:val="0"/>
    <w:rPr>
      <w:sz w:val="28"/>
    </w:rPr>
  </w:style>
  <w:style w:type="character" w:customStyle="1" w:styleId="411">
    <w:name w:val="HTML 地址 字符1"/>
    <w:basedOn w:val="62"/>
    <w:semiHidden/>
    <w:qFormat/>
    <w:uiPriority w:val="0"/>
    <w:rPr>
      <w:i/>
      <w:iCs/>
      <w:sz w:val="28"/>
    </w:rPr>
  </w:style>
  <w:style w:type="character" w:customStyle="1" w:styleId="412">
    <w:name w:val="副标题 字符1"/>
    <w:basedOn w:val="62"/>
    <w:qFormat/>
    <w:uiPriority w:val="0"/>
    <w:rPr>
      <w:rFonts w:asciiTheme="minorHAnsi" w:hAnsiTheme="minorHAnsi" w:eastAsiaTheme="minorEastAsia" w:cstheme="minorBidi"/>
      <w:b/>
      <w:bCs/>
      <w:kern w:val="28"/>
      <w:sz w:val="32"/>
      <w:szCs w:val="32"/>
    </w:rPr>
  </w:style>
  <w:style w:type="character" w:customStyle="1" w:styleId="413">
    <w:name w:val="注释标题 字符1"/>
    <w:basedOn w:val="62"/>
    <w:semiHidden/>
    <w:qFormat/>
    <w:uiPriority w:val="0"/>
    <w:rPr>
      <w:sz w:val="28"/>
    </w:rPr>
  </w:style>
  <w:style w:type="character" w:customStyle="1" w:styleId="414">
    <w:name w:val="脚注文本 字符1"/>
    <w:basedOn w:val="62"/>
    <w:semiHidden/>
    <w:qFormat/>
    <w:uiPriority w:val="0"/>
    <w:rPr>
      <w:sz w:val="18"/>
      <w:szCs w:val="18"/>
    </w:rPr>
  </w:style>
  <w:style w:type="character" w:customStyle="1" w:styleId="415">
    <w:name w:val="签名 字符1"/>
    <w:basedOn w:val="62"/>
    <w:semiHidden/>
    <w:qFormat/>
    <w:uiPriority w:val="0"/>
    <w:rPr>
      <w:sz w:val="28"/>
    </w:rPr>
  </w:style>
  <w:style w:type="character" w:customStyle="1" w:styleId="416">
    <w:name w:val="明显引用 字符1"/>
    <w:basedOn w:val="62"/>
    <w:qFormat/>
    <w:uiPriority w:val="99"/>
    <w:rPr>
      <w:i/>
      <w:iCs/>
      <w:color w:val="4F81BD" w:themeColor="accent1"/>
      <w:sz w:val="28"/>
      <w14:textFill>
        <w14:solidFill>
          <w14:schemeClr w14:val="accent1"/>
        </w14:solidFill>
      </w14:textFill>
    </w:rPr>
  </w:style>
  <w:style w:type="paragraph" w:customStyle="1" w:styleId="417">
    <w:name w:val="表格文本"/>
    <w:basedOn w:val="1"/>
    <w:link w:val="418"/>
    <w:qFormat/>
    <w:uiPriority w:val="0"/>
    <w:pPr>
      <w:snapToGrid w:val="0"/>
      <w:ind w:firstLine="0" w:firstLineChars="0"/>
      <w:jc w:val="center"/>
    </w:pPr>
    <w:rPr>
      <w:snapToGrid w:val="0"/>
      <w:sz w:val="21"/>
      <w:szCs w:val="21"/>
    </w:rPr>
  </w:style>
  <w:style w:type="character" w:customStyle="1" w:styleId="418">
    <w:name w:val="表格文本 Char"/>
    <w:link w:val="417"/>
    <w:qFormat/>
    <w:uiPriority w:val="0"/>
    <w:rPr>
      <w:snapToGrid w:val="0"/>
      <w:sz w:val="21"/>
      <w:szCs w:val="21"/>
    </w:rPr>
  </w:style>
  <w:style w:type="paragraph" w:customStyle="1" w:styleId="419">
    <w:name w:val="样式 Times New Roman 两端对齐 首行缩进:  0.85 厘米 行距: 固定值 22 磅"/>
    <w:basedOn w:val="1"/>
    <w:qFormat/>
    <w:uiPriority w:val="99"/>
    <w:pPr>
      <w:widowControl/>
      <w:spacing w:line="440" w:lineRule="exact"/>
    </w:pPr>
    <w:rPr>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44.wmf"/><Relationship Id="rId98" Type="http://schemas.openxmlformats.org/officeDocument/2006/relationships/oleObject" Target="embeddings/oleObject18.bin"/><Relationship Id="rId97" Type="http://schemas.openxmlformats.org/officeDocument/2006/relationships/image" Target="media/image43.emf"/><Relationship Id="rId96" Type="http://schemas.openxmlformats.org/officeDocument/2006/relationships/image" Target="media/image42.wmf"/><Relationship Id="rId95" Type="http://schemas.openxmlformats.org/officeDocument/2006/relationships/oleObject" Target="embeddings/oleObject17.bin"/><Relationship Id="rId94" Type="http://schemas.openxmlformats.org/officeDocument/2006/relationships/image" Target="media/image41.wmf"/><Relationship Id="rId93" Type="http://schemas.openxmlformats.org/officeDocument/2006/relationships/oleObject" Target="embeddings/oleObject16.bin"/><Relationship Id="rId92" Type="http://schemas.openxmlformats.org/officeDocument/2006/relationships/image" Target="media/image40.png"/><Relationship Id="rId91" Type="http://schemas.openxmlformats.org/officeDocument/2006/relationships/image" Target="media/image39.png"/><Relationship Id="rId90" Type="http://schemas.openxmlformats.org/officeDocument/2006/relationships/image" Target="media/image38.wmf"/><Relationship Id="rId9" Type="http://schemas.openxmlformats.org/officeDocument/2006/relationships/footer" Target="footer2.xml"/><Relationship Id="rId89" Type="http://schemas.openxmlformats.org/officeDocument/2006/relationships/oleObject" Target="embeddings/oleObject15.bin"/><Relationship Id="rId88" Type="http://schemas.openxmlformats.org/officeDocument/2006/relationships/image" Target="media/image37.wmf"/><Relationship Id="rId87" Type="http://schemas.openxmlformats.org/officeDocument/2006/relationships/oleObject" Target="embeddings/oleObject14.bin"/><Relationship Id="rId86" Type="http://schemas.openxmlformats.org/officeDocument/2006/relationships/image" Target="media/image36.wmf"/><Relationship Id="rId85" Type="http://schemas.openxmlformats.org/officeDocument/2006/relationships/oleObject" Target="embeddings/oleObject13.bin"/><Relationship Id="rId84" Type="http://schemas.openxmlformats.org/officeDocument/2006/relationships/image" Target="media/image35.wmf"/><Relationship Id="rId83" Type="http://schemas.openxmlformats.org/officeDocument/2006/relationships/oleObject" Target="embeddings/oleObject12.bin"/><Relationship Id="rId82" Type="http://schemas.openxmlformats.org/officeDocument/2006/relationships/image" Target="media/image34.wmf"/><Relationship Id="rId81" Type="http://schemas.openxmlformats.org/officeDocument/2006/relationships/oleObject" Target="embeddings/oleObject11.bin"/><Relationship Id="rId80" Type="http://schemas.openxmlformats.org/officeDocument/2006/relationships/image" Target="media/image33.png"/><Relationship Id="rId8" Type="http://schemas.openxmlformats.org/officeDocument/2006/relationships/footer" Target="footer1.xml"/><Relationship Id="rId79" Type="http://schemas.openxmlformats.org/officeDocument/2006/relationships/image" Target="media/image32.wmf"/><Relationship Id="rId78" Type="http://schemas.openxmlformats.org/officeDocument/2006/relationships/oleObject" Target="embeddings/oleObject10.bin"/><Relationship Id="rId77" Type="http://schemas.openxmlformats.org/officeDocument/2006/relationships/image" Target="media/image31.png"/><Relationship Id="rId76" Type="http://schemas.openxmlformats.org/officeDocument/2006/relationships/image" Target="media/image30.wmf"/><Relationship Id="rId75" Type="http://schemas.openxmlformats.org/officeDocument/2006/relationships/oleObject" Target="embeddings/oleObject9.bin"/><Relationship Id="rId74" Type="http://schemas.openxmlformats.org/officeDocument/2006/relationships/image" Target="media/image29.wmf"/><Relationship Id="rId73" Type="http://schemas.openxmlformats.org/officeDocument/2006/relationships/oleObject" Target="embeddings/oleObject8.bin"/><Relationship Id="rId72" Type="http://schemas.openxmlformats.org/officeDocument/2006/relationships/chart" Target="charts/chart12.xml"/><Relationship Id="rId71" Type="http://schemas.openxmlformats.org/officeDocument/2006/relationships/chart" Target="charts/chart11.xml"/><Relationship Id="rId70" Type="http://schemas.openxmlformats.org/officeDocument/2006/relationships/chart" Target="charts/chart10.xml"/><Relationship Id="rId7" Type="http://schemas.openxmlformats.org/officeDocument/2006/relationships/header" Target="header3.xml"/><Relationship Id="rId69" Type="http://schemas.openxmlformats.org/officeDocument/2006/relationships/chart" Target="charts/chart9.xml"/><Relationship Id="rId68" Type="http://schemas.openxmlformats.org/officeDocument/2006/relationships/image" Target="media/image28.png"/><Relationship Id="rId67" Type="http://schemas.openxmlformats.org/officeDocument/2006/relationships/image" Target="media/image27.png"/><Relationship Id="rId66" Type="http://schemas.openxmlformats.org/officeDocument/2006/relationships/image" Target="media/image26.png"/><Relationship Id="rId65" Type="http://schemas.openxmlformats.org/officeDocument/2006/relationships/image" Target="media/image25.wmf"/><Relationship Id="rId64" Type="http://schemas.openxmlformats.org/officeDocument/2006/relationships/oleObject" Target="embeddings/oleObject7.bin"/><Relationship Id="rId63" Type="http://schemas.openxmlformats.org/officeDocument/2006/relationships/image" Target="media/image24.wmf"/><Relationship Id="rId62" Type="http://schemas.openxmlformats.org/officeDocument/2006/relationships/oleObject" Target="embeddings/oleObject6.bin"/><Relationship Id="rId61" Type="http://schemas.openxmlformats.org/officeDocument/2006/relationships/image" Target="media/image23.wmf"/><Relationship Id="rId60" Type="http://schemas.openxmlformats.org/officeDocument/2006/relationships/oleObject" Target="embeddings/oleObject5.bin"/><Relationship Id="rId6" Type="http://schemas.openxmlformats.org/officeDocument/2006/relationships/header" Target="header2.xml"/><Relationship Id="rId59" Type="http://schemas.openxmlformats.org/officeDocument/2006/relationships/chart" Target="charts/chart8.xml"/><Relationship Id="rId58" Type="http://schemas.openxmlformats.org/officeDocument/2006/relationships/chart" Target="charts/chart7.xml"/><Relationship Id="rId57" Type="http://schemas.openxmlformats.org/officeDocument/2006/relationships/chart" Target="charts/chart6.xml"/><Relationship Id="rId56" Type="http://schemas.openxmlformats.org/officeDocument/2006/relationships/chart" Target="charts/chart5.xml"/><Relationship Id="rId55" Type="http://schemas.openxmlformats.org/officeDocument/2006/relationships/chart" Target="charts/chart4.xml"/><Relationship Id="rId54" Type="http://schemas.openxmlformats.org/officeDocument/2006/relationships/chart" Target="charts/chart3.xml"/><Relationship Id="rId53" Type="http://schemas.openxmlformats.org/officeDocument/2006/relationships/image" Target="media/image22.wmf"/><Relationship Id="rId52" Type="http://schemas.openxmlformats.org/officeDocument/2006/relationships/image" Target="media/image21.wmf"/><Relationship Id="rId51" Type="http://schemas.openxmlformats.org/officeDocument/2006/relationships/image" Target="media/image20.png"/><Relationship Id="rId50" Type="http://schemas.openxmlformats.org/officeDocument/2006/relationships/image" Target="media/image19.wmf"/><Relationship Id="rId5" Type="http://schemas.openxmlformats.org/officeDocument/2006/relationships/header" Target="header1.xml"/><Relationship Id="rId49" Type="http://schemas.openxmlformats.org/officeDocument/2006/relationships/image" Target="media/image18.wmf"/><Relationship Id="rId48" Type="http://schemas.openxmlformats.org/officeDocument/2006/relationships/chart" Target="charts/chart2.xml"/><Relationship Id="rId47" Type="http://schemas.openxmlformats.org/officeDocument/2006/relationships/image" Target="media/image17.emf"/><Relationship Id="rId46" Type="http://schemas.openxmlformats.org/officeDocument/2006/relationships/image" Target="media/image16.emf"/><Relationship Id="rId45" Type="http://schemas.openxmlformats.org/officeDocument/2006/relationships/image" Target="media/image15.png"/><Relationship Id="rId44" Type="http://schemas.openxmlformats.org/officeDocument/2006/relationships/image" Target="media/image14.png"/><Relationship Id="rId43" Type="http://schemas.openxmlformats.org/officeDocument/2006/relationships/image" Target="media/image13.jpeg"/><Relationship Id="rId42" Type="http://schemas.openxmlformats.org/officeDocument/2006/relationships/chart" Target="charts/chart1.xml"/><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endnotes" Target="endnotes.xml"/><Relationship Id="rId39" Type="http://schemas.openxmlformats.org/officeDocument/2006/relationships/image" Target="media/image10.wmf"/><Relationship Id="rId38" Type="http://schemas.openxmlformats.org/officeDocument/2006/relationships/oleObject" Target="embeddings/oleObject4.bin"/><Relationship Id="rId37" Type="http://schemas.openxmlformats.org/officeDocument/2006/relationships/image" Target="media/image9.wmf"/><Relationship Id="rId36" Type="http://schemas.openxmlformats.org/officeDocument/2006/relationships/oleObject" Target="embeddings/oleObject3.bin"/><Relationship Id="rId35" Type="http://schemas.openxmlformats.org/officeDocument/2006/relationships/image" Target="media/image8.emf"/><Relationship Id="rId34" Type="http://schemas.openxmlformats.org/officeDocument/2006/relationships/oleObject" Target="embeddings/oleObject2.bin"/><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jpeg"/><Relationship Id="rId3" Type="http://schemas.openxmlformats.org/officeDocument/2006/relationships/footnotes" Target="footnotes.xml"/><Relationship Id="rId29" Type="http://schemas.openxmlformats.org/officeDocument/2006/relationships/image" Target="media/image3.wmf"/><Relationship Id="rId28" Type="http://schemas.openxmlformats.org/officeDocument/2006/relationships/oleObject" Target="embeddings/oleObject1.bin"/><Relationship Id="rId27" Type="http://schemas.openxmlformats.org/officeDocument/2006/relationships/image" Target="media/image2.png"/><Relationship Id="rId26" Type="http://schemas.openxmlformats.org/officeDocument/2006/relationships/image" Target="media/image1.wmf"/><Relationship Id="rId25" Type="http://schemas.openxmlformats.org/officeDocument/2006/relationships/theme" Target="theme/theme1.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2" Type="http://schemas.openxmlformats.org/officeDocument/2006/relationships/fontTable" Target="fontTable.xml"/><Relationship Id="rId111" Type="http://schemas.openxmlformats.org/officeDocument/2006/relationships/customXml" Target="../customXml/item2.xml"/><Relationship Id="rId110" Type="http://schemas.openxmlformats.org/officeDocument/2006/relationships/numbering" Target="numbering.xml"/><Relationship Id="rId11" Type="http://schemas.openxmlformats.org/officeDocument/2006/relationships/footer" Target="footer3.xml"/><Relationship Id="rId109" Type="http://schemas.openxmlformats.org/officeDocument/2006/relationships/customXml" Target="../customXml/item1.xml"/><Relationship Id="rId108" Type="http://schemas.openxmlformats.org/officeDocument/2006/relationships/image" Target="media/image53.png"/><Relationship Id="rId107" Type="http://schemas.openxmlformats.org/officeDocument/2006/relationships/image" Target="media/image52.png"/><Relationship Id="rId106" Type="http://schemas.openxmlformats.org/officeDocument/2006/relationships/image" Target="media/image51.png"/><Relationship Id="rId105" Type="http://schemas.openxmlformats.org/officeDocument/2006/relationships/image" Target="media/image50.png"/><Relationship Id="rId104" Type="http://schemas.openxmlformats.org/officeDocument/2006/relationships/image" Target="media/image49.jpeg"/><Relationship Id="rId103" Type="http://schemas.openxmlformats.org/officeDocument/2006/relationships/image" Target="media/image48.png"/><Relationship Id="rId102" Type="http://schemas.openxmlformats.org/officeDocument/2006/relationships/image" Target="media/image47.png"/><Relationship Id="rId101" Type="http://schemas.openxmlformats.org/officeDocument/2006/relationships/image" Target="media/image46.png"/><Relationship Id="rId100" Type="http://schemas.openxmlformats.org/officeDocument/2006/relationships/image" Target="media/image45.png"/><Relationship Id="rId10" Type="http://schemas.openxmlformats.org/officeDocument/2006/relationships/header" Target="head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8477;&#27700;&#21644;&#33976;&#2145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8730;\&#28183;&#27700;&#35797;&#39564;&#25968;&#25454;.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8730;\&#28183;&#27700;&#35797;&#39564;&#25968;&#25454;.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8730;\&#28183;&#27700;&#35797;&#39564;&#25968;&#2545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26700;&#38754;\&#26032;&#24314;&#25991;&#20214;&#22841;\1-6-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25277;&#27700;&#35797;&#39564;&#35745;&#3163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25277;&#27700;&#35797;&#39564;&#35745;&#3163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25277;&#27700;&#35797;&#39564;&#35745;&#3163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25277;&#27700;&#35797;&#39564;&#35745;&#3163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25277;&#27700;&#35797;&#39564;&#35745;&#3163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25277;&#27700;&#35797;&#39564;&#35745;&#3163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2017-2018&#65288;2&#65289;&#27178;&#21521;&#39033;&#30446;\&#36981;&#21270;5&#20010;&#39033;&#30446;\32&#20010;&#20225;&#19994;&#21355;&#26143;&#28857;&#20301;\&#32676;&#21033;&#8730;\&#28183;&#27700;&#35797;&#39564;&#25968;&#254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432852143482"/>
          <c:y val="0.0791783318751823"/>
          <c:w val="0.745721347331586"/>
          <c:h val="0.724150991542724"/>
        </c:manualLayout>
      </c:layout>
      <c:barChart>
        <c:barDir val="col"/>
        <c:grouping val="clustered"/>
        <c:varyColors val="0"/>
        <c:ser>
          <c:idx val="0"/>
          <c:order val="0"/>
          <c:tx>
            <c:strRef>
              <c:f>Sheet1!$B$1</c:f>
              <c:strCache>
                <c:ptCount val="1"/>
                <c:pt idx="0">
                  <c:v>降水量</c:v>
                </c:pt>
              </c:strCache>
            </c:strRef>
          </c:tx>
          <c:invertIfNegative val="0"/>
          <c:dLbls>
            <c:delete val="1"/>
          </c:dLbls>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560.4</c:v>
                </c:pt>
                <c:pt idx="1">
                  <c:v>1137.2</c:v>
                </c:pt>
                <c:pt idx="2">
                  <c:v>738.6</c:v>
                </c:pt>
                <c:pt idx="3">
                  <c:v>715.1</c:v>
                </c:pt>
                <c:pt idx="4">
                  <c:v>563.7</c:v>
                </c:pt>
              </c:numCache>
            </c:numRef>
          </c:val>
        </c:ser>
        <c:ser>
          <c:idx val="1"/>
          <c:order val="1"/>
          <c:tx>
            <c:strRef>
              <c:f>Sheet1!$C$1</c:f>
              <c:strCache>
                <c:ptCount val="1"/>
                <c:pt idx="0">
                  <c:v>蒸发量</c:v>
                </c:pt>
              </c:strCache>
            </c:strRef>
          </c:tx>
          <c:invertIfNegative val="0"/>
          <c:dLbls>
            <c:delete val="1"/>
          </c:dLbls>
          <c:val>
            <c:numRef>
              <c:f>Sheet1!$C$2:$C$6</c:f>
              <c:numCache>
                <c:formatCode>General</c:formatCode>
                <c:ptCount val="5"/>
                <c:pt idx="0">
                  <c:v>1101.8</c:v>
                </c:pt>
                <c:pt idx="1">
                  <c:v>1011.2</c:v>
                </c:pt>
                <c:pt idx="2">
                  <c:v>910.4</c:v>
                </c:pt>
                <c:pt idx="3">
                  <c:v>924.6</c:v>
                </c:pt>
                <c:pt idx="4">
                  <c:v>1227.7</c:v>
                </c:pt>
              </c:numCache>
            </c:numRef>
          </c:val>
        </c:ser>
        <c:dLbls>
          <c:showLegendKey val="0"/>
          <c:showVal val="0"/>
          <c:showCatName val="0"/>
          <c:showSerName val="0"/>
          <c:showPercent val="0"/>
          <c:showBubbleSize val="0"/>
        </c:dLbls>
        <c:gapWidth val="150"/>
        <c:axId val="564581120"/>
        <c:axId val="564583040"/>
      </c:barChart>
      <c:catAx>
        <c:axId val="564581120"/>
        <c:scaling>
          <c:orientation val="minMax"/>
        </c:scaling>
        <c:delete val="0"/>
        <c:axPos val="b"/>
        <c:title>
          <c:tx>
            <c:rich>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r>
                  <a:rPr lang="zh-CN" altLang="en-US" b="0"/>
                  <a:t>时间</a:t>
                </a:r>
                <a:r>
                  <a:rPr lang="en-US" altLang="zh-CN" b="0"/>
                  <a:t>/</a:t>
                </a:r>
                <a:r>
                  <a:rPr lang="zh-CN" altLang="en-US" b="0"/>
                  <a:t>年</a:t>
                </a:r>
                <a:endParaRPr lang="zh-CN" altLang="en-US" b="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564583040"/>
        <c:crosses val="autoZero"/>
        <c:auto val="1"/>
        <c:lblAlgn val="ctr"/>
        <c:lblOffset val="100"/>
        <c:noMultiLvlLbl val="0"/>
      </c:catAx>
      <c:valAx>
        <c:axId val="564583040"/>
        <c:scaling>
          <c:orientation val="minMax"/>
        </c:scaling>
        <c:delete val="0"/>
        <c:axPos val="l"/>
        <c:majorGridlines/>
        <c:title>
          <c:tx>
            <c:rich>
              <a:bodyPr rot="-54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r>
                  <a:rPr lang="zh-CN" altLang="en-US" b="0"/>
                  <a:t>降水量或蒸发量</a:t>
                </a:r>
                <a:r>
                  <a:rPr lang="en-US" altLang="zh-CN" b="0"/>
                  <a:t>/mm</a:t>
                </a:r>
                <a:endParaRPr lang="zh-CN" altLang="en-US" b="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564581120"/>
        <c:crosses val="autoZero"/>
        <c:crossBetween val="between"/>
      </c:valAx>
    </c:plotArea>
    <c:legend>
      <c:legendPos val="r"/>
      <c:layout>
        <c:manualLayout>
          <c:xMode val="edge"/>
          <c:yMode val="edge"/>
          <c:x val="0.544487532808399"/>
          <c:y val="0.0736902158063575"/>
          <c:w val="0.130512467191601"/>
          <c:h val="0.1674343832021"/>
        </c:manualLayout>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057742782152"/>
          <c:y val="0.083807961504812"/>
          <c:w val="0.714379702537184"/>
          <c:h val="0.687113954505687"/>
        </c:manualLayout>
      </c:layout>
      <c:scatterChart>
        <c:scatterStyle val="smoothMarker"/>
        <c:varyColors val="0"/>
        <c:ser>
          <c:idx val="0"/>
          <c:order val="0"/>
          <c:spPr>
            <a:ln w="19050" cap="rnd" cmpd="sng" algn="ctr">
              <a:solidFill>
                <a:srgbClr val="C00000"/>
              </a:solidFill>
              <a:prstDash val="solid"/>
              <a:round/>
            </a:ln>
          </c:spPr>
          <c:marker>
            <c:symbol val="diamond"/>
            <c:size val="4"/>
            <c:spPr>
              <a:solidFill>
                <a:srgbClr val="C00000"/>
              </a:solidFill>
              <a:ln w="9525" cap="flat" cmpd="sng" algn="ctr">
                <a:solidFill>
                  <a:srgbClr val="C00000"/>
                </a:solidFill>
                <a:prstDash val="solid"/>
                <a:round/>
              </a:ln>
            </c:spPr>
          </c:marker>
          <c:dLbls>
            <c:delete val="1"/>
          </c:dLbls>
          <c:xVal>
            <c:numRef>
              <c:f>Sheet1!$A$1:$A$30</c:f>
              <c:numCache>
                <c:formatCode>General</c:formatCode>
                <c:ptCount val="30"/>
                <c:pt idx="0">
                  <c:v>1</c:v>
                </c:pt>
                <c:pt idx="1">
                  <c:v>2</c:v>
                </c:pt>
                <c:pt idx="2">
                  <c:v>3</c:v>
                </c:pt>
                <c:pt idx="3">
                  <c:v>6</c:v>
                </c:pt>
                <c:pt idx="4">
                  <c:v>9</c:v>
                </c:pt>
                <c:pt idx="5">
                  <c:v>12</c:v>
                </c:pt>
                <c:pt idx="6">
                  <c:v>15</c:v>
                </c:pt>
                <c:pt idx="7">
                  <c:v>20</c:v>
                </c:pt>
                <c:pt idx="8">
                  <c:v>25</c:v>
                </c:pt>
                <c:pt idx="9">
                  <c:v>30</c:v>
                </c:pt>
                <c:pt idx="10">
                  <c:v>35</c:v>
                </c:pt>
                <c:pt idx="11">
                  <c:v>40</c:v>
                </c:pt>
                <c:pt idx="12">
                  <c:v>45</c:v>
                </c:pt>
                <c:pt idx="13">
                  <c:v>50</c:v>
                </c:pt>
                <c:pt idx="14">
                  <c:v>60</c:v>
                </c:pt>
                <c:pt idx="15">
                  <c:v>70</c:v>
                </c:pt>
                <c:pt idx="16">
                  <c:v>80</c:v>
                </c:pt>
                <c:pt idx="17">
                  <c:v>90</c:v>
                </c:pt>
                <c:pt idx="18">
                  <c:v>100</c:v>
                </c:pt>
                <c:pt idx="19">
                  <c:v>120</c:v>
                </c:pt>
                <c:pt idx="20">
                  <c:v>140</c:v>
                </c:pt>
                <c:pt idx="21">
                  <c:v>160</c:v>
                </c:pt>
                <c:pt idx="22">
                  <c:v>190</c:v>
                </c:pt>
                <c:pt idx="23">
                  <c:v>220</c:v>
                </c:pt>
                <c:pt idx="24">
                  <c:v>250</c:v>
                </c:pt>
                <c:pt idx="25">
                  <c:v>280</c:v>
                </c:pt>
                <c:pt idx="26">
                  <c:v>310</c:v>
                </c:pt>
                <c:pt idx="27">
                  <c:v>340</c:v>
                </c:pt>
                <c:pt idx="28">
                  <c:v>370</c:v>
                </c:pt>
                <c:pt idx="29">
                  <c:v>400</c:v>
                </c:pt>
              </c:numCache>
            </c:numRef>
          </c:xVal>
          <c:yVal>
            <c:numRef>
              <c:f>Sheet1!$B$1:$B$30</c:f>
              <c:numCache>
                <c:formatCode>General</c:formatCode>
                <c:ptCount val="30"/>
                <c:pt idx="0">
                  <c:v>8.46344387806964e-5</c:v>
                </c:pt>
                <c:pt idx="1">
                  <c:v>5.56441071464875e-5</c:v>
                </c:pt>
                <c:pt idx="2">
                  <c:v>8.46344387806964e-5</c:v>
                </c:pt>
                <c:pt idx="3">
                  <c:v>6.53075510245571e-5</c:v>
                </c:pt>
                <c:pt idx="4">
                  <c:v>7.98027168416616e-5</c:v>
                </c:pt>
                <c:pt idx="5">
                  <c:v>5.72406761350381e-5</c:v>
                </c:pt>
                <c:pt idx="6">
                  <c:v>7.09585649445587e-5</c:v>
                </c:pt>
                <c:pt idx="7">
                  <c:v>6.67570676062676e-5</c:v>
                </c:pt>
                <c:pt idx="8">
                  <c:v>5.59806632684178e-5</c:v>
                </c:pt>
                <c:pt idx="9">
                  <c:v>5.70936237281979e-5</c:v>
                </c:pt>
                <c:pt idx="10">
                  <c:v>5.37114183708736e-5</c:v>
                </c:pt>
                <c:pt idx="11">
                  <c:v>5.32282461769701e-5</c:v>
                </c:pt>
                <c:pt idx="12">
                  <c:v>4.79133520440318e-5</c:v>
                </c:pt>
                <c:pt idx="13">
                  <c:v>6.33748622489432e-5</c:v>
                </c:pt>
                <c:pt idx="14">
                  <c:v>5.32282461769701e-5</c:v>
                </c:pt>
                <c:pt idx="15">
                  <c:v>5.27450739830666e-5</c:v>
                </c:pt>
                <c:pt idx="16">
                  <c:v>5.22619017891631e-5</c:v>
                </c:pt>
                <c:pt idx="17">
                  <c:v>4.83965242379353e-5</c:v>
                </c:pt>
                <c:pt idx="18">
                  <c:v>3.8e-5</c:v>
                </c:pt>
                <c:pt idx="19">
                  <c:v>3.8e-5</c:v>
                </c:pt>
                <c:pt idx="20">
                  <c:v>3.8e-5</c:v>
                </c:pt>
                <c:pt idx="21">
                  <c:v>3.8e-5</c:v>
                </c:pt>
                <c:pt idx="22">
                  <c:v>3.8e-5</c:v>
                </c:pt>
                <c:pt idx="23">
                  <c:v>3.8e-5</c:v>
                </c:pt>
                <c:pt idx="24">
                  <c:v>3.8e-5</c:v>
                </c:pt>
                <c:pt idx="25">
                  <c:v>3.8e-5</c:v>
                </c:pt>
                <c:pt idx="26">
                  <c:v>3.8e-5</c:v>
                </c:pt>
                <c:pt idx="27">
                  <c:v>3.8e-5</c:v>
                </c:pt>
                <c:pt idx="28">
                  <c:v>3.8e-5</c:v>
                </c:pt>
                <c:pt idx="29">
                  <c:v>3.8e-5</c:v>
                </c:pt>
              </c:numCache>
            </c:numRef>
          </c:yVal>
          <c:smooth val="1"/>
        </c:ser>
        <c:dLbls>
          <c:showLegendKey val="0"/>
          <c:showVal val="0"/>
          <c:showCatName val="0"/>
          <c:showSerName val="0"/>
          <c:showPercent val="0"/>
          <c:showBubbleSize val="0"/>
        </c:dLbls>
        <c:axId val="267060352"/>
        <c:axId val="349065216"/>
      </c:scatterChart>
      <c:valAx>
        <c:axId val="267060352"/>
        <c:scaling>
          <c:orientation val="minMax"/>
          <c:max val="400"/>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时间（</a:t>
                </a:r>
                <a:r>
                  <a:rPr lang="en-US" altLang="zh-CN"/>
                  <a:t>min</a:t>
                </a:r>
                <a:r>
                  <a:rPr lang="zh-CN" altLang="en-US"/>
                  <a:t>）</a:t>
                </a:r>
                <a:endParaRPr lang="zh-CN" altLang="en-US"/>
              </a:p>
            </c:rich>
          </c:tx>
          <c:layout/>
          <c:overlay val="0"/>
        </c:title>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49065216"/>
        <c:crosses val="autoZero"/>
        <c:crossBetween val="midCat"/>
      </c:valAx>
      <c:valAx>
        <c:axId val="349065216"/>
        <c:scaling>
          <c:orientation val="minMax"/>
          <c:max val="9.00000000000002e-5"/>
          <c:min val="3.00000000000001e-5"/>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渗透系数（</a:t>
                </a:r>
                <a:r>
                  <a:rPr lang="en-US" altLang="zh-CN"/>
                  <a:t>cm/s</a:t>
                </a:r>
                <a:r>
                  <a:rPr lang="zh-CN" altLang="en-US"/>
                  <a:t>）</a:t>
                </a:r>
                <a:endParaRPr lang="zh-CN" altLang="en-US"/>
              </a:p>
            </c:rich>
          </c:tx>
          <c:layout/>
          <c:overlay val="0"/>
        </c:title>
        <c:numFmt formatCode="0.00E+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7060352"/>
        <c:crosses val="autoZero"/>
        <c:crossBetween val="midCat"/>
      </c:valAx>
    </c:plotArea>
    <c:plotVisOnly val="1"/>
    <c:dispBlanksAs val="gap"/>
    <c:showDLblsOverMax val="0"/>
  </c:chart>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057742782152"/>
          <c:y val="0.083807961504812"/>
          <c:w val="0.714379702537183"/>
          <c:h val="0.687113954505687"/>
        </c:manualLayout>
      </c:layout>
      <c:scatterChart>
        <c:scatterStyle val="smoothMarker"/>
        <c:varyColors val="0"/>
        <c:ser>
          <c:idx val="0"/>
          <c:order val="0"/>
          <c:spPr>
            <a:ln w="19050" cap="rnd" cmpd="sng" algn="ctr">
              <a:solidFill>
                <a:srgbClr val="C00000"/>
              </a:solidFill>
              <a:prstDash val="solid"/>
              <a:round/>
            </a:ln>
          </c:spPr>
          <c:marker>
            <c:symbol val="diamond"/>
            <c:size val="4"/>
            <c:spPr>
              <a:solidFill>
                <a:srgbClr val="C00000"/>
              </a:solidFill>
              <a:ln w="9525" cap="flat" cmpd="sng" algn="ctr">
                <a:solidFill>
                  <a:srgbClr val="C00000"/>
                </a:solidFill>
                <a:prstDash val="solid"/>
                <a:round/>
              </a:ln>
            </c:spPr>
          </c:marker>
          <c:dLbls>
            <c:delete val="1"/>
          </c:dLbls>
          <c:xVal>
            <c:numRef>
              <c:f>Sheet1!$A$1:$A$30</c:f>
              <c:numCache>
                <c:formatCode>General</c:formatCode>
                <c:ptCount val="30"/>
                <c:pt idx="0">
                  <c:v>1</c:v>
                </c:pt>
                <c:pt idx="1">
                  <c:v>2</c:v>
                </c:pt>
                <c:pt idx="2">
                  <c:v>3</c:v>
                </c:pt>
                <c:pt idx="3">
                  <c:v>6</c:v>
                </c:pt>
                <c:pt idx="4">
                  <c:v>9</c:v>
                </c:pt>
                <c:pt idx="5">
                  <c:v>12</c:v>
                </c:pt>
                <c:pt idx="6">
                  <c:v>15</c:v>
                </c:pt>
                <c:pt idx="7">
                  <c:v>20</c:v>
                </c:pt>
                <c:pt idx="8">
                  <c:v>25</c:v>
                </c:pt>
                <c:pt idx="9">
                  <c:v>30</c:v>
                </c:pt>
                <c:pt idx="10">
                  <c:v>35</c:v>
                </c:pt>
                <c:pt idx="11">
                  <c:v>40</c:v>
                </c:pt>
                <c:pt idx="12">
                  <c:v>45</c:v>
                </c:pt>
                <c:pt idx="13">
                  <c:v>50</c:v>
                </c:pt>
                <c:pt idx="14">
                  <c:v>60</c:v>
                </c:pt>
                <c:pt idx="15">
                  <c:v>70</c:v>
                </c:pt>
                <c:pt idx="16">
                  <c:v>80</c:v>
                </c:pt>
                <c:pt idx="17">
                  <c:v>90</c:v>
                </c:pt>
                <c:pt idx="18">
                  <c:v>100</c:v>
                </c:pt>
                <c:pt idx="19">
                  <c:v>120</c:v>
                </c:pt>
                <c:pt idx="20">
                  <c:v>140</c:v>
                </c:pt>
                <c:pt idx="21">
                  <c:v>160</c:v>
                </c:pt>
                <c:pt idx="22">
                  <c:v>190</c:v>
                </c:pt>
                <c:pt idx="23">
                  <c:v>220</c:v>
                </c:pt>
                <c:pt idx="24">
                  <c:v>250</c:v>
                </c:pt>
                <c:pt idx="25">
                  <c:v>280</c:v>
                </c:pt>
                <c:pt idx="26">
                  <c:v>310</c:v>
                </c:pt>
                <c:pt idx="27">
                  <c:v>340</c:v>
                </c:pt>
                <c:pt idx="28">
                  <c:v>370</c:v>
                </c:pt>
                <c:pt idx="29">
                  <c:v>400</c:v>
                </c:pt>
              </c:numCache>
            </c:numRef>
          </c:xVal>
          <c:yVal>
            <c:numRef>
              <c:f>Sheet1!$B$1:$B$30</c:f>
              <c:numCache>
                <c:formatCode>General</c:formatCode>
                <c:ptCount val="30"/>
                <c:pt idx="0">
                  <c:v>8.46344387806964e-5</c:v>
                </c:pt>
                <c:pt idx="1">
                  <c:v>5.56441071464875e-5</c:v>
                </c:pt>
                <c:pt idx="2">
                  <c:v>8.46344387806964e-5</c:v>
                </c:pt>
                <c:pt idx="3">
                  <c:v>6.53075510245571e-5</c:v>
                </c:pt>
                <c:pt idx="4">
                  <c:v>7.98027168416616e-5</c:v>
                </c:pt>
                <c:pt idx="5">
                  <c:v>5.72406761350381e-5</c:v>
                </c:pt>
                <c:pt idx="6">
                  <c:v>7.09585649445587e-5</c:v>
                </c:pt>
                <c:pt idx="7">
                  <c:v>6.67570676062676e-5</c:v>
                </c:pt>
                <c:pt idx="8">
                  <c:v>5.59806632684178e-5</c:v>
                </c:pt>
                <c:pt idx="9">
                  <c:v>5.70936237281979e-5</c:v>
                </c:pt>
                <c:pt idx="10">
                  <c:v>5.37114183708736e-5</c:v>
                </c:pt>
                <c:pt idx="11">
                  <c:v>5.32282461769701e-5</c:v>
                </c:pt>
                <c:pt idx="12">
                  <c:v>4.79133520440318e-5</c:v>
                </c:pt>
                <c:pt idx="13">
                  <c:v>6.33748622489432e-5</c:v>
                </c:pt>
                <c:pt idx="14">
                  <c:v>5.32282461769701e-5</c:v>
                </c:pt>
                <c:pt idx="15">
                  <c:v>5.27450739830666e-5</c:v>
                </c:pt>
                <c:pt idx="16">
                  <c:v>5.22619017891631e-5</c:v>
                </c:pt>
                <c:pt idx="17">
                  <c:v>4.83965242379353e-5</c:v>
                </c:pt>
                <c:pt idx="18">
                  <c:v>4.2e-5</c:v>
                </c:pt>
                <c:pt idx="19">
                  <c:v>4.2e-5</c:v>
                </c:pt>
                <c:pt idx="20">
                  <c:v>4.2e-5</c:v>
                </c:pt>
                <c:pt idx="21">
                  <c:v>4.2e-5</c:v>
                </c:pt>
                <c:pt idx="22">
                  <c:v>4.2e-5</c:v>
                </c:pt>
                <c:pt idx="23">
                  <c:v>4.2e-5</c:v>
                </c:pt>
                <c:pt idx="24">
                  <c:v>4.2e-5</c:v>
                </c:pt>
                <c:pt idx="25">
                  <c:v>4.2e-5</c:v>
                </c:pt>
                <c:pt idx="26">
                  <c:v>4.2e-5</c:v>
                </c:pt>
                <c:pt idx="27">
                  <c:v>4.2e-5</c:v>
                </c:pt>
                <c:pt idx="28">
                  <c:v>4.2e-5</c:v>
                </c:pt>
                <c:pt idx="29">
                  <c:v>4.2e-5</c:v>
                </c:pt>
              </c:numCache>
            </c:numRef>
          </c:yVal>
          <c:smooth val="1"/>
        </c:ser>
        <c:dLbls>
          <c:showLegendKey val="0"/>
          <c:showVal val="0"/>
          <c:showCatName val="0"/>
          <c:showSerName val="0"/>
          <c:showPercent val="0"/>
          <c:showBubbleSize val="0"/>
        </c:dLbls>
        <c:axId val="205370496"/>
        <c:axId val="349065216"/>
      </c:scatterChart>
      <c:valAx>
        <c:axId val="205370496"/>
        <c:scaling>
          <c:orientation val="minMax"/>
          <c:max val="400"/>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时间（</a:t>
                </a:r>
                <a:r>
                  <a:rPr lang="en-US" altLang="zh-CN"/>
                  <a:t>min</a:t>
                </a:r>
                <a:r>
                  <a:rPr lang="zh-CN" altLang="en-US"/>
                  <a:t>）</a:t>
                </a:r>
                <a:endParaRPr lang="zh-CN" altLang="en-US"/>
              </a:p>
            </c:rich>
          </c:tx>
          <c:layout/>
          <c:overlay val="0"/>
        </c:title>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49065216"/>
        <c:crosses val="autoZero"/>
        <c:crossBetween val="midCat"/>
      </c:valAx>
      <c:valAx>
        <c:axId val="349065216"/>
        <c:scaling>
          <c:orientation val="minMax"/>
          <c:max val="9.00000000000001e-5"/>
          <c:min val="3e-5"/>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渗透系数（</a:t>
                </a:r>
                <a:r>
                  <a:rPr lang="en-US" altLang="zh-CN"/>
                  <a:t>cm/s</a:t>
                </a:r>
                <a:r>
                  <a:rPr lang="zh-CN" altLang="en-US"/>
                  <a:t>）</a:t>
                </a:r>
                <a:endParaRPr lang="zh-CN" altLang="en-US"/>
              </a:p>
            </c:rich>
          </c:tx>
          <c:layout/>
          <c:overlay val="0"/>
        </c:title>
        <c:numFmt formatCode="0.00E+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5370496"/>
        <c:crosses val="autoZero"/>
        <c:crossBetween val="midCat"/>
      </c:valAx>
    </c:plotArea>
    <c:plotVisOnly val="1"/>
    <c:dispBlanksAs val="gap"/>
    <c:showDLblsOverMax val="0"/>
  </c:chart>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057742782152"/>
          <c:y val="0.083807961504812"/>
          <c:w val="0.714379702537183"/>
          <c:h val="0.687113954505687"/>
        </c:manualLayout>
      </c:layout>
      <c:scatterChart>
        <c:scatterStyle val="smoothMarker"/>
        <c:varyColors val="0"/>
        <c:ser>
          <c:idx val="0"/>
          <c:order val="0"/>
          <c:spPr>
            <a:ln w="19050" cap="rnd" cmpd="sng" algn="ctr">
              <a:solidFill>
                <a:srgbClr val="C00000"/>
              </a:solidFill>
              <a:prstDash val="solid"/>
              <a:round/>
            </a:ln>
          </c:spPr>
          <c:marker>
            <c:symbol val="diamond"/>
            <c:size val="4"/>
            <c:spPr>
              <a:solidFill>
                <a:srgbClr val="C00000"/>
              </a:solidFill>
              <a:ln w="9525" cap="flat" cmpd="sng" algn="ctr">
                <a:solidFill>
                  <a:srgbClr val="C00000"/>
                </a:solidFill>
                <a:prstDash val="solid"/>
                <a:round/>
              </a:ln>
            </c:spPr>
          </c:marker>
          <c:dLbls>
            <c:delete val="1"/>
          </c:dLbls>
          <c:xVal>
            <c:numRef>
              <c:f>Sheet1!$A$1:$A$30</c:f>
              <c:numCache>
                <c:formatCode>General</c:formatCode>
                <c:ptCount val="30"/>
                <c:pt idx="0">
                  <c:v>1</c:v>
                </c:pt>
                <c:pt idx="1">
                  <c:v>2</c:v>
                </c:pt>
                <c:pt idx="2">
                  <c:v>3</c:v>
                </c:pt>
                <c:pt idx="3">
                  <c:v>6</c:v>
                </c:pt>
                <c:pt idx="4">
                  <c:v>9</c:v>
                </c:pt>
                <c:pt idx="5">
                  <c:v>12</c:v>
                </c:pt>
                <c:pt idx="6">
                  <c:v>15</c:v>
                </c:pt>
                <c:pt idx="7">
                  <c:v>20</c:v>
                </c:pt>
                <c:pt idx="8">
                  <c:v>25</c:v>
                </c:pt>
                <c:pt idx="9">
                  <c:v>30</c:v>
                </c:pt>
                <c:pt idx="10">
                  <c:v>35</c:v>
                </c:pt>
                <c:pt idx="11">
                  <c:v>40</c:v>
                </c:pt>
                <c:pt idx="12">
                  <c:v>45</c:v>
                </c:pt>
                <c:pt idx="13">
                  <c:v>50</c:v>
                </c:pt>
                <c:pt idx="14">
                  <c:v>60</c:v>
                </c:pt>
                <c:pt idx="15">
                  <c:v>70</c:v>
                </c:pt>
                <c:pt idx="16">
                  <c:v>80</c:v>
                </c:pt>
                <c:pt idx="17">
                  <c:v>90</c:v>
                </c:pt>
                <c:pt idx="18">
                  <c:v>100</c:v>
                </c:pt>
                <c:pt idx="19">
                  <c:v>120</c:v>
                </c:pt>
                <c:pt idx="20">
                  <c:v>140</c:v>
                </c:pt>
                <c:pt idx="21">
                  <c:v>160</c:v>
                </c:pt>
                <c:pt idx="22">
                  <c:v>190</c:v>
                </c:pt>
                <c:pt idx="23">
                  <c:v>220</c:v>
                </c:pt>
                <c:pt idx="24">
                  <c:v>250</c:v>
                </c:pt>
                <c:pt idx="25">
                  <c:v>280</c:v>
                </c:pt>
                <c:pt idx="26">
                  <c:v>310</c:v>
                </c:pt>
                <c:pt idx="27">
                  <c:v>340</c:v>
                </c:pt>
                <c:pt idx="28">
                  <c:v>370</c:v>
                </c:pt>
                <c:pt idx="29">
                  <c:v>400</c:v>
                </c:pt>
              </c:numCache>
            </c:numRef>
          </c:xVal>
          <c:yVal>
            <c:numRef>
              <c:f>Sheet1!$B$1:$B$30</c:f>
              <c:numCache>
                <c:formatCode>General</c:formatCode>
                <c:ptCount val="30"/>
                <c:pt idx="0">
                  <c:v>8.46344387806964e-5</c:v>
                </c:pt>
                <c:pt idx="1">
                  <c:v>5.56441071464875e-5</c:v>
                </c:pt>
                <c:pt idx="2">
                  <c:v>8.46344387806964e-5</c:v>
                </c:pt>
                <c:pt idx="3">
                  <c:v>6.53075510245571e-5</c:v>
                </c:pt>
                <c:pt idx="4">
                  <c:v>7.98027168416616e-5</c:v>
                </c:pt>
                <c:pt idx="5">
                  <c:v>5.72406761350381e-5</c:v>
                </c:pt>
                <c:pt idx="6">
                  <c:v>7.09585649445587e-5</c:v>
                </c:pt>
                <c:pt idx="7">
                  <c:v>6.67570676062676e-5</c:v>
                </c:pt>
                <c:pt idx="8">
                  <c:v>5.59806632684178e-5</c:v>
                </c:pt>
                <c:pt idx="9">
                  <c:v>5.70936237281979e-5</c:v>
                </c:pt>
                <c:pt idx="10">
                  <c:v>5.37114183708736e-5</c:v>
                </c:pt>
                <c:pt idx="11">
                  <c:v>5.32282461769701e-5</c:v>
                </c:pt>
                <c:pt idx="12">
                  <c:v>4.79133520440318e-5</c:v>
                </c:pt>
                <c:pt idx="13">
                  <c:v>6.33748622489432e-5</c:v>
                </c:pt>
                <c:pt idx="14">
                  <c:v>5.32282461769701e-5</c:v>
                </c:pt>
                <c:pt idx="15">
                  <c:v>5.27450739830666e-5</c:v>
                </c:pt>
                <c:pt idx="16">
                  <c:v>5.22619017891631e-5</c:v>
                </c:pt>
                <c:pt idx="17">
                  <c:v>4.83965242379353e-5</c:v>
                </c:pt>
                <c:pt idx="18">
                  <c:v>4.7e-5</c:v>
                </c:pt>
                <c:pt idx="19">
                  <c:v>4.7e-5</c:v>
                </c:pt>
                <c:pt idx="20">
                  <c:v>4.7e-5</c:v>
                </c:pt>
                <c:pt idx="21">
                  <c:v>4.7e-5</c:v>
                </c:pt>
                <c:pt idx="22">
                  <c:v>4.7e-5</c:v>
                </c:pt>
                <c:pt idx="23">
                  <c:v>4.7e-5</c:v>
                </c:pt>
                <c:pt idx="24">
                  <c:v>4.7e-5</c:v>
                </c:pt>
                <c:pt idx="25">
                  <c:v>4.7e-5</c:v>
                </c:pt>
                <c:pt idx="26">
                  <c:v>4.7e-5</c:v>
                </c:pt>
                <c:pt idx="27">
                  <c:v>4.7e-5</c:v>
                </c:pt>
                <c:pt idx="28">
                  <c:v>4.7e-5</c:v>
                </c:pt>
                <c:pt idx="29">
                  <c:v>4.7e-5</c:v>
                </c:pt>
              </c:numCache>
            </c:numRef>
          </c:yVal>
          <c:smooth val="1"/>
        </c:ser>
        <c:dLbls>
          <c:showLegendKey val="0"/>
          <c:showVal val="0"/>
          <c:showCatName val="0"/>
          <c:showSerName val="0"/>
          <c:showPercent val="0"/>
          <c:showBubbleSize val="0"/>
        </c:dLbls>
        <c:axId val="349067136"/>
        <c:axId val="349090176"/>
      </c:scatterChart>
      <c:valAx>
        <c:axId val="349067136"/>
        <c:scaling>
          <c:orientation val="minMax"/>
          <c:max val="400"/>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时间（</a:t>
                </a:r>
                <a:r>
                  <a:rPr lang="en-US" altLang="zh-CN"/>
                  <a:t>min</a:t>
                </a:r>
                <a:r>
                  <a:rPr lang="zh-CN" altLang="en-US"/>
                  <a:t>）</a:t>
                </a:r>
                <a:endParaRPr lang="zh-CN" altLang="en-US"/>
              </a:p>
            </c:rich>
          </c:tx>
          <c:layout/>
          <c:overlay val="0"/>
        </c:title>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49090176"/>
        <c:crosses val="autoZero"/>
        <c:crossBetween val="midCat"/>
      </c:valAx>
      <c:valAx>
        <c:axId val="349090176"/>
        <c:scaling>
          <c:orientation val="minMax"/>
          <c:max val="9.00000000000001e-5"/>
          <c:min val="4e-5"/>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渗透系数（</a:t>
                </a:r>
                <a:r>
                  <a:rPr lang="en-US" altLang="zh-CN"/>
                  <a:t>cm/s</a:t>
                </a:r>
                <a:r>
                  <a:rPr lang="zh-CN" altLang="en-US"/>
                  <a:t>）</a:t>
                </a:r>
                <a:endParaRPr lang="zh-CN" altLang="en-US"/>
              </a:p>
            </c:rich>
          </c:tx>
          <c:layout/>
          <c:overlay val="0"/>
        </c:title>
        <c:numFmt formatCode="0.00E+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9067136"/>
        <c:crosses val="autoZero"/>
        <c:crossBetween val="midCat"/>
      </c:valAx>
    </c:plotArea>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
          <c:y val="0.182688622754491"/>
          <c:w val="0.537"/>
          <c:h val="0.608750000000001"/>
        </c:manualLayout>
      </c:layout>
      <c:scatterChart>
        <c:scatterStyle val="smoothMarker"/>
        <c:varyColors val="0"/>
        <c:ser>
          <c:idx val="0"/>
          <c:order val="0"/>
          <c:tx>
            <c:strRef>
              <c:f>"工业及城镇生活"</c:f>
              <c:strCache>
                <c:ptCount val="1"/>
                <c:pt idx="0">
                  <c:v>工业及城镇生活</c:v>
                </c:pt>
              </c:strCache>
            </c:strRef>
          </c:tx>
          <c:spPr>
            <a:ln w="25400" cap="rnd" cmpd="sng" algn="ctr">
              <a:solidFill>
                <a:srgbClr val="000080">
                  <a:alpha val="100000"/>
                </a:srgbClr>
              </a:solidFill>
              <a:prstDash val="solid"/>
              <a:round/>
            </a:ln>
            <a:effectLst/>
          </c:spPr>
          <c:marker>
            <c:symbol val="none"/>
          </c:marker>
          <c:dLbls>
            <c:delete val="1"/>
          </c:dLbls>
          <c:xVal>
            <c:numRef>
              <c:f>'[1-6-1.xls]Sheet1'!$M$88:$V$88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xVal>
          <c:yVal>
            <c:numRef>
              <c:f>'[1-6-1.xls]Sheet1'!$M$91:$V$91</c:f>
              <c:numCache>
                <c:formatCode>General</c:formatCode>
                <c:ptCount val="10"/>
                <c:pt idx="0">
                  <c:v>2167</c:v>
                </c:pt>
                <c:pt idx="1">
                  <c:v>2403</c:v>
                </c:pt>
                <c:pt idx="2">
                  <c:v>2822</c:v>
                </c:pt>
                <c:pt idx="3">
                  <c:v>3266</c:v>
                </c:pt>
                <c:pt idx="4">
                  <c:v>3505</c:v>
                </c:pt>
                <c:pt idx="5">
                  <c:v>4047</c:v>
                </c:pt>
                <c:pt idx="6">
                  <c:v>4141</c:v>
                </c:pt>
                <c:pt idx="7">
                  <c:v>4052</c:v>
                </c:pt>
                <c:pt idx="8">
                  <c:v>4103</c:v>
                </c:pt>
                <c:pt idx="9">
                  <c:v>3948</c:v>
                </c:pt>
              </c:numCache>
            </c:numRef>
          </c:yVal>
          <c:smooth val="1"/>
        </c:ser>
        <c:ser>
          <c:idx val="1"/>
          <c:order val="1"/>
          <c:tx>
            <c:strRef>
              <c:f>"农业灌溉"</c:f>
              <c:strCache>
                <c:ptCount val="1"/>
                <c:pt idx="0">
                  <c:v>农业灌溉</c:v>
                </c:pt>
              </c:strCache>
            </c:strRef>
          </c:tx>
          <c:spPr>
            <a:ln w="25400" cap="rnd" cmpd="sng" algn="ctr">
              <a:solidFill>
                <a:srgbClr val="FF00FF">
                  <a:alpha val="100000"/>
                </a:srgbClr>
              </a:solidFill>
              <a:prstDash val="solid"/>
              <a:round/>
            </a:ln>
            <a:effectLst/>
          </c:spPr>
          <c:marker>
            <c:symbol val="none"/>
          </c:marker>
          <c:dLbls>
            <c:delete val="1"/>
          </c:dLbls>
          <c:xVal>
            <c:numRef>
              <c:f>'[1-6-1.xls]Sheet1'!$M$88:$V$88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xVal>
          <c:yVal>
            <c:numRef>
              <c:f>'[1-6-1.xls]Sheet1'!$M$89:$V$89</c:f>
              <c:numCache>
                <c:formatCode>General</c:formatCode>
                <c:ptCount val="10"/>
                <c:pt idx="0">
                  <c:v>10225</c:v>
                </c:pt>
                <c:pt idx="1">
                  <c:v>10149</c:v>
                </c:pt>
                <c:pt idx="2">
                  <c:v>10506</c:v>
                </c:pt>
                <c:pt idx="3">
                  <c:v>10329</c:v>
                </c:pt>
                <c:pt idx="4">
                  <c:v>9969</c:v>
                </c:pt>
                <c:pt idx="5">
                  <c:v>11085</c:v>
                </c:pt>
                <c:pt idx="6">
                  <c:v>9647</c:v>
                </c:pt>
                <c:pt idx="7">
                  <c:v>10066</c:v>
                </c:pt>
                <c:pt idx="8">
                  <c:v>10104</c:v>
                </c:pt>
                <c:pt idx="9">
                  <c:v>9847</c:v>
                </c:pt>
              </c:numCache>
            </c:numRef>
          </c:yVal>
          <c:smooth val="1"/>
        </c:ser>
        <c:ser>
          <c:idx val="2"/>
          <c:order val="2"/>
          <c:tx>
            <c:strRef>
              <c:f>"农村生活"</c:f>
              <c:strCache>
                <c:ptCount val="1"/>
                <c:pt idx="0">
                  <c:v>农村生活</c:v>
                </c:pt>
              </c:strCache>
            </c:strRef>
          </c:tx>
          <c:spPr>
            <a:ln w="25400" cap="rnd" cmpd="sng" algn="ctr">
              <a:solidFill>
                <a:srgbClr val="FFFF00">
                  <a:alpha val="100000"/>
                </a:srgbClr>
              </a:solidFill>
              <a:prstDash val="solid"/>
              <a:round/>
            </a:ln>
            <a:effectLst/>
          </c:spPr>
          <c:marker>
            <c:symbol val="none"/>
          </c:marker>
          <c:dLbls>
            <c:delete val="1"/>
          </c:dLbls>
          <c:xVal>
            <c:numRef>
              <c:f>'[1-6-1.xls]Sheet1'!$M$88:$V$88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xVal>
          <c:yVal>
            <c:numRef>
              <c:f>'[1-6-1.xls]Sheet1'!$M$90:$V$90</c:f>
              <c:numCache>
                <c:formatCode>General</c:formatCode>
                <c:ptCount val="10"/>
                <c:pt idx="0">
                  <c:v>754</c:v>
                </c:pt>
                <c:pt idx="1">
                  <c:v>773</c:v>
                </c:pt>
                <c:pt idx="2">
                  <c:v>779</c:v>
                </c:pt>
                <c:pt idx="3">
                  <c:v>824</c:v>
                </c:pt>
                <c:pt idx="4">
                  <c:v>831</c:v>
                </c:pt>
                <c:pt idx="5">
                  <c:v>1001</c:v>
                </c:pt>
                <c:pt idx="6">
                  <c:v>983</c:v>
                </c:pt>
                <c:pt idx="7">
                  <c:v>979</c:v>
                </c:pt>
                <c:pt idx="8">
                  <c:v>943</c:v>
                </c:pt>
                <c:pt idx="9">
                  <c:v>940</c:v>
                </c:pt>
              </c:numCache>
            </c:numRef>
          </c:yVal>
          <c:smooth val="1"/>
        </c:ser>
        <c:ser>
          <c:idx val="3"/>
          <c:order val="3"/>
          <c:tx>
            <c:strRef>
              <c:f>"合计"</c:f>
              <c:strCache>
                <c:ptCount val="1"/>
                <c:pt idx="0">
                  <c:v>合计</c:v>
                </c:pt>
              </c:strCache>
            </c:strRef>
          </c:tx>
          <c:spPr>
            <a:ln w="25400" cap="rnd" cmpd="sng" algn="ctr">
              <a:solidFill>
                <a:srgbClr val="00FFFF">
                  <a:alpha val="100000"/>
                </a:srgbClr>
              </a:solidFill>
              <a:prstDash val="solid"/>
              <a:round/>
            </a:ln>
            <a:effectLst/>
          </c:spPr>
          <c:marker>
            <c:symbol val="none"/>
          </c:marker>
          <c:dLbls>
            <c:delete val="1"/>
          </c:dLbls>
          <c:xVal>
            <c:numRef>
              <c:f>'[1-6-1.xls]Sheet1'!$M$88:$V$88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xVal>
          <c:yVal>
            <c:numRef>
              <c:f>'[1-6-1.xls]Sheet1'!$M$93:$V$93</c:f>
              <c:numCache>
                <c:formatCode>General</c:formatCode>
                <c:ptCount val="10"/>
                <c:pt idx="0">
                  <c:v>13726</c:v>
                </c:pt>
                <c:pt idx="1">
                  <c:v>13325</c:v>
                </c:pt>
                <c:pt idx="2">
                  <c:v>13876</c:v>
                </c:pt>
                <c:pt idx="3">
                  <c:v>14369</c:v>
                </c:pt>
                <c:pt idx="4">
                  <c:v>14305</c:v>
                </c:pt>
                <c:pt idx="5">
                  <c:v>16133</c:v>
                </c:pt>
                <c:pt idx="6">
                  <c:v>14771</c:v>
                </c:pt>
                <c:pt idx="7">
                  <c:v>15097</c:v>
                </c:pt>
                <c:pt idx="8">
                  <c:v>15150</c:v>
                </c:pt>
                <c:pt idx="9">
                  <c:v>14735</c:v>
                </c:pt>
              </c:numCache>
            </c:numRef>
          </c:yVal>
          <c:smooth val="1"/>
        </c:ser>
        <c:dLbls>
          <c:showLegendKey val="0"/>
          <c:showVal val="0"/>
          <c:showCatName val="0"/>
          <c:showSerName val="0"/>
          <c:showPercent val="0"/>
          <c:showBubbleSize val="0"/>
        </c:dLbls>
        <c:axId val="567470336"/>
        <c:axId val="568599296"/>
      </c:scatterChart>
      <c:scatterChart>
        <c:scatterStyle val="lineMarker"/>
        <c:varyColors val="0"/>
        <c:ser>
          <c:idx val="4"/>
          <c:order val="4"/>
          <c:tx>
            <c:strRef>
              <c:f>"降水量"</c:f>
              <c:strCache>
                <c:ptCount val="1"/>
                <c:pt idx="0">
                  <c:v>降水量</c:v>
                </c:pt>
              </c:strCache>
            </c:strRef>
          </c:tx>
          <c:spPr>
            <a:ln w="25400" cap="rnd" cmpd="sng" algn="ctr">
              <a:solidFill>
                <a:srgbClr val="800080">
                  <a:alpha val="100000"/>
                </a:srgbClr>
              </a:solidFill>
              <a:prstDash val="solid"/>
              <a:round/>
            </a:ln>
            <a:effectLst/>
          </c:spPr>
          <c:marker>
            <c:symbol val="star"/>
            <c:size val="6"/>
            <c:spPr>
              <a:noFill/>
              <a:ln w="6350" cap="flat" cmpd="sng" algn="ctr">
                <a:solidFill>
                  <a:srgbClr val="800080">
                    <a:alpha val="100000"/>
                  </a:srgbClr>
                </a:solidFill>
                <a:prstDash val="solid"/>
                <a:round/>
              </a:ln>
            </c:spPr>
          </c:marker>
          <c:dLbls>
            <c:delete val="1"/>
          </c:dLbls>
          <c:xVal>
            <c:numRef>
              <c:f>'[1-6-1.xls]Sheet1'!$M$88:$V$88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xVal>
          <c:yVal>
            <c:numRef>
              <c:f>'[1-6-1.xls]Sheet1'!$M$92:$V$92</c:f>
              <c:numCache>
                <c:formatCode>General</c:formatCode>
                <c:ptCount val="10"/>
                <c:pt idx="0">
                  <c:v>493.1</c:v>
                </c:pt>
                <c:pt idx="1">
                  <c:v>587.1</c:v>
                </c:pt>
                <c:pt idx="2">
                  <c:v>879.3</c:v>
                </c:pt>
                <c:pt idx="3">
                  <c:v>566.4</c:v>
                </c:pt>
                <c:pt idx="4">
                  <c:v>468.9</c:v>
                </c:pt>
                <c:pt idx="5">
                  <c:v>560.4</c:v>
                </c:pt>
                <c:pt idx="6">
                  <c:v>1137.2</c:v>
                </c:pt>
                <c:pt idx="7">
                  <c:v>738.6</c:v>
                </c:pt>
                <c:pt idx="8">
                  <c:v>715.1</c:v>
                </c:pt>
                <c:pt idx="9">
                  <c:v>563.7</c:v>
                </c:pt>
              </c:numCache>
            </c:numRef>
          </c:yVal>
          <c:smooth val="1"/>
        </c:ser>
        <c:dLbls>
          <c:showLegendKey val="0"/>
          <c:showVal val="0"/>
          <c:showCatName val="0"/>
          <c:showSerName val="0"/>
          <c:showPercent val="0"/>
          <c:showBubbleSize val="0"/>
        </c:dLbls>
        <c:axId val="568601216"/>
        <c:axId val="568607104"/>
      </c:scatterChart>
      <c:valAx>
        <c:axId val="567470336"/>
        <c:scaling>
          <c:orientation val="minMax"/>
          <c:max val="2015"/>
          <c:min val="2006"/>
        </c:scaling>
        <c:delete val="0"/>
        <c:axPos val="b"/>
        <c:title>
          <c:tx>
            <c:rich>
              <a:bodyPr rot="0" spcFirstLastPara="0" vertOverflow="ellipsis" vert="horz" wrap="square" anchor="ctr" anchorCtr="1"/>
              <a:lstStyle/>
              <a:p>
                <a:pPr defTabSz="914400">
                  <a:defRPr lang="zh-CN" sz="1100" b="0" i="0" u="none" strike="noStrike" kern="1200" baseline="0">
                    <a:solidFill>
                      <a:srgbClr val="000000">
                        <a:alpha val="100000"/>
                      </a:srgbClr>
                    </a:solidFill>
                    <a:latin typeface="新宋体" panose="02010609030101010101" charset="-122"/>
                    <a:ea typeface="新宋体" panose="02010609030101010101" charset="-122"/>
                    <a:cs typeface="新宋体" panose="02010609030101010101" charset="-122"/>
                  </a:defRPr>
                </a:pPr>
                <a:r>
                  <a:rPr lang="zh-CN" altLang="en-US"/>
                  <a:t>年份</a:t>
                </a:r>
                <a:endParaRPr lang="zh-CN" altLang="en-US" sz="1100" b="0" i="0" u="none" strike="noStrike" baseline="0">
                  <a:solidFill>
                    <a:srgbClr val="000000">
                      <a:alpha val="100000"/>
                    </a:srgbClr>
                  </a:solidFill>
                  <a:latin typeface="新宋体" panose="02010609030101010101" charset="-122"/>
                  <a:ea typeface="新宋体" panose="02010609030101010101" charset="-122"/>
                  <a:cs typeface="新宋体" panose="02010609030101010101" charset="-122"/>
                </a:endParaRPr>
              </a:p>
            </c:rich>
          </c:tx>
          <c:layout>
            <c:manualLayout>
              <c:xMode val="edge"/>
              <c:yMode val="edge"/>
              <c:x val="0.0547460874959191"/>
              <c:y val="0.893114214071856"/>
            </c:manualLayout>
          </c:layout>
          <c:overlay val="0"/>
          <c:spPr>
            <a:noFill/>
            <a:ln w="3175">
              <a:noFill/>
            </a:ln>
          </c:spPr>
        </c:title>
        <c:numFmt formatCode="0_ " sourceLinked="0"/>
        <c:majorTickMark val="in"/>
        <c:minorTickMark val="in"/>
        <c:tickLblPos val="nextTo"/>
        <c:spPr>
          <a:ln w="3175" cap="flat" cmpd="sng" algn="ctr">
            <a:solidFill>
              <a:srgbClr val="000000">
                <a:alpha val="100000"/>
              </a:srgbClr>
            </a:solidFill>
            <a:prstDash val="solid"/>
            <a:round/>
          </a:ln>
        </c:spPr>
        <c:txPr>
          <a:bodyPr rot="-60000000" spcFirstLastPara="0" vertOverflow="ellipsis" vert="horz" wrap="square" anchor="ctr" anchorCtr="1"/>
          <a:lstStyle/>
          <a:p>
            <a:pPr>
              <a:defRPr lang="zh-CN" sz="1175"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crossAx val="568599296"/>
        <c:crosses val="autoZero"/>
        <c:crossBetween val="midCat"/>
        <c:majorUnit val="2"/>
        <c:minorUnit val="1"/>
      </c:valAx>
      <c:valAx>
        <c:axId val="568599296"/>
        <c:scaling>
          <c:orientation val="minMax"/>
        </c:scaling>
        <c:delete val="0"/>
        <c:axPos val="l"/>
        <c:majorGridlines>
          <c:spPr>
            <a:ln w="3175" cap="flat" cmpd="sng" algn="ctr">
              <a:solidFill>
                <a:srgbClr val="000000">
                  <a:alpha val="100000"/>
                </a:srgbClr>
              </a:solidFill>
              <a:prstDash val="solid"/>
              <a:round/>
            </a:ln>
          </c:spPr>
        </c:majorGridlines>
        <c:title>
          <c:tx>
            <c:rich>
              <a:bodyPr rot="0" spcFirstLastPara="0" vertOverflow="ellipsis" vert="horz" wrap="square" anchor="ctr" anchorCtr="1"/>
              <a:lstStyle/>
              <a:p>
                <a:pPr defTabSz="914400">
                  <a:defRPr lang="zh-CN" sz="1175" b="0" i="0" u="none" strike="noStrike" kern="1200" baseline="0">
                    <a:solidFill>
                      <a:srgbClr val="000000">
                        <a:alpha val="100000"/>
                      </a:srgbClr>
                    </a:solidFill>
                    <a:latin typeface="新宋体" panose="02010609030101010101" charset="-122"/>
                    <a:ea typeface="新宋体" panose="02010609030101010101" charset="-122"/>
                    <a:cs typeface="新宋体" panose="02010609030101010101" charset="-122"/>
                  </a:defRPr>
                </a:pPr>
                <a:r>
                  <a:rPr lang="zh-CN" altLang="en-US" sz="1175" b="0" i="0" u="none" strike="noStrike" baseline="0">
                    <a:solidFill>
                      <a:srgbClr val="000000"/>
                    </a:solidFill>
                    <a:latin typeface="新宋体" panose="02010609030101010101" charset="-122"/>
                    <a:ea typeface="新宋体" panose="02010609030101010101" charset="-122"/>
                    <a:cs typeface="新宋体" panose="02010609030101010101" charset="-122"/>
                  </a:rPr>
                  <a:t>开采量（</a:t>
                </a:r>
                <a:r>
                  <a:rPr lang="en-US" altLang="zh-CN" sz="1175" b="0" i="0" u="none" strike="noStrike" baseline="0">
                    <a:solidFill>
                      <a:srgbClr val="000000"/>
                    </a:solidFill>
                    <a:latin typeface="新宋体" panose="02010609030101010101" charset="-122"/>
                    <a:ea typeface="新宋体" panose="02010609030101010101" charset="-122"/>
                    <a:cs typeface="新宋体" panose="02010609030101010101" charset="-122"/>
                  </a:rPr>
                  <a:t>10</a:t>
                </a:r>
                <a:r>
                  <a:rPr lang="en-US" altLang="zh-CN" sz="1175" b="0" i="0" u="none" strike="noStrike" baseline="30000">
                    <a:solidFill>
                      <a:srgbClr val="000000"/>
                    </a:solidFill>
                    <a:latin typeface="新宋体" panose="02010609030101010101" charset="-122"/>
                    <a:ea typeface="新宋体" panose="02010609030101010101" charset="-122"/>
                    <a:cs typeface="新宋体" panose="02010609030101010101" charset="-122"/>
                  </a:rPr>
                  <a:t>4</a:t>
                </a:r>
                <a:r>
                  <a:rPr lang="en-US" sz="1175" b="0" i="0" u="none" strike="noStrike" baseline="0">
                    <a:solidFill>
                      <a:srgbClr val="000000"/>
                    </a:solidFill>
                    <a:latin typeface="新宋体" panose="02010609030101010101" charset="-122"/>
                    <a:ea typeface="新宋体" panose="02010609030101010101" charset="-122"/>
                    <a:cs typeface="新宋体" panose="02010609030101010101" charset="-122"/>
                  </a:rPr>
                  <a:t>m</a:t>
                </a:r>
                <a:r>
                  <a:rPr lang="en-US" sz="1175" b="0" i="0" u="none" strike="noStrike" baseline="30000">
                    <a:solidFill>
                      <a:srgbClr val="000000"/>
                    </a:solidFill>
                    <a:latin typeface="新宋体" panose="02010609030101010101" charset="-122"/>
                    <a:ea typeface="新宋体" panose="02010609030101010101" charset="-122"/>
                    <a:cs typeface="新宋体" panose="02010609030101010101" charset="-122"/>
                  </a:rPr>
                  <a:t>3</a:t>
                </a:r>
                <a:r>
                  <a:rPr lang="en-US" sz="1175" b="0" i="0" u="none" strike="noStrike" baseline="0">
                    <a:solidFill>
                      <a:srgbClr val="000000"/>
                    </a:solidFill>
                    <a:latin typeface="新宋体" panose="02010609030101010101" charset="-122"/>
                    <a:ea typeface="新宋体" panose="02010609030101010101" charset="-122"/>
                    <a:cs typeface="新宋体" panose="02010609030101010101" charset="-122"/>
                  </a:rPr>
                  <a:t>）</a:t>
                </a:r>
                <a:endParaRPr 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0212559610403744"/>
              <c:y val="0.0457978967065869"/>
            </c:manualLayout>
          </c:layout>
          <c:overlay val="0"/>
          <c:spPr>
            <a:noFill/>
            <a:ln w="3175">
              <a:noFill/>
            </a:ln>
          </c:spPr>
        </c:title>
        <c:numFmt formatCode="General" sourceLinked="1"/>
        <c:majorTickMark val="in"/>
        <c:minorTickMark val="none"/>
        <c:tickLblPos val="nextTo"/>
        <c:spPr>
          <a:ln w="3175" cap="flat" cmpd="sng" algn="ctr">
            <a:solidFill>
              <a:srgbClr val="000000">
                <a:alpha val="100000"/>
              </a:srgbClr>
            </a:solidFill>
            <a:prstDash val="solid"/>
            <a:round/>
          </a:ln>
        </c:spPr>
        <c:txPr>
          <a:bodyPr rot="-60000000" spcFirstLastPara="0" vertOverflow="ellipsis" vert="horz" wrap="square" anchor="ctr" anchorCtr="1"/>
          <a:lstStyle/>
          <a:p>
            <a:pPr>
              <a:defRPr lang="zh-CN" sz="1075"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crossAx val="567470336"/>
        <c:crossesAt val="2006"/>
        <c:crossBetween val="midCat"/>
      </c:valAx>
      <c:valAx>
        <c:axId val="568601216"/>
        <c:scaling>
          <c:orientation val="minMax"/>
        </c:scaling>
        <c:delete val="1"/>
        <c:axPos val="t"/>
        <c:numFmt formatCode="General" sourceLinked="1"/>
        <c:majorTickMark val="in"/>
        <c:minorTickMark val="none"/>
        <c:tickLblPos val="nextTo"/>
        <c:txPr>
          <a:bodyPr rot="-60000000" spcFirstLastPara="0" vertOverflow="ellipsis" vert="horz" wrap="square" anchor="ctr" anchorCtr="1"/>
          <a:lstStyle/>
          <a:p>
            <a:pPr>
              <a:defRPr lang="zh-CN" sz="95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568607104"/>
        <c:crosses val="autoZero"/>
        <c:crossBetween val="midCat"/>
      </c:valAx>
      <c:valAx>
        <c:axId val="568607104"/>
        <c:scaling>
          <c:orientation val="maxMin"/>
        </c:scaling>
        <c:delete val="0"/>
        <c:axPos val="r"/>
        <c:title>
          <c:tx>
            <c:rich>
              <a:bodyPr rot="0" spcFirstLastPara="0" vertOverflow="ellipsis" vert="horz" wrap="square" anchor="ctr" anchorCtr="1"/>
              <a:lstStyle/>
              <a:p>
                <a:pPr defTabSz="914400">
                  <a:defRPr lang="zh-CN" sz="1175"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lang="zh-CN" altLang="en-US"/>
                  <a:t>降水量（</a:t>
                </a:r>
                <a:r>
                  <a:rPr lang="en-US"/>
                  <a:t>mm）</a:t>
                </a:r>
                <a:endParaRPr lang="en-US" sz="1175"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655952469909675"/>
              <c:y val="0.0573641467065868"/>
            </c:manualLayout>
          </c:layout>
          <c:overlay val="0"/>
          <c:spPr>
            <a:noFill/>
            <a:ln w="3175">
              <a:noFill/>
            </a:ln>
          </c:spPr>
        </c:title>
        <c:numFmt formatCode="General" sourceLinked="1"/>
        <c:majorTickMark val="in"/>
        <c:minorTickMark val="none"/>
        <c:tickLblPos val="nextTo"/>
        <c:spPr>
          <a:ln w="3175" cap="flat" cmpd="sng" algn="ctr">
            <a:solidFill>
              <a:srgbClr val="000000">
                <a:alpha val="100000"/>
              </a:srgbClr>
            </a:solidFill>
            <a:prstDash val="solid"/>
            <a:round/>
          </a:ln>
        </c:spPr>
        <c:txPr>
          <a:bodyPr rot="-60000000" spcFirstLastPara="0" vertOverflow="ellipsis" vert="horz" wrap="square" anchor="ctr" anchorCtr="1"/>
          <a:lstStyle/>
          <a:p>
            <a:pPr>
              <a:defRPr lang="zh-CN" sz="1075"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crossAx val="568601216"/>
        <c:crosses val="max"/>
        <c:crossBetween val="midCat"/>
        <c:majorUnit val="200"/>
        <c:minorUnit val="50"/>
      </c:valAx>
      <c:spPr>
        <a:solidFill>
          <a:srgbClr val="C0C0C0">
            <a:alpha val="100000"/>
          </a:srgbClr>
        </a:solidFill>
        <a:ln w="12700">
          <a:solidFill>
            <a:srgbClr val="808080">
              <a:alpha val="100000"/>
            </a:srgbClr>
          </a:solidFill>
          <a:prstDash val="solid"/>
        </a:ln>
      </c:spPr>
    </c:plotArea>
    <c:legend>
      <c:legendPos val="r"/>
      <c:layout>
        <c:manualLayout>
          <c:xMode val="edge"/>
          <c:yMode val="edge"/>
          <c:x val="0.743596986817326"/>
          <c:y val="0.250555418415206"/>
          <c:w val="0.232015065913371"/>
          <c:h val="0.571216983460874"/>
        </c:manualLayout>
      </c:layout>
      <c:overlay val="0"/>
      <c:spPr>
        <a:solidFill>
          <a:srgbClr val="FFFFFF">
            <a:alpha val="100000"/>
          </a:srgbClr>
        </a:solidFill>
        <a:ln w="3175">
          <a:solidFill>
            <a:srgbClr val="000000">
              <a:alpha val="100000"/>
            </a:srgbClr>
          </a:solidFill>
          <a:prstDash val="solid"/>
        </a:ln>
      </c:spPr>
      <c:txPr>
        <a:bodyPr rot="0" spcFirstLastPara="0" vertOverflow="ellipsis" vert="horz" wrap="square" anchor="ctr" anchorCtr="1"/>
        <a:lstStyle/>
        <a:p>
          <a:pPr>
            <a:defRPr lang="zh-CN" sz="11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FFFFFF">
        <a:alpha val="100000"/>
      </a:srgbClr>
    </a:solidFill>
    <a:ln w="3175" cap="flat" cmpd="sng" algn="ctr">
      <a:solidFill>
        <a:srgbClr val="000000">
          <a:alpha val="100000"/>
        </a:srgbClr>
      </a:solidFill>
      <a:prstDash val="solid"/>
      <a:round/>
    </a:ln>
  </c:spPr>
  <c:txPr>
    <a:bodyPr rot="0" wrap="square" anchor="ctr" anchorCtr="1"/>
    <a:lstStyle/>
    <a:p>
      <a:pPr>
        <a:defRPr lang="zh-CN" sz="95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391076115486"/>
          <c:y val="0.0638597258675999"/>
          <c:w val="0.835551618547684"/>
          <c:h val="0.709427311169437"/>
        </c:manualLayout>
      </c:layout>
      <c:lineChart>
        <c:grouping val="standard"/>
        <c:varyColors val="0"/>
        <c:ser>
          <c:idx val="1"/>
          <c:order val="0"/>
          <c:tx>
            <c:strRef>
              <c:f>'GH1'!$C$1</c:f>
              <c:strCache>
                <c:ptCount val="1"/>
                <c:pt idx="0">
                  <c:v>水位降深</c:v>
                </c:pt>
              </c:strCache>
            </c:strRef>
          </c:tx>
          <c:spPr>
            <a:ln w="19050" cap="rnd" cmpd="sng" algn="ctr">
              <a:solidFill>
                <a:schemeClr val="accent2">
                  <a:shade val="95000"/>
                  <a:satMod val="105000"/>
                </a:schemeClr>
              </a:solidFill>
              <a:prstDash val="solid"/>
              <a:round/>
            </a:ln>
          </c:spPr>
          <c:marker>
            <c:symbol val="square"/>
            <c:size val="4"/>
          </c:marker>
          <c:dLbls>
            <c:delete val="1"/>
          </c:dLbls>
          <c:cat>
            <c:numRef>
              <c:f>'GH1'!$A$2:$A$58</c:f>
              <c:numCache>
                <c:formatCode>General</c:formatCode>
                <c:ptCount val="57"/>
                <c:pt idx="0">
                  <c:v>0</c:v>
                </c:pt>
                <c:pt idx="1">
                  <c:v>1</c:v>
                </c:pt>
                <c:pt idx="2">
                  <c:v>2</c:v>
                </c:pt>
                <c:pt idx="3">
                  <c:v>3</c:v>
                </c:pt>
                <c:pt idx="4">
                  <c:v>4</c:v>
                </c:pt>
                <c:pt idx="5">
                  <c:v>6</c:v>
                </c:pt>
                <c:pt idx="6">
                  <c:v>8</c:v>
                </c:pt>
                <c:pt idx="7">
                  <c:v>10</c:v>
                </c:pt>
                <c:pt idx="8">
                  <c:v>15</c:v>
                </c:pt>
                <c:pt idx="9">
                  <c:v>20</c:v>
                </c:pt>
                <c:pt idx="10">
                  <c:v>25</c:v>
                </c:pt>
                <c:pt idx="11">
                  <c:v>30</c:v>
                </c:pt>
                <c:pt idx="12">
                  <c:v>40</c:v>
                </c:pt>
                <c:pt idx="13">
                  <c:v>50</c:v>
                </c:pt>
                <c:pt idx="14">
                  <c:v>60</c:v>
                </c:pt>
                <c:pt idx="15">
                  <c:v>80</c:v>
                </c:pt>
                <c:pt idx="16">
                  <c:v>100</c:v>
                </c:pt>
                <c:pt idx="17">
                  <c:v>120</c:v>
                </c:pt>
                <c:pt idx="18">
                  <c:v>150</c:v>
                </c:pt>
                <c:pt idx="19">
                  <c:v>180</c:v>
                </c:pt>
                <c:pt idx="20">
                  <c:v>210</c:v>
                </c:pt>
                <c:pt idx="21">
                  <c:v>240</c:v>
                </c:pt>
                <c:pt idx="22">
                  <c:v>270</c:v>
                </c:pt>
                <c:pt idx="23">
                  <c:v>300</c:v>
                </c:pt>
                <c:pt idx="24">
                  <c:v>330</c:v>
                </c:pt>
                <c:pt idx="25">
                  <c:v>360</c:v>
                </c:pt>
                <c:pt idx="26">
                  <c:v>390</c:v>
                </c:pt>
                <c:pt idx="27">
                  <c:v>420</c:v>
                </c:pt>
                <c:pt idx="28">
                  <c:v>450</c:v>
                </c:pt>
                <c:pt idx="29">
                  <c:v>480</c:v>
                </c:pt>
                <c:pt idx="30">
                  <c:v>510</c:v>
                </c:pt>
                <c:pt idx="31">
                  <c:v>540</c:v>
                </c:pt>
                <c:pt idx="32">
                  <c:v>570</c:v>
                </c:pt>
                <c:pt idx="33">
                  <c:v>600</c:v>
                </c:pt>
                <c:pt idx="34">
                  <c:v>601</c:v>
                </c:pt>
                <c:pt idx="35">
                  <c:v>602</c:v>
                </c:pt>
                <c:pt idx="36">
                  <c:v>603</c:v>
                </c:pt>
                <c:pt idx="37">
                  <c:v>604</c:v>
                </c:pt>
                <c:pt idx="38">
                  <c:v>606</c:v>
                </c:pt>
                <c:pt idx="39">
                  <c:v>608</c:v>
                </c:pt>
                <c:pt idx="40">
                  <c:v>610</c:v>
                </c:pt>
                <c:pt idx="41">
                  <c:v>615</c:v>
                </c:pt>
                <c:pt idx="42">
                  <c:v>620</c:v>
                </c:pt>
                <c:pt idx="43">
                  <c:v>625</c:v>
                </c:pt>
                <c:pt idx="44">
                  <c:v>630</c:v>
                </c:pt>
                <c:pt idx="45">
                  <c:v>640</c:v>
                </c:pt>
                <c:pt idx="46">
                  <c:v>650</c:v>
                </c:pt>
                <c:pt idx="47">
                  <c:v>660</c:v>
                </c:pt>
                <c:pt idx="48">
                  <c:v>680</c:v>
                </c:pt>
                <c:pt idx="49">
                  <c:v>700</c:v>
                </c:pt>
                <c:pt idx="50">
                  <c:v>720</c:v>
                </c:pt>
                <c:pt idx="51">
                  <c:v>750</c:v>
                </c:pt>
                <c:pt idx="52">
                  <c:v>780</c:v>
                </c:pt>
                <c:pt idx="53">
                  <c:v>810</c:v>
                </c:pt>
                <c:pt idx="54">
                  <c:v>840</c:v>
                </c:pt>
                <c:pt idx="55">
                  <c:v>870</c:v>
                </c:pt>
                <c:pt idx="56">
                  <c:v>900</c:v>
                </c:pt>
              </c:numCache>
            </c:numRef>
          </c:cat>
          <c:val>
            <c:numRef>
              <c:f>'GH1'!$C$2:$C$58</c:f>
              <c:numCache>
                <c:formatCode>General</c:formatCode>
                <c:ptCount val="57"/>
                <c:pt idx="0">
                  <c:v>0</c:v>
                </c:pt>
                <c:pt idx="1">
                  <c:v>0.3</c:v>
                </c:pt>
                <c:pt idx="2">
                  <c:v>0.5</c:v>
                </c:pt>
                <c:pt idx="3">
                  <c:v>0.8</c:v>
                </c:pt>
                <c:pt idx="4">
                  <c:v>1</c:v>
                </c:pt>
                <c:pt idx="5">
                  <c:v>1.5</c:v>
                </c:pt>
                <c:pt idx="6">
                  <c:v>2</c:v>
                </c:pt>
                <c:pt idx="7">
                  <c:v>2.2</c:v>
                </c:pt>
                <c:pt idx="8">
                  <c:v>2.3</c:v>
                </c:pt>
                <c:pt idx="9">
                  <c:v>2.4</c:v>
                </c:pt>
                <c:pt idx="10">
                  <c:v>2.5</c:v>
                </c:pt>
                <c:pt idx="11">
                  <c:v>2.8</c:v>
                </c:pt>
                <c:pt idx="12">
                  <c:v>2.9</c:v>
                </c:pt>
                <c:pt idx="13">
                  <c:v>2.95</c:v>
                </c:pt>
                <c:pt idx="14">
                  <c:v>3</c:v>
                </c:pt>
                <c:pt idx="15">
                  <c:v>3.05</c:v>
                </c:pt>
                <c:pt idx="16">
                  <c:v>3</c:v>
                </c:pt>
                <c:pt idx="17">
                  <c:v>2.99</c:v>
                </c:pt>
                <c:pt idx="18">
                  <c:v>3</c:v>
                </c:pt>
                <c:pt idx="19">
                  <c:v>3</c:v>
                </c:pt>
                <c:pt idx="20">
                  <c:v>3.02</c:v>
                </c:pt>
                <c:pt idx="21">
                  <c:v>3</c:v>
                </c:pt>
                <c:pt idx="22">
                  <c:v>3</c:v>
                </c:pt>
                <c:pt idx="23">
                  <c:v>3</c:v>
                </c:pt>
                <c:pt idx="24">
                  <c:v>3</c:v>
                </c:pt>
                <c:pt idx="25">
                  <c:v>2.99</c:v>
                </c:pt>
                <c:pt idx="26">
                  <c:v>3</c:v>
                </c:pt>
                <c:pt idx="27">
                  <c:v>3</c:v>
                </c:pt>
                <c:pt idx="28">
                  <c:v>3</c:v>
                </c:pt>
                <c:pt idx="29">
                  <c:v>3</c:v>
                </c:pt>
                <c:pt idx="30">
                  <c:v>3</c:v>
                </c:pt>
                <c:pt idx="31">
                  <c:v>3</c:v>
                </c:pt>
                <c:pt idx="32">
                  <c:v>3</c:v>
                </c:pt>
                <c:pt idx="33">
                  <c:v>3</c:v>
                </c:pt>
                <c:pt idx="34">
                  <c:v>2.5</c:v>
                </c:pt>
                <c:pt idx="35">
                  <c:v>2.1</c:v>
                </c:pt>
                <c:pt idx="36">
                  <c:v>1.7</c:v>
                </c:pt>
                <c:pt idx="37">
                  <c:v>1</c:v>
                </c:pt>
                <c:pt idx="38">
                  <c:v>0.5</c:v>
                </c:pt>
                <c:pt idx="39">
                  <c:v>0.4</c:v>
                </c:pt>
                <c:pt idx="40">
                  <c:v>0.3</c:v>
                </c:pt>
                <c:pt idx="41">
                  <c:v>0.2</c:v>
                </c:pt>
                <c:pt idx="42">
                  <c:v>0.15</c:v>
                </c:pt>
                <c:pt idx="43">
                  <c:v>0.11</c:v>
                </c:pt>
                <c:pt idx="44">
                  <c:v>0.1</c:v>
                </c:pt>
                <c:pt idx="45">
                  <c:v>0</c:v>
                </c:pt>
                <c:pt idx="46">
                  <c:v>0</c:v>
                </c:pt>
                <c:pt idx="47">
                  <c:v>0</c:v>
                </c:pt>
                <c:pt idx="48">
                  <c:v>0</c:v>
                </c:pt>
                <c:pt idx="49">
                  <c:v>0</c:v>
                </c:pt>
                <c:pt idx="50">
                  <c:v>0</c:v>
                </c:pt>
                <c:pt idx="51">
                  <c:v>0</c:v>
                </c:pt>
                <c:pt idx="52">
                  <c:v>0</c:v>
                </c:pt>
                <c:pt idx="53">
                  <c:v>0</c:v>
                </c:pt>
                <c:pt idx="54">
                  <c:v>0</c:v>
                </c:pt>
                <c:pt idx="55">
                  <c:v>0</c:v>
                </c:pt>
                <c:pt idx="56">
                  <c:v>0</c:v>
                </c:pt>
              </c:numCache>
            </c:numRef>
          </c:val>
          <c:smooth val="1"/>
        </c:ser>
        <c:dLbls>
          <c:showLegendKey val="0"/>
          <c:showVal val="0"/>
          <c:showCatName val="0"/>
          <c:showSerName val="0"/>
          <c:showPercent val="0"/>
          <c:showBubbleSize val="0"/>
        </c:dLbls>
        <c:marker val="1"/>
        <c:smooth val="1"/>
        <c:axId val="427042304"/>
        <c:axId val="469941248"/>
      </c:lineChart>
      <c:catAx>
        <c:axId val="427042304"/>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cs typeface="Times New Roman" panose="02020603050405020304" charset="0"/>
                  </a:rPr>
                  <a:t>时间</a:t>
                </a:r>
                <a:r>
                  <a:rPr lang="en-US" altLang="zh-CN" sz="1050" b="0">
                    <a:latin typeface="Times New Roman" panose="02020603050405020304" charset="0"/>
                    <a:cs typeface="Times New Roman" panose="02020603050405020304" charset="0"/>
                  </a:rPr>
                  <a:t>/min</a:t>
                </a:r>
                <a:endParaRPr lang="zh-CN" altLang="en-US" sz="1050" b="0">
                  <a:latin typeface="Times New Roman" panose="02020603050405020304" charset="0"/>
                  <a:cs typeface="Times New Roman" panose="02020603050405020304" charset="0"/>
                </a:endParaRPr>
              </a:p>
            </c:rich>
          </c:tx>
          <c:layout>
            <c:manualLayout>
              <c:xMode val="edge"/>
              <c:yMode val="edge"/>
              <c:x val="0.432430664916886"/>
              <c:y val="0.91666666666666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69941248"/>
        <c:crosses val="max"/>
        <c:auto val="1"/>
        <c:lblAlgn val="ctr"/>
        <c:lblOffset val="100"/>
        <c:tickLblSkip val="2"/>
        <c:noMultiLvlLbl val="0"/>
      </c:catAx>
      <c:valAx>
        <c:axId val="469941248"/>
        <c:scaling>
          <c:orientation val="maxMin"/>
        </c:scaling>
        <c:delete val="0"/>
        <c:axPos val="l"/>
        <c:majorGridlines/>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ea typeface="+mn-ea"/>
                    <a:cs typeface="Times New Roman" panose="02020603050405020304" charset="0"/>
                  </a:rPr>
                  <a:t>水位降深</a:t>
                </a:r>
                <a:r>
                  <a:rPr lang="en-US" altLang="zh-CN" sz="1050" b="0">
                    <a:latin typeface="Times New Roman" panose="02020603050405020304" charset="0"/>
                    <a:ea typeface="+mn-ea"/>
                    <a:cs typeface="Times New Roman" panose="02020603050405020304" charset="0"/>
                  </a:rPr>
                  <a:t>/m</a:t>
                </a:r>
                <a:endParaRPr lang="zh-CN" altLang="en-US" sz="1050" b="0">
                  <a:latin typeface="Times New Roman" panose="02020603050405020304" charset="0"/>
                  <a:ea typeface="+mn-ea"/>
                  <a:cs typeface="Times New Roman" panose="02020603050405020304" charset="0"/>
                </a:endParaRPr>
              </a:p>
            </c:rich>
          </c:tx>
          <c:layout>
            <c:manualLayout>
              <c:xMode val="edge"/>
              <c:yMode val="edge"/>
              <c:x val="0.0194444444444444"/>
              <c:y val="0.3054830125400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50" b="0" i="0" u="none" strike="noStrike" kern="1200" baseline="0">
                <a:solidFill>
                  <a:schemeClr val="tx1"/>
                </a:solidFill>
                <a:latin typeface="+mn-lt"/>
                <a:ea typeface="+mn-ea"/>
                <a:cs typeface="+mn-cs"/>
              </a:defRPr>
            </a:pPr>
          </a:p>
        </c:txPr>
        <c:crossAx val="427042304"/>
        <c:crosses val="autoZero"/>
        <c:crossBetween val="between"/>
      </c:valAx>
      <c:spPr>
        <a:ln>
          <a:solidFill>
            <a:schemeClr val="bg2">
              <a:lumMod val="75000"/>
            </a:schemeClr>
          </a:solidFill>
        </a:ln>
      </c:spPr>
    </c:plotArea>
    <c:legend>
      <c:legendPos val="r"/>
      <c:layout>
        <c:manualLayout>
          <c:xMode val="edge"/>
          <c:yMode val="edge"/>
          <c:x val="0.185916666666667"/>
          <c:y val="0.101467993584135"/>
          <c:w val="0.194444444444445"/>
          <c:h val="0.095676790401199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13367861432"/>
          <c:y val="0.0638597258675999"/>
          <c:w val="0.838329470486904"/>
          <c:h val="0.709427311169437"/>
        </c:manualLayout>
      </c:layout>
      <c:lineChart>
        <c:grouping val="standard"/>
        <c:varyColors val="0"/>
        <c:ser>
          <c:idx val="1"/>
          <c:order val="0"/>
          <c:tx>
            <c:strRef>
              <c:f>水位埋深</c:f>
              <c:strCache>
                <c:ptCount val="1"/>
                <c:pt idx="0">
                  <c:v>水位埋深</c:v>
                </c:pt>
              </c:strCache>
            </c:strRef>
          </c:tx>
          <c:spPr>
            <a:ln w="22225" cap="rnd" cmpd="sng" algn="ctr">
              <a:solidFill>
                <a:schemeClr val="accent2">
                  <a:shade val="95000"/>
                  <a:satMod val="105000"/>
                </a:schemeClr>
              </a:solidFill>
              <a:prstDash val="solid"/>
              <a:round/>
            </a:ln>
          </c:spPr>
          <c:marker>
            <c:symbol val="square"/>
            <c:size val="4"/>
          </c:marker>
          <c:dLbls>
            <c:delete val="1"/>
          </c:dLbls>
          <c:cat>
            <c:numRef>
              <c:f>'GH1'!$A$2:$A$58</c:f>
              <c:numCache>
                <c:formatCode>General</c:formatCode>
                <c:ptCount val="57"/>
                <c:pt idx="0">
                  <c:v>0</c:v>
                </c:pt>
                <c:pt idx="1">
                  <c:v>1</c:v>
                </c:pt>
                <c:pt idx="2">
                  <c:v>2</c:v>
                </c:pt>
                <c:pt idx="3">
                  <c:v>3</c:v>
                </c:pt>
                <c:pt idx="4">
                  <c:v>4</c:v>
                </c:pt>
                <c:pt idx="5">
                  <c:v>6</c:v>
                </c:pt>
                <c:pt idx="6">
                  <c:v>8</c:v>
                </c:pt>
                <c:pt idx="7">
                  <c:v>10</c:v>
                </c:pt>
                <c:pt idx="8">
                  <c:v>15</c:v>
                </c:pt>
                <c:pt idx="9">
                  <c:v>20</c:v>
                </c:pt>
                <c:pt idx="10">
                  <c:v>25</c:v>
                </c:pt>
                <c:pt idx="11">
                  <c:v>30</c:v>
                </c:pt>
                <c:pt idx="12">
                  <c:v>40</c:v>
                </c:pt>
                <c:pt idx="13">
                  <c:v>50</c:v>
                </c:pt>
                <c:pt idx="14">
                  <c:v>60</c:v>
                </c:pt>
                <c:pt idx="15">
                  <c:v>80</c:v>
                </c:pt>
                <c:pt idx="16">
                  <c:v>100</c:v>
                </c:pt>
                <c:pt idx="17">
                  <c:v>120</c:v>
                </c:pt>
                <c:pt idx="18">
                  <c:v>150</c:v>
                </c:pt>
                <c:pt idx="19">
                  <c:v>180</c:v>
                </c:pt>
                <c:pt idx="20">
                  <c:v>210</c:v>
                </c:pt>
                <c:pt idx="21">
                  <c:v>240</c:v>
                </c:pt>
                <c:pt idx="22">
                  <c:v>270</c:v>
                </c:pt>
                <c:pt idx="23">
                  <c:v>300</c:v>
                </c:pt>
                <c:pt idx="24">
                  <c:v>330</c:v>
                </c:pt>
                <c:pt idx="25">
                  <c:v>360</c:v>
                </c:pt>
                <c:pt idx="26">
                  <c:v>390</c:v>
                </c:pt>
                <c:pt idx="27">
                  <c:v>420</c:v>
                </c:pt>
                <c:pt idx="28">
                  <c:v>450</c:v>
                </c:pt>
                <c:pt idx="29">
                  <c:v>480</c:v>
                </c:pt>
                <c:pt idx="30">
                  <c:v>510</c:v>
                </c:pt>
                <c:pt idx="31">
                  <c:v>540</c:v>
                </c:pt>
                <c:pt idx="32">
                  <c:v>570</c:v>
                </c:pt>
                <c:pt idx="33">
                  <c:v>600</c:v>
                </c:pt>
                <c:pt idx="34">
                  <c:v>601</c:v>
                </c:pt>
                <c:pt idx="35">
                  <c:v>602</c:v>
                </c:pt>
                <c:pt idx="36">
                  <c:v>603</c:v>
                </c:pt>
                <c:pt idx="37">
                  <c:v>604</c:v>
                </c:pt>
                <c:pt idx="38">
                  <c:v>606</c:v>
                </c:pt>
                <c:pt idx="39">
                  <c:v>608</c:v>
                </c:pt>
                <c:pt idx="40">
                  <c:v>610</c:v>
                </c:pt>
                <c:pt idx="41">
                  <c:v>615</c:v>
                </c:pt>
                <c:pt idx="42">
                  <c:v>620</c:v>
                </c:pt>
                <c:pt idx="43">
                  <c:v>625</c:v>
                </c:pt>
                <c:pt idx="44">
                  <c:v>630</c:v>
                </c:pt>
                <c:pt idx="45">
                  <c:v>640</c:v>
                </c:pt>
                <c:pt idx="46">
                  <c:v>650</c:v>
                </c:pt>
                <c:pt idx="47">
                  <c:v>660</c:v>
                </c:pt>
                <c:pt idx="48">
                  <c:v>680</c:v>
                </c:pt>
                <c:pt idx="49">
                  <c:v>700</c:v>
                </c:pt>
                <c:pt idx="50">
                  <c:v>720</c:v>
                </c:pt>
                <c:pt idx="51">
                  <c:v>750</c:v>
                </c:pt>
                <c:pt idx="52">
                  <c:v>780</c:v>
                </c:pt>
                <c:pt idx="53">
                  <c:v>810</c:v>
                </c:pt>
                <c:pt idx="54">
                  <c:v>840</c:v>
                </c:pt>
                <c:pt idx="55">
                  <c:v>870</c:v>
                </c:pt>
                <c:pt idx="56">
                  <c:v>900</c:v>
                </c:pt>
              </c:numCache>
            </c:numRef>
          </c:cat>
          <c:val>
            <c:numRef>
              <c:f>'GH1'!$B$2:$B$58</c:f>
              <c:numCache>
                <c:formatCode>General</c:formatCode>
                <c:ptCount val="57"/>
                <c:pt idx="0">
                  <c:v>6.6</c:v>
                </c:pt>
                <c:pt idx="1">
                  <c:v>6.9</c:v>
                </c:pt>
                <c:pt idx="2">
                  <c:v>7.1</c:v>
                </c:pt>
                <c:pt idx="3">
                  <c:v>7.4</c:v>
                </c:pt>
                <c:pt idx="4">
                  <c:v>7.6</c:v>
                </c:pt>
                <c:pt idx="5">
                  <c:v>8.1</c:v>
                </c:pt>
                <c:pt idx="6">
                  <c:v>8.6</c:v>
                </c:pt>
                <c:pt idx="7">
                  <c:v>8.8</c:v>
                </c:pt>
                <c:pt idx="8">
                  <c:v>8.9</c:v>
                </c:pt>
                <c:pt idx="9">
                  <c:v>9</c:v>
                </c:pt>
                <c:pt idx="10">
                  <c:v>9.1</c:v>
                </c:pt>
                <c:pt idx="11">
                  <c:v>9.4</c:v>
                </c:pt>
                <c:pt idx="12">
                  <c:v>9.5</c:v>
                </c:pt>
                <c:pt idx="13">
                  <c:v>9.55</c:v>
                </c:pt>
                <c:pt idx="14">
                  <c:v>9.6</c:v>
                </c:pt>
                <c:pt idx="15">
                  <c:v>9.65</c:v>
                </c:pt>
                <c:pt idx="16">
                  <c:v>9.6</c:v>
                </c:pt>
                <c:pt idx="17">
                  <c:v>9.59</c:v>
                </c:pt>
                <c:pt idx="18">
                  <c:v>9.6</c:v>
                </c:pt>
                <c:pt idx="19">
                  <c:v>9.6</c:v>
                </c:pt>
                <c:pt idx="20">
                  <c:v>9.62</c:v>
                </c:pt>
                <c:pt idx="21">
                  <c:v>9.6</c:v>
                </c:pt>
                <c:pt idx="22">
                  <c:v>9.6</c:v>
                </c:pt>
                <c:pt idx="23">
                  <c:v>9.6</c:v>
                </c:pt>
                <c:pt idx="24">
                  <c:v>9.6</c:v>
                </c:pt>
                <c:pt idx="25">
                  <c:v>9.59</c:v>
                </c:pt>
                <c:pt idx="26">
                  <c:v>9.6</c:v>
                </c:pt>
                <c:pt idx="27">
                  <c:v>9.6</c:v>
                </c:pt>
                <c:pt idx="28">
                  <c:v>9.6</c:v>
                </c:pt>
                <c:pt idx="29">
                  <c:v>9.6</c:v>
                </c:pt>
                <c:pt idx="30">
                  <c:v>9.6</c:v>
                </c:pt>
                <c:pt idx="31">
                  <c:v>9.6</c:v>
                </c:pt>
                <c:pt idx="32">
                  <c:v>9.6</c:v>
                </c:pt>
                <c:pt idx="33">
                  <c:v>9.6</c:v>
                </c:pt>
                <c:pt idx="34">
                  <c:v>9.1</c:v>
                </c:pt>
                <c:pt idx="35">
                  <c:v>8.7</c:v>
                </c:pt>
                <c:pt idx="36">
                  <c:v>8.3</c:v>
                </c:pt>
                <c:pt idx="37">
                  <c:v>7.6</c:v>
                </c:pt>
                <c:pt idx="38">
                  <c:v>7.1</c:v>
                </c:pt>
                <c:pt idx="39">
                  <c:v>7</c:v>
                </c:pt>
                <c:pt idx="40">
                  <c:v>6.9</c:v>
                </c:pt>
                <c:pt idx="41">
                  <c:v>6.8</c:v>
                </c:pt>
                <c:pt idx="42">
                  <c:v>6.75</c:v>
                </c:pt>
                <c:pt idx="43">
                  <c:v>6.71</c:v>
                </c:pt>
                <c:pt idx="44">
                  <c:v>6.7</c:v>
                </c:pt>
                <c:pt idx="45">
                  <c:v>6.6</c:v>
                </c:pt>
                <c:pt idx="46">
                  <c:v>6.6</c:v>
                </c:pt>
                <c:pt idx="47">
                  <c:v>6.6</c:v>
                </c:pt>
                <c:pt idx="48">
                  <c:v>6.6</c:v>
                </c:pt>
                <c:pt idx="49">
                  <c:v>6.6</c:v>
                </c:pt>
                <c:pt idx="50">
                  <c:v>6.6</c:v>
                </c:pt>
                <c:pt idx="51">
                  <c:v>6.6</c:v>
                </c:pt>
                <c:pt idx="52">
                  <c:v>6.6</c:v>
                </c:pt>
                <c:pt idx="53">
                  <c:v>6.6</c:v>
                </c:pt>
                <c:pt idx="54">
                  <c:v>6.6</c:v>
                </c:pt>
                <c:pt idx="55">
                  <c:v>6.6</c:v>
                </c:pt>
                <c:pt idx="56">
                  <c:v>6.6</c:v>
                </c:pt>
              </c:numCache>
            </c:numRef>
          </c:val>
          <c:smooth val="1"/>
        </c:ser>
        <c:dLbls>
          <c:showLegendKey val="0"/>
          <c:showVal val="0"/>
          <c:showCatName val="0"/>
          <c:showSerName val="0"/>
          <c:showPercent val="0"/>
          <c:showBubbleSize val="0"/>
        </c:dLbls>
        <c:marker val="1"/>
        <c:smooth val="1"/>
        <c:axId val="368326528"/>
        <c:axId val="469945344"/>
      </c:lineChart>
      <c:catAx>
        <c:axId val="368326528"/>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cs typeface="Times New Roman" panose="02020603050405020304" charset="0"/>
                  </a:rPr>
                  <a:t>时间</a:t>
                </a:r>
                <a:r>
                  <a:rPr lang="en-US" altLang="zh-CN" sz="1050" b="0">
                    <a:latin typeface="Times New Roman" panose="02020603050405020304" charset="0"/>
                    <a:cs typeface="Times New Roman" panose="02020603050405020304" charset="0"/>
                  </a:rPr>
                  <a:t>/min</a:t>
                </a:r>
                <a:endParaRPr lang="zh-CN" altLang="en-US" sz="1050" b="0">
                  <a:latin typeface="Times New Roman" panose="02020603050405020304" charset="0"/>
                  <a:cs typeface="Times New Roman" panose="02020603050405020304" charset="0"/>
                </a:endParaRPr>
              </a:p>
            </c:rich>
          </c:tx>
          <c:layout>
            <c:manualLayout>
              <c:xMode val="edge"/>
              <c:yMode val="edge"/>
              <c:x val="0.432430664916887"/>
              <c:y val="0.91666666666666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69945344"/>
        <c:crosses val="max"/>
        <c:auto val="1"/>
        <c:lblAlgn val="ctr"/>
        <c:lblOffset val="100"/>
        <c:tickLblSkip val="2"/>
        <c:noMultiLvlLbl val="0"/>
      </c:catAx>
      <c:valAx>
        <c:axId val="469945344"/>
        <c:scaling>
          <c:orientation val="maxMin"/>
          <c:min val="6"/>
        </c:scaling>
        <c:delete val="0"/>
        <c:axPos val="l"/>
        <c:majorGridlines/>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ea typeface="+mn-ea"/>
                    <a:cs typeface="Times New Roman" panose="02020603050405020304" charset="0"/>
                  </a:rPr>
                  <a:t>水位埋深</a:t>
                </a:r>
                <a:r>
                  <a:rPr lang="en-US" altLang="zh-CN" sz="1050" b="0">
                    <a:latin typeface="Times New Roman" panose="02020603050405020304" charset="0"/>
                    <a:ea typeface="+mn-ea"/>
                    <a:cs typeface="Times New Roman" panose="02020603050405020304" charset="0"/>
                  </a:rPr>
                  <a:t>/m</a:t>
                </a:r>
                <a:endParaRPr lang="zh-CN" altLang="en-US" sz="1050" b="0">
                  <a:latin typeface="Times New Roman" panose="02020603050405020304" charset="0"/>
                  <a:ea typeface="+mn-ea"/>
                  <a:cs typeface="Times New Roman" panose="02020603050405020304" charset="0"/>
                </a:endParaRPr>
              </a:p>
            </c:rich>
          </c:tx>
          <c:layout>
            <c:manualLayout>
              <c:xMode val="edge"/>
              <c:yMode val="edge"/>
              <c:x val="0.0277777777777779"/>
              <c:y val="0.3054830125400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50" b="0" i="0" u="none" strike="noStrike" kern="1200" baseline="0">
                <a:solidFill>
                  <a:schemeClr val="tx1"/>
                </a:solidFill>
                <a:latin typeface="+mn-lt"/>
                <a:ea typeface="+mn-ea"/>
                <a:cs typeface="+mn-cs"/>
              </a:defRPr>
            </a:pPr>
          </a:p>
        </c:txPr>
        <c:crossAx val="368326528"/>
        <c:crosses val="autoZero"/>
        <c:crossBetween val="between"/>
      </c:valAx>
      <c:spPr>
        <a:ln>
          <a:solidFill>
            <a:schemeClr val="bg2">
              <a:lumMod val="75000"/>
            </a:schemeClr>
          </a:solidFill>
        </a:ln>
      </c:spPr>
    </c:plotArea>
    <c:legend>
      <c:legendPos val="r"/>
      <c:layout>
        <c:manualLayout>
          <c:xMode val="edge"/>
          <c:yMode val="edge"/>
          <c:x val="0.24425"/>
          <c:y val="0.157023549139691"/>
          <c:w val="0.194444444444445"/>
          <c:h val="0.08371719160105"/>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391076115486"/>
          <c:y val="0.0638597258675999"/>
          <c:w val="0.835551618547684"/>
          <c:h val="0.709427311169437"/>
        </c:manualLayout>
      </c:layout>
      <c:lineChart>
        <c:grouping val="standard"/>
        <c:varyColors val="0"/>
        <c:ser>
          <c:idx val="0"/>
          <c:order val="0"/>
          <c:tx>
            <c:strRef>
              <c:f>'CH2'!$C$1</c:f>
              <c:strCache>
                <c:ptCount val="1"/>
                <c:pt idx="0">
                  <c:v>水位降深</c:v>
                </c:pt>
              </c:strCache>
            </c:strRef>
          </c:tx>
          <c:spPr>
            <a:ln w="19050" cap="rnd" cmpd="sng" algn="ctr">
              <a:solidFill>
                <a:schemeClr val="accent1">
                  <a:shade val="95000"/>
                  <a:satMod val="105000"/>
                </a:schemeClr>
              </a:solidFill>
              <a:prstDash val="solid"/>
              <a:round/>
            </a:ln>
          </c:spPr>
          <c:marker>
            <c:symbol val="diamond"/>
            <c:size val="5"/>
          </c:marker>
          <c:dLbls>
            <c:delete val="1"/>
          </c:dLbls>
          <c:cat>
            <c:numRef>
              <c:f>'CH2'!$A$2:$A$55</c:f>
              <c:numCache>
                <c:formatCode>General</c:formatCode>
                <c:ptCount val="54"/>
                <c:pt idx="0">
                  <c:v>0</c:v>
                </c:pt>
                <c:pt idx="1">
                  <c:v>1</c:v>
                </c:pt>
                <c:pt idx="2">
                  <c:v>2</c:v>
                </c:pt>
                <c:pt idx="3">
                  <c:v>3</c:v>
                </c:pt>
                <c:pt idx="4">
                  <c:v>4</c:v>
                </c:pt>
                <c:pt idx="5">
                  <c:v>6</c:v>
                </c:pt>
                <c:pt idx="6">
                  <c:v>8</c:v>
                </c:pt>
                <c:pt idx="7">
                  <c:v>10</c:v>
                </c:pt>
                <c:pt idx="8">
                  <c:v>15</c:v>
                </c:pt>
                <c:pt idx="9">
                  <c:v>20</c:v>
                </c:pt>
                <c:pt idx="10">
                  <c:v>25</c:v>
                </c:pt>
                <c:pt idx="11">
                  <c:v>30</c:v>
                </c:pt>
                <c:pt idx="12">
                  <c:v>40</c:v>
                </c:pt>
                <c:pt idx="13">
                  <c:v>50</c:v>
                </c:pt>
                <c:pt idx="14">
                  <c:v>60</c:v>
                </c:pt>
                <c:pt idx="15">
                  <c:v>80</c:v>
                </c:pt>
                <c:pt idx="16">
                  <c:v>100</c:v>
                </c:pt>
                <c:pt idx="17">
                  <c:v>120</c:v>
                </c:pt>
                <c:pt idx="18">
                  <c:v>150</c:v>
                </c:pt>
                <c:pt idx="19">
                  <c:v>180</c:v>
                </c:pt>
                <c:pt idx="20">
                  <c:v>210</c:v>
                </c:pt>
                <c:pt idx="21">
                  <c:v>240</c:v>
                </c:pt>
                <c:pt idx="22">
                  <c:v>270</c:v>
                </c:pt>
                <c:pt idx="23">
                  <c:v>300</c:v>
                </c:pt>
                <c:pt idx="24">
                  <c:v>330</c:v>
                </c:pt>
                <c:pt idx="25">
                  <c:v>360</c:v>
                </c:pt>
                <c:pt idx="26">
                  <c:v>390</c:v>
                </c:pt>
                <c:pt idx="27">
                  <c:v>420</c:v>
                </c:pt>
                <c:pt idx="28">
                  <c:v>450</c:v>
                </c:pt>
                <c:pt idx="29">
                  <c:v>480</c:v>
                </c:pt>
                <c:pt idx="30">
                  <c:v>500</c:v>
                </c:pt>
                <c:pt idx="31">
                  <c:v>501</c:v>
                </c:pt>
                <c:pt idx="32">
                  <c:v>502</c:v>
                </c:pt>
                <c:pt idx="33">
                  <c:v>503</c:v>
                </c:pt>
                <c:pt idx="34">
                  <c:v>504</c:v>
                </c:pt>
                <c:pt idx="35">
                  <c:v>506</c:v>
                </c:pt>
                <c:pt idx="36">
                  <c:v>508</c:v>
                </c:pt>
                <c:pt idx="37">
                  <c:v>510</c:v>
                </c:pt>
                <c:pt idx="38">
                  <c:v>515</c:v>
                </c:pt>
                <c:pt idx="39">
                  <c:v>520</c:v>
                </c:pt>
                <c:pt idx="40">
                  <c:v>525</c:v>
                </c:pt>
                <c:pt idx="41">
                  <c:v>530</c:v>
                </c:pt>
                <c:pt idx="42">
                  <c:v>540</c:v>
                </c:pt>
                <c:pt idx="43">
                  <c:v>550</c:v>
                </c:pt>
                <c:pt idx="44">
                  <c:v>560</c:v>
                </c:pt>
                <c:pt idx="45">
                  <c:v>580</c:v>
                </c:pt>
                <c:pt idx="46">
                  <c:v>600</c:v>
                </c:pt>
                <c:pt idx="47">
                  <c:v>620</c:v>
                </c:pt>
                <c:pt idx="48">
                  <c:v>650</c:v>
                </c:pt>
                <c:pt idx="49">
                  <c:v>680</c:v>
                </c:pt>
                <c:pt idx="50">
                  <c:v>710</c:v>
                </c:pt>
                <c:pt idx="51">
                  <c:v>740</c:v>
                </c:pt>
                <c:pt idx="52">
                  <c:v>770</c:v>
                </c:pt>
                <c:pt idx="53">
                  <c:v>800</c:v>
                </c:pt>
              </c:numCache>
            </c:numRef>
          </c:cat>
          <c:val>
            <c:numRef>
              <c:f>'CH2'!$C$2:$C$55</c:f>
              <c:numCache>
                <c:formatCode>General</c:formatCode>
                <c:ptCount val="54"/>
                <c:pt idx="0">
                  <c:v>0</c:v>
                </c:pt>
                <c:pt idx="1">
                  <c:v>0.3</c:v>
                </c:pt>
                <c:pt idx="2">
                  <c:v>0.4</c:v>
                </c:pt>
                <c:pt idx="3">
                  <c:v>0.6</c:v>
                </c:pt>
                <c:pt idx="4">
                  <c:v>0.8</c:v>
                </c:pt>
                <c:pt idx="5">
                  <c:v>0.9</c:v>
                </c:pt>
                <c:pt idx="6">
                  <c:v>1.1</c:v>
                </c:pt>
                <c:pt idx="7">
                  <c:v>1.3</c:v>
                </c:pt>
                <c:pt idx="8">
                  <c:v>1.5</c:v>
                </c:pt>
                <c:pt idx="9">
                  <c:v>1.8</c:v>
                </c:pt>
                <c:pt idx="10">
                  <c:v>1.9</c:v>
                </c:pt>
                <c:pt idx="11">
                  <c:v>2</c:v>
                </c:pt>
                <c:pt idx="12">
                  <c:v>2.2</c:v>
                </c:pt>
                <c:pt idx="13">
                  <c:v>2.3</c:v>
                </c:pt>
                <c:pt idx="14">
                  <c:v>2.35</c:v>
                </c:pt>
                <c:pt idx="15">
                  <c:v>2.38</c:v>
                </c:pt>
                <c:pt idx="16">
                  <c:v>2.4</c:v>
                </c:pt>
                <c:pt idx="17">
                  <c:v>2.4</c:v>
                </c:pt>
                <c:pt idx="18">
                  <c:v>2.4</c:v>
                </c:pt>
                <c:pt idx="19">
                  <c:v>2.4</c:v>
                </c:pt>
                <c:pt idx="20">
                  <c:v>2.4</c:v>
                </c:pt>
                <c:pt idx="21">
                  <c:v>2.4</c:v>
                </c:pt>
                <c:pt idx="22">
                  <c:v>2.4</c:v>
                </c:pt>
                <c:pt idx="23">
                  <c:v>2.4</c:v>
                </c:pt>
                <c:pt idx="24">
                  <c:v>2.4</c:v>
                </c:pt>
                <c:pt idx="25">
                  <c:v>2.4</c:v>
                </c:pt>
                <c:pt idx="26">
                  <c:v>2.4</c:v>
                </c:pt>
                <c:pt idx="27">
                  <c:v>2.4</c:v>
                </c:pt>
                <c:pt idx="28">
                  <c:v>2.4</c:v>
                </c:pt>
                <c:pt idx="29">
                  <c:v>2.4</c:v>
                </c:pt>
                <c:pt idx="30">
                  <c:v>2.4</c:v>
                </c:pt>
                <c:pt idx="31">
                  <c:v>2.2</c:v>
                </c:pt>
                <c:pt idx="32">
                  <c:v>2</c:v>
                </c:pt>
                <c:pt idx="33">
                  <c:v>1.8</c:v>
                </c:pt>
                <c:pt idx="34">
                  <c:v>1.5</c:v>
                </c:pt>
                <c:pt idx="35">
                  <c:v>1.3</c:v>
                </c:pt>
                <c:pt idx="36">
                  <c:v>1.2</c:v>
                </c:pt>
                <c:pt idx="37">
                  <c:v>1</c:v>
                </c:pt>
                <c:pt idx="38">
                  <c:v>0.8</c:v>
                </c:pt>
                <c:pt idx="39">
                  <c:v>0.78</c:v>
                </c:pt>
                <c:pt idx="40">
                  <c:v>0.7</c:v>
                </c:pt>
                <c:pt idx="41">
                  <c:v>0.5</c:v>
                </c:pt>
                <c:pt idx="42">
                  <c:v>0.3</c:v>
                </c:pt>
                <c:pt idx="43">
                  <c:v>0.2</c:v>
                </c:pt>
                <c:pt idx="44">
                  <c:v>0.1</c:v>
                </c:pt>
                <c:pt idx="45">
                  <c:v>0.05</c:v>
                </c:pt>
                <c:pt idx="46">
                  <c:v>0</c:v>
                </c:pt>
                <c:pt idx="47">
                  <c:v>0</c:v>
                </c:pt>
                <c:pt idx="48">
                  <c:v>0</c:v>
                </c:pt>
                <c:pt idx="49">
                  <c:v>0</c:v>
                </c:pt>
                <c:pt idx="50">
                  <c:v>0</c:v>
                </c:pt>
                <c:pt idx="51">
                  <c:v>0</c:v>
                </c:pt>
                <c:pt idx="52">
                  <c:v>0</c:v>
                </c:pt>
                <c:pt idx="53">
                  <c:v>0</c:v>
                </c:pt>
              </c:numCache>
            </c:numRef>
          </c:val>
          <c:smooth val="1"/>
        </c:ser>
        <c:dLbls>
          <c:showLegendKey val="0"/>
          <c:showVal val="0"/>
          <c:showCatName val="0"/>
          <c:showSerName val="0"/>
          <c:showPercent val="0"/>
          <c:showBubbleSize val="0"/>
        </c:dLbls>
        <c:marker val="1"/>
        <c:smooth val="1"/>
        <c:axId val="226177408"/>
        <c:axId val="226179328"/>
      </c:lineChart>
      <c:catAx>
        <c:axId val="226177408"/>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cs typeface="Times New Roman" panose="02020603050405020304" charset="0"/>
                  </a:rPr>
                  <a:t>时间</a:t>
                </a:r>
                <a:r>
                  <a:rPr lang="en-US" altLang="zh-CN" sz="1050" b="0">
                    <a:latin typeface="Times New Roman" panose="02020603050405020304" charset="0"/>
                    <a:cs typeface="Times New Roman" panose="02020603050405020304" charset="0"/>
                  </a:rPr>
                  <a:t>/min</a:t>
                </a:r>
                <a:endParaRPr lang="zh-CN" altLang="en-US" sz="1050" b="0">
                  <a:latin typeface="Times New Roman" panose="02020603050405020304" charset="0"/>
                  <a:cs typeface="Times New Roman" panose="02020603050405020304" charset="0"/>
                </a:endParaRPr>
              </a:p>
            </c:rich>
          </c:tx>
          <c:layout>
            <c:manualLayout>
              <c:xMode val="edge"/>
              <c:yMode val="edge"/>
              <c:x val="0.432430664916887"/>
              <c:y val="0.91666666666666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226179328"/>
        <c:crosses val="max"/>
        <c:auto val="1"/>
        <c:lblAlgn val="ctr"/>
        <c:lblOffset val="100"/>
        <c:tickLblSkip val="2"/>
        <c:noMultiLvlLbl val="0"/>
      </c:catAx>
      <c:valAx>
        <c:axId val="226179328"/>
        <c:scaling>
          <c:orientation val="maxMin"/>
        </c:scaling>
        <c:delete val="0"/>
        <c:axPos val="l"/>
        <c:majorGridlines/>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ea typeface="+mn-ea"/>
                    <a:cs typeface="Times New Roman" panose="02020603050405020304" charset="0"/>
                  </a:rPr>
                  <a:t>水位降深</a:t>
                </a:r>
                <a:r>
                  <a:rPr lang="en-US" altLang="zh-CN" sz="1050" b="0">
                    <a:latin typeface="Times New Roman" panose="02020603050405020304" charset="0"/>
                    <a:ea typeface="+mn-ea"/>
                    <a:cs typeface="Times New Roman" panose="02020603050405020304" charset="0"/>
                  </a:rPr>
                  <a:t>/m</a:t>
                </a:r>
                <a:endParaRPr lang="zh-CN" altLang="en-US" sz="1050" b="0">
                  <a:latin typeface="Times New Roman" panose="02020603050405020304" charset="0"/>
                  <a:ea typeface="+mn-ea"/>
                  <a:cs typeface="Times New Roman" panose="02020603050405020304" charset="0"/>
                </a:endParaRPr>
              </a:p>
            </c:rich>
          </c:tx>
          <c:layout>
            <c:manualLayout>
              <c:xMode val="edge"/>
              <c:yMode val="edge"/>
              <c:x val="0.0194444444444444"/>
              <c:y val="0.3054830125400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50" b="0" i="0" u="none" strike="noStrike" kern="1200" baseline="0">
                <a:solidFill>
                  <a:schemeClr val="tx1"/>
                </a:solidFill>
                <a:latin typeface="+mn-lt"/>
                <a:ea typeface="+mn-ea"/>
                <a:cs typeface="+mn-cs"/>
              </a:defRPr>
            </a:pPr>
          </a:p>
        </c:txPr>
        <c:crossAx val="226177408"/>
        <c:crosses val="autoZero"/>
        <c:crossBetween val="between"/>
      </c:valAx>
      <c:spPr>
        <a:ln>
          <a:solidFill>
            <a:schemeClr val="bg2">
              <a:lumMod val="75000"/>
            </a:schemeClr>
          </a:solidFill>
        </a:ln>
      </c:spPr>
    </c:plotArea>
    <c:plotVisOnly val="1"/>
    <c:dispBlanksAs val="gap"/>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279965004374"/>
          <c:y val="0.0638597258675999"/>
          <c:w val="0.796662729658793"/>
          <c:h val="0.709427311169437"/>
        </c:manualLayout>
      </c:layout>
      <c:lineChart>
        <c:grouping val="standard"/>
        <c:varyColors val="0"/>
        <c:ser>
          <c:idx val="0"/>
          <c:order val="0"/>
          <c:tx>
            <c:strRef>
              <c:f>水位埋深</c:f>
              <c:strCache>
                <c:ptCount val="1"/>
                <c:pt idx="0">
                  <c:v>水位埋深</c:v>
                </c:pt>
              </c:strCache>
            </c:strRef>
          </c:tx>
          <c:spPr>
            <a:ln w="19050" cap="rnd" cmpd="sng" algn="ctr">
              <a:solidFill>
                <a:schemeClr val="tx2">
                  <a:lumMod val="60000"/>
                  <a:lumOff val="40000"/>
                </a:schemeClr>
              </a:solidFill>
              <a:prstDash val="solid"/>
              <a:round/>
            </a:ln>
          </c:spPr>
          <c:marker>
            <c:symbol val="diamond"/>
            <c:size val="5"/>
            <c:spPr>
              <a:solidFill>
                <a:schemeClr val="tx2"/>
              </a:solidFill>
            </c:spPr>
          </c:marker>
          <c:dLbls>
            <c:delete val="1"/>
          </c:dLbls>
          <c:cat>
            <c:numRef>
              <c:f>'CH2'!$A$2:$A$55</c:f>
              <c:numCache>
                <c:formatCode>General</c:formatCode>
                <c:ptCount val="54"/>
                <c:pt idx="0">
                  <c:v>0</c:v>
                </c:pt>
                <c:pt idx="1">
                  <c:v>1</c:v>
                </c:pt>
                <c:pt idx="2">
                  <c:v>2</c:v>
                </c:pt>
                <c:pt idx="3">
                  <c:v>3</c:v>
                </c:pt>
                <c:pt idx="4">
                  <c:v>4</c:v>
                </c:pt>
                <c:pt idx="5">
                  <c:v>6</c:v>
                </c:pt>
                <c:pt idx="6">
                  <c:v>8</c:v>
                </c:pt>
                <c:pt idx="7">
                  <c:v>10</c:v>
                </c:pt>
                <c:pt idx="8">
                  <c:v>15</c:v>
                </c:pt>
                <c:pt idx="9">
                  <c:v>20</c:v>
                </c:pt>
                <c:pt idx="10">
                  <c:v>25</c:v>
                </c:pt>
                <c:pt idx="11">
                  <c:v>30</c:v>
                </c:pt>
                <c:pt idx="12">
                  <c:v>40</c:v>
                </c:pt>
                <c:pt idx="13">
                  <c:v>50</c:v>
                </c:pt>
                <c:pt idx="14">
                  <c:v>60</c:v>
                </c:pt>
                <c:pt idx="15">
                  <c:v>80</c:v>
                </c:pt>
                <c:pt idx="16">
                  <c:v>100</c:v>
                </c:pt>
                <c:pt idx="17">
                  <c:v>120</c:v>
                </c:pt>
                <c:pt idx="18">
                  <c:v>150</c:v>
                </c:pt>
                <c:pt idx="19">
                  <c:v>180</c:v>
                </c:pt>
                <c:pt idx="20">
                  <c:v>210</c:v>
                </c:pt>
                <c:pt idx="21">
                  <c:v>240</c:v>
                </c:pt>
                <c:pt idx="22">
                  <c:v>270</c:v>
                </c:pt>
                <c:pt idx="23">
                  <c:v>300</c:v>
                </c:pt>
                <c:pt idx="24">
                  <c:v>330</c:v>
                </c:pt>
                <c:pt idx="25">
                  <c:v>360</c:v>
                </c:pt>
                <c:pt idx="26">
                  <c:v>390</c:v>
                </c:pt>
                <c:pt idx="27">
                  <c:v>420</c:v>
                </c:pt>
                <c:pt idx="28">
                  <c:v>450</c:v>
                </c:pt>
                <c:pt idx="29">
                  <c:v>480</c:v>
                </c:pt>
                <c:pt idx="30">
                  <c:v>500</c:v>
                </c:pt>
                <c:pt idx="31">
                  <c:v>501</c:v>
                </c:pt>
                <c:pt idx="32">
                  <c:v>502</c:v>
                </c:pt>
                <c:pt idx="33">
                  <c:v>503</c:v>
                </c:pt>
                <c:pt idx="34">
                  <c:v>504</c:v>
                </c:pt>
                <c:pt idx="35">
                  <c:v>506</c:v>
                </c:pt>
                <c:pt idx="36">
                  <c:v>508</c:v>
                </c:pt>
                <c:pt idx="37">
                  <c:v>510</c:v>
                </c:pt>
                <c:pt idx="38">
                  <c:v>515</c:v>
                </c:pt>
                <c:pt idx="39">
                  <c:v>520</c:v>
                </c:pt>
                <c:pt idx="40">
                  <c:v>525</c:v>
                </c:pt>
                <c:pt idx="41">
                  <c:v>530</c:v>
                </c:pt>
                <c:pt idx="42">
                  <c:v>540</c:v>
                </c:pt>
                <c:pt idx="43">
                  <c:v>550</c:v>
                </c:pt>
                <c:pt idx="44">
                  <c:v>560</c:v>
                </c:pt>
                <c:pt idx="45">
                  <c:v>580</c:v>
                </c:pt>
                <c:pt idx="46">
                  <c:v>600</c:v>
                </c:pt>
                <c:pt idx="47">
                  <c:v>620</c:v>
                </c:pt>
                <c:pt idx="48">
                  <c:v>650</c:v>
                </c:pt>
                <c:pt idx="49">
                  <c:v>680</c:v>
                </c:pt>
                <c:pt idx="50">
                  <c:v>710</c:v>
                </c:pt>
                <c:pt idx="51">
                  <c:v>740</c:v>
                </c:pt>
                <c:pt idx="52">
                  <c:v>770</c:v>
                </c:pt>
                <c:pt idx="53">
                  <c:v>800</c:v>
                </c:pt>
              </c:numCache>
            </c:numRef>
          </c:cat>
          <c:val>
            <c:numRef>
              <c:f>'CH2'!$B$2:$B$55</c:f>
              <c:numCache>
                <c:formatCode>General</c:formatCode>
                <c:ptCount val="54"/>
                <c:pt idx="0">
                  <c:v>7.6</c:v>
                </c:pt>
                <c:pt idx="1">
                  <c:v>7.9</c:v>
                </c:pt>
                <c:pt idx="2">
                  <c:v>8</c:v>
                </c:pt>
                <c:pt idx="3">
                  <c:v>8.2</c:v>
                </c:pt>
                <c:pt idx="4">
                  <c:v>8.4</c:v>
                </c:pt>
                <c:pt idx="5">
                  <c:v>8.5</c:v>
                </c:pt>
                <c:pt idx="6">
                  <c:v>8.7</c:v>
                </c:pt>
                <c:pt idx="7">
                  <c:v>8.9</c:v>
                </c:pt>
                <c:pt idx="8">
                  <c:v>9.1</c:v>
                </c:pt>
                <c:pt idx="9">
                  <c:v>9.4</c:v>
                </c:pt>
                <c:pt idx="10">
                  <c:v>9.5</c:v>
                </c:pt>
                <c:pt idx="11">
                  <c:v>9.6</c:v>
                </c:pt>
                <c:pt idx="12">
                  <c:v>9.8</c:v>
                </c:pt>
                <c:pt idx="13">
                  <c:v>9.9</c:v>
                </c:pt>
                <c:pt idx="14">
                  <c:v>9.95</c:v>
                </c:pt>
                <c:pt idx="15">
                  <c:v>9.98</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9.8</c:v>
                </c:pt>
                <c:pt idx="32">
                  <c:v>9.6</c:v>
                </c:pt>
                <c:pt idx="33">
                  <c:v>9.4</c:v>
                </c:pt>
                <c:pt idx="34">
                  <c:v>9.1</c:v>
                </c:pt>
                <c:pt idx="35">
                  <c:v>8.9</c:v>
                </c:pt>
                <c:pt idx="36">
                  <c:v>8.8</c:v>
                </c:pt>
                <c:pt idx="37">
                  <c:v>8.6</c:v>
                </c:pt>
                <c:pt idx="38">
                  <c:v>8.4</c:v>
                </c:pt>
                <c:pt idx="39">
                  <c:v>8.38</c:v>
                </c:pt>
                <c:pt idx="40">
                  <c:v>8.3</c:v>
                </c:pt>
                <c:pt idx="41">
                  <c:v>8.1</c:v>
                </c:pt>
                <c:pt idx="42">
                  <c:v>7.9</c:v>
                </c:pt>
                <c:pt idx="43">
                  <c:v>7.8</c:v>
                </c:pt>
                <c:pt idx="44">
                  <c:v>7.7</c:v>
                </c:pt>
                <c:pt idx="45">
                  <c:v>7.65</c:v>
                </c:pt>
                <c:pt idx="46">
                  <c:v>7.6</c:v>
                </c:pt>
                <c:pt idx="47">
                  <c:v>7.6</c:v>
                </c:pt>
                <c:pt idx="48">
                  <c:v>7.6</c:v>
                </c:pt>
                <c:pt idx="49">
                  <c:v>7.6</c:v>
                </c:pt>
                <c:pt idx="50">
                  <c:v>7.6</c:v>
                </c:pt>
                <c:pt idx="51">
                  <c:v>7.6</c:v>
                </c:pt>
                <c:pt idx="52">
                  <c:v>7.6</c:v>
                </c:pt>
                <c:pt idx="53">
                  <c:v>7.6</c:v>
                </c:pt>
              </c:numCache>
            </c:numRef>
          </c:val>
          <c:smooth val="1"/>
        </c:ser>
        <c:dLbls>
          <c:showLegendKey val="0"/>
          <c:showVal val="0"/>
          <c:showCatName val="0"/>
          <c:showSerName val="0"/>
          <c:showPercent val="0"/>
          <c:showBubbleSize val="0"/>
        </c:dLbls>
        <c:marker val="1"/>
        <c:smooth val="1"/>
        <c:axId val="266502528"/>
        <c:axId val="266504832"/>
      </c:lineChart>
      <c:catAx>
        <c:axId val="266502528"/>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cs typeface="Times New Roman" panose="02020603050405020304" charset="0"/>
                  </a:rPr>
                  <a:t>时间</a:t>
                </a:r>
                <a:r>
                  <a:rPr lang="en-US" altLang="zh-CN" sz="1050" b="0">
                    <a:latin typeface="Times New Roman" panose="02020603050405020304" charset="0"/>
                    <a:cs typeface="Times New Roman" panose="02020603050405020304" charset="0"/>
                  </a:rPr>
                  <a:t>/min</a:t>
                </a:r>
                <a:endParaRPr lang="zh-CN" altLang="en-US" sz="1050" b="0">
                  <a:latin typeface="Times New Roman" panose="02020603050405020304" charset="0"/>
                  <a:cs typeface="Times New Roman" panose="02020603050405020304" charset="0"/>
                </a:endParaRPr>
              </a:p>
            </c:rich>
          </c:tx>
          <c:layout>
            <c:manualLayout>
              <c:xMode val="edge"/>
              <c:yMode val="edge"/>
              <c:x val="0.432430664916887"/>
              <c:y val="0.91666666666666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266504832"/>
        <c:crosses val="max"/>
        <c:auto val="1"/>
        <c:lblAlgn val="ctr"/>
        <c:lblOffset val="100"/>
        <c:noMultiLvlLbl val="0"/>
      </c:catAx>
      <c:valAx>
        <c:axId val="266504832"/>
        <c:scaling>
          <c:orientation val="maxMin"/>
          <c:min val="7.5"/>
        </c:scaling>
        <c:delete val="0"/>
        <c:axPos val="l"/>
        <c:majorGridlines/>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ea typeface="+mn-ea"/>
                    <a:cs typeface="Times New Roman" panose="02020603050405020304" charset="0"/>
                  </a:rPr>
                  <a:t>水位埋深</a:t>
                </a:r>
                <a:r>
                  <a:rPr lang="en-US" altLang="zh-CN" sz="1050" b="0">
                    <a:latin typeface="Times New Roman" panose="02020603050405020304" charset="0"/>
                    <a:ea typeface="+mn-ea"/>
                    <a:cs typeface="Times New Roman" panose="02020603050405020304" charset="0"/>
                  </a:rPr>
                  <a:t>/m</a:t>
                </a:r>
                <a:endParaRPr lang="zh-CN" altLang="en-US" sz="1050" b="0">
                  <a:latin typeface="Times New Roman" panose="02020603050405020304" charset="0"/>
                  <a:ea typeface="+mn-ea"/>
                  <a:cs typeface="Times New Roman" panose="02020603050405020304" charset="0"/>
                </a:endParaRPr>
              </a:p>
            </c:rich>
          </c:tx>
          <c:layout>
            <c:manualLayout>
              <c:xMode val="edge"/>
              <c:yMode val="edge"/>
              <c:x val="0.0277777777777779"/>
              <c:y val="0.3054830125400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50" b="0" i="0" u="none" strike="noStrike" kern="1200" baseline="0">
                <a:solidFill>
                  <a:schemeClr val="tx1"/>
                </a:solidFill>
                <a:latin typeface="+mn-lt"/>
                <a:ea typeface="+mn-ea"/>
                <a:cs typeface="+mn-cs"/>
              </a:defRPr>
            </a:pPr>
          </a:p>
        </c:txPr>
        <c:crossAx val="266502528"/>
        <c:crosses val="autoZero"/>
        <c:crossBetween val="between"/>
      </c:valAx>
      <c:spPr>
        <a:ln>
          <a:solidFill>
            <a:schemeClr val="bg2">
              <a:lumMod val="75000"/>
            </a:schemeClr>
          </a:solidFill>
        </a:ln>
      </c:spPr>
    </c:plotArea>
    <c:legend>
      <c:legendPos val="r"/>
      <c:layout>
        <c:manualLayout>
          <c:xMode val="edge"/>
          <c:yMode val="edge"/>
          <c:x val="0.24425"/>
          <c:y val="0.157023549139691"/>
          <c:w val="0.194444444444445"/>
          <c:h val="0.08371719160105"/>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724409448819"/>
          <c:y val="0.0638597258675999"/>
          <c:w val="0.802218285214348"/>
          <c:h val="0.608898054409867"/>
        </c:manualLayout>
      </c:layout>
      <c:lineChart>
        <c:grouping val="standard"/>
        <c:varyColors val="0"/>
        <c:ser>
          <c:idx val="0"/>
          <c:order val="0"/>
          <c:tx>
            <c:strRef>
              <c:f>'CH3'!$C$1</c:f>
              <c:strCache>
                <c:ptCount val="1"/>
                <c:pt idx="0">
                  <c:v>水位降深</c:v>
                </c:pt>
              </c:strCache>
            </c:strRef>
          </c:tx>
          <c:spPr>
            <a:ln w="19050" cap="rnd" cmpd="sng" algn="ctr">
              <a:solidFill>
                <a:schemeClr val="accent1">
                  <a:shade val="95000"/>
                  <a:satMod val="105000"/>
                </a:schemeClr>
              </a:solidFill>
              <a:prstDash val="solid"/>
              <a:round/>
            </a:ln>
          </c:spPr>
          <c:marker>
            <c:symbol val="diamond"/>
            <c:size val="4"/>
          </c:marker>
          <c:dLbls>
            <c:delete val="1"/>
          </c:dLbls>
          <c:cat>
            <c:numRef>
              <c:f>'CH3'!$A$2:$A$51</c:f>
              <c:numCache>
                <c:formatCode>0.00_ </c:formatCode>
                <c:ptCount val="50"/>
                <c:pt idx="0" c:formatCode="0.00_ ">
                  <c:v>0</c:v>
                </c:pt>
                <c:pt idx="1" c:formatCode="0.00_ ">
                  <c:v>1</c:v>
                </c:pt>
                <c:pt idx="2" c:formatCode="0.00_ ">
                  <c:v>2</c:v>
                </c:pt>
                <c:pt idx="3" c:formatCode="0.00_ ">
                  <c:v>3</c:v>
                </c:pt>
                <c:pt idx="4" c:formatCode="0.00_ ">
                  <c:v>4</c:v>
                </c:pt>
                <c:pt idx="5" c:formatCode="0.00_ ">
                  <c:v>6</c:v>
                </c:pt>
                <c:pt idx="6" c:formatCode="0.00_ ">
                  <c:v>8</c:v>
                </c:pt>
                <c:pt idx="7" c:formatCode="0.00_ ">
                  <c:v>10</c:v>
                </c:pt>
                <c:pt idx="8" c:formatCode="0.00_ ">
                  <c:v>15</c:v>
                </c:pt>
                <c:pt idx="9" c:formatCode="0.00_ ">
                  <c:v>20</c:v>
                </c:pt>
                <c:pt idx="10" c:formatCode="0.00_ ">
                  <c:v>25</c:v>
                </c:pt>
                <c:pt idx="11" c:formatCode="0.00_ ">
                  <c:v>30</c:v>
                </c:pt>
                <c:pt idx="12" c:formatCode="0.00_ ">
                  <c:v>40</c:v>
                </c:pt>
                <c:pt idx="13" c:formatCode="0.00_ ">
                  <c:v>50</c:v>
                </c:pt>
                <c:pt idx="14" c:formatCode="0.00_ ">
                  <c:v>60</c:v>
                </c:pt>
                <c:pt idx="15" c:formatCode="0.00_ ">
                  <c:v>80</c:v>
                </c:pt>
                <c:pt idx="16" c:formatCode="0.00_ ">
                  <c:v>100</c:v>
                </c:pt>
                <c:pt idx="17" c:formatCode="0.00_ ">
                  <c:v>120</c:v>
                </c:pt>
                <c:pt idx="18" c:formatCode="0.00_ ">
                  <c:v>150</c:v>
                </c:pt>
                <c:pt idx="19" c:formatCode="0.00_ ">
                  <c:v>180</c:v>
                </c:pt>
                <c:pt idx="20" c:formatCode="0.00_ ">
                  <c:v>210</c:v>
                </c:pt>
                <c:pt idx="21" c:formatCode="0.00_ ">
                  <c:v>240</c:v>
                </c:pt>
                <c:pt idx="22" c:formatCode="0.00_ ">
                  <c:v>270</c:v>
                </c:pt>
                <c:pt idx="23" c:formatCode="0.00_ ">
                  <c:v>300</c:v>
                </c:pt>
                <c:pt idx="24" c:formatCode="0.00_ ">
                  <c:v>330</c:v>
                </c:pt>
                <c:pt idx="25" c:formatCode="0.00_ ">
                  <c:v>360</c:v>
                </c:pt>
                <c:pt idx="26" c:formatCode="0.00_ ">
                  <c:v>390</c:v>
                </c:pt>
                <c:pt idx="27" c:formatCode="0.00_ ">
                  <c:v>420</c:v>
                </c:pt>
                <c:pt idx="28" c:formatCode="0.00_ ">
                  <c:v>450</c:v>
                </c:pt>
                <c:pt idx="29" c:formatCode="0.00_ ">
                  <c:v>480</c:v>
                </c:pt>
                <c:pt idx="30" c:formatCode="0.00_ ">
                  <c:v>510</c:v>
                </c:pt>
                <c:pt idx="31" c:formatCode="0.00_ ">
                  <c:v>511</c:v>
                </c:pt>
                <c:pt idx="32" c:formatCode="0.00_ ">
                  <c:v>512</c:v>
                </c:pt>
                <c:pt idx="33" c:formatCode="0.00_ ">
                  <c:v>513</c:v>
                </c:pt>
                <c:pt idx="34" c:formatCode="0.00_ ">
                  <c:v>514</c:v>
                </c:pt>
                <c:pt idx="35" c:formatCode="0.00_ ">
                  <c:v>516</c:v>
                </c:pt>
                <c:pt idx="36" c:formatCode="0.00_ ">
                  <c:v>518</c:v>
                </c:pt>
                <c:pt idx="37" c:formatCode="0.00_ ">
                  <c:v>520</c:v>
                </c:pt>
                <c:pt idx="38" c:formatCode="0.00_ ">
                  <c:v>525</c:v>
                </c:pt>
                <c:pt idx="39" c:formatCode="0.00_ ">
                  <c:v>530</c:v>
                </c:pt>
                <c:pt idx="40" c:formatCode="0.00_ ">
                  <c:v>535</c:v>
                </c:pt>
                <c:pt idx="41" c:formatCode="0.00_ ">
                  <c:v>540</c:v>
                </c:pt>
                <c:pt idx="42" c:formatCode="0.00_ ">
                  <c:v>550</c:v>
                </c:pt>
                <c:pt idx="43" c:formatCode="0.00_ ">
                  <c:v>560</c:v>
                </c:pt>
                <c:pt idx="44" c:formatCode="0.00_ ">
                  <c:v>570</c:v>
                </c:pt>
                <c:pt idx="45" c:formatCode="0.00_ ">
                  <c:v>590</c:v>
                </c:pt>
                <c:pt idx="46" c:formatCode="0.00_ ">
                  <c:v>610</c:v>
                </c:pt>
                <c:pt idx="47" c:formatCode="0.00_ ">
                  <c:v>630</c:v>
                </c:pt>
                <c:pt idx="48" c:formatCode="0.00_ ">
                  <c:v>650</c:v>
                </c:pt>
                <c:pt idx="49" c:formatCode="0.00_ ">
                  <c:v>670</c:v>
                </c:pt>
              </c:numCache>
            </c:numRef>
          </c:cat>
          <c:val>
            <c:numRef>
              <c:f>'CH3'!$C$2:$C$51</c:f>
              <c:numCache>
                <c:formatCode>0.00_ </c:formatCode>
                <c:ptCount val="50"/>
                <c:pt idx="0">
                  <c:v>0</c:v>
                </c:pt>
                <c:pt idx="1">
                  <c:v>0.4</c:v>
                </c:pt>
                <c:pt idx="2">
                  <c:v>0.6</c:v>
                </c:pt>
                <c:pt idx="3">
                  <c:v>0.82</c:v>
                </c:pt>
                <c:pt idx="4">
                  <c:v>0.97</c:v>
                </c:pt>
                <c:pt idx="5">
                  <c:v>1</c:v>
                </c:pt>
                <c:pt idx="6">
                  <c:v>1.13</c:v>
                </c:pt>
                <c:pt idx="7">
                  <c:v>1.18</c:v>
                </c:pt>
                <c:pt idx="8">
                  <c:v>1.2</c:v>
                </c:pt>
                <c:pt idx="9">
                  <c:v>1.3</c:v>
                </c:pt>
                <c:pt idx="10">
                  <c:v>1.4</c:v>
                </c:pt>
                <c:pt idx="11">
                  <c:v>1.42</c:v>
                </c:pt>
                <c:pt idx="12">
                  <c:v>1.45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c:v>
                </c:pt>
                <c:pt idx="32">
                  <c:v>0.8</c:v>
                </c:pt>
                <c:pt idx="33">
                  <c:v>0.5</c:v>
                </c:pt>
                <c:pt idx="34">
                  <c:v>0.4</c:v>
                </c:pt>
                <c:pt idx="35">
                  <c:v>0.2</c:v>
                </c:pt>
                <c:pt idx="36">
                  <c:v>0.1</c:v>
                </c:pt>
                <c:pt idx="37">
                  <c:v>0.05</c:v>
                </c:pt>
                <c:pt idx="38">
                  <c:v>0</c:v>
                </c:pt>
                <c:pt idx="39">
                  <c:v>0</c:v>
                </c:pt>
                <c:pt idx="40">
                  <c:v>0</c:v>
                </c:pt>
                <c:pt idx="41">
                  <c:v>0</c:v>
                </c:pt>
                <c:pt idx="42">
                  <c:v>0</c:v>
                </c:pt>
                <c:pt idx="43">
                  <c:v>0</c:v>
                </c:pt>
                <c:pt idx="44">
                  <c:v>0</c:v>
                </c:pt>
                <c:pt idx="45">
                  <c:v>0</c:v>
                </c:pt>
                <c:pt idx="46">
                  <c:v>0</c:v>
                </c:pt>
                <c:pt idx="47">
                  <c:v>0</c:v>
                </c:pt>
                <c:pt idx="48">
                  <c:v>0</c:v>
                </c:pt>
                <c:pt idx="49">
                  <c:v>0</c:v>
                </c:pt>
              </c:numCache>
            </c:numRef>
          </c:val>
          <c:smooth val="1"/>
        </c:ser>
        <c:dLbls>
          <c:showLegendKey val="0"/>
          <c:showVal val="0"/>
          <c:showCatName val="0"/>
          <c:showSerName val="0"/>
          <c:showPercent val="0"/>
          <c:showBubbleSize val="0"/>
        </c:dLbls>
        <c:marker val="1"/>
        <c:smooth val="1"/>
        <c:axId val="221230976"/>
        <c:axId val="423252736"/>
      </c:lineChart>
      <c:catAx>
        <c:axId val="221230976"/>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cs typeface="Times New Roman" panose="02020603050405020304" charset="0"/>
                  </a:rPr>
                  <a:t>时间</a:t>
                </a:r>
                <a:r>
                  <a:rPr lang="en-US" altLang="zh-CN" sz="1050" b="0">
                    <a:latin typeface="Times New Roman" panose="02020603050405020304" charset="0"/>
                    <a:cs typeface="Times New Roman" panose="02020603050405020304" charset="0"/>
                  </a:rPr>
                  <a:t>/min</a:t>
                </a:r>
                <a:endParaRPr lang="zh-CN" altLang="en-US" sz="1050" b="0">
                  <a:latin typeface="Times New Roman" panose="02020603050405020304" charset="0"/>
                  <a:cs typeface="Times New Roman" panose="02020603050405020304" charset="0"/>
                </a:endParaRPr>
              </a:p>
            </c:rich>
          </c:tx>
          <c:layout>
            <c:manualLayout>
              <c:xMode val="edge"/>
              <c:yMode val="edge"/>
              <c:x val="0.432430664916887"/>
              <c:y val="0.916666666666667"/>
            </c:manualLayout>
          </c:layout>
          <c:overlay val="0"/>
        </c:title>
        <c:numFmt formatCode="0_ "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23252736"/>
        <c:crosses val="max"/>
        <c:auto val="1"/>
        <c:lblAlgn val="ctr"/>
        <c:lblOffset val="100"/>
        <c:noMultiLvlLbl val="0"/>
      </c:catAx>
      <c:valAx>
        <c:axId val="423252736"/>
        <c:scaling>
          <c:orientation val="maxMin"/>
        </c:scaling>
        <c:delete val="0"/>
        <c:axPos val="l"/>
        <c:majorGridlines/>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ea typeface="+mn-ea"/>
                    <a:cs typeface="Times New Roman" panose="02020603050405020304" charset="0"/>
                  </a:rPr>
                  <a:t>水位降深</a:t>
                </a:r>
                <a:r>
                  <a:rPr lang="en-US" altLang="zh-CN" sz="1050" b="0">
                    <a:latin typeface="Times New Roman" panose="02020603050405020304" charset="0"/>
                    <a:ea typeface="+mn-ea"/>
                    <a:cs typeface="Times New Roman" panose="02020603050405020304" charset="0"/>
                  </a:rPr>
                  <a:t>/m</a:t>
                </a:r>
                <a:endParaRPr lang="zh-CN" altLang="en-US" sz="1050" b="0">
                  <a:latin typeface="Times New Roman" panose="02020603050405020304" charset="0"/>
                  <a:ea typeface="+mn-ea"/>
                  <a:cs typeface="Times New Roman" panose="02020603050405020304" charset="0"/>
                </a:endParaRPr>
              </a:p>
            </c:rich>
          </c:tx>
          <c:layout>
            <c:manualLayout>
              <c:xMode val="edge"/>
              <c:yMode val="edge"/>
              <c:x val="0.0194444444444444"/>
              <c:y val="0.305483012540099"/>
            </c:manualLayout>
          </c:layout>
          <c:overlay val="0"/>
        </c:title>
        <c:numFmt formatCode="0.00_ " sourceLinked="1"/>
        <c:majorTickMark val="out"/>
        <c:minorTickMark val="none"/>
        <c:tickLblPos val="nextTo"/>
        <c:txPr>
          <a:bodyPr rot="-60000000" spcFirstLastPara="0" vertOverflow="ellipsis" vert="horz" wrap="square" anchor="ctr" anchorCtr="1"/>
          <a:lstStyle/>
          <a:p>
            <a:pPr>
              <a:defRPr lang="zh-CN" sz="1050" b="0" i="0" u="none" strike="noStrike" kern="1200" baseline="0">
                <a:solidFill>
                  <a:schemeClr val="tx1"/>
                </a:solidFill>
                <a:latin typeface="+mn-lt"/>
                <a:ea typeface="+mn-ea"/>
                <a:cs typeface="+mn-cs"/>
              </a:defRPr>
            </a:pPr>
          </a:p>
        </c:txPr>
        <c:crossAx val="221230976"/>
        <c:crosses val="autoZero"/>
        <c:crossBetween val="between"/>
      </c:valAx>
      <c:spPr>
        <a:ln>
          <a:solidFill>
            <a:schemeClr val="bg2">
              <a:lumMod val="75000"/>
            </a:schemeClr>
          </a:solidFill>
        </a:ln>
      </c:spPr>
    </c:plotArea>
    <c:plotVisOnly val="1"/>
    <c:dispBlanksAs val="gap"/>
    <c:showDLblsOverMax val="0"/>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279965004374"/>
          <c:y val="0.0638597258675999"/>
          <c:w val="0.796662729658793"/>
          <c:h val="0.709427311169437"/>
        </c:manualLayout>
      </c:layout>
      <c:lineChart>
        <c:grouping val="standard"/>
        <c:varyColors val="0"/>
        <c:ser>
          <c:idx val="0"/>
          <c:order val="0"/>
          <c:tx>
            <c:strRef>
              <c:f>'CH3'!$B$1</c:f>
              <c:strCache>
                <c:ptCount val="1"/>
                <c:pt idx="0">
                  <c:v>水位埋深</c:v>
                </c:pt>
              </c:strCache>
            </c:strRef>
          </c:tx>
          <c:spPr>
            <a:ln w="19050" cap="rnd" cmpd="sng" algn="ctr">
              <a:solidFill>
                <a:schemeClr val="accent1">
                  <a:shade val="95000"/>
                  <a:satMod val="105000"/>
                </a:schemeClr>
              </a:solidFill>
              <a:prstDash val="solid"/>
              <a:round/>
            </a:ln>
          </c:spPr>
          <c:marker>
            <c:symbol val="diamond"/>
            <c:size val="5"/>
          </c:marker>
          <c:dLbls>
            <c:delete val="1"/>
          </c:dLbls>
          <c:cat>
            <c:numRef>
              <c:f>'CH3'!$A$2:$A$51</c:f>
              <c:numCache>
                <c:formatCode>0.00_ </c:formatCode>
                <c:ptCount val="50"/>
                <c:pt idx="0" c:formatCode="0.00_ ">
                  <c:v>0</c:v>
                </c:pt>
                <c:pt idx="1" c:formatCode="0.00_ ">
                  <c:v>1</c:v>
                </c:pt>
                <c:pt idx="2" c:formatCode="0.00_ ">
                  <c:v>2</c:v>
                </c:pt>
                <c:pt idx="3" c:formatCode="0.00_ ">
                  <c:v>3</c:v>
                </c:pt>
                <c:pt idx="4" c:formatCode="0.00_ ">
                  <c:v>4</c:v>
                </c:pt>
                <c:pt idx="5" c:formatCode="0.00_ ">
                  <c:v>6</c:v>
                </c:pt>
                <c:pt idx="6" c:formatCode="0.00_ ">
                  <c:v>8</c:v>
                </c:pt>
                <c:pt idx="7" c:formatCode="0.00_ ">
                  <c:v>10</c:v>
                </c:pt>
                <c:pt idx="8" c:formatCode="0.00_ ">
                  <c:v>15</c:v>
                </c:pt>
                <c:pt idx="9" c:formatCode="0.00_ ">
                  <c:v>20</c:v>
                </c:pt>
                <c:pt idx="10" c:formatCode="0.00_ ">
                  <c:v>25</c:v>
                </c:pt>
                <c:pt idx="11" c:formatCode="0.00_ ">
                  <c:v>30</c:v>
                </c:pt>
                <c:pt idx="12" c:formatCode="0.00_ ">
                  <c:v>40</c:v>
                </c:pt>
                <c:pt idx="13" c:formatCode="0.00_ ">
                  <c:v>50</c:v>
                </c:pt>
                <c:pt idx="14" c:formatCode="0.00_ ">
                  <c:v>60</c:v>
                </c:pt>
                <c:pt idx="15" c:formatCode="0.00_ ">
                  <c:v>80</c:v>
                </c:pt>
                <c:pt idx="16" c:formatCode="0.00_ ">
                  <c:v>100</c:v>
                </c:pt>
                <c:pt idx="17" c:formatCode="0.00_ ">
                  <c:v>120</c:v>
                </c:pt>
                <c:pt idx="18" c:formatCode="0.00_ ">
                  <c:v>150</c:v>
                </c:pt>
                <c:pt idx="19" c:formatCode="0.00_ ">
                  <c:v>180</c:v>
                </c:pt>
                <c:pt idx="20" c:formatCode="0.00_ ">
                  <c:v>210</c:v>
                </c:pt>
                <c:pt idx="21" c:formatCode="0.00_ ">
                  <c:v>240</c:v>
                </c:pt>
                <c:pt idx="22" c:formatCode="0.00_ ">
                  <c:v>270</c:v>
                </c:pt>
                <c:pt idx="23" c:formatCode="0.00_ ">
                  <c:v>300</c:v>
                </c:pt>
                <c:pt idx="24" c:formatCode="0.00_ ">
                  <c:v>330</c:v>
                </c:pt>
                <c:pt idx="25" c:formatCode="0.00_ ">
                  <c:v>360</c:v>
                </c:pt>
                <c:pt idx="26" c:formatCode="0.00_ ">
                  <c:v>390</c:v>
                </c:pt>
                <c:pt idx="27" c:formatCode="0.00_ ">
                  <c:v>420</c:v>
                </c:pt>
                <c:pt idx="28" c:formatCode="0.00_ ">
                  <c:v>450</c:v>
                </c:pt>
                <c:pt idx="29" c:formatCode="0.00_ ">
                  <c:v>480</c:v>
                </c:pt>
                <c:pt idx="30" c:formatCode="0.00_ ">
                  <c:v>510</c:v>
                </c:pt>
                <c:pt idx="31" c:formatCode="0.00_ ">
                  <c:v>511</c:v>
                </c:pt>
                <c:pt idx="32" c:formatCode="0.00_ ">
                  <c:v>512</c:v>
                </c:pt>
                <c:pt idx="33" c:formatCode="0.00_ ">
                  <c:v>513</c:v>
                </c:pt>
                <c:pt idx="34" c:formatCode="0.00_ ">
                  <c:v>514</c:v>
                </c:pt>
                <c:pt idx="35" c:formatCode="0.00_ ">
                  <c:v>516</c:v>
                </c:pt>
                <c:pt idx="36" c:formatCode="0.00_ ">
                  <c:v>518</c:v>
                </c:pt>
                <c:pt idx="37" c:formatCode="0.00_ ">
                  <c:v>520</c:v>
                </c:pt>
                <c:pt idx="38" c:formatCode="0.00_ ">
                  <c:v>525</c:v>
                </c:pt>
                <c:pt idx="39" c:formatCode="0.00_ ">
                  <c:v>530</c:v>
                </c:pt>
                <c:pt idx="40" c:formatCode="0.00_ ">
                  <c:v>535</c:v>
                </c:pt>
                <c:pt idx="41" c:formatCode="0.00_ ">
                  <c:v>540</c:v>
                </c:pt>
                <c:pt idx="42" c:formatCode="0.00_ ">
                  <c:v>550</c:v>
                </c:pt>
                <c:pt idx="43" c:formatCode="0.00_ ">
                  <c:v>560</c:v>
                </c:pt>
                <c:pt idx="44" c:formatCode="0.00_ ">
                  <c:v>570</c:v>
                </c:pt>
                <c:pt idx="45" c:formatCode="0.00_ ">
                  <c:v>590</c:v>
                </c:pt>
                <c:pt idx="46" c:formatCode="0.00_ ">
                  <c:v>610</c:v>
                </c:pt>
                <c:pt idx="47" c:formatCode="0.00_ ">
                  <c:v>630</c:v>
                </c:pt>
                <c:pt idx="48" c:formatCode="0.00_ ">
                  <c:v>650</c:v>
                </c:pt>
                <c:pt idx="49" c:formatCode="0.00_ ">
                  <c:v>670</c:v>
                </c:pt>
              </c:numCache>
            </c:numRef>
          </c:cat>
          <c:val>
            <c:numRef>
              <c:f>'CH3'!$B$2:$B$51</c:f>
              <c:numCache>
                <c:formatCode>0.00_ </c:formatCode>
                <c:ptCount val="50"/>
                <c:pt idx="0">
                  <c:v>7.1</c:v>
                </c:pt>
                <c:pt idx="1">
                  <c:v>7.5</c:v>
                </c:pt>
                <c:pt idx="2">
                  <c:v>7.7</c:v>
                </c:pt>
                <c:pt idx="3">
                  <c:v>7.92</c:v>
                </c:pt>
                <c:pt idx="4">
                  <c:v>8.07</c:v>
                </c:pt>
                <c:pt idx="5">
                  <c:v>8.1</c:v>
                </c:pt>
                <c:pt idx="6">
                  <c:v>8.23</c:v>
                </c:pt>
                <c:pt idx="7">
                  <c:v>8.28</c:v>
                </c:pt>
                <c:pt idx="8">
                  <c:v>8.3</c:v>
                </c:pt>
                <c:pt idx="9">
                  <c:v>8.4</c:v>
                </c:pt>
                <c:pt idx="10">
                  <c:v>8.5</c:v>
                </c:pt>
                <c:pt idx="11">
                  <c:v>8.52</c:v>
                </c:pt>
                <c:pt idx="12">
                  <c:v>8.55</c:v>
                </c:pt>
                <c:pt idx="13">
                  <c:v>8.6</c:v>
                </c:pt>
                <c:pt idx="14">
                  <c:v>8.6</c:v>
                </c:pt>
                <c:pt idx="15">
                  <c:v>8.6</c:v>
                </c:pt>
                <c:pt idx="16">
                  <c:v>8.6</c:v>
                </c:pt>
                <c:pt idx="17">
                  <c:v>8.6</c:v>
                </c:pt>
                <c:pt idx="18">
                  <c:v>8.6</c:v>
                </c:pt>
                <c:pt idx="19">
                  <c:v>8.6</c:v>
                </c:pt>
                <c:pt idx="20">
                  <c:v>8.6</c:v>
                </c:pt>
                <c:pt idx="21">
                  <c:v>8.6</c:v>
                </c:pt>
                <c:pt idx="22">
                  <c:v>8.6</c:v>
                </c:pt>
                <c:pt idx="23">
                  <c:v>8.6</c:v>
                </c:pt>
                <c:pt idx="24">
                  <c:v>8.6</c:v>
                </c:pt>
                <c:pt idx="25">
                  <c:v>8.6</c:v>
                </c:pt>
                <c:pt idx="26">
                  <c:v>8.6</c:v>
                </c:pt>
                <c:pt idx="27">
                  <c:v>8.6</c:v>
                </c:pt>
                <c:pt idx="28">
                  <c:v>8.6</c:v>
                </c:pt>
                <c:pt idx="29">
                  <c:v>8.6</c:v>
                </c:pt>
                <c:pt idx="30">
                  <c:v>8.6</c:v>
                </c:pt>
                <c:pt idx="31">
                  <c:v>8.1</c:v>
                </c:pt>
                <c:pt idx="32">
                  <c:v>7.9</c:v>
                </c:pt>
                <c:pt idx="33">
                  <c:v>7.6</c:v>
                </c:pt>
                <c:pt idx="34">
                  <c:v>7.5</c:v>
                </c:pt>
                <c:pt idx="35">
                  <c:v>7.3</c:v>
                </c:pt>
                <c:pt idx="36">
                  <c:v>7.2</c:v>
                </c:pt>
                <c:pt idx="37">
                  <c:v>7.15</c:v>
                </c:pt>
                <c:pt idx="38">
                  <c:v>7.1</c:v>
                </c:pt>
                <c:pt idx="39">
                  <c:v>7.1</c:v>
                </c:pt>
                <c:pt idx="40">
                  <c:v>7.1</c:v>
                </c:pt>
                <c:pt idx="41">
                  <c:v>7.1</c:v>
                </c:pt>
                <c:pt idx="42">
                  <c:v>7.1</c:v>
                </c:pt>
                <c:pt idx="43">
                  <c:v>7.1</c:v>
                </c:pt>
                <c:pt idx="44">
                  <c:v>7.1</c:v>
                </c:pt>
                <c:pt idx="45">
                  <c:v>7.1</c:v>
                </c:pt>
                <c:pt idx="46">
                  <c:v>7.1</c:v>
                </c:pt>
                <c:pt idx="47">
                  <c:v>7.1</c:v>
                </c:pt>
                <c:pt idx="48">
                  <c:v>7.1</c:v>
                </c:pt>
                <c:pt idx="49">
                  <c:v>7.1</c:v>
                </c:pt>
              </c:numCache>
            </c:numRef>
          </c:val>
          <c:smooth val="1"/>
        </c:ser>
        <c:dLbls>
          <c:showLegendKey val="0"/>
          <c:showVal val="0"/>
          <c:showCatName val="0"/>
          <c:showSerName val="0"/>
          <c:showPercent val="0"/>
          <c:showBubbleSize val="0"/>
        </c:dLbls>
        <c:marker val="1"/>
        <c:smooth val="1"/>
        <c:axId val="368056192"/>
        <c:axId val="368784512"/>
      </c:lineChart>
      <c:catAx>
        <c:axId val="368056192"/>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cs typeface="Times New Roman" panose="02020603050405020304" charset="0"/>
                  </a:rPr>
                  <a:t>时间</a:t>
                </a:r>
                <a:r>
                  <a:rPr lang="en-US" altLang="zh-CN" sz="1050" b="0">
                    <a:latin typeface="Times New Roman" panose="02020603050405020304" charset="0"/>
                    <a:cs typeface="Times New Roman" panose="02020603050405020304" charset="0"/>
                  </a:rPr>
                  <a:t>/min</a:t>
                </a:r>
                <a:endParaRPr lang="zh-CN" altLang="en-US" sz="1050" b="0">
                  <a:latin typeface="Times New Roman" panose="02020603050405020304" charset="0"/>
                  <a:cs typeface="Times New Roman" panose="02020603050405020304" charset="0"/>
                </a:endParaRPr>
              </a:p>
            </c:rich>
          </c:tx>
          <c:layout>
            <c:manualLayout>
              <c:xMode val="edge"/>
              <c:yMode val="edge"/>
              <c:x val="0.432430664916887"/>
              <c:y val="0.916666666666667"/>
            </c:manualLayout>
          </c:layout>
          <c:overlay val="0"/>
        </c:title>
        <c:numFmt formatCode="0_ "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368784512"/>
        <c:crosses val="max"/>
        <c:auto val="1"/>
        <c:lblAlgn val="ctr"/>
        <c:lblOffset val="100"/>
        <c:noMultiLvlLbl val="0"/>
      </c:catAx>
      <c:valAx>
        <c:axId val="368784512"/>
        <c:scaling>
          <c:orientation val="maxMin"/>
          <c:min val="7"/>
        </c:scaling>
        <c:delete val="0"/>
        <c:axPos val="l"/>
        <c:majorGridlines/>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sz="1050" b="0">
                    <a:latin typeface="Times New Roman" panose="02020603050405020304" charset="0"/>
                    <a:ea typeface="+mn-ea"/>
                    <a:cs typeface="Times New Roman" panose="02020603050405020304" charset="0"/>
                  </a:rPr>
                  <a:t>水位埋深</a:t>
                </a:r>
                <a:r>
                  <a:rPr lang="en-US" altLang="zh-CN" sz="1050" b="0">
                    <a:latin typeface="Times New Roman" panose="02020603050405020304" charset="0"/>
                    <a:ea typeface="+mn-ea"/>
                    <a:cs typeface="Times New Roman" panose="02020603050405020304" charset="0"/>
                  </a:rPr>
                  <a:t>/m</a:t>
                </a:r>
                <a:endParaRPr lang="zh-CN" altLang="en-US" sz="1050" b="0">
                  <a:latin typeface="Times New Roman" panose="02020603050405020304" charset="0"/>
                  <a:ea typeface="+mn-ea"/>
                  <a:cs typeface="Times New Roman" panose="02020603050405020304" charset="0"/>
                </a:endParaRPr>
              </a:p>
            </c:rich>
          </c:tx>
          <c:layout>
            <c:manualLayout>
              <c:xMode val="edge"/>
              <c:yMode val="edge"/>
              <c:x val="0.027777777777778"/>
              <c:y val="0.305483012540099"/>
            </c:manualLayout>
          </c:layout>
          <c:overlay val="0"/>
        </c:title>
        <c:numFmt formatCode="0.00_ " sourceLinked="1"/>
        <c:majorTickMark val="out"/>
        <c:minorTickMark val="none"/>
        <c:tickLblPos val="nextTo"/>
        <c:txPr>
          <a:bodyPr rot="-60000000" spcFirstLastPara="0" vertOverflow="ellipsis" vert="horz" wrap="square" anchor="ctr" anchorCtr="1"/>
          <a:lstStyle/>
          <a:p>
            <a:pPr>
              <a:defRPr lang="zh-CN" sz="1050" b="0" i="0" u="none" strike="noStrike" kern="1200" baseline="0">
                <a:solidFill>
                  <a:schemeClr val="tx1"/>
                </a:solidFill>
                <a:latin typeface="+mn-lt"/>
                <a:ea typeface="+mn-ea"/>
                <a:cs typeface="+mn-cs"/>
              </a:defRPr>
            </a:pPr>
          </a:p>
        </c:txPr>
        <c:crossAx val="368056192"/>
        <c:crosses val="autoZero"/>
        <c:crossBetween val="between"/>
      </c:valAx>
      <c:spPr>
        <a:ln>
          <a:solidFill>
            <a:schemeClr val="bg2">
              <a:lumMod val="75000"/>
            </a:schemeClr>
          </a:solidFill>
        </a:ln>
      </c:spPr>
    </c:plotArea>
    <c:legend>
      <c:legendPos val="r"/>
      <c:layout>
        <c:manualLayout>
          <c:xMode val="edge"/>
          <c:yMode val="edge"/>
          <c:x val="0.24425"/>
          <c:y val="0.157023549139691"/>
          <c:w val="0.194444444444445"/>
          <c:h val="0.08371719160105"/>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057742782152"/>
          <c:y val="0.0838079615048122"/>
          <c:w val="0.714379702537185"/>
          <c:h val="0.687113954505687"/>
        </c:manualLayout>
      </c:layout>
      <c:scatterChart>
        <c:scatterStyle val="smoothMarker"/>
        <c:varyColors val="0"/>
        <c:ser>
          <c:idx val="0"/>
          <c:order val="0"/>
          <c:spPr>
            <a:ln w="22225" cap="rnd" cmpd="sng" algn="ctr">
              <a:solidFill>
                <a:schemeClr val="accent1">
                  <a:shade val="95000"/>
                  <a:satMod val="105000"/>
                </a:schemeClr>
              </a:solidFill>
              <a:prstDash val="solid"/>
              <a:round/>
            </a:ln>
          </c:spPr>
          <c:marker>
            <c:symbol val="diamond"/>
            <c:size val="5"/>
          </c:marker>
          <c:dLbls>
            <c:delete val="1"/>
          </c:dLbls>
          <c:xVal>
            <c:numRef>
              <c:f>Sheet3!$A$1:$A$30</c:f>
              <c:numCache>
                <c:formatCode>General</c:formatCode>
                <c:ptCount val="30"/>
                <c:pt idx="0">
                  <c:v>1</c:v>
                </c:pt>
                <c:pt idx="1">
                  <c:v>2</c:v>
                </c:pt>
                <c:pt idx="2">
                  <c:v>3</c:v>
                </c:pt>
                <c:pt idx="3">
                  <c:v>6</c:v>
                </c:pt>
                <c:pt idx="4">
                  <c:v>9</c:v>
                </c:pt>
                <c:pt idx="5">
                  <c:v>12</c:v>
                </c:pt>
                <c:pt idx="6">
                  <c:v>15</c:v>
                </c:pt>
                <c:pt idx="7">
                  <c:v>20</c:v>
                </c:pt>
                <c:pt idx="8">
                  <c:v>25</c:v>
                </c:pt>
                <c:pt idx="9">
                  <c:v>30</c:v>
                </c:pt>
                <c:pt idx="10">
                  <c:v>35</c:v>
                </c:pt>
                <c:pt idx="11">
                  <c:v>40</c:v>
                </c:pt>
                <c:pt idx="12">
                  <c:v>45</c:v>
                </c:pt>
                <c:pt idx="13">
                  <c:v>50</c:v>
                </c:pt>
                <c:pt idx="14">
                  <c:v>60</c:v>
                </c:pt>
                <c:pt idx="15">
                  <c:v>70</c:v>
                </c:pt>
                <c:pt idx="16">
                  <c:v>80</c:v>
                </c:pt>
                <c:pt idx="17">
                  <c:v>90</c:v>
                </c:pt>
                <c:pt idx="18">
                  <c:v>100</c:v>
                </c:pt>
                <c:pt idx="19">
                  <c:v>120</c:v>
                </c:pt>
                <c:pt idx="20">
                  <c:v>140</c:v>
                </c:pt>
                <c:pt idx="21">
                  <c:v>160</c:v>
                </c:pt>
                <c:pt idx="22">
                  <c:v>190</c:v>
                </c:pt>
                <c:pt idx="23">
                  <c:v>220</c:v>
                </c:pt>
                <c:pt idx="24">
                  <c:v>250</c:v>
                </c:pt>
                <c:pt idx="25">
                  <c:v>280</c:v>
                </c:pt>
                <c:pt idx="26">
                  <c:v>310</c:v>
                </c:pt>
                <c:pt idx="27">
                  <c:v>340</c:v>
                </c:pt>
                <c:pt idx="28">
                  <c:v>370</c:v>
                </c:pt>
                <c:pt idx="29">
                  <c:v>400</c:v>
                </c:pt>
              </c:numCache>
            </c:numRef>
          </c:xVal>
          <c:yVal>
            <c:numRef>
              <c:f>Sheet3!$B$1:$B$30</c:f>
              <c:numCache>
                <c:formatCode>0.00E+00</c:formatCode>
                <c:ptCount val="30"/>
                <c:pt idx="0">
                  <c:v>5.82406761350381e-5</c:v>
                </c:pt>
                <c:pt idx="1">
                  <c:v>7.19585649445587e-5</c:v>
                </c:pt>
                <c:pt idx="2">
                  <c:v>6.77570676062676e-5</c:v>
                </c:pt>
                <c:pt idx="3">
                  <c:v>5.69806632684178e-5</c:v>
                </c:pt>
                <c:pt idx="4">
                  <c:v>5.80936237281979e-5</c:v>
                </c:pt>
                <c:pt idx="5">
                  <c:v>5.47114183708736e-5</c:v>
                </c:pt>
                <c:pt idx="6">
                  <c:v>5.42282461769701e-5</c:v>
                </c:pt>
                <c:pt idx="7">
                  <c:v>5.89133520440318e-5</c:v>
                </c:pt>
                <c:pt idx="8">
                  <c:v>5.47114183708736e-5</c:v>
                </c:pt>
                <c:pt idx="9">
                  <c:v>6.43748622489432e-5</c:v>
                </c:pt>
                <c:pt idx="10">
                  <c:v>5.80936237281979e-5</c:v>
                </c:pt>
                <c:pt idx="11">
                  <c:v>5.47114183708736e-5</c:v>
                </c:pt>
                <c:pt idx="12">
                  <c:v>5.42282461769701e-5</c:v>
                </c:pt>
                <c:pt idx="13">
                  <c:v>5.89133520440318e-5</c:v>
                </c:pt>
                <c:pt idx="14">
                  <c:v>4.89133520440318e-5</c:v>
                </c:pt>
                <c:pt idx="15">
                  <c:v>5.47114183708736e-5</c:v>
                </c:pt>
                <c:pt idx="16">
                  <c:v>5.42282461769701e-5</c:v>
                </c:pt>
                <c:pt idx="17">
                  <c:v>5.89133520440318e-5</c:v>
                </c:pt>
                <c:pt idx="18">
                  <c:v>4.89133520440318e-5</c:v>
                </c:pt>
                <c:pt idx="19">
                  <c:v>4.86822696904258e-5</c:v>
                </c:pt>
                <c:pt idx="20">
                  <c:v>4.86822696904258e-5</c:v>
                </c:pt>
                <c:pt idx="21">
                  <c:v>4.86822696904258e-5</c:v>
                </c:pt>
                <c:pt idx="22">
                  <c:v>4.86822696904258e-5</c:v>
                </c:pt>
                <c:pt idx="23">
                  <c:v>4.86822696904258e-5</c:v>
                </c:pt>
                <c:pt idx="24">
                  <c:v>4.86822696904258e-5</c:v>
                </c:pt>
                <c:pt idx="25">
                  <c:v>4.86822696904258e-5</c:v>
                </c:pt>
                <c:pt idx="26">
                  <c:v>4.86822696904258e-5</c:v>
                </c:pt>
                <c:pt idx="27">
                  <c:v>4.86822696904258e-5</c:v>
                </c:pt>
                <c:pt idx="28">
                  <c:v>4.86822696904258e-5</c:v>
                </c:pt>
                <c:pt idx="29">
                  <c:v>4.86822696904258e-5</c:v>
                </c:pt>
              </c:numCache>
            </c:numRef>
          </c:yVal>
          <c:smooth val="1"/>
        </c:ser>
        <c:dLbls>
          <c:showLegendKey val="0"/>
          <c:showVal val="0"/>
          <c:showCatName val="0"/>
          <c:showSerName val="0"/>
          <c:showPercent val="0"/>
          <c:showBubbleSize val="0"/>
        </c:dLbls>
        <c:axId val="267007872"/>
        <c:axId val="356159488"/>
      </c:scatterChart>
      <c:valAx>
        <c:axId val="267007872"/>
        <c:scaling>
          <c:orientation val="minMax"/>
          <c:max val="400"/>
          <c:min val="0"/>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时间（</a:t>
                </a:r>
                <a:r>
                  <a:rPr lang="en-US" altLang="zh-CN"/>
                  <a:t>min</a:t>
                </a:r>
                <a:r>
                  <a:rPr lang="zh-CN" altLang="en-US"/>
                  <a:t>）</a:t>
                </a:r>
                <a:endParaRPr lang="zh-CN" altLang="en-US"/>
              </a:p>
            </c:rich>
          </c:tx>
          <c:layout/>
          <c:overlay val="0"/>
        </c:title>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56159488"/>
        <c:crosses val="autoZero"/>
        <c:crossBetween val="midCat"/>
      </c:valAx>
      <c:valAx>
        <c:axId val="356159488"/>
        <c:scaling>
          <c:orientation val="minMax"/>
          <c:min val="4.00000000000001e-5"/>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渗透系数（</a:t>
                </a:r>
                <a:r>
                  <a:rPr lang="en-US" altLang="zh-CN"/>
                  <a:t>cm/s</a:t>
                </a:r>
                <a:r>
                  <a:rPr lang="zh-CN" altLang="en-US"/>
                  <a:t>）</a:t>
                </a:r>
                <a:endParaRPr lang="zh-CN" altLang="en-US"/>
              </a:p>
            </c:rich>
          </c:tx>
          <c:layout/>
          <c:overlay val="0"/>
        </c:title>
        <c:numFmt formatCode="0.00E+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7007872"/>
        <c:crosses val="autoZero"/>
        <c:crossBetween val="midCat"/>
      </c:valAx>
      <c:spPr>
        <a:noFill/>
        <a:ln>
          <a:solidFill>
            <a:schemeClr val="bg2">
              <a:lumMod val="50000"/>
            </a:schemeClr>
          </a:solidFill>
        </a:ln>
      </c:spPr>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55D8AD-451D-4E9D-9B32-74374A6FA71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189</Pages>
  <Words>108243</Words>
  <Characters>125185</Characters>
  <Lines>979</Lines>
  <Paragraphs>275</Paragraphs>
  <TotalTime>85</TotalTime>
  <ScaleCrop>false</ScaleCrop>
  <LinksUpToDate>false</LinksUpToDate>
  <CharactersWithSpaces>126432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2019-09-10T02:49:00Z</dcterms:created>
  <dc:creator>微软用户</dc:creator>
  <cp:lastModifiedBy>NTKO</cp:lastModifiedBy>
  <cp:lastPrinted>2019-08-12T02:16:00Z</cp:lastPrinted>
  <dcterms:modified xsi:type="dcterms:W3CDTF">2023-08-17T07:25:42Z</dcterms:modified>
  <dc:title>牧原食品股份有限公司</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AEA062E07F904891A0B0D81AD5BE20AB_12</vt:lpwstr>
  </property>
</Properties>
</file>