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52"/>
          <w:szCs w:val="52"/>
          <w:lang w:eastAsia="zh-CN"/>
        </w:rPr>
      </w:pPr>
    </w:p>
    <w:p>
      <w:pPr>
        <w:jc w:val="center"/>
        <w:rPr>
          <w:rFonts w:hint="eastAsia" w:asciiTheme="majorEastAsia" w:hAnsiTheme="majorEastAsia" w:eastAsiaTheme="majorEastAsia" w:cstheme="majorEastAsia"/>
          <w:b/>
          <w:bCs/>
          <w:sz w:val="52"/>
          <w:szCs w:val="52"/>
          <w:lang w:eastAsia="zh-CN"/>
        </w:rPr>
      </w:pPr>
      <w:r>
        <w:rPr>
          <w:rFonts w:hint="eastAsia" w:asciiTheme="majorEastAsia" w:hAnsiTheme="majorEastAsia" w:eastAsiaTheme="majorEastAsia" w:cstheme="majorEastAsia"/>
          <w:b/>
          <w:bCs/>
          <w:sz w:val="52"/>
          <w:szCs w:val="52"/>
          <w:lang w:eastAsia="zh-CN"/>
        </w:rPr>
        <w:t>遵化市供销合作社</w:t>
      </w:r>
    </w:p>
    <w:p>
      <w:pPr>
        <w:jc w:val="center"/>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2022年度预算项目支出绩效自评报告</w:t>
      </w: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编制单位：遵化市供销合作社</w:t>
      </w:r>
    </w:p>
    <w:p>
      <w:pPr>
        <w:jc w:val="center"/>
        <w:rPr>
          <w:rFonts w:hint="eastAsia" w:asciiTheme="majorEastAsia" w:hAnsiTheme="majorEastAsia" w:eastAsiaTheme="majorEastAsia" w:cstheme="majorEastAsia"/>
          <w:b/>
          <w:bCs/>
          <w:sz w:val="52"/>
          <w:szCs w:val="52"/>
          <w:lang w:val="en-US" w:eastAsia="zh-CN"/>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sectPr>
          <w:pgSz w:w="11906" w:h="16838"/>
          <w:pgMar w:top="1984" w:right="1474" w:bottom="1417" w:left="1587" w:header="851" w:footer="992" w:gutter="0"/>
          <w:cols w:space="0" w:num="1"/>
          <w:rtlGutter w:val="0"/>
          <w:docGrid w:type="lines" w:linePitch="312" w:charSpace="0"/>
        </w:sectPr>
      </w:pPr>
    </w:p>
    <w:p>
      <w:pPr>
        <w:jc w:val="center"/>
        <w:rPr>
          <w:rFonts w:hint="eastAsia" w:ascii="宋体" w:hAnsi="宋体" w:eastAsia="宋体" w:cs="宋体"/>
          <w:b/>
          <w:bCs/>
          <w:sz w:val="44"/>
          <w:szCs w:val="44"/>
        </w:rPr>
      </w:pPr>
      <w:r>
        <w:rPr>
          <w:rFonts w:hint="eastAsia" w:ascii="宋体" w:hAnsi="宋体" w:eastAsia="宋体" w:cs="宋体"/>
          <w:b/>
          <w:bCs/>
          <w:sz w:val="44"/>
          <w:szCs w:val="44"/>
        </w:rPr>
        <w:t>遵化市</w:t>
      </w:r>
      <w:r>
        <w:rPr>
          <w:rFonts w:hint="eastAsia" w:ascii="宋体" w:hAnsi="宋体" w:eastAsia="宋体" w:cs="宋体"/>
          <w:b/>
          <w:bCs/>
          <w:sz w:val="44"/>
          <w:szCs w:val="44"/>
          <w:lang w:val="en-US" w:eastAsia="zh-CN"/>
        </w:rPr>
        <w:t>2022年度</w:t>
      </w:r>
      <w:r>
        <w:rPr>
          <w:rFonts w:hint="eastAsia" w:ascii="宋体" w:hAnsi="宋体" w:eastAsia="宋体" w:cs="宋体"/>
          <w:b/>
          <w:bCs/>
          <w:sz w:val="44"/>
          <w:szCs w:val="44"/>
        </w:rPr>
        <w:t>预算支出项目绩效评价报告</w:t>
      </w:r>
    </w:p>
    <w:p>
      <w:pPr>
        <w:jc w:val="center"/>
        <w:rPr>
          <w:rFonts w:hint="eastAsia" w:ascii="仿宋_GB2312" w:hAnsi="Calibri" w:eastAsia="仿宋_GB2312" w:cs="Times New Roman"/>
          <w:b/>
          <w:bCs/>
          <w:sz w:val="32"/>
        </w:rPr>
      </w:pPr>
    </w:p>
    <w:p>
      <w:pPr>
        <w:ind w:firstLine="614" w:firstLineChars="192"/>
        <w:rPr>
          <w:rFonts w:hint="eastAsia" w:ascii="仿宋_GB2312" w:hAnsi="Calibri" w:eastAsia="仿宋_GB2312" w:cs="Times New Roman"/>
          <w:sz w:val="32"/>
        </w:rPr>
      </w:pPr>
    </w:p>
    <w:p>
      <w:pPr>
        <w:ind w:firstLine="640" w:firstLineChars="200"/>
        <w:rPr>
          <w:rFonts w:hint="eastAsia" w:ascii="黑体" w:hAnsi="黑体" w:eastAsia="黑体" w:cs="黑体"/>
          <w:b w:val="0"/>
          <w:bCs/>
          <w:sz w:val="32"/>
          <w:lang w:eastAsia="zh-CN"/>
        </w:rPr>
      </w:pPr>
      <w:r>
        <w:rPr>
          <w:rFonts w:hint="eastAsia" w:ascii="黑体" w:hAnsi="黑体" w:eastAsia="黑体" w:cs="黑体"/>
          <w:b w:val="0"/>
          <w:bCs/>
          <w:sz w:val="32"/>
        </w:rPr>
        <w:t>项目名称</w:t>
      </w:r>
      <w:r>
        <w:rPr>
          <w:rFonts w:hint="eastAsia" w:ascii="黑体" w:hAnsi="黑体" w:eastAsia="黑体" w:cs="黑体"/>
          <w:b w:val="0"/>
          <w:bCs/>
          <w:sz w:val="32"/>
          <w:lang w:eastAsia="zh-CN"/>
        </w:rPr>
        <w:t>：</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方正仿宋简体" w:hAnsi="方正仿宋简体" w:eastAsia="方正仿宋简体" w:cs="方正仿宋简体"/>
          <w:b w:val="0"/>
          <w:bCs/>
          <w:sz w:val="32"/>
          <w:szCs w:val="32"/>
          <w:u w:val="single"/>
          <w:lang w:val="en-US" w:eastAsia="zh-CN"/>
        </w:rPr>
      </w:pPr>
      <w:r>
        <w:rPr>
          <w:rFonts w:hint="eastAsia" w:ascii="方正仿宋简体" w:hAnsi="方正仿宋简体" w:eastAsia="方正仿宋简体" w:cs="方正仿宋简体"/>
          <w:b w:val="0"/>
          <w:bCs/>
          <w:sz w:val="32"/>
          <w:u w:val="single"/>
          <w:lang w:val="en-US" w:eastAsia="zh-CN"/>
        </w:rPr>
        <w:t>（1）</w:t>
      </w:r>
      <w:r>
        <w:rPr>
          <w:rFonts w:hint="eastAsia" w:ascii="方正仿宋简体" w:hAnsi="方正仿宋简体" w:eastAsia="方正仿宋简体" w:cs="方正仿宋简体"/>
          <w:b w:val="0"/>
          <w:bCs/>
          <w:sz w:val="32"/>
          <w:szCs w:val="32"/>
          <w:u w:val="single"/>
          <w:lang w:val="en-US" w:eastAsia="zh-CN"/>
        </w:rPr>
        <w:t xml:space="preserve">供销合作社改制等退人员医疗补助经费                        </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方正仿宋简体" w:hAnsi="方正仿宋简体" w:eastAsia="方正仿宋简体" w:cs="方正仿宋简体"/>
          <w:b w:val="0"/>
          <w:bCs/>
          <w:sz w:val="32"/>
          <w:szCs w:val="32"/>
          <w:u w:val="single"/>
          <w:lang w:val="en-US" w:eastAsia="zh-CN"/>
        </w:rPr>
      </w:pPr>
      <w:r>
        <w:rPr>
          <w:rFonts w:hint="eastAsia" w:ascii="方正仿宋简体" w:hAnsi="方正仿宋简体" w:eastAsia="方正仿宋简体" w:cs="方正仿宋简体"/>
          <w:b w:val="0"/>
          <w:bCs/>
          <w:sz w:val="32"/>
          <w:szCs w:val="32"/>
          <w:u w:val="single"/>
          <w:lang w:val="en-US" w:eastAsia="zh-CN"/>
        </w:rPr>
        <w:t xml:space="preserve">（2）供销合作社农村产权流转交易中心工作经费        </w:t>
      </w: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default" w:ascii="方正仿宋简体" w:hAnsi="方正仿宋简体" w:eastAsia="方正仿宋简体" w:cs="方正仿宋简体"/>
          <w:b w:val="0"/>
          <w:bCs/>
          <w:w w:val="75"/>
          <w:sz w:val="32"/>
          <w:szCs w:val="32"/>
          <w:u w:val="single"/>
          <w:lang w:val="en-US" w:eastAsia="zh-CN"/>
        </w:rPr>
      </w:pPr>
      <w:r>
        <w:rPr>
          <w:rFonts w:hint="eastAsia" w:ascii="方正仿宋简体" w:hAnsi="方正仿宋简体" w:eastAsia="方正仿宋简体" w:cs="方正仿宋简体"/>
          <w:b w:val="0"/>
          <w:bCs/>
          <w:sz w:val="32"/>
          <w:szCs w:val="32"/>
          <w:u w:val="single"/>
          <w:lang w:val="en-US" w:eastAsia="zh-CN"/>
        </w:rPr>
        <w:t>（3）</w:t>
      </w:r>
      <w:r>
        <w:rPr>
          <w:rFonts w:hint="eastAsia" w:ascii="方正仿宋简体" w:hAnsi="方正仿宋简体" w:eastAsia="方正仿宋简体" w:cs="方正仿宋简体"/>
          <w:b w:val="0"/>
          <w:bCs/>
          <w:w w:val="80"/>
          <w:sz w:val="32"/>
          <w:szCs w:val="32"/>
          <w:u w:val="single"/>
          <w:lang w:val="en-US" w:eastAsia="zh-CN"/>
        </w:rPr>
        <w:t xml:space="preserve">办公取暖费                                           </w:t>
      </w:r>
    </w:p>
    <w:p>
      <w:pPr>
        <w:ind w:firstLine="640" w:firstLineChars="200"/>
        <w:rPr>
          <w:rFonts w:hint="default" w:ascii="方正仿宋简体" w:hAnsi="方正仿宋简体" w:eastAsia="方正仿宋简体" w:cs="方正仿宋简体"/>
          <w:b w:val="0"/>
          <w:bCs/>
          <w:sz w:val="32"/>
          <w:szCs w:val="32"/>
          <w:lang w:val="en-US" w:eastAsia="zh-CN"/>
        </w:rPr>
      </w:pPr>
      <w:r>
        <w:rPr>
          <w:rFonts w:hint="eastAsia" w:ascii="黑体" w:hAnsi="黑体" w:eastAsia="黑体" w:cs="黑体"/>
          <w:b w:val="0"/>
          <w:bCs/>
          <w:sz w:val="32"/>
          <w:szCs w:val="32"/>
        </w:rPr>
        <w:t>项目单位</w:t>
      </w:r>
      <w:r>
        <w:rPr>
          <w:rFonts w:hint="eastAsia" w:ascii="黑体" w:hAnsi="黑体" w:eastAsia="黑体" w:cs="黑体"/>
          <w:b w:val="0"/>
          <w:bCs/>
          <w:sz w:val="32"/>
          <w:szCs w:val="32"/>
          <w:lang w:val="en-US" w:eastAsia="zh-CN"/>
        </w:rPr>
        <w:t xml:space="preserve"> ：</w:t>
      </w:r>
      <w:r>
        <w:rPr>
          <w:rFonts w:hint="eastAsia" w:ascii="方正仿宋简体" w:hAnsi="方正仿宋简体" w:eastAsia="方正仿宋简体" w:cs="方正仿宋简体"/>
          <w:b w:val="0"/>
          <w:bCs/>
          <w:sz w:val="32"/>
          <w:szCs w:val="32"/>
          <w:u w:val="single"/>
        </w:rPr>
        <w:t xml:space="preserve">   遵化市供销合作社           </w:t>
      </w:r>
      <w:r>
        <w:rPr>
          <w:rFonts w:hint="eastAsia" w:ascii="方正仿宋简体" w:hAnsi="方正仿宋简体" w:eastAsia="方正仿宋简体" w:cs="方正仿宋简体"/>
          <w:b w:val="0"/>
          <w:bCs/>
          <w:sz w:val="32"/>
          <w:szCs w:val="32"/>
          <w:u w:val="single"/>
          <w:lang w:val="en-US" w:eastAsia="zh-CN"/>
        </w:rPr>
        <w:t xml:space="preserve">          </w:t>
      </w:r>
    </w:p>
    <w:p>
      <w:pPr>
        <w:ind w:firstLine="614" w:firstLineChars="192"/>
        <w:rPr>
          <w:rFonts w:hint="default" w:ascii="方正仿宋简体" w:hAnsi="方正仿宋简体" w:eastAsia="方正仿宋简体" w:cs="方正仿宋简体"/>
          <w:b/>
          <w:sz w:val="32"/>
          <w:szCs w:val="32"/>
          <w:u w:val="single"/>
          <w:lang w:val="en-US" w:eastAsia="zh-CN"/>
        </w:rPr>
      </w:pPr>
      <w:r>
        <w:rPr>
          <w:rFonts w:hint="eastAsia" w:ascii="黑体" w:hAnsi="黑体" w:eastAsia="黑体" w:cs="黑体"/>
          <w:b w:val="0"/>
          <w:bCs/>
          <w:sz w:val="32"/>
          <w:szCs w:val="32"/>
        </w:rPr>
        <w:t>主管部门</w:t>
      </w:r>
      <w:r>
        <w:rPr>
          <w:rFonts w:hint="eastAsia" w:ascii="黑体" w:hAnsi="黑体" w:eastAsia="黑体" w:cs="黑体"/>
          <w:b w:val="0"/>
          <w:bCs/>
          <w:sz w:val="32"/>
          <w:szCs w:val="32"/>
          <w:lang w:val="en-US" w:eastAsia="zh-CN"/>
        </w:rPr>
        <w:t xml:space="preserve"> ：</w:t>
      </w:r>
      <w:r>
        <w:rPr>
          <w:rFonts w:hint="eastAsia" w:ascii="方正仿宋简体" w:hAnsi="方正仿宋简体" w:eastAsia="方正仿宋简体" w:cs="方正仿宋简体"/>
          <w:b w:val="0"/>
          <w:bCs/>
          <w:sz w:val="32"/>
          <w:szCs w:val="32"/>
          <w:u w:val="single"/>
        </w:rPr>
        <w:t xml:space="preserve">   遵化市供销合作社           </w:t>
      </w:r>
      <w:r>
        <w:rPr>
          <w:rFonts w:hint="eastAsia" w:ascii="方正仿宋简体" w:hAnsi="方正仿宋简体" w:eastAsia="方正仿宋简体" w:cs="方正仿宋简体"/>
          <w:b w:val="0"/>
          <w:bCs/>
          <w:sz w:val="32"/>
          <w:szCs w:val="32"/>
          <w:u w:val="single"/>
          <w:lang w:val="en-US" w:eastAsia="zh-CN"/>
        </w:rPr>
        <w:t xml:space="preserve">          </w:t>
      </w:r>
    </w:p>
    <w:p>
      <w:pPr>
        <w:ind w:firstLine="614" w:firstLineChars="192"/>
        <w:rPr>
          <w:rFonts w:hint="eastAsia" w:ascii="方正仿宋简体" w:hAnsi="方正仿宋简体" w:eastAsia="方正仿宋简体" w:cs="方正仿宋简体"/>
          <w:b w:val="0"/>
          <w:bCs/>
          <w:sz w:val="28"/>
          <w:lang w:eastAsia="zh-CN"/>
        </w:rPr>
      </w:pPr>
      <w:r>
        <w:rPr>
          <w:rFonts w:hint="eastAsia" w:ascii="黑体" w:hAnsi="黑体" w:eastAsia="黑体" w:cs="黑体"/>
          <w:b w:val="0"/>
          <w:bCs/>
          <w:sz w:val="32"/>
        </w:rPr>
        <w:t>考评类型</w:t>
      </w:r>
      <w:r>
        <w:rPr>
          <w:rFonts w:hint="eastAsia" w:ascii="黑体" w:hAnsi="黑体" w:eastAsia="黑体" w:cs="黑体"/>
          <w:b w:val="0"/>
          <w:bCs/>
          <w:sz w:val="32"/>
          <w:lang w:eastAsia="zh-CN"/>
        </w:rPr>
        <w:t>：</w:t>
      </w:r>
      <w:r>
        <w:rPr>
          <w:rFonts w:hint="eastAsia" w:ascii="方正仿宋简体" w:hAnsi="方正仿宋简体" w:eastAsia="方正仿宋简体" w:cs="方正仿宋简体"/>
          <w:b/>
          <w:sz w:val="32"/>
          <w:lang w:val="en-US" w:eastAsia="zh-CN"/>
        </w:rPr>
        <w:t xml:space="preserve"> </w:t>
      </w:r>
      <w:r>
        <w:rPr>
          <w:rFonts w:hint="eastAsia" w:ascii="方正仿宋简体" w:hAnsi="方正仿宋简体" w:eastAsia="方正仿宋简体" w:cs="方正仿宋简体"/>
          <w:b w:val="0"/>
          <w:bCs/>
          <w:sz w:val="28"/>
        </w:rPr>
        <w:t xml:space="preserve">事前考评□     </w:t>
      </w:r>
      <w:r>
        <w:rPr>
          <w:rFonts w:hint="eastAsia" w:ascii="方正仿宋简体" w:hAnsi="方正仿宋简体" w:eastAsia="方正仿宋简体" w:cs="方正仿宋简体"/>
          <w:b w:val="0"/>
          <w:bCs/>
          <w:sz w:val="28"/>
          <w:lang w:val="en-US" w:eastAsia="zh-CN"/>
        </w:rPr>
        <w:t xml:space="preserve"> </w:t>
      </w:r>
      <w:r>
        <w:rPr>
          <w:rFonts w:hint="eastAsia" w:ascii="方正仿宋简体" w:hAnsi="方正仿宋简体" w:eastAsia="方正仿宋简体" w:cs="方正仿宋简体"/>
          <w:b w:val="0"/>
          <w:bCs/>
          <w:sz w:val="28"/>
        </w:rPr>
        <w:t xml:space="preserve"> 事中考评□     </w:t>
      </w:r>
      <w:r>
        <w:rPr>
          <w:rFonts w:hint="eastAsia" w:ascii="方正仿宋简体" w:hAnsi="方正仿宋简体" w:eastAsia="方正仿宋简体" w:cs="方正仿宋简体"/>
          <w:b w:val="0"/>
          <w:bCs/>
          <w:sz w:val="28"/>
          <w:lang w:val="en-US" w:eastAsia="zh-CN"/>
        </w:rPr>
        <w:t xml:space="preserve"> </w:t>
      </w:r>
      <w:r>
        <w:rPr>
          <w:rFonts w:hint="eastAsia" w:ascii="方正仿宋简体" w:hAnsi="方正仿宋简体" w:eastAsia="方正仿宋简体" w:cs="方正仿宋简体"/>
          <w:b w:val="0"/>
          <w:bCs/>
          <w:sz w:val="28"/>
        </w:rPr>
        <w:t xml:space="preserve"> </w:t>
      </w:r>
      <w:r>
        <w:rPr>
          <w:rFonts w:hint="eastAsia" w:ascii="方正仿宋简体" w:hAnsi="方正仿宋简体" w:eastAsia="方正仿宋简体" w:cs="方正仿宋简体"/>
          <w:b w:val="0"/>
          <w:bCs/>
          <w:sz w:val="28"/>
          <w:lang w:val="en-US" w:eastAsia="zh-CN"/>
        </w:rPr>
        <w:t xml:space="preserve"> </w:t>
      </w:r>
      <w:r>
        <w:rPr>
          <w:rFonts w:hint="eastAsia" w:ascii="方正仿宋简体" w:hAnsi="方正仿宋简体" w:eastAsia="方正仿宋简体" w:cs="方正仿宋简体"/>
          <w:b w:val="0"/>
          <w:bCs/>
          <w:sz w:val="28"/>
        </w:rPr>
        <w:t>事后考评</w:t>
      </w:r>
      <w:r>
        <w:rPr>
          <w:rFonts w:hint="eastAsia" w:ascii="方正仿宋简体" w:hAnsi="方正仿宋简体" w:eastAsia="方正仿宋简体" w:cs="方正仿宋简体"/>
          <w:b w:val="0"/>
          <w:bCs/>
          <w:sz w:val="28"/>
          <w:lang w:eastAsia="zh-CN"/>
        </w:rPr>
        <w:t>☑</w:t>
      </w:r>
    </w:p>
    <w:p>
      <w:pPr>
        <w:ind w:firstLine="614" w:firstLineChars="192"/>
        <w:rPr>
          <w:rFonts w:hint="eastAsia" w:ascii="方正仿宋简体" w:hAnsi="方正仿宋简体" w:eastAsia="方正仿宋简体" w:cs="方正仿宋简体"/>
          <w:b w:val="0"/>
          <w:bCs/>
          <w:sz w:val="32"/>
        </w:rPr>
      </w:pPr>
      <w:r>
        <w:rPr>
          <w:rFonts w:hint="eastAsia" w:ascii="黑体" w:hAnsi="黑体" w:eastAsia="黑体" w:cs="黑体"/>
          <w:b w:val="0"/>
          <w:bCs/>
          <w:sz w:val="32"/>
        </w:rPr>
        <w:t>考评方式：</w:t>
      </w:r>
      <w:r>
        <w:rPr>
          <w:rFonts w:hint="eastAsia" w:ascii="方正仿宋简体" w:hAnsi="方正仿宋简体" w:eastAsia="方正仿宋简体" w:cs="方正仿宋简体"/>
          <w:b w:val="0"/>
          <w:bCs/>
          <w:sz w:val="32"/>
          <w:lang w:val="en-US" w:eastAsia="zh-CN"/>
        </w:rPr>
        <w:t xml:space="preserve"> </w:t>
      </w:r>
      <w:r>
        <w:rPr>
          <w:rFonts w:hint="eastAsia" w:ascii="方正仿宋简体" w:hAnsi="方正仿宋简体" w:eastAsia="方正仿宋简体" w:cs="方正仿宋简体"/>
          <w:b w:val="0"/>
          <w:bCs/>
          <w:sz w:val="28"/>
          <w:szCs w:val="28"/>
        </w:rPr>
        <w:t>部门（单位）绩效自评</w:t>
      </w:r>
      <w:r>
        <w:rPr>
          <w:rFonts w:hint="eastAsia" w:ascii="方正仿宋简体" w:hAnsi="方正仿宋简体" w:eastAsia="方正仿宋简体" w:cs="方正仿宋简体"/>
          <w:b w:val="0"/>
          <w:bCs/>
          <w:sz w:val="28"/>
          <w:lang w:eastAsia="zh-CN"/>
        </w:rPr>
        <w:t>☑</w:t>
      </w:r>
      <w:r>
        <w:rPr>
          <w:rFonts w:hint="eastAsia" w:ascii="方正仿宋简体" w:hAnsi="方正仿宋简体" w:eastAsia="方正仿宋简体" w:cs="方正仿宋简体"/>
          <w:b w:val="0"/>
          <w:bCs/>
          <w:sz w:val="28"/>
          <w:szCs w:val="28"/>
        </w:rPr>
        <w:t xml:space="preserve"> </w:t>
      </w:r>
      <w:r>
        <w:rPr>
          <w:rFonts w:hint="eastAsia" w:ascii="方正仿宋简体" w:hAnsi="方正仿宋简体" w:eastAsia="方正仿宋简体" w:cs="方正仿宋简体"/>
          <w:b w:val="0"/>
          <w:bCs/>
          <w:sz w:val="28"/>
          <w:szCs w:val="28"/>
          <w:lang w:val="en-US" w:eastAsia="zh-CN"/>
        </w:rPr>
        <w:t xml:space="preserve">    </w:t>
      </w:r>
      <w:r>
        <w:rPr>
          <w:rFonts w:hint="eastAsia" w:ascii="方正仿宋简体" w:hAnsi="方正仿宋简体" w:eastAsia="方正仿宋简体" w:cs="方正仿宋简体"/>
          <w:b w:val="0"/>
          <w:bCs/>
          <w:sz w:val="28"/>
          <w:szCs w:val="28"/>
        </w:rPr>
        <w:t>财政部门组织考评□</w:t>
      </w:r>
    </w:p>
    <w:p>
      <w:pPr>
        <w:ind w:firstLine="614" w:firstLineChars="192"/>
        <w:rPr>
          <w:rFonts w:hint="eastAsia" w:ascii="方正仿宋简体" w:hAnsi="方正仿宋简体" w:eastAsia="方正仿宋简体" w:cs="方正仿宋简体"/>
          <w:b w:val="0"/>
          <w:bCs/>
          <w:sz w:val="28"/>
          <w:szCs w:val="28"/>
        </w:rPr>
      </w:pPr>
      <w:r>
        <w:rPr>
          <w:rFonts w:hint="eastAsia" w:ascii="黑体" w:hAnsi="黑体" w:eastAsia="黑体" w:cs="黑体"/>
          <w:b w:val="0"/>
          <w:bCs/>
          <w:sz w:val="32"/>
        </w:rPr>
        <w:t>考评机构：</w:t>
      </w:r>
      <w:r>
        <w:rPr>
          <w:rFonts w:hint="eastAsia" w:ascii="方正仿宋简体" w:hAnsi="方正仿宋简体" w:eastAsia="方正仿宋简体" w:cs="方正仿宋简体"/>
          <w:b w:val="0"/>
          <w:bCs/>
          <w:sz w:val="32"/>
          <w:lang w:val="en-US" w:eastAsia="zh-CN"/>
        </w:rPr>
        <w:t xml:space="preserve"> </w:t>
      </w:r>
      <w:r>
        <w:rPr>
          <w:rFonts w:hint="eastAsia" w:ascii="方正仿宋简体" w:hAnsi="方正仿宋简体" w:eastAsia="方正仿宋简体" w:cs="方正仿宋简体"/>
          <w:b w:val="0"/>
          <w:bCs/>
          <w:sz w:val="28"/>
          <w:szCs w:val="28"/>
        </w:rPr>
        <w:t>中介机构□ 部门（单位）</w:t>
      </w:r>
      <w:r>
        <w:rPr>
          <w:rFonts w:hint="eastAsia" w:ascii="方正仿宋简体" w:hAnsi="方正仿宋简体" w:eastAsia="方正仿宋简体" w:cs="方正仿宋简体"/>
          <w:b w:val="0"/>
          <w:bCs/>
          <w:sz w:val="28"/>
          <w:szCs w:val="28"/>
          <w:lang w:val="en-US" w:eastAsia="zh-CN"/>
        </w:rPr>
        <w:t xml:space="preserve"> </w:t>
      </w:r>
      <w:r>
        <w:rPr>
          <w:rFonts w:hint="eastAsia" w:ascii="方正仿宋简体" w:hAnsi="方正仿宋简体" w:eastAsia="方正仿宋简体" w:cs="方正仿宋简体"/>
          <w:b w:val="0"/>
          <w:bCs/>
          <w:sz w:val="28"/>
          <w:szCs w:val="28"/>
        </w:rPr>
        <w:t>考评组</w:t>
      </w:r>
      <w:r>
        <w:rPr>
          <w:rFonts w:hint="eastAsia" w:ascii="方正仿宋简体" w:hAnsi="方正仿宋简体" w:eastAsia="方正仿宋简体" w:cs="方正仿宋简体"/>
          <w:b w:val="0"/>
          <w:bCs/>
          <w:sz w:val="28"/>
          <w:szCs w:val="28"/>
          <w:lang w:eastAsia="zh-CN"/>
        </w:rPr>
        <w:t>☑</w:t>
      </w:r>
      <w:r>
        <w:rPr>
          <w:rFonts w:hint="eastAsia" w:ascii="方正仿宋简体" w:hAnsi="方正仿宋简体" w:eastAsia="方正仿宋简体" w:cs="方正仿宋简体"/>
          <w:b w:val="0"/>
          <w:bCs/>
          <w:sz w:val="28"/>
          <w:szCs w:val="28"/>
        </w:rPr>
        <w:t xml:space="preserve"> 财政考评组□</w:t>
      </w:r>
    </w:p>
    <w:p>
      <w:pPr>
        <w:jc w:val="center"/>
        <w:rPr>
          <w:rFonts w:hint="eastAsia" w:ascii="仿宋_GB2312" w:hAnsi="Calibri" w:eastAsia="仿宋_GB2312" w:cs="Times New Roman"/>
          <w:b/>
          <w:sz w:val="32"/>
        </w:rPr>
      </w:pPr>
    </w:p>
    <w:p>
      <w:pPr>
        <w:jc w:val="center"/>
        <w:rPr>
          <w:rFonts w:hint="eastAsia" w:ascii="仿宋_GB2312" w:hAnsi="Calibri" w:eastAsia="仿宋_GB2312" w:cs="Times New Roman"/>
          <w:b/>
          <w:sz w:val="32"/>
        </w:rPr>
      </w:pPr>
    </w:p>
    <w:p>
      <w:pPr>
        <w:jc w:val="center"/>
        <w:rPr>
          <w:rFonts w:hint="eastAsia" w:ascii="仿宋_GB2312" w:hAnsi="Calibri" w:eastAsia="仿宋_GB2312" w:cs="Times New Roman"/>
          <w:b/>
          <w:sz w:val="32"/>
        </w:rPr>
      </w:pPr>
    </w:p>
    <w:p>
      <w:pPr>
        <w:jc w:val="center"/>
        <w:rPr>
          <w:rFonts w:hint="eastAsia" w:ascii="仿宋_GB2312" w:hAnsi="Calibri" w:eastAsia="仿宋_GB2312" w:cs="Times New Roman"/>
          <w:b/>
          <w:sz w:val="32"/>
        </w:rPr>
      </w:pPr>
    </w:p>
    <w:p>
      <w:pPr>
        <w:jc w:val="center"/>
        <w:rPr>
          <w:rFonts w:hint="eastAsia" w:ascii="方正仿宋简体" w:hAnsi="方正仿宋简体" w:eastAsia="方正仿宋简体" w:cs="方正仿宋简体"/>
          <w:b/>
          <w:sz w:val="32"/>
        </w:rPr>
      </w:pPr>
    </w:p>
    <w:p>
      <w:pPr>
        <w:jc w:val="center"/>
        <w:rPr>
          <w:rFonts w:hint="eastAsia" w:ascii="方正仿宋简体" w:hAnsi="方正仿宋简体" w:eastAsia="方正仿宋简体" w:cs="方正仿宋简体"/>
          <w:b/>
          <w:sz w:val="32"/>
        </w:rPr>
      </w:pPr>
      <w:r>
        <w:rPr>
          <w:rFonts w:hint="eastAsia" w:ascii="方正仿宋简体" w:hAnsi="方正仿宋简体" w:eastAsia="方正仿宋简体" w:cs="方正仿宋简体"/>
          <w:b/>
          <w:sz w:val="32"/>
        </w:rPr>
        <w:t>遵化市财政局（制）</w:t>
      </w:r>
    </w:p>
    <w:p>
      <w:pPr>
        <w:jc w:val="center"/>
        <w:rPr>
          <w:rFonts w:hint="eastAsia" w:ascii="方正仿宋简体" w:hAnsi="方正仿宋简体" w:eastAsia="方正仿宋简体" w:cs="方正仿宋简体"/>
          <w:b/>
          <w:sz w:val="32"/>
        </w:rPr>
      </w:pPr>
    </w:p>
    <w:p>
      <w:pPr>
        <w:jc w:val="center"/>
        <w:rPr>
          <w:rFonts w:hint="eastAsia" w:ascii="方正仿宋简体" w:hAnsi="方正仿宋简体" w:eastAsia="方正仿宋简体" w:cs="方正仿宋简体"/>
          <w:b/>
          <w:sz w:val="32"/>
          <w:lang w:eastAsia="zh-CN"/>
        </w:rPr>
      </w:pPr>
    </w:p>
    <w:tbl>
      <w:tblPr>
        <w:tblStyle w:val="4"/>
        <w:tblpPr w:leftFromText="180" w:rightFromText="180" w:vertAnchor="text" w:horzAnchor="page" w:tblpX="1654" w:tblpY="472"/>
        <w:tblOverlap w:val="never"/>
        <w:tblW w:w="9175" w:type="dxa"/>
        <w:tblInd w:w="0" w:type="dxa"/>
        <w:shd w:val="clear" w:color="auto" w:fill="auto"/>
        <w:tblLayout w:type="autofit"/>
        <w:tblCellMar>
          <w:top w:w="0" w:type="dxa"/>
          <w:left w:w="108" w:type="dxa"/>
          <w:bottom w:w="0" w:type="dxa"/>
          <w:right w:w="108" w:type="dxa"/>
        </w:tblCellMar>
      </w:tblPr>
      <w:tblGrid>
        <w:gridCol w:w="522"/>
        <w:gridCol w:w="882"/>
        <w:gridCol w:w="1454"/>
        <w:gridCol w:w="1142"/>
        <w:gridCol w:w="892"/>
        <w:gridCol w:w="844"/>
        <w:gridCol w:w="666"/>
        <w:gridCol w:w="781"/>
        <w:gridCol w:w="740"/>
        <w:gridCol w:w="1252"/>
      </w:tblGrid>
      <w:tr>
        <w:tblPrEx>
          <w:shd w:val="clear" w:color="auto" w:fill="auto"/>
          <w:tblCellMar>
            <w:top w:w="0" w:type="dxa"/>
            <w:left w:w="108" w:type="dxa"/>
            <w:bottom w:w="0" w:type="dxa"/>
            <w:right w:w="108" w:type="dxa"/>
          </w:tblCellMar>
        </w:tblPrEx>
        <w:trPr>
          <w:trHeight w:val="622" w:hRule="atLeast"/>
        </w:trPr>
        <w:tc>
          <w:tcPr>
            <w:tcW w:w="8880" w:type="dxa"/>
            <w:gridSpan w:val="10"/>
            <w:tcBorders>
              <w:top w:val="nil"/>
              <w:left w:val="nil"/>
              <w:bottom w:val="nil"/>
              <w:right w:val="nil"/>
            </w:tcBorders>
            <w:shd w:val="clear" w:color="auto" w:fill="auto"/>
            <w:vAlign w:val="center"/>
          </w:tcPr>
          <w:p>
            <w:pPr>
              <w:keepNext w:val="0"/>
              <w:keepLines w:val="0"/>
              <w:widowControl/>
              <w:numPr>
                <w:ilvl w:val="0"/>
                <w:numId w:val="1"/>
              </w:numPr>
              <w:suppressLineNumbers w:val="0"/>
              <w:jc w:val="both"/>
              <w:textAlignment w:val="center"/>
              <w:rPr>
                <w:rFonts w:hint="eastAsia" w:ascii="黑体" w:hAnsi="黑体" w:eastAsia="黑体" w:cs="黑体"/>
                <w:i w:val="0"/>
                <w:iCs w:val="0"/>
                <w:color w:val="000000"/>
                <w:sz w:val="32"/>
                <w:szCs w:val="32"/>
                <w:u w:val="none"/>
                <w:lang w:eastAsia="zh-CN"/>
              </w:rPr>
            </w:pPr>
            <w:r>
              <w:rPr>
                <w:rFonts w:hint="eastAsia" w:ascii="黑体" w:hAnsi="黑体" w:eastAsia="黑体" w:cs="黑体"/>
                <w:i w:val="0"/>
                <w:iCs w:val="0"/>
                <w:color w:val="000000"/>
                <w:sz w:val="32"/>
                <w:szCs w:val="32"/>
                <w:u w:val="none"/>
                <w:lang w:eastAsia="zh-CN"/>
              </w:rPr>
              <w:t>供销合作社改制等退人员医疗补助经费项目</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val="0"/>
                <w:bCs w:val="0"/>
                <w:i w:val="0"/>
                <w:iCs w:val="0"/>
                <w:color w:val="000000"/>
                <w:kern w:val="0"/>
                <w:sz w:val="36"/>
                <w:szCs w:val="36"/>
                <w:u w:val="none"/>
                <w:lang w:val="en-US" w:eastAsia="zh-CN" w:bidi="ar"/>
              </w:rPr>
              <w:t>2022年度项目支出绩效自评表</w:t>
            </w:r>
          </w:p>
        </w:tc>
      </w:tr>
      <w:tr>
        <w:tblPrEx>
          <w:tblCellMar>
            <w:top w:w="0" w:type="dxa"/>
            <w:left w:w="108" w:type="dxa"/>
            <w:bottom w:w="0" w:type="dxa"/>
            <w:right w:w="108" w:type="dxa"/>
          </w:tblCellMar>
        </w:tblPrEx>
        <w:trPr>
          <w:trHeight w:val="315" w:hRule="atLeast"/>
        </w:trPr>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0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785" w:type="dxa"/>
            <w:gridSpan w:val="3"/>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2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98" w:hRule="atLeast"/>
        </w:trPr>
        <w:tc>
          <w:tcPr>
            <w:tcW w:w="1359"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521" w:type="dxa"/>
            <w:gridSpan w:val="8"/>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供销合作社改制等退人员医疗补助经费</w:t>
            </w:r>
          </w:p>
        </w:tc>
      </w:tr>
      <w:tr>
        <w:tblPrEx>
          <w:tblCellMar>
            <w:top w:w="0" w:type="dxa"/>
            <w:left w:w="108" w:type="dxa"/>
            <w:bottom w:w="0" w:type="dxa"/>
            <w:right w:w="108" w:type="dxa"/>
          </w:tblCellMar>
        </w:tblPrEx>
        <w:trPr>
          <w:trHeight w:val="457" w:hRule="atLeast"/>
        </w:trPr>
        <w:tc>
          <w:tcPr>
            <w:tcW w:w="135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遵化市供销合作社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32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遵化市供销合作社</w:t>
            </w:r>
          </w:p>
        </w:tc>
      </w:tr>
      <w:tr>
        <w:tblPrEx>
          <w:tblCellMar>
            <w:top w:w="0" w:type="dxa"/>
            <w:left w:w="108" w:type="dxa"/>
            <w:bottom w:w="0" w:type="dxa"/>
            <w:right w:w="108" w:type="dxa"/>
          </w:tblCellMar>
        </w:tblPrEx>
        <w:trPr>
          <w:trHeight w:val="632" w:hRule="atLeast"/>
        </w:trPr>
        <w:tc>
          <w:tcPr>
            <w:tcW w:w="1359"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 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92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r>
      <w:tr>
        <w:tblPrEx>
          <w:tblCellMar>
            <w:top w:w="0" w:type="dxa"/>
            <w:left w:w="108" w:type="dxa"/>
            <w:bottom w:w="0" w:type="dxa"/>
            <w:right w:w="108" w:type="dxa"/>
          </w:tblCellMar>
        </w:tblPrEx>
        <w:trPr>
          <w:trHeight w:val="562" w:hRule="atLeast"/>
        </w:trPr>
        <w:tc>
          <w:tcPr>
            <w:tcW w:w="135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4.22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92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r>
      <w:tr>
        <w:tblPrEx>
          <w:tblCellMar>
            <w:top w:w="0" w:type="dxa"/>
            <w:left w:w="108" w:type="dxa"/>
            <w:bottom w:w="0" w:type="dxa"/>
            <w:right w:w="108" w:type="dxa"/>
          </w:tblCellMar>
        </w:tblPrEx>
        <w:trPr>
          <w:trHeight w:val="632" w:hRule="atLeast"/>
        </w:trPr>
        <w:tc>
          <w:tcPr>
            <w:tcW w:w="135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4.22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p>
        </w:tc>
        <w:tc>
          <w:tcPr>
            <w:tcW w:w="192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62" w:hRule="atLeast"/>
        </w:trPr>
        <w:tc>
          <w:tcPr>
            <w:tcW w:w="135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62" w:hRule="atLeast"/>
        </w:trPr>
        <w:tc>
          <w:tcPr>
            <w:tcW w:w="1359"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2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62" w:hRule="atLeast"/>
        </w:trPr>
        <w:tc>
          <w:tcPr>
            <w:tcW w:w="50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046"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32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实际完成情况综述</w:t>
            </w:r>
          </w:p>
        </w:tc>
      </w:tr>
      <w:tr>
        <w:tblPrEx>
          <w:tblCellMar>
            <w:top w:w="0" w:type="dxa"/>
            <w:left w:w="108" w:type="dxa"/>
            <w:bottom w:w="0" w:type="dxa"/>
            <w:right w:w="108" w:type="dxa"/>
          </w:tblCellMar>
        </w:tblPrEx>
        <w:trPr>
          <w:trHeight w:val="1876" w:hRule="atLeast"/>
        </w:trPr>
        <w:tc>
          <w:tcPr>
            <w:tcW w:w="50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6"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（1）按照遵化市医疗保险部门每月核实确认的改制等退人员医疗保险费金额，为改制等退人员缴纳医保费，确保人员全覆盖</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（2）按照遵化市医疗保险部门每月核实确认的改制等退人员医疗保险费金额，为改制等退人员缴纳医保费，确保缴费及时</w:t>
            </w:r>
            <w:r>
              <w:rPr>
                <w:rFonts w:hint="eastAsia" w:ascii="宋体" w:hAnsi="宋体" w:eastAsia="宋体" w:cs="宋体"/>
                <w:i w:val="0"/>
                <w:iCs w:val="0"/>
                <w:color w:val="000000"/>
                <w:sz w:val="18"/>
                <w:szCs w:val="18"/>
                <w:u w:val="none"/>
                <w:lang w:eastAsia="zh-CN"/>
              </w:rPr>
              <w:t>；</w:t>
            </w:r>
            <w:r>
              <w:rPr>
                <w:rFonts w:hint="eastAsia" w:ascii="宋体" w:hAnsi="宋体" w:eastAsia="宋体" w:cs="宋体"/>
                <w:i w:val="0"/>
                <w:iCs w:val="0"/>
                <w:color w:val="000000"/>
                <w:sz w:val="18"/>
                <w:szCs w:val="18"/>
                <w:u w:val="none"/>
              </w:rPr>
              <w:t>（3）按照遵化市医疗保险部门每月核实确认的改制等退人员医疗保险费金额，为改制等退人员缴纳医保费，确保缴费足额</w:t>
            </w:r>
            <w:r>
              <w:rPr>
                <w:rFonts w:hint="eastAsia" w:ascii="宋体" w:hAnsi="宋体" w:eastAsia="宋体" w:cs="宋体"/>
                <w:i w:val="0"/>
                <w:iCs w:val="0"/>
                <w:color w:val="000000"/>
                <w:sz w:val="18"/>
                <w:szCs w:val="18"/>
                <w:u w:val="none"/>
                <w:lang w:eastAsia="zh-CN"/>
              </w:rPr>
              <w:t>。</w:t>
            </w:r>
          </w:p>
        </w:tc>
        <w:tc>
          <w:tcPr>
            <w:tcW w:w="3329"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该项目实际是为改制等退人员按月缴纳医疗保险费，按照遵化市医疗保险部门每月核实确认的改制等退人员医疗保险费金额，按时为改制等退人员缴纳了医保费。</w:t>
            </w:r>
          </w:p>
        </w:tc>
      </w:tr>
      <w:tr>
        <w:tblPrEx>
          <w:tblCellMar>
            <w:top w:w="0" w:type="dxa"/>
            <w:left w:w="108" w:type="dxa"/>
            <w:bottom w:w="0" w:type="dxa"/>
            <w:right w:w="108" w:type="dxa"/>
          </w:tblCellMar>
        </w:tblPrEx>
        <w:trPr>
          <w:trHeight w:val="943" w:hRule="atLeast"/>
        </w:trPr>
        <w:tc>
          <w:tcPr>
            <w:tcW w:w="505" w:type="dxa"/>
            <w:vMerge w:val="restart"/>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绩   效    指   标     </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CellMar>
            <w:top w:w="0" w:type="dxa"/>
            <w:left w:w="108" w:type="dxa"/>
            <w:bottom w:w="0" w:type="dxa"/>
            <w:right w:w="108" w:type="dxa"/>
          </w:tblCellMar>
        </w:tblPrEx>
        <w:trPr>
          <w:trHeight w:val="632"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为改制等退人员缴纳医保费的人数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2"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为改制等退人员缴纳医保费覆盖率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2"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03"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02"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持续影响力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9"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间接经济效益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7"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47"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5" w:hRule="atLeast"/>
        </w:trPr>
        <w:tc>
          <w:tcPr>
            <w:tcW w:w="505" w:type="dxa"/>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2"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62" w:hRule="atLeast"/>
        </w:trPr>
        <w:tc>
          <w:tcPr>
            <w:tcW w:w="6196"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7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1212" w:type="dxa"/>
            <w:tcBorders>
              <w:top w:val="single" w:color="000000" w:sz="4" w:space="0"/>
              <w:left w:val="single" w:color="000000" w:sz="4" w:space="0"/>
              <w:bottom w:val="nil"/>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633" w:hRule="atLeast"/>
        </w:trPr>
        <w:tc>
          <w:tcPr>
            <w:tcW w:w="6196" w:type="dxa"/>
            <w:gridSpan w:val="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分</w:t>
            </w:r>
          </w:p>
        </w:tc>
        <w:tc>
          <w:tcPr>
            <w:tcW w:w="75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1212"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i w:val="0"/>
          <w:iCs w:val="0"/>
          <w:color w:val="000000"/>
          <w:sz w:val="32"/>
          <w:szCs w:val="32"/>
          <w:u w:val="none"/>
          <w:lang w:eastAsia="zh-CN"/>
        </w:rPr>
        <w:t>供销合作社改制等退人员医疗补助经费项目</w:t>
      </w:r>
      <w:r>
        <w:rPr>
          <w:rFonts w:hint="eastAsia" w:ascii="黑体" w:hAnsi="黑体" w:eastAsia="黑体" w:cs="黑体"/>
          <w:sz w:val="32"/>
          <w:szCs w:val="32"/>
          <w:lang w:val="en-US" w:eastAsia="zh-CN"/>
        </w:rPr>
        <w:t>支出绩效自评说明：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1.项目概况。</w:t>
      </w:r>
      <w:r>
        <w:rPr>
          <w:rFonts w:hint="eastAsia" w:ascii="方正仿宋简体" w:hAnsi="方正仿宋简体" w:eastAsia="方正仿宋简体" w:cs="方正仿宋简体"/>
          <w:b/>
          <w:bCs/>
          <w:sz w:val="32"/>
          <w:szCs w:val="32"/>
          <w:lang w:val="en-US" w:eastAsia="zh-CN"/>
        </w:rPr>
        <w:t>（1）项目背景：</w:t>
      </w:r>
      <w:r>
        <w:rPr>
          <w:rFonts w:hint="eastAsia" w:ascii="方正仿宋简体" w:hAnsi="方正仿宋简体" w:eastAsia="方正仿宋简体" w:cs="方正仿宋简体"/>
          <w:sz w:val="32"/>
          <w:szCs w:val="32"/>
          <w:lang w:val="en-US" w:eastAsia="zh-CN"/>
        </w:rPr>
        <w:t>根据2015年3月31日遵化市政府批准的《遵化市财政局 遵化市人力资源和社会保障局 遵化市供销合作社关于市供销合作社系统改制涉及人员欠缴社会保险费有关情况的报告》精神，遵化市财政局给我社下发了的《关于全系统改制涉及人员欠缴社会保险费有关情况请示的答复》（遵财答复[2015]398号），其中涉及"3、对于221名等退人员等退期间2015年以后应缴医疗保险单位部分，为使职工享受医保待遇，按年核实后，据实缴纳。"（答复中第3条）"4、以上所需社会保险费纳入当年财政预算"；另据2016年9月23日遵化市政府批准的《遵化市供销合作社关于为原市工业品公司退休职工陈贺缴纳医疗保险的请示》精神，遵化市财政局给我社下发了《关于为"原市工业品公司退休职工陈贺缴纳医疗保险"请示的答复》（遵财答复[2016]1740号），将应缴纳退休人员陈贺医疗保险自2017年1月起一并纳入此项目即供销社改制等退经费项目（改制五年等退人员医疗保险费）；2019年11月22日遵化市政府批准了《遵化市供销合作社关于将改制五年等退人员医疗保险费继续纳入财政预算的请示》，此项目自2015年度开始纳入财政预算。</w:t>
      </w:r>
      <w:r>
        <w:rPr>
          <w:rFonts w:hint="eastAsia" w:ascii="方正仿宋简体" w:hAnsi="方正仿宋简体" w:eastAsia="方正仿宋简体" w:cs="方正仿宋简体"/>
          <w:b/>
          <w:bCs/>
          <w:sz w:val="32"/>
          <w:szCs w:val="32"/>
          <w:lang w:val="en-US" w:eastAsia="zh-CN"/>
        </w:rPr>
        <w:t>（2）主要内容：</w:t>
      </w:r>
      <w:r>
        <w:rPr>
          <w:rFonts w:hint="eastAsia" w:ascii="方正仿宋简体" w:hAnsi="方正仿宋简体" w:eastAsia="方正仿宋简体" w:cs="方正仿宋简体"/>
          <w:sz w:val="32"/>
          <w:szCs w:val="32"/>
          <w:lang w:val="en-US" w:eastAsia="zh-CN"/>
        </w:rPr>
        <w:t>根据市医疗保险部门按月核定的应缴纳改制五年等退人员的医疗保险费额度，按月为改制五年等退人员及时缴纳。</w:t>
      </w:r>
      <w:r>
        <w:rPr>
          <w:rFonts w:hint="eastAsia" w:ascii="方正仿宋简体" w:hAnsi="方正仿宋简体" w:eastAsia="方正仿宋简体" w:cs="方正仿宋简体"/>
          <w:b/>
          <w:bCs/>
          <w:sz w:val="32"/>
          <w:szCs w:val="32"/>
          <w:lang w:val="en-US" w:eastAsia="zh-CN"/>
        </w:rPr>
        <w:t>（3）实施情况：</w:t>
      </w:r>
      <w:r>
        <w:rPr>
          <w:rFonts w:hint="eastAsia" w:ascii="方正仿宋简体" w:hAnsi="方正仿宋简体" w:eastAsia="方正仿宋简体" w:cs="方正仿宋简体"/>
          <w:sz w:val="32"/>
          <w:szCs w:val="32"/>
          <w:lang w:val="en-US" w:eastAsia="zh-CN"/>
        </w:rPr>
        <w:t>全年按照医保部门实际核实的保险金额按时为改制等退人员缴纳了医保费，实现了人员全覆盖，确保了缴费及时足额，全年实际完成率为100%。</w:t>
      </w:r>
      <w:r>
        <w:rPr>
          <w:rFonts w:hint="eastAsia" w:ascii="方正仿宋简体" w:hAnsi="方正仿宋简体" w:eastAsia="方正仿宋简体" w:cs="方正仿宋简体"/>
          <w:b/>
          <w:bCs/>
          <w:sz w:val="32"/>
          <w:szCs w:val="32"/>
          <w:lang w:val="en-US" w:eastAsia="zh-CN"/>
        </w:rPr>
        <w:t>（4）资金投入及使用情况：</w:t>
      </w:r>
      <w:r>
        <w:rPr>
          <w:rFonts w:hint="eastAsia" w:ascii="方正仿宋简体" w:hAnsi="方正仿宋简体" w:eastAsia="方正仿宋简体" w:cs="方正仿宋简体"/>
          <w:sz w:val="32"/>
          <w:szCs w:val="32"/>
          <w:lang w:val="en-US" w:eastAsia="zh-CN"/>
        </w:rPr>
        <w:t>该项目年初预算资金4.5万元，为一般公共预算财政拨款。经压缩调整后4.22万元，全年实际支出4.22万元，预算执行率100%，全部用于缴纳改制五年等退人员医疗保险费项目。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2.项目绩效目标。</w:t>
      </w:r>
      <w:r>
        <w:rPr>
          <w:rFonts w:hint="eastAsia" w:ascii="方正仿宋简体" w:hAnsi="方正仿宋简体" w:eastAsia="方正仿宋简体" w:cs="方正仿宋简体"/>
          <w:sz w:val="32"/>
          <w:szCs w:val="32"/>
          <w:lang w:val="en-US" w:eastAsia="zh-CN"/>
        </w:rPr>
        <w:t>（1）按照遵化市医疗保险部门每月核实确认的改制等退人员医疗保险费金额，为改制等退人员缴纳医保费，确保人员全覆盖。（2）按照遵化市医疗保险部门每月核实确认的改制等退人员医疗保险费金额，为改制等退人员缴纳医保费，确保缴费及时。（3）按照遵化市医疗保险部门每月核实确认的改制等退人员医疗保险费金额，为改制等退人员缴纳医保费，确保缴费足额。</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次2022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2022年度部门预算项目支出情况。范围为供销合作社改制等退人员医疗补助经费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1.绩效评价原则：</w:t>
      </w:r>
      <w:r>
        <w:rPr>
          <w:rFonts w:hint="eastAsia" w:ascii="方正仿宋简体" w:hAnsi="方正仿宋简体" w:eastAsia="方正仿宋简体" w:cs="方正仿宋简体"/>
          <w:sz w:val="32"/>
          <w:szCs w:val="32"/>
          <w:lang w:val="en-US" w:eastAsia="zh-CN"/>
        </w:rPr>
        <w:t>2022年度预算项目支出绩效评价工作遵循全面覆盖、程序简便、客观公正、公开透明的原则。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供销合作社改制等退人员医疗补助经费项目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center"/>
        <w:textAlignment w:val="auto"/>
        <w:rPr>
          <w:rFonts w:hint="eastAsia" w:ascii="方正仿宋简体" w:hAnsi="方正仿宋简体" w:eastAsia="方正仿宋简体" w:cs="方正仿宋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2022年度项目支出绩效评价指标体系</w:t>
      </w:r>
    </w:p>
    <w:tbl>
      <w:tblPr>
        <w:tblStyle w:val="5"/>
        <w:tblpPr w:leftFromText="180" w:rightFromText="180" w:vertAnchor="text" w:horzAnchor="page" w:tblpX="1590" w:tblpY="472"/>
        <w:tblOverlap w:val="never"/>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002"/>
        <w:gridCol w:w="1492"/>
        <w:gridCol w:w="2702"/>
        <w:gridCol w:w="1005"/>
        <w:gridCol w:w="74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52"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项目名称</w:t>
            </w:r>
          </w:p>
        </w:tc>
        <w:tc>
          <w:tcPr>
            <w:tcW w:w="8278" w:type="dxa"/>
            <w:gridSpan w:val="6"/>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供销合作社改制等退人员医疗补助经费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2"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 xml:space="preserve">绩   效    指   标     </w:t>
            </w:r>
          </w:p>
        </w:tc>
        <w:tc>
          <w:tcPr>
            <w:tcW w:w="1002"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一级指标</w:t>
            </w:r>
          </w:p>
        </w:tc>
        <w:tc>
          <w:tcPr>
            <w:tcW w:w="1492"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二级指标</w:t>
            </w:r>
          </w:p>
        </w:tc>
        <w:tc>
          <w:tcPr>
            <w:tcW w:w="2703"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三级指标</w:t>
            </w:r>
          </w:p>
        </w:tc>
        <w:tc>
          <w:tcPr>
            <w:tcW w:w="1005"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年度指标值</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分值</w:t>
            </w:r>
          </w:p>
        </w:tc>
        <w:tc>
          <w:tcPr>
            <w:tcW w:w="13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产出指标</w:t>
            </w:r>
          </w:p>
        </w:tc>
        <w:tc>
          <w:tcPr>
            <w:tcW w:w="1492"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数量指标</w:t>
            </w:r>
          </w:p>
        </w:tc>
        <w:tc>
          <w:tcPr>
            <w:tcW w:w="2703"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为改制等退人员缴纳医保费的人数</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≤16人</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按照各自指标的实际完成值与年度指标值比较，结合各自分值确定最后得分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continue"/>
            <w:vAlign w:val="center"/>
          </w:tcPr>
          <w:p>
            <w:pPr>
              <w:jc w:val="center"/>
              <w:rPr>
                <w:rFonts w:hint="eastAsia" w:ascii="宋体" w:hAnsi="宋体" w:eastAsia="宋体" w:cs="宋体"/>
                <w:sz w:val="18"/>
                <w:szCs w:val="18"/>
                <w:vertAlign w:val="baseline"/>
                <w:lang w:val="en-US" w:eastAsia="zh-CN"/>
              </w:rPr>
            </w:pPr>
          </w:p>
        </w:tc>
        <w:tc>
          <w:tcPr>
            <w:tcW w:w="1492"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质量指标</w:t>
            </w:r>
          </w:p>
        </w:tc>
        <w:tc>
          <w:tcPr>
            <w:tcW w:w="2703"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为改制等退人员缴纳医保费覆盖率</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等于100%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continue"/>
            <w:vAlign w:val="center"/>
          </w:tcPr>
          <w:p>
            <w:pPr>
              <w:jc w:val="center"/>
              <w:rPr>
                <w:rFonts w:hint="eastAsia" w:ascii="宋体" w:hAnsi="宋体" w:eastAsia="宋体" w:cs="宋体"/>
                <w:sz w:val="18"/>
                <w:szCs w:val="18"/>
                <w:vertAlign w:val="baseline"/>
                <w:lang w:val="en-US" w:eastAsia="zh-CN"/>
              </w:rPr>
            </w:pPr>
          </w:p>
        </w:tc>
        <w:tc>
          <w:tcPr>
            <w:tcW w:w="149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27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完成率</w:t>
            </w:r>
          </w:p>
        </w:tc>
        <w:tc>
          <w:tcPr>
            <w:tcW w:w="10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等于100%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continue"/>
            <w:vAlign w:val="center"/>
          </w:tcPr>
          <w:p>
            <w:pPr>
              <w:jc w:val="center"/>
              <w:rPr>
                <w:rFonts w:hint="eastAsia" w:ascii="宋体" w:hAnsi="宋体" w:eastAsia="宋体" w:cs="宋体"/>
                <w:sz w:val="18"/>
                <w:szCs w:val="18"/>
                <w:vertAlign w:val="baseline"/>
                <w:lang w:val="en-US" w:eastAsia="zh-CN"/>
              </w:rPr>
            </w:pPr>
          </w:p>
        </w:tc>
        <w:tc>
          <w:tcPr>
            <w:tcW w:w="1492"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成本指标</w:t>
            </w:r>
          </w:p>
        </w:tc>
        <w:tc>
          <w:tcPr>
            <w:tcW w:w="2703"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项目成本</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≤4.22万元</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效果指标</w:t>
            </w:r>
          </w:p>
        </w:tc>
        <w:tc>
          <w:tcPr>
            <w:tcW w:w="1492"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可持续影响指标</w:t>
            </w:r>
          </w:p>
        </w:tc>
        <w:tc>
          <w:tcPr>
            <w:tcW w:w="2703"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持续影响力</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等于100%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continue"/>
            <w:vAlign w:val="center"/>
          </w:tcPr>
          <w:p>
            <w:pPr>
              <w:jc w:val="center"/>
              <w:rPr>
                <w:rFonts w:hint="eastAsia" w:ascii="宋体" w:hAnsi="宋体" w:eastAsia="宋体" w:cs="宋体"/>
                <w:sz w:val="18"/>
                <w:szCs w:val="18"/>
                <w:vertAlign w:val="baseline"/>
                <w:lang w:val="en-US" w:eastAsia="zh-CN"/>
              </w:rPr>
            </w:pPr>
          </w:p>
        </w:tc>
        <w:tc>
          <w:tcPr>
            <w:tcW w:w="149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27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间接经济效益</w:t>
            </w:r>
          </w:p>
        </w:tc>
        <w:tc>
          <w:tcPr>
            <w:tcW w:w="10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等于100%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continue"/>
            <w:vAlign w:val="center"/>
          </w:tcPr>
          <w:p>
            <w:pPr>
              <w:jc w:val="center"/>
              <w:rPr>
                <w:rFonts w:hint="eastAsia" w:ascii="宋体" w:hAnsi="宋体" w:eastAsia="宋体" w:cs="宋体"/>
                <w:sz w:val="18"/>
                <w:szCs w:val="18"/>
                <w:vertAlign w:val="baseline"/>
                <w:lang w:val="en-US" w:eastAsia="zh-CN"/>
              </w:rPr>
            </w:pPr>
          </w:p>
        </w:tc>
        <w:tc>
          <w:tcPr>
            <w:tcW w:w="1492"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社会效益指标</w:t>
            </w:r>
          </w:p>
        </w:tc>
        <w:tc>
          <w:tcPr>
            <w:tcW w:w="2703"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社会稳定水平</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等于100%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Merge w:val="continue"/>
            <w:vAlign w:val="center"/>
          </w:tcPr>
          <w:p>
            <w:pPr>
              <w:jc w:val="center"/>
              <w:rPr>
                <w:rFonts w:hint="eastAsia" w:ascii="宋体" w:hAnsi="宋体" w:eastAsia="宋体" w:cs="宋体"/>
                <w:sz w:val="18"/>
                <w:szCs w:val="18"/>
                <w:vertAlign w:val="baseline"/>
                <w:lang w:val="en-US" w:eastAsia="zh-CN"/>
              </w:rPr>
            </w:pPr>
          </w:p>
        </w:tc>
        <w:tc>
          <w:tcPr>
            <w:tcW w:w="1492"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生态效益指标</w:t>
            </w:r>
          </w:p>
        </w:tc>
        <w:tc>
          <w:tcPr>
            <w:tcW w:w="2703"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推动力</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等于100%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52" w:type="dxa"/>
            <w:vMerge w:val="continue"/>
            <w:vAlign w:val="center"/>
          </w:tcPr>
          <w:p>
            <w:pPr>
              <w:jc w:val="center"/>
              <w:rPr>
                <w:rFonts w:hint="eastAsia" w:ascii="宋体" w:hAnsi="宋体" w:eastAsia="宋体" w:cs="宋体"/>
                <w:sz w:val="18"/>
                <w:szCs w:val="18"/>
                <w:vertAlign w:val="baseline"/>
                <w:lang w:val="en-US" w:eastAsia="zh-CN"/>
              </w:rPr>
            </w:pPr>
          </w:p>
        </w:tc>
        <w:tc>
          <w:tcPr>
            <w:tcW w:w="1002"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满意度指标</w:t>
            </w:r>
          </w:p>
        </w:tc>
        <w:tc>
          <w:tcPr>
            <w:tcW w:w="1492"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满意度指标</w:t>
            </w:r>
          </w:p>
        </w:tc>
        <w:tc>
          <w:tcPr>
            <w:tcW w:w="2703"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服务对象满意度（%）</w:t>
            </w:r>
          </w:p>
        </w:tc>
        <w:tc>
          <w:tcPr>
            <w:tcW w:w="1005"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954" w:type="dxa"/>
            <w:gridSpan w:val="5"/>
            <w:vAlign w:val="center"/>
          </w:tcPr>
          <w:p>
            <w:pPr>
              <w:keepNext w:val="0"/>
              <w:keepLines w:val="0"/>
              <w:pageBreakBefore w:val="0"/>
              <w:widowControl w:val="0"/>
              <w:numPr>
                <w:ilvl w:val="0"/>
                <w:numId w:val="0"/>
              </w:numPr>
              <w:tabs>
                <w:tab w:val="left" w:pos="2557"/>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预算执行率（全年执行数/全年预算数*100%）</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3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预算执行率结合分值确定最后得分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5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总  分</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c>
          <w:tcPr>
            <w:tcW w:w="13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3.评价方法：</w:t>
      </w:r>
      <w:r>
        <w:rPr>
          <w:rFonts w:hint="eastAsia" w:ascii="方正仿宋简体" w:hAnsi="方正仿宋简体" w:eastAsia="方正仿宋简体" w:cs="方正仿宋简体"/>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4.评价标准：</w:t>
      </w:r>
      <w:r>
        <w:rPr>
          <w:rFonts w:hint="eastAsia" w:ascii="方正仿宋简体" w:hAnsi="方正仿宋简体" w:eastAsia="方正仿宋简体" w:cs="方正仿宋简体"/>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预算执行率10%即10分、产出指标40%即40分、效益指标40%即40分、服务对象满意度指标10%即10分，其中：一级指标（产出指标、效果指标、满意度指标）再按照各自指标的实际数量分配各自的具体分值。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2022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2022年度项目支出绩效自评表》，给预算项目进行了客观的综合评价，及时总结存在问题及改制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b/>
          <w:bCs/>
          <w:sz w:val="32"/>
          <w:szCs w:val="32"/>
          <w:lang w:val="en-US" w:eastAsia="zh-CN"/>
        </w:rPr>
        <w:t>综合评价情况：</w:t>
      </w:r>
      <w:r>
        <w:rPr>
          <w:rFonts w:hint="eastAsia" w:ascii="方正仿宋简体" w:hAnsi="方正仿宋简体" w:eastAsia="方正仿宋简体" w:cs="方正仿宋简体"/>
          <w:sz w:val="32"/>
          <w:szCs w:val="32"/>
          <w:lang w:val="en-US" w:eastAsia="zh-CN"/>
        </w:rPr>
        <w:t>经该项目支出绩效评价考评组等综合考评，项目支出绩效考评得分表如下：</w:t>
      </w:r>
      <w:r>
        <w:rPr>
          <w:rFonts w:hint="eastAsia" w:ascii="方正楷体简体" w:hAnsi="方正楷体简体" w:eastAsia="方正楷体简体" w:cs="方正楷体简体"/>
          <w:sz w:val="32"/>
          <w:szCs w:val="32"/>
          <w:lang w:val="en-US" w:eastAsia="zh-CN"/>
        </w:rPr>
        <w:t xml:space="preserve">  </w:t>
      </w:r>
    </w:p>
    <w:tbl>
      <w:tblPr>
        <w:tblStyle w:val="5"/>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406"/>
        <w:gridCol w:w="437"/>
        <w:gridCol w:w="409"/>
        <w:gridCol w:w="450"/>
        <w:gridCol w:w="395"/>
        <w:gridCol w:w="409"/>
        <w:gridCol w:w="437"/>
        <w:gridCol w:w="514"/>
        <w:gridCol w:w="358"/>
        <w:gridCol w:w="355"/>
        <w:gridCol w:w="423"/>
        <w:gridCol w:w="381"/>
        <w:gridCol w:w="410"/>
        <w:gridCol w:w="395"/>
        <w:gridCol w:w="368"/>
        <w:gridCol w:w="396"/>
        <w:gridCol w:w="395"/>
        <w:gridCol w:w="382"/>
        <w:gridCol w:w="368"/>
        <w:gridCol w:w="491"/>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预算执行率(99.77%）</w:t>
            </w:r>
          </w:p>
        </w:tc>
        <w:tc>
          <w:tcPr>
            <w:tcW w:w="7282"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绩效指标</w:t>
            </w:r>
          </w:p>
        </w:tc>
        <w:tc>
          <w:tcPr>
            <w:tcW w:w="968"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项目总得分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9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3409" w:type="dxa"/>
            <w:gridSpan w:val="8"/>
            <w:vAlign w:val="center"/>
          </w:tcPr>
          <w:p>
            <w:pPr>
              <w:keepNext w:val="0"/>
              <w:keepLines w:val="0"/>
              <w:pageBreakBefore w:val="0"/>
              <w:widowControl w:val="0"/>
              <w:numPr>
                <w:ilvl w:val="0"/>
                <w:numId w:val="0"/>
              </w:numPr>
              <w:tabs>
                <w:tab w:val="left" w:pos="652"/>
              </w:tabs>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产出指标</w:t>
            </w:r>
          </w:p>
        </w:tc>
        <w:tc>
          <w:tcPr>
            <w:tcW w:w="3123"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效果指标</w:t>
            </w:r>
          </w:p>
        </w:tc>
        <w:tc>
          <w:tcPr>
            <w:tcW w:w="7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满意度指标</w:t>
            </w:r>
          </w:p>
        </w:tc>
        <w:tc>
          <w:tcPr>
            <w:tcW w:w="96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84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8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指标2</w:t>
            </w:r>
          </w:p>
        </w:tc>
        <w:tc>
          <w:tcPr>
            <w:tcW w:w="84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指标3</w:t>
            </w:r>
          </w:p>
        </w:tc>
        <w:tc>
          <w:tcPr>
            <w:tcW w:w="87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指标4</w:t>
            </w:r>
          </w:p>
        </w:tc>
        <w:tc>
          <w:tcPr>
            <w:tcW w:w="77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7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指标2</w:t>
            </w:r>
          </w:p>
        </w:tc>
        <w:tc>
          <w:tcPr>
            <w:tcW w:w="76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指标3</w:t>
            </w:r>
          </w:p>
        </w:tc>
        <w:tc>
          <w:tcPr>
            <w:tcW w:w="7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指标4</w:t>
            </w:r>
          </w:p>
        </w:tc>
        <w:tc>
          <w:tcPr>
            <w:tcW w:w="7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96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5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5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100</w:t>
            </w:r>
          </w:p>
        </w:tc>
        <w:tc>
          <w:tcPr>
            <w:tcW w:w="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b/>
          <w:bCs/>
          <w:sz w:val="32"/>
          <w:szCs w:val="32"/>
          <w:lang w:val="en-US" w:eastAsia="zh-CN"/>
        </w:rPr>
        <w:t>评价结论：</w:t>
      </w:r>
      <w:r>
        <w:rPr>
          <w:rFonts w:hint="eastAsia" w:ascii="方正仿宋简体" w:hAnsi="方正仿宋简体" w:eastAsia="方正仿宋简体" w:cs="方正仿宋简体"/>
          <w:b w:val="0"/>
          <w:bCs w:val="0"/>
          <w:sz w:val="32"/>
          <w:szCs w:val="32"/>
          <w:lang w:val="en-US" w:eastAsia="zh-CN"/>
        </w:rPr>
        <w:t>结合该项目支出绩效考评得分情况，2022年度，我社严格按照市医疗保险部门每月核定的改制五年等退人员医疗保险费应缴金额，按时完成缴纳工作，确保了这些人能够及时享受到医疗保险待遇，维护了改制五年等退人员的合法权益，巩固了供销社改制成果，及时消除了职工上访等不稳定因素，维护了我市社会稳定，为我市发展做出了积极贡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四、绩效评价指标分析</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根据2015年3月31日遵化市政府批准的《遵化市财政局 遵化市人力资源和社会保障局 遵化市供销合作社关于市供销合作社系统改制涉及人员欠缴社会保险费有关情况的报告》精神，遵化市财政局给我社下发了的《关于全系统改制涉及人员欠缴社会保险费有关情况请示的答复》（遵财答复[2015]398号），其中涉及“3、对于221名等退人员等退期间2015年以后应缴医疗保险单位部分，为使职工享受医保待遇，按年核实后，据实缴纳。”（答复中第3条）“4、以上所需社会保险费纳入当年财政预算”；另据2016年9月23日遵化市政府批准的《遵化市供销合作社关于为原市工业品公司退休职工陈贺缴纳医疗保险的请示》精神，遵化市财政局给我社下发了《关于为“原市工业品公司退休职工陈贺缴纳医疗保险”请示的答复》（遵财答复[2016]1740号），将应缴纳退休人员陈贺医疗保险自2017年1月起一并纳入此项目即供销社改制等退经费项目（改制五年等退人员医疗保险费）；2019年11月22日遵化市政府批准了《遵化市供销合作社关于将改制五年等退人员医疗保险费继续纳入财政预算的请示》，此项目自2015年度开始纳入财政预算，2022年度结合往年实际情况，纳入财政预算4.5万元，实际支出4.22万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年初预算资金4.5万元，为一般公共预算财政拨款。经压缩调整后4.22万元，全年实际支出4.22万元，全部用于缴纳改制五年等退人员医疗保险费项目。项目认定，资金申报、批复程序符合相关管理办法，项目实施手续健全，资金到位占实际资金需求的100%。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产出指标，包括4个即：（1）数量指标-为改制等退人员缴纳医保费的人数，年度指标值：≤16人，实际完成值：16人，全部保障了改制等退人员的合法权益；（2）质量指标-为改制等退人员缴纳医保费覆盖率，年度指标值：等于100%，实际完成值：100%，对改制等退人员全覆盖；（3）时效指标-完成率，年度指标值：等于100%，实际完成值：100%，按时完成了给改制等退人员缴纳医疗保险；（4）成本指标-项目成本，年度指标值：等于≤4.22万元，实际完成值：4.22万元，按照医保部门核定人数和金额，据实完成缴纳。上述产出指标分值40分，自评得分40分，实际完成情况较好，保障了改制等退人员的合法权益，维护了改制成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效果指标，包括4个即：（1）可持续影响指标-持续影响力，年度指标值：等于100%，实际完成值：100%，持续提高了供销社的影响力；（2）经济效益指标-间接经济效益，年度指标值：等于100%，实际完成值：100%，间接增加了国家社保基金收入，发挥了经济效益；（3）社会效益指标-社会稳定水平，度指标值：等于100%，实际完成值：100%，维护了职工合法权益，促进了社会稳定；（4）生态效益指标-推动力，年度指标值：等于100%，实际完成值：100%，2022年度改制等退人员及时享受到了医疗保险待遇优惠政策，对改制等退人员家庭发展能力的提高起到了促进和提升作用，从医疗保险待遇在家庭发展能力所占比重而言，年度指标值已完成。上述效果指标分值40分，自评得分40分，实际完成情况较好，充分发挥了项目的效能作用，保障了改制等退人员的合法权益，维护了改制成果和社会稳定，也使服务对象满意度指标（满意度指标），实际完成值达到了年度指标值的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五、主要经验做法、存在问题及原因分析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主要做法：</w:t>
      </w:r>
      <w:r>
        <w:rPr>
          <w:rFonts w:hint="eastAsia" w:ascii="方正仿宋简体" w:hAnsi="方正仿宋简体" w:eastAsia="方正仿宋简体" w:cs="方正仿宋简体"/>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存在问题及原因分析：</w:t>
      </w:r>
      <w:r>
        <w:rPr>
          <w:rFonts w:hint="eastAsia" w:ascii="方正仿宋简体" w:hAnsi="方正仿宋简体" w:eastAsia="方正仿宋简体" w:cs="方正仿宋简体"/>
          <w:sz w:val="32"/>
          <w:szCs w:val="32"/>
          <w:lang w:val="en-US" w:eastAsia="zh-CN"/>
        </w:rPr>
        <w:t>该项目从预算、执行和结果来看，充分发挥了项目的效能作用，维护了职工的合法权益，巩固了供销社改制成果，不存在问题。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建议提高项目预算指标编制的精度，既能满足实际开支需求额度，又使项目实际执行额度与预算指标额度尽可能接近，缩短之间的差距，充分发挥项目支出的效能作用。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无其他需要说明的问题。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楷体简体" w:hAnsi="方正楷体简体" w:eastAsia="方正楷体简体" w:cs="方正楷体简体"/>
          <w:sz w:val="32"/>
          <w:szCs w:val="32"/>
          <w:lang w:val="en-US" w:eastAsia="zh-CN"/>
        </w:rPr>
      </w:pPr>
    </w:p>
    <w:tbl>
      <w:tblPr>
        <w:tblStyle w:val="4"/>
        <w:tblpPr w:leftFromText="180" w:rightFromText="180" w:vertAnchor="text" w:horzAnchor="page" w:tblpX="1654" w:tblpY="472"/>
        <w:tblOverlap w:val="never"/>
        <w:tblW w:w="9175" w:type="dxa"/>
        <w:tblInd w:w="0" w:type="dxa"/>
        <w:shd w:val="clear" w:color="auto" w:fill="auto"/>
        <w:tblLayout w:type="autofit"/>
        <w:tblCellMar>
          <w:top w:w="0" w:type="dxa"/>
          <w:left w:w="108" w:type="dxa"/>
          <w:bottom w:w="0" w:type="dxa"/>
          <w:right w:w="108" w:type="dxa"/>
        </w:tblCellMar>
      </w:tblPr>
      <w:tblGrid>
        <w:gridCol w:w="9175"/>
      </w:tblGrid>
      <w:tr>
        <w:tblPrEx>
          <w:shd w:val="clear" w:color="auto" w:fill="auto"/>
          <w:tblCellMar>
            <w:top w:w="0" w:type="dxa"/>
            <w:left w:w="108" w:type="dxa"/>
            <w:bottom w:w="0" w:type="dxa"/>
            <w:right w:w="108" w:type="dxa"/>
          </w:tblCellMar>
        </w:tblPrEx>
        <w:trPr>
          <w:trHeight w:val="4692" w:hRule="atLeast"/>
        </w:trPr>
        <w:tc>
          <w:tcPr>
            <w:tcW w:w="9175" w:type="dxa"/>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i w:val="0"/>
                <w:iCs w:val="0"/>
                <w:color w:val="000000"/>
                <w:kern w:val="0"/>
                <w:sz w:val="36"/>
                <w:szCs w:val="36"/>
                <w:u w:val="none"/>
                <w:lang w:val="en-US" w:eastAsia="zh-CN" w:bidi="ar"/>
              </w:rPr>
            </w:pPr>
            <w:r>
              <w:rPr>
                <w:rFonts w:hint="eastAsia" w:ascii="黑体" w:hAnsi="黑体" w:eastAsia="黑体" w:cs="黑体"/>
                <w:b w:val="0"/>
                <w:bCs w:val="0"/>
                <w:sz w:val="32"/>
                <w:szCs w:val="32"/>
                <w:lang w:val="en-US" w:eastAsia="zh-CN"/>
              </w:rPr>
              <w:t>（2）供销合作社农村产权流转交易中心工作经费项目</w:t>
            </w:r>
          </w:p>
          <w:tbl>
            <w:tblPr>
              <w:tblStyle w:val="4"/>
              <w:tblW w:w="8854" w:type="dxa"/>
              <w:tblInd w:w="-25" w:type="dxa"/>
              <w:shd w:val="clear" w:color="auto" w:fill="auto"/>
              <w:tblLayout w:type="autofit"/>
              <w:tblCellMar>
                <w:top w:w="0" w:type="dxa"/>
                <w:left w:w="108" w:type="dxa"/>
                <w:bottom w:w="0" w:type="dxa"/>
                <w:right w:w="108" w:type="dxa"/>
              </w:tblCellMar>
            </w:tblPr>
            <w:tblGrid>
              <w:gridCol w:w="6"/>
              <w:gridCol w:w="531"/>
              <w:gridCol w:w="6"/>
              <w:gridCol w:w="799"/>
              <w:gridCol w:w="6"/>
              <w:gridCol w:w="1414"/>
              <w:gridCol w:w="6"/>
              <w:gridCol w:w="1013"/>
              <w:gridCol w:w="894"/>
              <w:gridCol w:w="862"/>
              <w:gridCol w:w="6"/>
              <w:gridCol w:w="797"/>
              <w:gridCol w:w="684"/>
              <w:gridCol w:w="780"/>
              <w:gridCol w:w="1050"/>
            </w:tblGrid>
            <w:tr>
              <w:tblPrEx>
                <w:shd w:val="clear" w:color="auto" w:fill="auto"/>
                <w:tblCellMar>
                  <w:top w:w="0" w:type="dxa"/>
                  <w:left w:w="108" w:type="dxa"/>
                  <w:bottom w:w="0" w:type="dxa"/>
                  <w:right w:w="108" w:type="dxa"/>
                </w:tblCellMar>
              </w:tblPrEx>
              <w:trPr>
                <w:gridBefore w:val="1"/>
                <w:wBefore w:w="6" w:type="dxa"/>
                <w:trHeight w:val="692" w:hRule="atLeast"/>
              </w:trPr>
              <w:tc>
                <w:tcPr>
                  <w:tcW w:w="8848"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val="0"/>
                      <w:bCs w:val="0"/>
                      <w:i w:val="0"/>
                      <w:iCs w:val="0"/>
                      <w:color w:val="000000"/>
                      <w:kern w:val="0"/>
                      <w:sz w:val="36"/>
                      <w:szCs w:val="36"/>
                      <w:u w:val="none"/>
                      <w:lang w:val="en-US" w:eastAsia="zh-CN" w:bidi="ar"/>
                    </w:rPr>
                    <w:t>2022年度项目支出绩效自评表</w:t>
                  </w:r>
                </w:p>
              </w:tc>
            </w:tr>
            <w:tr>
              <w:tblPrEx>
                <w:tblCellMar>
                  <w:top w:w="0" w:type="dxa"/>
                  <w:left w:w="108" w:type="dxa"/>
                  <w:bottom w:w="0" w:type="dxa"/>
                  <w:right w:w="108" w:type="dxa"/>
                </w:tblCellMar>
              </w:tblPrEx>
              <w:trPr>
                <w:gridBefore w:val="1"/>
                <w:wBefore w:w="6" w:type="dxa"/>
                <w:trHeight w:val="443" w:hRule="atLeast"/>
              </w:trPr>
              <w:tc>
                <w:tcPr>
                  <w:tcW w:w="53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0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420"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775" w:type="dxa"/>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09" w:hRule="atLeast"/>
              </w:trPr>
              <w:tc>
                <w:tcPr>
                  <w:tcW w:w="134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12" w:type="dxa"/>
                  <w:gridSpan w:val="11"/>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供销</w:t>
                  </w:r>
                  <w:r>
                    <w:rPr>
                      <w:rFonts w:hint="eastAsia" w:ascii="宋体" w:hAnsi="宋体" w:eastAsia="宋体" w:cs="宋体"/>
                      <w:i w:val="0"/>
                      <w:iCs w:val="0"/>
                      <w:color w:val="000000"/>
                      <w:sz w:val="20"/>
                      <w:szCs w:val="20"/>
                      <w:u w:val="none"/>
                      <w:lang w:eastAsia="zh-CN"/>
                    </w:rPr>
                    <w:t>合作</w:t>
                  </w:r>
                  <w:r>
                    <w:rPr>
                      <w:rFonts w:hint="eastAsia" w:ascii="宋体" w:hAnsi="宋体" w:eastAsia="宋体" w:cs="宋体"/>
                      <w:i w:val="0"/>
                      <w:iCs w:val="0"/>
                      <w:color w:val="000000"/>
                      <w:sz w:val="20"/>
                      <w:szCs w:val="20"/>
                      <w:u w:val="none"/>
                    </w:rPr>
                    <w:t>社农村产权流转交易中心工作经费</w:t>
                  </w:r>
                </w:p>
              </w:tc>
            </w:tr>
            <w:tr>
              <w:tblPrEx>
                <w:tblCellMar>
                  <w:top w:w="0" w:type="dxa"/>
                  <w:left w:w="108" w:type="dxa"/>
                  <w:bottom w:w="0" w:type="dxa"/>
                  <w:right w:w="108" w:type="dxa"/>
                </w:tblCellMar>
              </w:tblPrEx>
              <w:trPr>
                <w:trHeight w:val="686" w:hRule="atLeast"/>
              </w:trPr>
              <w:tc>
                <w:tcPr>
                  <w:tcW w:w="1342"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遵化市供销合作社</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17"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遵化市供销合作社</w:t>
                  </w:r>
                </w:p>
              </w:tc>
            </w:tr>
            <w:tr>
              <w:tblPrEx>
                <w:tblCellMar>
                  <w:top w:w="0" w:type="dxa"/>
                  <w:left w:w="108" w:type="dxa"/>
                  <w:bottom w:w="0" w:type="dxa"/>
                  <w:right w:w="108" w:type="dxa"/>
                </w:tblCellMar>
              </w:tblPrEx>
              <w:trPr>
                <w:trHeight w:val="713" w:hRule="atLeast"/>
              </w:trPr>
              <w:tc>
                <w:tcPr>
                  <w:tcW w:w="1342"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 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 分</w:t>
                  </w:r>
                </w:p>
              </w:tc>
            </w:tr>
            <w:tr>
              <w:tblPrEx>
                <w:tblCellMar>
                  <w:top w:w="0" w:type="dxa"/>
                  <w:left w:w="108" w:type="dxa"/>
                  <w:bottom w:w="0" w:type="dxa"/>
                  <w:right w:w="108" w:type="dxa"/>
                </w:tblCellMar>
              </w:tblPrEx>
              <w:trPr>
                <w:trHeight w:val="686"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17.98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17.98</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r>
              <w:tblPrEx>
                <w:tblCellMar>
                  <w:top w:w="0" w:type="dxa"/>
                  <w:left w:w="108" w:type="dxa"/>
                  <w:bottom w:w="0" w:type="dxa"/>
                  <w:right w:w="108" w:type="dxa"/>
                </w:tblCellMar>
              </w:tblPrEx>
              <w:trPr>
                <w:trHeight w:val="713"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17.98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17.98</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686"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686"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686" w:hRule="atLeast"/>
              </w:trPr>
              <w:tc>
                <w:tcPr>
                  <w:tcW w:w="53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500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预算目标</w:t>
                  </w:r>
                </w:p>
              </w:tc>
              <w:tc>
                <w:tcPr>
                  <w:tcW w:w="3317"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实际完成情况</w:t>
                  </w:r>
                </w:p>
              </w:tc>
            </w:tr>
            <w:tr>
              <w:tblPrEx>
                <w:tblCellMar>
                  <w:top w:w="0" w:type="dxa"/>
                  <w:left w:w="108" w:type="dxa"/>
                  <w:bottom w:w="0" w:type="dxa"/>
                  <w:right w:w="108" w:type="dxa"/>
                </w:tblCellMar>
              </w:tblPrEx>
              <w:trPr>
                <w:trHeight w:val="1682" w:hRule="atLeast"/>
              </w:trPr>
              <w:tc>
                <w:tcPr>
                  <w:tcW w:w="53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（1）按时为5名劳务派遣人员发放工资、缴纳保险费，确保发放及时，维护职工合法权益和社会稳定</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（2）足额为5名劳务派遣人员发放工资、缴纳保险费，确保发放足额，维护职工合法权益和社会稳定</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（3）保障市农村产权流转交易中心正常高效运转，持续充分发挥为“三农”服务的职能作用</w:t>
                  </w:r>
                  <w:r>
                    <w:rPr>
                      <w:rFonts w:hint="eastAsia" w:ascii="宋体" w:hAnsi="宋体" w:eastAsia="宋体" w:cs="宋体"/>
                      <w:i w:val="0"/>
                      <w:iCs w:val="0"/>
                      <w:color w:val="000000"/>
                      <w:sz w:val="20"/>
                      <w:szCs w:val="20"/>
                      <w:u w:val="none"/>
                      <w:lang w:eastAsia="zh-CN"/>
                    </w:rPr>
                    <w:t>。</w:t>
                  </w:r>
                </w:p>
              </w:tc>
              <w:tc>
                <w:tcPr>
                  <w:tcW w:w="3317"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该项目中涉及生活补助部分即为5名劳务派遣人员按月发放了工资、按月缴纳了社保费；其他运转经费部分，按要求压缩后，受当年我市财力影响，请示政府已批，财政答复未下达，未能列支。</w:t>
                  </w:r>
                </w:p>
              </w:tc>
            </w:tr>
            <w:tr>
              <w:tblPrEx>
                <w:tblCellMar>
                  <w:top w:w="0" w:type="dxa"/>
                  <w:left w:w="108" w:type="dxa"/>
                  <w:bottom w:w="0" w:type="dxa"/>
                  <w:right w:w="108" w:type="dxa"/>
                </w:tblCellMar>
              </w:tblPrEx>
              <w:trPr>
                <w:trHeight w:val="1013" w:hRule="atLeast"/>
              </w:trPr>
              <w:tc>
                <w:tcPr>
                  <w:tcW w:w="537" w:type="dxa"/>
                  <w:gridSpan w:val="2"/>
                  <w:vMerge w:val="restart"/>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       效    指    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CellMar>
                  <w:top w:w="0" w:type="dxa"/>
                  <w:left w:w="108" w:type="dxa"/>
                  <w:bottom w:w="0" w:type="dxa"/>
                  <w:right w:w="108" w:type="dxa"/>
                </w:tblCellMar>
              </w:tblPrEx>
              <w:trPr>
                <w:trHeight w:val="663"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发布农村产权信息数量（条）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≥10条</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16</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9"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工资及社保费缴纳完成率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9"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13"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持续推动农村资产资本化</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30"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5名劳务派遣人员的工资收入</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1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个人生活补助发放率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1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推动力</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13"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1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18"/>
                      <w:szCs w:val="18"/>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86" w:hRule="atLeast"/>
              </w:trPr>
              <w:tc>
                <w:tcPr>
                  <w:tcW w:w="6340" w:type="dxa"/>
                  <w:gridSpan w:val="1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30" w:hRule="atLeast"/>
              </w:trPr>
              <w:tc>
                <w:tcPr>
                  <w:tcW w:w="6340" w:type="dxa"/>
                  <w:gridSpan w:val="1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分</w:t>
                  </w:r>
                </w:p>
              </w:tc>
              <w:tc>
                <w:tcPr>
                  <w:tcW w:w="68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050"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bCs/>
          <w:i w:val="0"/>
          <w:iCs w:val="0"/>
          <w:color w:val="000000"/>
          <w:kern w:val="0"/>
          <w:sz w:val="36"/>
          <w:szCs w:val="36"/>
          <w:u w:val="none"/>
          <w:lang w:val="en-US" w:eastAsia="zh-CN" w:bidi="ar"/>
        </w:rPr>
      </w:pPr>
      <w:r>
        <w:rPr>
          <w:rFonts w:hint="eastAsia" w:ascii="黑体" w:hAnsi="黑体" w:eastAsia="黑体" w:cs="黑体"/>
          <w:b w:val="0"/>
          <w:bCs w:val="0"/>
          <w:sz w:val="32"/>
          <w:szCs w:val="32"/>
          <w:lang w:val="en-US" w:eastAsia="zh-CN"/>
        </w:rPr>
        <w:t>供销合作社农村产权流转交易中心工作经费项目支出绩效自评说明：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1.项目概况。</w:t>
      </w:r>
      <w:r>
        <w:rPr>
          <w:rFonts w:hint="eastAsia" w:ascii="方正仿宋简体" w:hAnsi="方正仿宋简体" w:eastAsia="方正仿宋简体" w:cs="方正仿宋简体"/>
          <w:b/>
          <w:bCs/>
          <w:sz w:val="32"/>
          <w:szCs w:val="32"/>
          <w:lang w:val="en-US" w:eastAsia="zh-CN"/>
        </w:rPr>
        <w:t>（1）项目背景：</w:t>
      </w:r>
      <w:r>
        <w:rPr>
          <w:rFonts w:hint="eastAsia" w:ascii="方正仿宋简体" w:eastAsia="方正仿宋简体"/>
          <w:color w:val="000000"/>
          <w:sz w:val="32"/>
          <w:szCs w:val="32"/>
        </w:rPr>
        <w:t>为深入推进农村综合改革，按照政府主导、供销社主办、市场化运作的原则，采取协议转让、拍卖、招标等方式，开展农村产权交易服务。旨在规范农村产权交易行为，激活农村生产要素，进一步提高农民财产收入，解决当前农村农民生产经营融资难问题，组建</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遵化市农村产权交易有限公司</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，挂牌名称为"遵化市农村产权流转交易中心"。该交易中心是一个为农村产权交易服务的中介平台，是供销合作社在深化综合改革中新增加的为农服务项目。按照"遵政办[2017]65号"的实施意见规定</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2.人员配备及经费保障。（1）配备10名工作人员，财政安排必要的经费，保障正常运营</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该中心在我市政务办公大厅，办公面积约70平方米，2018年6月份以劳务派遣方式配备了5名工作人员。供销社农村产权流转交易中心工作经费自2018年度开始纳入了财政预算。</w:t>
      </w:r>
      <w:r>
        <w:rPr>
          <w:rFonts w:hint="eastAsia" w:ascii="方正仿宋简体" w:hAnsi="方正仿宋简体" w:eastAsia="方正仿宋简体" w:cs="方正仿宋简体"/>
          <w:b/>
          <w:bCs/>
          <w:sz w:val="32"/>
          <w:szCs w:val="32"/>
          <w:lang w:val="en-US" w:eastAsia="zh-CN"/>
        </w:rPr>
        <w:t>（2）主要内容：</w:t>
      </w:r>
      <w:r>
        <w:rPr>
          <w:rFonts w:hint="eastAsia" w:ascii="方正仿宋简体" w:hAnsi="方正仿宋简体" w:eastAsia="方正仿宋简体" w:cs="方正仿宋简体"/>
          <w:sz w:val="32"/>
          <w:szCs w:val="32"/>
          <w:lang w:val="en-US" w:eastAsia="zh-CN"/>
        </w:rPr>
        <w:t>为市农村产权流转交易中心5名劳务派遣人员按时发放工资及时缴纳社保费；与省、市农村产权流转交易平台对接，接受上级部门政策和业务指导，做好交易中心网络平台运营维护建设；做好农村产权交易信息发布、业务宣传，维持该中心正常高效运转。</w:t>
      </w:r>
      <w:r>
        <w:rPr>
          <w:rFonts w:hint="eastAsia" w:ascii="方正仿宋简体" w:hAnsi="方正仿宋简体" w:eastAsia="方正仿宋简体" w:cs="方正仿宋简体"/>
          <w:b/>
          <w:bCs/>
          <w:sz w:val="32"/>
          <w:szCs w:val="32"/>
          <w:lang w:val="en-US" w:eastAsia="zh-CN"/>
        </w:rPr>
        <w:t>（3）实施情况：</w:t>
      </w:r>
      <w:r>
        <w:rPr>
          <w:rFonts w:hint="eastAsia" w:ascii="方正仿宋简体" w:hAnsi="方正仿宋简体" w:eastAsia="方正仿宋简体" w:cs="方正仿宋简体"/>
          <w:sz w:val="32"/>
          <w:szCs w:val="32"/>
          <w:lang w:val="en-US" w:eastAsia="zh-CN"/>
        </w:rPr>
        <w:t>全年按照社保部门实际核实的保险金额按时为5名劳务派遣人员缴纳了社保费，并按月发放了工资，实际完成率为100%；其他运转经费部分，按要求压缩后，受当年我市财力影响，请示政府已批，财政答复未下达，未能列支。</w:t>
      </w:r>
      <w:r>
        <w:rPr>
          <w:rFonts w:hint="eastAsia" w:ascii="方正仿宋简体" w:hAnsi="方正仿宋简体" w:eastAsia="方正仿宋简体" w:cs="方正仿宋简体"/>
          <w:b/>
          <w:bCs/>
          <w:sz w:val="32"/>
          <w:szCs w:val="32"/>
          <w:lang w:val="en-US" w:eastAsia="zh-CN"/>
        </w:rPr>
        <w:t>（4）资金投入及使用情况：</w:t>
      </w:r>
      <w:r>
        <w:rPr>
          <w:rFonts w:hint="eastAsia" w:ascii="方正仿宋简体" w:hAnsi="方正仿宋简体" w:eastAsia="方正仿宋简体" w:cs="方正仿宋简体"/>
          <w:sz w:val="32"/>
          <w:szCs w:val="32"/>
          <w:lang w:val="en-US" w:eastAsia="zh-CN"/>
        </w:rPr>
        <w:t>该项目年初预算资金21万元，均为一般公共预算财政拨款。经压缩调整后17.98万元，全年实际支出17.98万元，预算执行率100%，涉及为5名劳务派遣人员按月发放工资和根据社保部门核定数额缴纳社保费，全年实际开支17.98万元；运转经费受当年我市财力影响，请示政府已批，财政答复未下达，未能列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2.项目绩效目标。</w:t>
      </w:r>
      <w:r>
        <w:rPr>
          <w:rFonts w:hint="eastAsia" w:ascii="方正仿宋简体" w:hAnsi="方正仿宋简体" w:eastAsia="方正仿宋简体" w:cs="方正仿宋简体"/>
          <w:sz w:val="32"/>
          <w:szCs w:val="32"/>
          <w:lang w:val="en-US" w:eastAsia="zh-CN"/>
        </w:rPr>
        <w:t>（1）按时为5名劳务派遣人员发放工资、缴纳保险费，确保发放及时，维护职工合法权益和社会稳定。（2）足额为5名劳务派遣人员发放工资、缴纳保险费，确保发放足额，维护职工合法权益和社会稳定。（3）保障市农村产权流转交易中心正常高效运转，持续充分发挥为“三农”服务的职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color w:val="auto"/>
          <w:sz w:val="32"/>
          <w:szCs w:val="32"/>
          <w:shd w:val="clear" w:color="auto" w:fill="auto"/>
          <w:lang w:val="en-US" w:eastAsia="zh-CN"/>
        </w:rPr>
      </w:pPr>
      <w:r>
        <w:rPr>
          <w:rFonts w:hint="eastAsia" w:ascii="方正楷体简体" w:hAnsi="方正楷体简体" w:eastAsia="方正楷体简体" w:cs="方正楷体简体"/>
          <w:color w:val="auto"/>
          <w:sz w:val="32"/>
          <w:szCs w:val="32"/>
          <w:lang w:val="en-US" w:eastAsia="zh-CN"/>
        </w:rPr>
        <w:t>（</w:t>
      </w:r>
      <w:r>
        <w:rPr>
          <w:rFonts w:hint="eastAsia" w:ascii="方正楷体简体" w:hAnsi="方正楷体简体" w:eastAsia="方正楷体简体" w:cs="方正楷体简体"/>
          <w:color w:val="auto"/>
          <w:sz w:val="32"/>
          <w:szCs w:val="32"/>
          <w:shd w:val="clear" w:color="auto" w:fill="auto"/>
          <w:lang w:val="en-US" w:eastAsia="zh-CN"/>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次2022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2022年度部门预算项目支出情况。范围为供销合作社农村产权流转交易中心工作经费项目。</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10" w:leftChars="0" w:firstLine="640" w:firstLine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绩效评价原则、评价指标体系、评价方法、评价标准。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1.绩效评价原则：</w:t>
      </w:r>
      <w:r>
        <w:rPr>
          <w:rFonts w:hint="eastAsia" w:ascii="方正仿宋简体" w:hAnsi="方正仿宋简体" w:eastAsia="方正仿宋简体" w:cs="方正仿宋简体"/>
          <w:sz w:val="32"/>
          <w:szCs w:val="32"/>
          <w:lang w:val="en-US" w:eastAsia="zh-CN"/>
        </w:rPr>
        <w:t>2022年度预算项目支出绩效评价工作遵循全面覆盖、程序简便、客观公正、公开透明的原则。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供销合作社农村产权流转交易中心工作经费项目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2022年度项目支出绩效评价指标体系</w:t>
      </w:r>
    </w:p>
    <w:tbl>
      <w:tblPr>
        <w:tblStyle w:val="5"/>
        <w:tblpPr w:leftFromText="180" w:rightFromText="180" w:vertAnchor="text" w:horzAnchor="page" w:tblpX="1590" w:tblpY="472"/>
        <w:tblOverlap w:val="never"/>
        <w:tblW w:w="48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04"/>
        <w:gridCol w:w="1499"/>
        <w:gridCol w:w="1544"/>
        <w:gridCol w:w="1379"/>
        <w:gridCol w:w="99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7"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项目名称</w:t>
            </w:r>
          </w:p>
        </w:tc>
        <w:tc>
          <w:tcPr>
            <w:tcW w:w="8073" w:type="dxa"/>
            <w:gridSpan w:val="6"/>
            <w:vAlign w:val="center"/>
          </w:tcPr>
          <w:p>
            <w:pPr>
              <w:keepNext w:val="0"/>
              <w:keepLines w:val="0"/>
              <w:widowControl/>
              <w:suppressLineNumbers w:val="0"/>
              <w:jc w:val="center"/>
              <w:textAlignment w:val="center"/>
              <w:rPr>
                <w:rFonts w:hint="eastAsia" w:ascii="宋体" w:hAnsi="宋体" w:cs="宋体" w:eastAsiaTheme="minorEastAsia"/>
                <w:sz w:val="18"/>
                <w:szCs w:val="18"/>
                <w:vertAlign w:val="baseline"/>
                <w:lang w:val="en-US" w:eastAsia="zh-CN"/>
              </w:rPr>
            </w:pPr>
            <w:r>
              <w:rPr>
                <w:rFonts w:hint="eastAsia"/>
                <w:sz w:val="18"/>
                <w:szCs w:val="18"/>
              </w:rPr>
              <w:t>供销</w:t>
            </w:r>
            <w:r>
              <w:rPr>
                <w:rFonts w:hint="eastAsia"/>
                <w:sz w:val="18"/>
                <w:szCs w:val="18"/>
                <w:lang w:eastAsia="zh-CN"/>
              </w:rPr>
              <w:t>合作</w:t>
            </w:r>
            <w:r>
              <w:rPr>
                <w:rFonts w:hint="eastAsia"/>
                <w:sz w:val="18"/>
                <w:szCs w:val="18"/>
              </w:rPr>
              <w:t>社</w:t>
            </w:r>
            <w:r>
              <w:rPr>
                <w:rFonts w:hint="eastAsia"/>
                <w:sz w:val="18"/>
                <w:szCs w:val="18"/>
                <w:lang w:eastAsia="zh-CN"/>
              </w:rPr>
              <w:t>农村产权流转交易中心工作经费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57"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绩       效    指    标</w:t>
            </w:r>
          </w:p>
        </w:tc>
        <w:tc>
          <w:tcPr>
            <w:tcW w:w="100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一级指标</w:t>
            </w:r>
          </w:p>
        </w:tc>
        <w:tc>
          <w:tcPr>
            <w:tcW w:w="1499"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二级指标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三级指标</w:t>
            </w:r>
          </w:p>
        </w:tc>
        <w:tc>
          <w:tcPr>
            <w:tcW w:w="1379"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年度指标值</w:t>
            </w:r>
          </w:p>
        </w:tc>
        <w:tc>
          <w:tcPr>
            <w:tcW w:w="9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分值</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产出指标</w:t>
            </w:r>
          </w:p>
        </w:tc>
        <w:tc>
          <w:tcPr>
            <w:tcW w:w="149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数量指标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发布农村产权信息数量（条）</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≥10条</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按照各自指标的实际完成值与年度指标值比较，结合各自分值确定最后得分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continue"/>
            <w:vAlign w:val="center"/>
          </w:tcPr>
          <w:p>
            <w:pPr>
              <w:jc w:val="center"/>
              <w:rPr>
                <w:rFonts w:hint="eastAsia" w:ascii="宋体" w:hAnsi="宋体" w:eastAsia="宋体" w:cs="宋体"/>
                <w:sz w:val="18"/>
                <w:szCs w:val="18"/>
                <w:vertAlign w:val="baseline"/>
                <w:lang w:val="en-US" w:eastAsia="zh-CN"/>
              </w:rPr>
            </w:pPr>
          </w:p>
        </w:tc>
        <w:tc>
          <w:tcPr>
            <w:tcW w:w="149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质量指标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工资及社保费缴纳完成率</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continue"/>
            <w:vAlign w:val="center"/>
          </w:tcPr>
          <w:p>
            <w:pPr>
              <w:jc w:val="center"/>
              <w:rPr>
                <w:rFonts w:hint="eastAsia" w:ascii="宋体" w:hAnsi="宋体" w:eastAsia="宋体" w:cs="宋体"/>
                <w:sz w:val="18"/>
                <w:szCs w:val="18"/>
                <w:vertAlign w:val="baseline"/>
                <w:lang w:val="en-US" w:eastAsia="zh-CN"/>
              </w:rPr>
            </w:pPr>
          </w:p>
        </w:tc>
        <w:tc>
          <w:tcPr>
            <w:tcW w:w="149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完成率（%）</w:t>
            </w:r>
          </w:p>
        </w:tc>
        <w:tc>
          <w:tcPr>
            <w:tcW w:w="137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等于100%</w:t>
            </w:r>
          </w:p>
        </w:tc>
        <w:tc>
          <w:tcPr>
            <w:tcW w:w="996"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continue"/>
            <w:vAlign w:val="center"/>
          </w:tcPr>
          <w:p>
            <w:pPr>
              <w:jc w:val="center"/>
              <w:rPr>
                <w:rFonts w:hint="eastAsia" w:ascii="宋体" w:hAnsi="宋体" w:eastAsia="宋体" w:cs="宋体"/>
                <w:sz w:val="18"/>
                <w:szCs w:val="18"/>
                <w:vertAlign w:val="baseline"/>
                <w:lang w:val="en-US" w:eastAsia="zh-CN"/>
              </w:rPr>
            </w:pPr>
          </w:p>
        </w:tc>
        <w:tc>
          <w:tcPr>
            <w:tcW w:w="149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成本指标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成本控制率</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等于100%</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restart"/>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效果指标</w:t>
            </w:r>
          </w:p>
        </w:tc>
        <w:tc>
          <w:tcPr>
            <w:tcW w:w="149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可持续影响指标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持续推动农村资产资本化</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continue"/>
            <w:vAlign w:val="center"/>
          </w:tcPr>
          <w:p>
            <w:pPr>
              <w:jc w:val="center"/>
              <w:rPr>
                <w:rFonts w:hint="eastAsia" w:ascii="宋体" w:hAnsi="宋体" w:eastAsia="宋体" w:cs="宋体"/>
                <w:sz w:val="18"/>
                <w:szCs w:val="18"/>
                <w:vertAlign w:val="baseline"/>
                <w:lang w:val="en-US" w:eastAsia="zh-CN"/>
              </w:rPr>
            </w:pPr>
          </w:p>
        </w:tc>
        <w:tc>
          <w:tcPr>
            <w:tcW w:w="149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经济效益指标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5名劳务派遣人员的工资收入</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等于100%</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continue"/>
            <w:vAlign w:val="center"/>
          </w:tcPr>
          <w:p>
            <w:pPr>
              <w:jc w:val="center"/>
              <w:rPr>
                <w:rFonts w:hint="eastAsia" w:ascii="宋体" w:hAnsi="宋体" w:eastAsia="宋体" w:cs="宋体"/>
                <w:sz w:val="18"/>
                <w:szCs w:val="18"/>
                <w:vertAlign w:val="baseline"/>
                <w:lang w:val="en-US" w:eastAsia="zh-CN"/>
              </w:rPr>
            </w:pPr>
          </w:p>
        </w:tc>
        <w:tc>
          <w:tcPr>
            <w:tcW w:w="149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54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个人生活补助发放率</w:t>
            </w:r>
          </w:p>
        </w:tc>
        <w:tc>
          <w:tcPr>
            <w:tcW w:w="1379"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等于100%</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Merge w:val="continue"/>
            <w:vAlign w:val="center"/>
          </w:tcPr>
          <w:p>
            <w:pPr>
              <w:jc w:val="center"/>
              <w:rPr>
                <w:rFonts w:hint="eastAsia" w:ascii="宋体" w:hAnsi="宋体" w:eastAsia="宋体" w:cs="宋体"/>
                <w:sz w:val="18"/>
                <w:szCs w:val="18"/>
                <w:vertAlign w:val="baseline"/>
                <w:lang w:val="en-US" w:eastAsia="zh-CN"/>
              </w:rPr>
            </w:pPr>
          </w:p>
        </w:tc>
        <w:tc>
          <w:tcPr>
            <w:tcW w:w="149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生态效益指标</w:t>
            </w:r>
          </w:p>
        </w:tc>
        <w:tc>
          <w:tcPr>
            <w:tcW w:w="1544"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推动力</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996" w:type="dxa"/>
            <w:vAlign w:val="center"/>
          </w:tcPr>
          <w:p>
            <w:pPr>
              <w:keepNext w:val="0"/>
              <w:keepLines w:val="0"/>
              <w:widowControl/>
              <w:suppressLineNumbers w:val="0"/>
              <w:jc w:val="center"/>
              <w:textAlignment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57" w:type="dxa"/>
            <w:vMerge w:val="continue"/>
            <w:vAlign w:val="center"/>
          </w:tcPr>
          <w:p>
            <w:pPr>
              <w:jc w:val="center"/>
              <w:rPr>
                <w:rFonts w:hint="eastAsia" w:ascii="宋体" w:hAnsi="宋体" w:eastAsia="宋体" w:cs="宋体"/>
                <w:sz w:val="18"/>
                <w:szCs w:val="18"/>
                <w:vertAlign w:val="baseline"/>
                <w:lang w:val="en-US" w:eastAsia="zh-CN"/>
              </w:rPr>
            </w:pPr>
          </w:p>
        </w:tc>
        <w:tc>
          <w:tcPr>
            <w:tcW w:w="1004"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满意度指标</w:t>
            </w:r>
          </w:p>
        </w:tc>
        <w:tc>
          <w:tcPr>
            <w:tcW w:w="1499" w:type="dxa"/>
            <w:vAlign w:val="center"/>
          </w:tcPr>
          <w:p>
            <w:pPr>
              <w:keepNext w:val="0"/>
              <w:keepLines w:val="0"/>
              <w:widowControl/>
              <w:suppressLineNumbers w:val="0"/>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满意度指标</w:t>
            </w:r>
          </w:p>
        </w:tc>
        <w:tc>
          <w:tcPr>
            <w:tcW w:w="1544"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服务对象满意度（%）</w:t>
            </w:r>
          </w:p>
        </w:tc>
        <w:tc>
          <w:tcPr>
            <w:tcW w:w="1379" w:type="dxa"/>
            <w:vAlign w:val="center"/>
          </w:tcPr>
          <w:p>
            <w:pPr>
              <w:keepNext w:val="0"/>
              <w:keepLines w:val="0"/>
              <w:widowControl/>
              <w:suppressLineNumbers w:val="0"/>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color w:val="000000"/>
                <w:kern w:val="0"/>
                <w:sz w:val="18"/>
                <w:szCs w:val="18"/>
                <w:u w:val="none"/>
                <w:lang w:val="en-US" w:eastAsia="zh-CN" w:bidi="ar"/>
              </w:rPr>
              <w:t>≥80%</w:t>
            </w:r>
          </w:p>
        </w:tc>
        <w:tc>
          <w:tcPr>
            <w:tcW w:w="9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183" w:type="dxa"/>
            <w:gridSpan w:val="5"/>
            <w:vAlign w:val="center"/>
          </w:tcPr>
          <w:p>
            <w:pPr>
              <w:keepNext w:val="0"/>
              <w:keepLines w:val="0"/>
              <w:pageBreakBefore w:val="0"/>
              <w:widowControl w:val="0"/>
              <w:numPr>
                <w:ilvl w:val="0"/>
                <w:numId w:val="0"/>
              </w:numPr>
              <w:tabs>
                <w:tab w:val="left" w:pos="2557"/>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预算执行率（全年执行数/全年预算数*100%）</w:t>
            </w:r>
          </w:p>
        </w:tc>
        <w:tc>
          <w:tcPr>
            <w:tcW w:w="9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预算执行率结合分值确定最后得分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18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总  分</w:t>
            </w:r>
          </w:p>
        </w:tc>
        <w:tc>
          <w:tcPr>
            <w:tcW w:w="9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100</w:t>
            </w:r>
          </w:p>
        </w:tc>
        <w:tc>
          <w:tcPr>
            <w:tcW w:w="16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3.评价方法：</w:t>
      </w:r>
      <w:r>
        <w:rPr>
          <w:rFonts w:hint="eastAsia" w:ascii="方正仿宋简体" w:hAnsi="方正仿宋简体" w:eastAsia="方正仿宋简体" w:cs="方正仿宋简体"/>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4.评价标准：</w:t>
      </w:r>
      <w:r>
        <w:rPr>
          <w:rFonts w:hint="eastAsia" w:ascii="方正仿宋简体" w:hAnsi="方正仿宋简体" w:eastAsia="方正仿宋简体" w:cs="方正仿宋简体"/>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预算执行率10%即10分、产出指标40%即40分、效益指标40%即40分、服务对象满意度指标10%即10分，其中：一级指标（产出指标、效果指标、满意度指标）再按照各自指标的实际数量分配各自的具体分值。</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10" w:leftChars="0" w:firstLine="640" w:firstLine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2022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2022年度项目支出绩效自评表》，给预算项目进行了客观的综合评价，及时总结存在问题及改制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b/>
          <w:bCs/>
          <w:sz w:val="32"/>
          <w:szCs w:val="32"/>
          <w:lang w:val="en-US" w:eastAsia="zh-CN"/>
        </w:rPr>
        <w:t>综合评价情况：</w:t>
      </w:r>
      <w:r>
        <w:rPr>
          <w:rFonts w:hint="eastAsia" w:ascii="方正仿宋简体" w:hAnsi="方正仿宋简体" w:eastAsia="方正仿宋简体" w:cs="方正仿宋简体"/>
          <w:sz w:val="32"/>
          <w:szCs w:val="32"/>
          <w:lang w:val="en-US" w:eastAsia="zh-CN"/>
        </w:rPr>
        <w:t>经该项目支出绩效评价考评组等综合考评，项目支出绩效考评得分表如下：</w:t>
      </w:r>
      <w:r>
        <w:rPr>
          <w:rFonts w:hint="eastAsia" w:ascii="方正楷体简体" w:hAnsi="方正楷体简体" w:eastAsia="方正楷体简体" w:cs="方正楷体简体"/>
          <w:sz w:val="32"/>
          <w:szCs w:val="32"/>
          <w:lang w:val="en-US" w:eastAsia="zh-CN"/>
        </w:rPr>
        <w:t xml:space="preserve">   </w:t>
      </w:r>
    </w:p>
    <w:tbl>
      <w:tblPr>
        <w:tblStyle w:val="5"/>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36"/>
        <w:gridCol w:w="450"/>
        <w:gridCol w:w="450"/>
        <w:gridCol w:w="395"/>
        <w:gridCol w:w="437"/>
        <w:gridCol w:w="423"/>
        <w:gridCol w:w="450"/>
        <w:gridCol w:w="436"/>
        <w:gridCol w:w="395"/>
        <w:gridCol w:w="396"/>
        <w:gridCol w:w="395"/>
        <w:gridCol w:w="396"/>
        <w:gridCol w:w="368"/>
        <w:gridCol w:w="409"/>
        <w:gridCol w:w="382"/>
        <w:gridCol w:w="409"/>
        <w:gridCol w:w="409"/>
        <w:gridCol w:w="382"/>
        <w:gridCol w:w="395"/>
        <w:gridCol w:w="467"/>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预算执行率（90.40%）</w:t>
            </w:r>
          </w:p>
        </w:tc>
        <w:tc>
          <w:tcPr>
            <w:tcW w:w="7377" w:type="dxa"/>
            <w:gridSpan w:val="1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绩效指标</w:t>
            </w:r>
          </w:p>
        </w:tc>
        <w:tc>
          <w:tcPr>
            <w:tcW w:w="941"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项目总得分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2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3436" w:type="dxa"/>
            <w:gridSpan w:val="8"/>
            <w:vAlign w:val="center"/>
          </w:tcPr>
          <w:p>
            <w:pPr>
              <w:keepNext w:val="0"/>
              <w:keepLines w:val="0"/>
              <w:pageBreakBefore w:val="0"/>
              <w:widowControl w:val="0"/>
              <w:numPr>
                <w:ilvl w:val="0"/>
                <w:numId w:val="0"/>
              </w:numPr>
              <w:tabs>
                <w:tab w:val="left" w:pos="652"/>
              </w:tabs>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产出指标</w:t>
            </w:r>
          </w:p>
        </w:tc>
        <w:tc>
          <w:tcPr>
            <w:tcW w:w="3164"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效果指标</w:t>
            </w:r>
          </w:p>
        </w:tc>
        <w:tc>
          <w:tcPr>
            <w:tcW w:w="77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满意度指标</w:t>
            </w:r>
          </w:p>
        </w:tc>
        <w:tc>
          <w:tcPr>
            <w:tcW w:w="941"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9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83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指标2</w:t>
            </w:r>
          </w:p>
        </w:tc>
        <w:tc>
          <w:tcPr>
            <w:tcW w:w="87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指标3</w:t>
            </w:r>
          </w:p>
        </w:tc>
        <w:tc>
          <w:tcPr>
            <w:tcW w:w="8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指标4</w:t>
            </w:r>
          </w:p>
        </w:tc>
        <w:tc>
          <w:tcPr>
            <w:tcW w:w="7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76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指标2</w:t>
            </w:r>
          </w:p>
        </w:tc>
        <w:tc>
          <w:tcPr>
            <w:tcW w:w="79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指标3</w:t>
            </w:r>
          </w:p>
        </w:tc>
        <w:tc>
          <w:tcPr>
            <w:tcW w:w="81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指标4</w:t>
            </w:r>
          </w:p>
        </w:tc>
        <w:tc>
          <w:tcPr>
            <w:tcW w:w="77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941"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3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宋体" w:hAnsi="宋体" w:eastAsia="宋体" w:cs="宋体"/>
                <w:sz w:val="13"/>
                <w:szCs w:val="13"/>
                <w:vertAlign w:val="baseline"/>
                <w:lang w:val="en-US" w:eastAsia="zh-CN"/>
              </w:rPr>
              <w:t>10</w:t>
            </w:r>
          </w:p>
        </w:tc>
        <w:tc>
          <w:tcPr>
            <w:tcW w:w="4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100</w:t>
            </w:r>
          </w:p>
        </w:tc>
        <w:tc>
          <w:tcPr>
            <w:tcW w:w="4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评价结论：</w:t>
      </w:r>
      <w:r>
        <w:rPr>
          <w:rFonts w:hint="eastAsia" w:ascii="方正仿宋简体" w:hAnsi="方正仿宋简体" w:eastAsia="方正仿宋简体" w:cs="方正仿宋简体"/>
          <w:b w:val="0"/>
          <w:bCs w:val="0"/>
          <w:sz w:val="32"/>
          <w:szCs w:val="32"/>
          <w:lang w:val="en-US" w:eastAsia="zh-CN"/>
        </w:rPr>
        <w:t>结合该项目支出绩效考评得分情况，2022年度，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该项目中涉及生活补助部分即为5名劳务派遣人员按月发放了工资、按月缴纳了社保费；其他运转经费部分，按要求压缩后，受当年我市财力影响，请示政府已批，财政答复未下达，未能列支，基本发挥了项目的效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化市深化供销合作社综合改革实施方案》（遵办发[2016]2号）、《河北省供销合作总社办公室关于加快市、县农村产权交易市场建设的通知》（冀供销办字[2015]52号）、《遵化市人民政府办公室关于印发&lt;遵化市农村产权交易市场建设实施意见&gt;的通知》（遵政办[2017]65号）、《遵化市供销合作社关于申请将市农村产权流转交易中心经费纳入财政预算的请示》及市政府批示等文件精神，为深入推进农村综合改革，按照政府主导、供销社主办、市场化运作的原则，采取协议转让、拍卖、招标等方式，开展农村产权交易服务，2018年组建了“遵化市农村产权交易有限公司”，挂牌名称为“遵化市农村产权流转交易中心”。该交易中心是一个为农村农民产权交易服务的中介平台，是供销合作社在深化综合改革中新增加的为农服务项目。该项目自2018年度开始纳入财政预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度该项目财政预算资金（调整后）17.98万元，为一般公共预算财政拨款，实际发生17.98万元，预算执行率100%。项目认定，资金申报、批复程序符合相关管理办法，项目实施手续健全。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产出指标，包括4个即：（1）数量指标-发布农村产权流转交易信息数量（条），年度指标值：大于等于10条，实际完成值：16条，发挥了产权中心的职能作用；（2）质量指标-工资及社保费缴纳完成率，年度指标值：≤100%，实际完成值：100%，按时为产权中心五名劳务派遣人员发放工资，缴纳社保费，保证他们的基本生活质量；（3）时效指标-完成率（%），年度指标值：等于100%，实际完成值：100%，按时完成了为劳务派遣人员发放工资、缴纳社保费工作；（4）成本指标-成本控制率，年度指标值：≤100%，实际完成值：90%，该项目中除运转经费部分，按要求压缩后，受当年我市财力影响，请示政府已批，财政答复未下达，未能列支外，其他均正常列支，严格控制了项目支出成本，确保未超预算支出。上述产出指标分值40分，自评得分40分，实际完成情况较好，维护了职工的合法权益，基本发挥了该中心的职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效果指标，包括4个即：（1）可持续影响指标-持续推动农村资产资本化，年度指标值：≥70%，实际完成值：90%，持续推动了农村资产资本化服务乡村振兴，发挥了职能作用；（2）经济效益指标-5名劳务派遣人员的工资收入，年度指标值：等于100%，实际完成值：100%，保障了劳务派遣人员的工资收入；（3）社会效益指标-个人生活补助发放率，年度指标值：等于100%，实际完成值：100%，及时足额为劳务派遣人员发放了工资，缴纳了保险；（4）生态效益指标-推动力，年度指标值：等于≥80%，实际完成值：90%，推动了农村产权交易中心工作有序发展。上述效果指标分值40分，自评得分40分，实际完成情况较好，维护了职工的合法权益，基本发挥了中心的职能作用，助力了供销社综合改革与发展，也使服务对象满意度指标（满意度指标），实际完成值达到了年度指标值的标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主要经验做法、存在问题及原因分析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主要做法：</w:t>
      </w:r>
      <w:r>
        <w:rPr>
          <w:rFonts w:hint="eastAsia" w:ascii="方正仿宋简体" w:hAnsi="方正仿宋简体" w:eastAsia="方正仿宋简体" w:cs="方正仿宋简体"/>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存在问题及原因分析：</w:t>
      </w:r>
      <w:r>
        <w:rPr>
          <w:rFonts w:hint="eastAsia" w:ascii="方正仿宋简体" w:hAnsi="方正仿宋简体" w:eastAsia="方正仿宋简体" w:cs="方正仿宋简体"/>
          <w:sz w:val="32"/>
          <w:szCs w:val="32"/>
          <w:lang w:val="en-US" w:eastAsia="zh-CN"/>
        </w:rPr>
        <w:t>主要问题为受到我市财力影响，部分影响了一些项目的预算执行结果，使预算执行率降低，对职能发挥产生一定影响。如：供销社农村产权流转交易中心工作费项目，年初预算数21万元，按要求压缩后全年调整预算数17.98万元，实际执行数17.98万元，预算执行率100%，</w:t>
      </w:r>
      <w:r>
        <w:rPr>
          <w:rFonts w:hint="eastAsia" w:ascii="方正仿宋简体" w:hAnsi="方正仿宋简体" w:eastAsia="方正仿宋简体" w:cs="方正仿宋简体"/>
          <w:b w:val="0"/>
          <w:bCs w:val="0"/>
          <w:sz w:val="32"/>
          <w:szCs w:val="32"/>
          <w:lang w:val="en-US" w:eastAsia="zh-CN"/>
        </w:rPr>
        <w:t>此外年初预算中</w:t>
      </w:r>
      <w:r>
        <w:rPr>
          <w:rFonts w:hint="eastAsia" w:ascii="方正仿宋简体" w:hAnsi="方正仿宋简体" w:eastAsia="方正仿宋简体" w:cs="方正仿宋简体"/>
          <w:sz w:val="32"/>
          <w:szCs w:val="32"/>
          <w:lang w:val="en-US" w:eastAsia="zh-CN"/>
        </w:rPr>
        <w:t>运转经费1.85万元，请示政府已批，财政答复未下达，未能列支。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建议提高项目预算指标编制的精度，既能满足实际开支需求额度，又使项目实际执行额度与预算指标额度尽可能接近，缩短之间的差距，同时应加大预算执行力度，充分发挥项目支出的效能作用。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无其他需要说明的问题。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（3）办公取暖费</w:t>
      </w:r>
    </w:p>
    <w:tbl>
      <w:tblPr>
        <w:tblStyle w:val="4"/>
        <w:tblW w:w="8854" w:type="dxa"/>
        <w:tblInd w:w="-25" w:type="dxa"/>
        <w:shd w:val="clear" w:color="auto" w:fill="auto"/>
        <w:tblLayout w:type="fixed"/>
        <w:tblCellMar>
          <w:top w:w="0" w:type="dxa"/>
          <w:left w:w="108" w:type="dxa"/>
          <w:bottom w:w="0" w:type="dxa"/>
          <w:right w:w="108" w:type="dxa"/>
        </w:tblCellMar>
      </w:tblPr>
      <w:tblGrid>
        <w:gridCol w:w="6"/>
        <w:gridCol w:w="531"/>
        <w:gridCol w:w="6"/>
        <w:gridCol w:w="799"/>
        <w:gridCol w:w="6"/>
        <w:gridCol w:w="1658"/>
        <w:gridCol w:w="775"/>
        <w:gridCol w:w="894"/>
        <w:gridCol w:w="862"/>
        <w:gridCol w:w="6"/>
        <w:gridCol w:w="797"/>
        <w:gridCol w:w="684"/>
        <w:gridCol w:w="780"/>
        <w:gridCol w:w="1050"/>
      </w:tblGrid>
      <w:tr>
        <w:tblPrEx>
          <w:shd w:val="clear" w:color="auto" w:fill="auto"/>
          <w:tblCellMar>
            <w:top w:w="0" w:type="dxa"/>
            <w:left w:w="108" w:type="dxa"/>
            <w:bottom w:w="0" w:type="dxa"/>
            <w:right w:w="108" w:type="dxa"/>
          </w:tblCellMar>
        </w:tblPrEx>
        <w:trPr>
          <w:gridBefore w:val="1"/>
          <w:wBefore w:w="6" w:type="dxa"/>
          <w:trHeight w:val="692" w:hRule="atLeast"/>
        </w:trPr>
        <w:tc>
          <w:tcPr>
            <w:tcW w:w="884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2022年度项目支出绩效自评表</w:t>
            </w:r>
          </w:p>
        </w:tc>
      </w:tr>
      <w:tr>
        <w:tblPrEx>
          <w:tblCellMar>
            <w:top w:w="0" w:type="dxa"/>
            <w:left w:w="108" w:type="dxa"/>
            <w:bottom w:w="0" w:type="dxa"/>
            <w:right w:w="108" w:type="dxa"/>
          </w:tblCellMar>
        </w:tblPrEx>
        <w:trPr>
          <w:gridBefore w:val="1"/>
          <w:wBefore w:w="6" w:type="dxa"/>
          <w:trHeight w:val="443" w:hRule="atLeast"/>
        </w:trPr>
        <w:tc>
          <w:tcPr>
            <w:tcW w:w="537"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805"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5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2537" w:type="dxa"/>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09" w:hRule="atLeast"/>
        </w:trPr>
        <w:tc>
          <w:tcPr>
            <w:tcW w:w="134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512" w:type="dxa"/>
            <w:gridSpan w:val="10"/>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办公取暖费</w:t>
            </w:r>
          </w:p>
        </w:tc>
      </w:tr>
      <w:tr>
        <w:tblPrEx>
          <w:tblCellMar>
            <w:top w:w="0" w:type="dxa"/>
            <w:left w:w="108" w:type="dxa"/>
            <w:bottom w:w="0" w:type="dxa"/>
            <w:right w:w="108" w:type="dxa"/>
          </w:tblCellMar>
        </w:tblPrEx>
        <w:trPr>
          <w:trHeight w:val="686" w:hRule="atLeast"/>
        </w:trPr>
        <w:tc>
          <w:tcPr>
            <w:tcW w:w="1342"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遵化市供销合作社</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17"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遵化市供销合作社</w:t>
            </w:r>
          </w:p>
        </w:tc>
      </w:tr>
      <w:tr>
        <w:tblPrEx>
          <w:tblCellMar>
            <w:top w:w="0" w:type="dxa"/>
            <w:left w:w="108" w:type="dxa"/>
            <w:bottom w:w="0" w:type="dxa"/>
            <w:right w:w="108" w:type="dxa"/>
          </w:tblCellMar>
        </w:tblPrEx>
        <w:trPr>
          <w:trHeight w:val="713" w:hRule="atLeast"/>
        </w:trPr>
        <w:tc>
          <w:tcPr>
            <w:tcW w:w="1342" w:type="dxa"/>
            <w:gridSpan w:val="4"/>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 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 分</w:t>
            </w:r>
          </w:p>
        </w:tc>
      </w:tr>
      <w:tr>
        <w:tblPrEx>
          <w:tblCellMar>
            <w:top w:w="0" w:type="dxa"/>
            <w:left w:w="108" w:type="dxa"/>
            <w:bottom w:w="0" w:type="dxa"/>
            <w:right w:w="108" w:type="dxa"/>
          </w:tblCellMar>
        </w:tblPrEx>
        <w:trPr>
          <w:trHeight w:val="686"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r>
        <w:tblPrEx>
          <w:tblCellMar>
            <w:top w:w="0" w:type="dxa"/>
            <w:left w:w="108" w:type="dxa"/>
            <w:bottom w:w="0" w:type="dxa"/>
            <w:right w:w="108" w:type="dxa"/>
          </w:tblCellMar>
        </w:tblPrEx>
        <w:trPr>
          <w:trHeight w:val="713"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4.01</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686"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686" w:hRule="atLeast"/>
        </w:trPr>
        <w:tc>
          <w:tcPr>
            <w:tcW w:w="1342" w:type="dxa"/>
            <w:gridSpan w:val="4"/>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686" w:hRule="atLeast"/>
        </w:trPr>
        <w:tc>
          <w:tcPr>
            <w:tcW w:w="53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5000"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317"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实际完成情况综述</w:t>
            </w:r>
          </w:p>
        </w:tc>
      </w:tr>
      <w:tr>
        <w:tblPrEx>
          <w:tblCellMar>
            <w:top w:w="0" w:type="dxa"/>
            <w:left w:w="108" w:type="dxa"/>
            <w:bottom w:w="0" w:type="dxa"/>
            <w:right w:w="108" w:type="dxa"/>
          </w:tblCellMar>
        </w:tblPrEx>
        <w:trPr>
          <w:trHeight w:val="1682" w:hRule="atLeast"/>
        </w:trPr>
        <w:tc>
          <w:tcPr>
            <w:tcW w:w="53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0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及时解决上年批复中支出涉及办公取暖费4.0068万元，用于我社支付遵化民生盐业专营有限公司垫付，保证资金支付及时性。（2）解决上年批复中支出涉及办公取暖费4.0068万元，用于我社支付遵化民生盐业专营有限公司垫付，保证资金足额支付。</w:t>
            </w:r>
          </w:p>
        </w:tc>
        <w:tc>
          <w:tcPr>
            <w:tcW w:w="3317"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此项目为</w:t>
            </w:r>
            <w:r>
              <w:rPr>
                <w:rFonts w:hint="eastAsia" w:ascii="宋体" w:hAnsi="宋体" w:eastAsia="宋体" w:cs="宋体"/>
                <w:i w:val="0"/>
                <w:iCs w:val="0"/>
                <w:color w:val="000000"/>
                <w:sz w:val="20"/>
                <w:szCs w:val="20"/>
                <w:u w:val="none"/>
                <w:lang w:eastAsia="zh-CN"/>
              </w:rPr>
              <w:t>年内</w:t>
            </w:r>
            <w:r>
              <w:rPr>
                <w:rFonts w:hint="eastAsia" w:ascii="宋体" w:hAnsi="宋体" w:eastAsia="宋体" w:cs="宋体"/>
                <w:i w:val="0"/>
                <w:iCs w:val="0"/>
                <w:color w:val="000000"/>
                <w:sz w:val="20"/>
                <w:szCs w:val="20"/>
                <w:u w:val="none"/>
              </w:rPr>
              <w:t>细化项目，为解决上年批复中支出涉及的办公取暖费部分，该项目支出</w:t>
            </w:r>
            <w:r>
              <w:rPr>
                <w:rFonts w:hint="eastAsia" w:ascii="宋体" w:hAnsi="宋体" w:eastAsia="宋体" w:cs="宋体"/>
                <w:i w:val="0"/>
                <w:iCs w:val="0"/>
                <w:color w:val="000000"/>
                <w:sz w:val="20"/>
                <w:szCs w:val="20"/>
                <w:u w:val="none"/>
                <w:lang w:eastAsia="zh-CN"/>
              </w:rPr>
              <w:t>已按照答复金额，及时、足额</w:t>
            </w:r>
            <w:r>
              <w:rPr>
                <w:rFonts w:hint="eastAsia" w:ascii="宋体" w:hAnsi="宋体" w:eastAsia="宋体" w:cs="宋体"/>
                <w:i w:val="0"/>
                <w:iCs w:val="0"/>
                <w:color w:val="000000"/>
                <w:sz w:val="20"/>
                <w:szCs w:val="20"/>
                <w:u w:val="none"/>
              </w:rPr>
              <w:t>列支完毕</w:t>
            </w:r>
            <w:r>
              <w:rPr>
                <w:rFonts w:hint="eastAsia" w:ascii="宋体" w:hAnsi="宋体" w:eastAsia="宋体" w:cs="宋体"/>
                <w:i w:val="0"/>
                <w:iCs w:val="0"/>
                <w:color w:val="000000"/>
                <w:sz w:val="20"/>
                <w:szCs w:val="20"/>
                <w:u w:val="none"/>
                <w:lang w:eastAsia="zh-CN"/>
              </w:rPr>
              <w:t>，发挥了项目的效能作用。</w:t>
            </w:r>
          </w:p>
        </w:tc>
      </w:tr>
      <w:tr>
        <w:tblPrEx>
          <w:tblCellMar>
            <w:top w:w="0" w:type="dxa"/>
            <w:left w:w="108" w:type="dxa"/>
            <w:bottom w:w="0" w:type="dxa"/>
            <w:right w:w="108" w:type="dxa"/>
          </w:tblCellMar>
        </w:tblPrEx>
        <w:trPr>
          <w:trHeight w:val="1013" w:hRule="atLeast"/>
        </w:trPr>
        <w:tc>
          <w:tcPr>
            <w:tcW w:w="537" w:type="dxa"/>
            <w:gridSpan w:val="2"/>
            <w:vMerge w:val="restart"/>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       效    指    标</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CellMar>
            <w:top w:w="0" w:type="dxa"/>
            <w:left w:w="108" w:type="dxa"/>
            <w:bottom w:w="0" w:type="dxa"/>
            <w:right w:w="108" w:type="dxa"/>
          </w:tblCellMar>
        </w:tblPrEx>
        <w:trPr>
          <w:trHeight w:val="581"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批复金额</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≤4.01万元</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办公取暖质量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61"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费用报销及时率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等于100%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预算执行率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等于100%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vertAlign w:val="baseli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81"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年初预算执行情况</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≤4.46万元</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sz w:val="20"/>
                <w:szCs w:val="20"/>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0"/>
                <w:szCs w:val="20"/>
                <w:u w:val="none"/>
                <w:lang w:val="en-US"/>
              </w:rPr>
            </w:pPr>
            <w:r>
              <w:rPr>
                <w:rFonts w:hint="eastAsia" w:asciiTheme="majorEastAsia" w:hAnsiTheme="majorEastAsia" w:eastAsiaTheme="majorEastAsia" w:cstheme="majorEastAsia"/>
                <w:sz w:val="20"/>
                <w:szCs w:val="20"/>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99"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节约办公取暖费开支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≤4.46万元</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sz w:val="20"/>
                <w:szCs w:val="20"/>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sz w:val="20"/>
                <w:szCs w:val="20"/>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7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提升公务服务水平</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sz w:val="20"/>
                <w:szCs w:val="20"/>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0"/>
                <w:szCs w:val="20"/>
                <w:u w:val="none"/>
              </w:rPr>
            </w:pPr>
            <w:r>
              <w:rPr>
                <w:rFonts w:hint="eastAsia" w:asciiTheme="majorEastAsia" w:hAnsiTheme="majorEastAsia" w:eastAsiaTheme="majorEastAsia" w:cstheme="majorEastAsia"/>
                <w:sz w:val="20"/>
                <w:szCs w:val="20"/>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66"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工作环境改善程度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sz w:val="20"/>
                <w:szCs w:val="20"/>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sz w:val="20"/>
                <w:szCs w:val="20"/>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09" w:hRule="atLeast"/>
        </w:trPr>
        <w:tc>
          <w:tcPr>
            <w:tcW w:w="537" w:type="dxa"/>
            <w:gridSpan w:val="2"/>
            <w:vMerge w:val="continue"/>
            <w:tcBorders>
              <w:top w:val="single" w:color="000000" w:sz="4" w:space="0"/>
              <w:left w:val="single" w:color="000000" w:sz="8"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4"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69"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服务对象满意度（%）</w:t>
            </w:r>
          </w:p>
        </w:tc>
        <w:tc>
          <w:tcPr>
            <w:tcW w:w="8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0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86" w:hRule="atLeast"/>
        </w:trPr>
        <w:tc>
          <w:tcPr>
            <w:tcW w:w="6340" w:type="dxa"/>
            <w:gridSpan w:val="11"/>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050"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30" w:hRule="atLeast"/>
        </w:trPr>
        <w:tc>
          <w:tcPr>
            <w:tcW w:w="6340" w:type="dxa"/>
            <w:gridSpan w:val="11"/>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  分</w:t>
            </w:r>
          </w:p>
        </w:tc>
        <w:tc>
          <w:tcPr>
            <w:tcW w:w="68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050"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bl>
    <w:p>
      <w:pPr>
        <w:keepNext w:val="0"/>
        <w:keepLines w:val="0"/>
        <w:pageBreakBefore w:val="0"/>
        <w:widowControl w:val="0"/>
        <w:numPr>
          <w:ilvl w:val="0"/>
          <w:numId w:val="0"/>
        </w:numPr>
        <w:tabs>
          <w:tab w:val="left" w:pos="1550"/>
        </w:tabs>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办公取暖费项目支出绩效自评说明：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1.项目概况：</w:t>
      </w:r>
      <w:r>
        <w:rPr>
          <w:rFonts w:hint="eastAsia" w:ascii="方正仿宋简体" w:hAnsi="方正仿宋简体" w:eastAsia="方正仿宋简体" w:cs="方正仿宋简体"/>
          <w:b/>
          <w:bCs/>
          <w:sz w:val="32"/>
          <w:szCs w:val="32"/>
          <w:lang w:val="en-US" w:eastAsia="zh-CN"/>
        </w:rPr>
        <w:t>（1）项目背景：</w:t>
      </w:r>
      <w:r>
        <w:rPr>
          <w:rFonts w:hint="eastAsia" w:ascii="方正仿宋简体" w:hAnsi="方正仿宋简体" w:eastAsia="方正仿宋简体" w:cs="方正仿宋简体"/>
          <w:b w:val="0"/>
          <w:bCs w:val="0"/>
          <w:sz w:val="32"/>
          <w:szCs w:val="32"/>
          <w:lang w:val="en-US" w:eastAsia="zh-CN"/>
        </w:rPr>
        <w:t>该项目为年内细化项目，根据《遵化市财政局关于申请拨付2021年度办公取暖费请示的答复》（遵财答复[2021]1792号），解决上年批复中支出涉及办公取暖费4.01万元，用于我社支付遵化民生盐业专营有限公司垫付的办公取暖费用。</w:t>
      </w:r>
      <w:r>
        <w:rPr>
          <w:rFonts w:hint="eastAsia" w:ascii="方正仿宋简体" w:hAnsi="方正仿宋简体" w:eastAsia="方正仿宋简体" w:cs="方正仿宋简体"/>
          <w:b/>
          <w:bCs/>
          <w:sz w:val="32"/>
          <w:szCs w:val="32"/>
          <w:lang w:val="en-US" w:eastAsia="zh-CN"/>
        </w:rPr>
        <w:t>（2）主要内容：</w:t>
      </w:r>
      <w:r>
        <w:rPr>
          <w:rFonts w:hint="eastAsia" w:ascii="方正仿宋简体" w:hAnsi="方正仿宋简体" w:eastAsia="方正仿宋简体" w:cs="方正仿宋简体"/>
          <w:b w:val="0"/>
          <w:bCs w:val="0"/>
          <w:sz w:val="32"/>
          <w:szCs w:val="32"/>
          <w:lang w:val="en-US" w:eastAsia="zh-CN"/>
        </w:rPr>
        <w:t>解决上年批复中支出涉及办公取暖费4.0068万元，用于我社支付遵化民生盐业专营有限公司垫付的办公取暖费。</w:t>
      </w:r>
      <w:r>
        <w:rPr>
          <w:rFonts w:hint="eastAsia" w:ascii="方正仿宋简体" w:hAnsi="方正仿宋简体" w:eastAsia="方正仿宋简体" w:cs="方正仿宋简体"/>
          <w:b/>
          <w:bCs/>
          <w:sz w:val="32"/>
          <w:szCs w:val="32"/>
          <w:lang w:val="en-US" w:eastAsia="zh-CN"/>
        </w:rPr>
        <w:t>（3）实施情况：</w:t>
      </w:r>
      <w:r>
        <w:rPr>
          <w:rFonts w:hint="eastAsia" w:ascii="方正仿宋简体" w:hAnsi="方正仿宋简体" w:eastAsia="方正仿宋简体" w:cs="方正仿宋简体"/>
          <w:sz w:val="32"/>
          <w:szCs w:val="32"/>
          <w:lang w:val="en-US" w:eastAsia="zh-CN"/>
        </w:rPr>
        <w:t>收到财政拨款后，及时、足额将办公取暖费支付给遵化市民生盐业专营有限公司。</w:t>
      </w:r>
      <w:r>
        <w:rPr>
          <w:rFonts w:hint="eastAsia" w:ascii="方正仿宋简体" w:hAnsi="方正仿宋简体" w:eastAsia="方正仿宋简体" w:cs="方正仿宋简体"/>
          <w:b/>
          <w:bCs/>
          <w:sz w:val="32"/>
          <w:szCs w:val="32"/>
          <w:lang w:val="en-US" w:eastAsia="zh-CN"/>
        </w:rPr>
        <w:t>（4）资金投入及使用情况：</w:t>
      </w:r>
      <w:r>
        <w:rPr>
          <w:rFonts w:hint="eastAsia" w:ascii="方正仿宋简体" w:hAnsi="方正仿宋简体" w:eastAsia="方正仿宋简体" w:cs="方正仿宋简体"/>
          <w:sz w:val="32"/>
          <w:szCs w:val="32"/>
          <w:lang w:val="en-US" w:eastAsia="zh-CN"/>
        </w:rPr>
        <w:t>该项目为年内细化项目，预算数4.01万元，全年实际支出4.01万元，预算执行率100%。全部用于</w:t>
      </w:r>
      <w:r>
        <w:rPr>
          <w:rFonts w:hint="eastAsia" w:ascii="方正仿宋简体" w:hAnsi="方正仿宋简体" w:eastAsia="方正仿宋简体" w:cs="方正仿宋简体"/>
          <w:b w:val="0"/>
          <w:bCs w:val="0"/>
          <w:sz w:val="32"/>
          <w:szCs w:val="32"/>
          <w:lang w:val="en-US" w:eastAsia="zh-CN"/>
        </w:rPr>
        <w:t>我社支付遵化民生盐业专营有限公司垫付的办公取暖费用。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2.项目绩效目标。</w:t>
      </w:r>
      <w:r>
        <w:rPr>
          <w:rFonts w:hint="eastAsia" w:ascii="方正仿宋简体" w:hAnsi="方正仿宋简体" w:eastAsia="方正仿宋简体" w:cs="方正仿宋简体"/>
          <w:sz w:val="32"/>
          <w:szCs w:val="32"/>
          <w:lang w:val="en-US" w:eastAsia="zh-CN"/>
        </w:rPr>
        <w:t>（1）及时解决上年批复中支出涉及办公取暖费4.0068万元，用于我社支付遵化民生盐业专营有限公司垫付，保证资金支付及时性。（2）解决上年批复中支出涉及办公取暖费4.0068万元，用于我社支付遵化民生盐业专营有限公司垫付，保证资金足额支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color w:val="auto"/>
          <w:sz w:val="32"/>
          <w:szCs w:val="32"/>
          <w:shd w:val="clear" w:color="auto" w:fill="auto"/>
          <w:lang w:val="en-US" w:eastAsia="zh-CN"/>
        </w:rPr>
      </w:pPr>
      <w:r>
        <w:rPr>
          <w:rFonts w:hint="eastAsia" w:ascii="方正楷体简体" w:hAnsi="方正楷体简体" w:eastAsia="方正楷体简体" w:cs="方正楷体简体"/>
          <w:color w:val="auto"/>
          <w:sz w:val="32"/>
          <w:szCs w:val="32"/>
          <w:lang w:val="en-US" w:eastAsia="zh-CN"/>
        </w:rPr>
        <w:t>（</w:t>
      </w:r>
      <w:r>
        <w:rPr>
          <w:rFonts w:hint="eastAsia" w:ascii="方正楷体简体" w:hAnsi="方正楷体简体" w:eastAsia="方正楷体简体" w:cs="方正楷体简体"/>
          <w:color w:val="auto"/>
          <w:sz w:val="32"/>
          <w:szCs w:val="32"/>
          <w:shd w:val="clear" w:color="auto" w:fill="auto"/>
          <w:lang w:val="en-US" w:eastAsia="zh-CN"/>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次2022年度预算项目支出绩效评价目的是认真贯彻落实市委、市政府《全面实施预算绩效管理的实施意见》（遵发[2020]8号）文件精神，进一步推进我社预算绩效管理工作，切实提升我社财政资金使用效益和财政管理科学化、精细化水平，充分发挥部门预算项目资金的效能作用。绩效评价对象为我社2022年度部门预算项目支出情况。范围为办公取暖费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（二）绩效评价原则、评价指标体系、评价方法、评价标准。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1.绩效评价原则：</w:t>
      </w:r>
      <w:r>
        <w:rPr>
          <w:rFonts w:hint="eastAsia" w:ascii="方正仿宋简体" w:hAnsi="方正仿宋简体" w:eastAsia="方正仿宋简体" w:cs="方正仿宋简体"/>
          <w:sz w:val="32"/>
          <w:szCs w:val="32"/>
          <w:lang w:val="en-US" w:eastAsia="zh-CN"/>
        </w:rPr>
        <w:t>2022年度预算项目支出绩效评价工作遵循全面覆盖、程序简便、客观公正、公开透明的原则。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2.评价指标体系：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办公取暖费项目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2022年度项目支出绩效评价指标体系</w:t>
      </w:r>
    </w:p>
    <w:tbl>
      <w:tblPr>
        <w:tblStyle w:val="5"/>
        <w:tblpPr w:leftFromText="180" w:rightFromText="180" w:vertAnchor="text" w:horzAnchor="page" w:tblpX="1590" w:tblpY="47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53"/>
        <w:gridCol w:w="2077"/>
        <w:gridCol w:w="2427"/>
        <w:gridCol w:w="1346"/>
        <w:gridCol w:w="75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4"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项目名称</w:t>
            </w:r>
          </w:p>
        </w:tc>
        <w:tc>
          <w:tcPr>
            <w:tcW w:w="8362" w:type="dxa"/>
            <w:gridSpan w:val="6"/>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办公取暖费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4" w:type="dxa"/>
            <w:vMerge w:val="restart"/>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绩       效    指    标</w:t>
            </w:r>
          </w:p>
        </w:tc>
        <w:tc>
          <w:tcPr>
            <w:tcW w:w="753"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一级指标</w:t>
            </w:r>
          </w:p>
        </w:tc>
        <w:tc>
          <w:tcPr>
            <w:tcW w:w="207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二级指标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三级指标</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年度指标值</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分值</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restart"/>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产出指标</w:t>
            </w:r>
          </w:p>
        </w:tc>
        <w:tc>
          <w:tcPr>
            <w:tcW w:w="2077" w:type="dxa"/>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数量指标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批复金额</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Style w:val="9"/>
                <w:sz w:val="20"/>
                <w:szCs w:val="20"/>
                <w:lang w:val="en-US" w:eastAsia="zh-CN" w:bidi="ar"/>
              </w:rPr>
              <w:t>≤</w:t>
            </w:r>
            <w:r>
              <w:rPr>
                <w:rStyle w:val="10"/>
                <w:rFonts w:eastAsia="宋体"/>
                <w:sz w:val="20"/>
                <w:szCs w:val="20"/>
                <w:lang w:val="en-US" w:eastAsia="zh-CN" w:bidi="ar"/>
              </w:rPr>
              <w:t>4.01</w:t>
            </w:r>
            <w:r>
              <w:rPr>
                <w:rStyle w:val="9"/>
                <w:sz w:val="20"/>
                <w:szCs w:val="20"/>
                <w:lang w:val="en-US" w:eastAsia="zh-CN" w:bidi="ar"/>
              </w:rPr>
              <w:t>万元</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按照各自指标的实际完成值与年度指标值比较，结合各自分值确定最后得分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continue"/>
            <w:vAlign w:val="center"/>
          </w:tcPr>
          <w:p>
            <w:pPr>
              <w:jc w:val="center"/>
              <w:rPr>
                <w:rFonts w:hint="eastAsia" w:ascii="宋体" w:hAnsi="宋体" w:eastAsia="宋体" w:cs="宋体"/>
                <w:sz w:val="20"/>
                <w:szCs w:val="20"/>
                <w:vertAlign w:val="baseline"/>
                <w:lang w:val="en-US" w:eastAsia="zh-CN"/>
              </w:rPr>
            </w:pPr>
          </w:p>
        </w:tc>
        <w:tc>
          <w:tcPr>
            <w:tcW w:w="207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242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办公取暖质量</w:t>
            </w:r>
          </w:p>
        </w:tc>
        <w:tc>
          <w:tcPr>
            <w:tcW w:w="134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≥90%</w:t>
            </w:r>
          </w:p>
        </w:tc>
        <w:tc>
          <w:tcPr>
            <w:tcW w:w="750" w:type="dxa"/>
            <w:vAlign w:val="center"/>
          </w:tcPr>
          <w:p>
            <w:pPr>
              <w:keepNext w:val="0"/>
              <w:keepLines w:val="0"/>
              <w:widowControl/>
              <w:suppressLineNumbers w:val="0"/>
              <w:jc w:val="right"/>
              <w:textAlignment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continue"/>
            <w:vAlign w:val="center"/>
          </w:tcPr>
          <w:p>
            <w:pPr>
              <w:jc w:val="center"/>
              <w:rPr>
                <w:rFonts w:hint="eastAsia" w:ascii="宋体" w:hAnsi="宋体" w:eastAsia="宋体" w:cs="宋体"/>
                <w:sz w:val="20"/>
                <w:szCs w:val="20"/>
                <w:vertAlign w:val="baseline"/>
                <w:lang w:val="en-US" w:eastAsia="zh-CN"/>
              </w:rPr>
            </w:pPr>
          </w:p>
        </w:tc>
        <w:tc>
          <w:tcPr>
            <w:tcW w:w="2077" w:type="dxa"/>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时效指标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费用报销及时率</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等于100%</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continue"/>
            <w:vAlign w:val="center"/>
          </w:tcPr>
          <w:p>
            <w:pPr>
              <w:jc w:val="center"/>
              <w:rPr>
                <w:rFonts w:hint="eastAsia" w:ascii="宋体" w:hAnsi="宋体" w:eastAsia="宋体" w:cs="宋体"/>
                <w:sz w:val="20"/>
                <w:szCs w:val="20"/>
                <w:vertAlign w:val="baseline"/>
                <w:lang w:val="en-US" w:eastAsia="zh-CN"/>
              </w:rPr>
            </w:pPr>
          </w:p>
        </w:tc>
        <w:tc>
          <w:tcPr>
            <w:tcW w:w="2077" w:type="dxa"/>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成本指标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预算执行率</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等于100%</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restart"/>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效果指标</w:t>
            </w:r>
          </w:p>
        </w:tc>
        <w:tc>
          <w:tcPr>
            <w:tcW w:w="2077" w:type="dxa"/>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可持续影响指标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年初预算执行情况</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≤4.46万元</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continue"/>
            <w:vAlign w:val="center"/>
          </w:tcPr>
          <w:p>
            <w:pPr>
              <w:jc w:val="center"/>
              <w:rPr>
                <w:rFonts w:hint="eastAsia" w:ascii="宋体" w:hAnsi="宋体" w:eastAsia="宋体" w:cs="宋体"/>
                <w:sz w:val="20"/>
                <w:szCs w:val="20"/>
                <w:vertAlign w:val="baseline"/>
                <w:lang w:val="en-US" w:eastAsia="zh-CN"/>
              </w:rPr>
            </w:pPr>
          </w:p>
        </w:tc>
        <w:tc>
          <w:tcPr>
            <w:tcW w:w="2077" w:type="dxa"/>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经济效益指标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节约办公取暖费开支</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≤4.46万元</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Merge w:val="continue"/>
            <w:vAlign w:val="center"/>
          </w:tcPr>
          <w:p>
            <w:pPr>
              <w:jc w:val="center"/>
              <w:rPr>
                <w:rFonts w:hint="eastAsia" w:ascii="宋体" w:hAnsi="宋体" w:eastAsia="宋体" w:cs="宋体"/>
                <w:sz w:val="20"/>
                <w:szCs w:val="20"/>
                <w:vertAlign w:val="baseline"/>
                <w:lang w:val="en-US" w:eastAsia="zh-CN"/>
              </w:rPr>
            </w:pPr>
          </w:p>
        </w:tc>
        <w:tc>
          <w:tcPr>
            <w:tcW w:w="2077" w:type="dxa"/>
            <w:vAlign w:val="center"/>
          </w:tcPr>
          <w:p>
            <w:pPr>
              <w:keepNext w:val="0"/>
              <w:keepLines w:val="0"/>
              <w:widowControl/>
              <w:suppressLineNumbers w:val="0"/>
              <w:jc w:val="left"/>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社会效益指标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提升公务服务水平</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Align w:val="center"/>
          </w:tcPr>
          <w:p>
            <w:pPr>
              <w:jc w:val="center"/>
              <w:rPr>
                <w:rFonts w:hint="eastAsia" w:ascii="宋体" w:hAnsi="宋体" w:eastAsia="宋体" w:cs="宋体"/>
                <w:sz w:val="20"/>
                <w:szCs w:val="20"/>
                <w:vertAlign w:val="baseline"/>
                <w:lang w:val="en-US" w:eastAsia="zh-CN"/>
              </w:rPr>
            </w:pPr>
          </w:p>
        </w:tc>
        <w:tc>
          <w:tcPr>
            <w:tcW w:w="207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24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工作环境改善程度</w:t>
            </w:r>
          </w:p>
        </w:tc>
        <w:tc>
          <w:tcPr>
            <w:tcW w:w="134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94" w:type="dxa"/>
            <w:vMerge w:val="continue"/>
            <w:vAlign w:val="center"/>
          </w:tcPr>
          <w:p>
            <w:pPr>
              <w:jc w:val="center"/>
              <w:rPr>
                <w:rFonts w:hint="eastAsia" w:ascii="宋体" w:hAnsi="宋体" w:eastAsia="宋体" w:cs="宋体"/>
                <w:sz w:val="20"/>
                <w:szCs w:val="20"/>
                <w:vertAlign w:val="baseline"/>
                <w:lang w:val="en-US" w:eastAsia="zh-CN"/>
              </w:rPr>
            </w:pPr>
          </w:p>
        </w:tc>
        <w:tc>
          <w:tcPr>
            <w:tcW w:w="753"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满意度指标</w:t>
            </w:r>
          </w:p>
        </w:tc>
        <w:tc>
          <w:tcPr>
            <w:tcW w:w="207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color w:val="000000"/>
                <w:kern w:val="0"/>
                <w:sz w:val="20"/>
                <w:szCs w:val="20"/>
                <w:u w:val="none"/>
                <w:lang w:val="en-US" w:eastAsia="zh-CN" w:bidi="ar"/>
              </w:rPr>
              <w:t>服务对象满意度指标</w:t>
            </w:r>
          </w:p>
        </w:tc>
        <w:tc>
          <w:tcPr>
            <w:tcW w:w="2427"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服务对象满意度（%）</w:t>
            </w:r>
          </w:p>
        </w:tc>
        <w:tc>
          <w:tcPr>
            <w:tcW w:w="1346" w:type="dxa"/>
            <w:vAlign w:val="center"/>
          </w:tcPr>
          <w:p>
            <w:pPr>
              <w:keepNext w:val="0"/>
              <w:keepLines w:val="0"/>
              <w:widowControl/>
              <w:suppressLineNumbers w:val="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≥80%</w:t>
            </w:r>
          </w:p>
        </w:tc>
        <w:tc>
          <w:tcPr>
            <w:tcW w:w="750" w:type="dxa"/>
            <w:vAlign w:val="center"/>
          </w:tcPr>
          <w:p>
            <w:pPr>
              <w:keepNext w:val="0"/>
              <w:keepLines w:val="0"/>
              <w:widowControl/>
              <w:suppressLineNumbers w:val="0"/>
              <w:jc w:val="right"/>
              <w:textAlignment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97" w:type="dxa"/>
            <w:gridSpan w:val="5"/>
            <w:vAlign w:val="center"/>
          </w:tcPr>
          <w:p>
            <w:pPr>
              <w:keepNext w:val="0"/>
              <w:keepLines w:val="0"/>
              <w:pageBreakBefore w:val="0"/>
              <w:widowControl w:val="0"/>
              <w:numPr>
                <w:ilvl w:val="0"/>
                <w:numId w:val="0"/>
              </w:numPr>
              <w:tabs>
                <w:tab w:val="left" w:pos="2557"/>
              </w:tabs>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预算执行率（全年执行数/全年预算数*100%）</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预算执行率结合分值确定最后得分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9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总  分</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100</w:t>
            </w:r>
          </w:p>
        </w:tc>
        <w:tc>
          <w:tcPr>
            <w:tcW w:w="1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0"/>
                <w:szCs w:val="20"/>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3.评价方法：</w:t>
      </w:r>
      <w:r>
        <w:rPr>
          <w:rFonts w:hint="eastAsia" w:ascii="方正仿宋简体" w:hAnsi="方正仿宋简体" w:eastAsia="方正仿宋简体" w:cs="方正仿宋简体"/>
          <w:sz w:val="32"/>
          <w:szCs w:val="32"/>
          <w:lang w:val="en-US" w:eastAsia="zh-CN"/>
        </w:rPr>
        <w:t>主要采取了比较法，即：（1）预算执行率，采取全年预算执行数占全年预算数的百分比；（2）绩效指标中的产出指标、效果指标和满意度指标采取实际完成值与年度指标值对比。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4.评价标准：</w:t>
      </w:r>
      <w:r>
        <w:rPr>
          <w:rFonts w:hint="eastAsia" w:ascii="方正仿宋简体" w:hAnsi="方正仿宋简体" w:eastAsia="方正仿宋简体" w:cs="方正仿宋简体"/>
          <w:sz w:val="32"/>
          <w:szCs w:val="32"/>
          <w:lang w:val="en-US" w:eastAsia="zh-CN"/>
        </w:rPr>
        <w:t>主要采取了计划标准，即：以预先制定的目标、计划、预算、定额等作为评价标准。具体包括：（1）预算执行率以每个预算项目的全年预算数为评价标准；（2）绩效指标中的产出指标、效果指标和满意度指标均以每个指标的年度指标值为评价标准。项目绩效自评得分由各项指标得分加权汇总形成。其中：绩效指标权重根据部门预算项目实际情况确定，总分设定为100分，预算执行率和一级指标权重统一设置为: 预算执行率10%即10分、产出指标40%即40分、效益指标40%即40分、服务对象满意度指标10%即10分，其中：一级指标（产出指标、效果指标、满意度指标）再按照各自指标的实际数量分配各自的具体分值。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提高认识，加强领导，成立组织。为开展好此项工作，我社领导高度重视，主要领导亲自抓，成立了由主要领导任组长（兼单位自评机构负责人），分管财务副职和其他副职为副组长，各科室及农村产权交易中心负责人为成员的2022年度预算项目支出绩效自评工作领导小组，领导小组下设办公室（财务审计科），同时结合预算项目具体实施部门等实际情况，成立了由分管副职为组长、项目实施相关部门科室负责人、信访保卫监察科负责人、财务审计科负责人等参加的部门项目支出绩效评价考评组，积极开展了自评相关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2.绩效信息收集。项目支出绩效评价考评组按照有关要求，全面收集、系统整理各个预算项目绩效完成信息，集体确认各项绩效指标实际完成值或实现程度等相关工作。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绩效自评打分、客观评价。结合各个项目绩效指标实际完成值（实现程度）与年初设定的预期值（年度指标值）相比较，逐项评定每项指标得分，汇总形成各自预算项目自评得分，规范填写了《2022年度项目支出绩效自评表》，给每个预算项目进行了客观的综合评价，及时总结存在问题及改制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rPr>
          <w:rFonts w:hint="eastAsia" w:ascii="方正楷体简体" w:hAnsi="方正楷体简体" w:eastAsia="方正楷体简体" w:cs="方正楷体简体"/>
          <w:sz w:val="32"/>
          <w:szCs w:val="32"/>
          <w:lang w:val="en-US" w:eastAsia="zh-CN"/>
        </w:rPr>
      </w:pPr>
      <w:r>
        <w:rPr>
          <w:rFonts w:hint="eastAsia" w:ascii="方正仿宋简体" w:hAnsi="方正仿宋简体" w:eastAsia="方正仿宋简体" w:cs="方正仿宋简体"/>
          <w:b/>
          <w:bCs/>
          <w:sz w:val="32"/>
          <w:szCs w:val="32"/>
          <w:lang w:val="en-US" w:eastAsia="zh-CN"/>
        </w:rPr>
        <w:t>综合评价情况：</w:t>
      </w:r>
      <w:r>
        <w:rPr>
          <w:rFonts w:hint="eastAsia" w:ascii="方正仿宋简体" w:hAnsi="方正仿宋简体" w:eastAsia="方正仿宋简体" w:cs="方正仿宋简体"/>
          <w:sz w:val="32"/>
          <w:szCs w:val="32"/>
          <w:lang w:val="en-US" w:eastAsia="zh-CN"/>
        </w:rPr>
        <w:t>经该项目支出绩效评价考评组等综合考评，项目支出绩效考评得分表如下：</w:t>
      </w:r>
      <w:r>
        <w:rPr>
          <w:rFonts w:hint="eastAsia" w:ascii="方正楷体简体" w:hAnsi="方正楷体简体" w:eastAsia="方正楷体简体" w:cs="方正楷体简体"/>
          <w:sz w:val="32"/>
          <w:szCs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3"/>
        <w:gridCol w:w="465"/>
        <w:gridCol w:w="465"/>
        <w:gridCol w:w="465"/>
        <w:gridCol w:w="465"/>
        <w:gridCol w:w="465"/>
        <w:gridCol w:w="465"/>
        <w:gridCol w:w="465"/>
        <w:gridCol w:w="465"/>
        <w:gridCol w:w="425"/>
        <w:gridCol w:w="425"/>
        <w:gridCol w:w="425"/>
        <w:gridCol w:w="425"/>
        <w:gridCol w:w="425"/>
        <w:gridCol w:w="426"/>
        <w:gridCol w:w="426"/>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预算执行率（100%）</w:t>
            </w:r>
          </w:p>
        </w:tc>
        <w:tc>
          <w:tcPr>
            <w:tcW w:w="7123" w:type="dxa"/>
            <w:gridSpan w:val="1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绩效指标</w:t>
            </w:r>
          </w:p>
        </w:tc>
        <w:tc>
          <w:tcPr>
            <w:tcW w:w="852"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项目总得分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8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3720" w:type="dxa"/>
            <w:gridSpan w:val="8"/>
            <w:vAlign w:val="center"/>
          </w:tcPr>
          <w:p>
            <w:pPr>
              <w:keepNext w:val="0"/>
              <w:keepLines w:val="0"/>
              <w:pageBreakBefore w:val="0"/>
              <w:widowControl w:val="0"/>
              <w:numPr>
                <w:ilvl w:val="0"/>
                <w:numId w:val="0"/>
              </w:numPr>
              <w:tabs>
                <w:tab w:val="left" w:pos="370"/>
              </w:tabs>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产出指标</w:t>
            </w:r>
          </w:p>
        </w:tc>
        <w:tc>
          <w:tcPr>
            <w:tcW w:w="2551"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效果指标</w:t>
            </w:r>
          </w:p>
        </w:tc>
        <w:tc>
          <w:tcPr>
            <w:tcW w:w="8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满意度指标</w:t>
            </w:r>
          </w:p>
        </w:tc>
        <w:tc>
          <w:tcPr>
            <w:tcW w:w="852"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6"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p>
        </w:tc>
        <w:tc>
          <w:tcPr>
            <w:tcW w:w="9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9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指标2</w:t>
            </w:r>
          </w:p>
        </w:tc>
        <w:tc>
          <w:tcPr>
            <w:tcW w:w="9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指标3</w:t>
            </w:r>
          </w:p>
        </w:tc>
        <w:tc>
          <w:tcPr>
            <w:tcW w:w="9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指标4</w:t>
            </w:r>
          </w:p>
        </w:tc>
        <w:tc>
          <w:tcPr>
            <w:tcW w:w="8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8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指标2</w:t>
            </w:r>
          </w:p>
        </w:tc>
        <w:tc>
          <w:tcPr>
            <w:tcW w:w="85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指标3</w:t>
            </w:r>
          </w:p>
        </w:tc>
        <w:tc>
          <w:tcPr>
            <w:tcW w:w="85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指标1</w:t>
            </w:r>
          </w:p>
        </w:tc>
        <w:tc>
          <w:tcPr>
            <w:tcW w:w="852"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5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分值</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5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100</w:t>
            </w:r>
          </w:p>
        </w:tc>
        <w:tc>
          <w:tcPr>
            <w:tcW w:w="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sz w:val="13"/>
                <w:szCs w:val="13"/>
                <w:vertAlign w:val="baseline"/>
                <w:lang w:val="en-US" w:eastAsia="zh-CN"/>
              </w:rPr>
            </w:pPr>
            <w:r>
              <w:rPr>
                <w:rFonts w:hint="eastAsia" w:ascii="方正仿宋简体" w:hAnsi="方正仿宋简体" w:eastAsia="方正仿宋简体" w:cs="方正仿宋简体"/>
                <w:sz w:val="13"/>
                <w:szCs w:val="13"/>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评价结论：</w:t>
      </w:r>
      <w:r>
        <w:rPr>
          <w:rFonts w:hint="eastAsia" w:ascii="方正仿宋简体" w:hAnsi="方正仿宋简体" w:eastAsia="方正仿宋简体" w:cs="方正仿宋简体"/>
          <w:b w:val="0"/>
          <w:bCs w:val="0"/>
          <w:sz w:val="32"/>
          <w:szCs w:val="32"/>
          <w:lang w:val="en-US" w:eastAsia="zh-CN"/>
        </w:rPr>
        <w:t>此项目为年内细化项目，为解决上年批复中支出涉及的办公取暖费部分，该项目支出已按照答复金额，及时、足额列支完毕，</w:t>
      </w:r>
      <w:r>
        <w:rPr>
          <w:rFonts w:hint="eastAsia" w:ascii="方正仿宋简体" w:hAnsi="方正仿宋简体" w:eastAsia="方正仿宋简体" w:cs="方正仿宋简体"/>
          <w:sz w:val="32"/>
          <w:szCs w:val="32"/>
          <w:lang w:val="en-US" w:eastAsia="zh-CN"/>
        </w:rPr>
        <w:t>发挥了项目的效能作用。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根据《遵化市财政局关于申请拨付2021年度办公取暖费请示的答复》（遵财答复[2021]1792号），解决上年批复中支出涉及办公取暖费4.01万元，用于我社支付遵化民生盐业专营有限公司垫付的办公取暖费用。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度该项目为年内细化项目，财政预算资金4.01万元，实际发生4.01万元，预算执行率100%。项目认定，资金申报、批复程序符合相关管理办法，项目实施手续健全。项目不存在虚列（套取）总控情况，项目资金支出合理合规，无截留、挤占、招标准发放现象，项目实施单位财务制度健全，会计核算规范；该项目组织机构健全，成立专门的领导小组，且分工明确；为确保项目的顺利实施明确专人负责，及时督导，确保项目顺利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产出指标，包括4个即：（1）数量指标-批复金额4.01万元，年度指标值≤4.01万元，实际完成值：4.01万元，收到款项后，按照答复金额足额进行了支付；（2）质量指标-办公取暖质量，年度指标值：≥90%，实际完成值：100%，收到款项后，及时拨付给了垫付单位遵化市民生盐业专营有限公司，保证了机关办公环境质量；（3）时效指标-费用报销及时率，年度指标值：等于100%，实际完成值：100%，收到款项后，及时将项目资金拨付给遵化市民生盐业专营有限公司；（4）成本指标-预算执行率，年度指标值：等于100%，实际完成值：100%，严格按照答复金额进行了列支。上述产出指标分值40分，自评得分40分，实际完成情况较好，发挥了项目资金的效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效果指标，包括3个即：（1）可持续影响指标-年初预算执行情况，年度指标值：≤4.01万元，实际完成值：4.01万元，严格按照预算指标执行，保证了供销社机关正常持续运转；（2）经济效益指标-节约办公取暖费开支，年度指标值：≤4.46万元，实际完成值：节约了办公取暖费开支0.45万元，践行了厉行节约反对浪费的原则；（3）社会效益指标-提升公务服务水平，年度指标值：≥80%，实际完成值：80%，发挥了机关运转对公共服务水平的提升作用；（4）生态效益指标-工作环境改善程度年度指标值：≥80%，实际完成值：80%，促进了工作环境改善。上述效果指标分值40分，自评得分40分，属正常的办公取暖，保障工作环境的改善，发挥了项目资金的效能作用。也使服务对象满意度指标（满意度指标），实际完成值达到了年度指标值的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五、主要经验做法、存在问题及原因分析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val="0"/>
          <w:bCs w:val="0"/>
          <w:sz w:val="32"/>
          <w:szCs w:val="32"/>
          <w:lang w:val="en-US" w:eastAsia="zh-CN"/>
        </w:rPr>
        <w:t>主要做法：</w:t>
      </w:r>
      <w:r>
        <w:rPr>
          <w:rFonts w:hint="eastAsia" w:ascii="方正仿宋简体" w:hAnsi="方正仿宋简体" w:eastAsia="方正仿宋简体" w:cs="方正仿宋简体"/>
          <w:sz w:val="32"/>
          <w:szCs w:val="32"/>
          <w:lang w:val="en-US" w:eastAsia="zh-CN"/>
        </w:rPr>
        <w:t>1.预算项目支出绩效工作从项目决策、过程、产出、效益、监控、评价等是一个多部门参加的系统工作，需要单位主要负责人高度重视亲自抓，成立相应组织，各相关部门科室协调联动，共同努力，做好相关工作；2.项目信息核实准确；3.及时足额发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存在问题及原因分析：</w:t>
      </w:r>
      <w:r>
        <w:rPr>
          <w:rFonts w:hint="eastAsia" w:ascii="方正仿宋简体" w:hAnsi="方正仿宋简体" w:eastAsia="方正仿宋简体" w:cs="方正仿宋简体"/>
          <w:sz w:val="32"/>
          <w:szCs w:val="32"/>
          <w:lang w:val="en-US" w:eastAsia="zh-CN"/>
        </w:rPr>
        <w:t>该项目从预算、执行和结果来看，充分发挥了项目的效能作用，推动了项目建设，不存在问题。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建议提高项目预算指标编制的精度，既能满足实际开支需求额度，又使项目实际执行额度与预算指标额度尽可能接近，缩短之间的差距，同时应加大预算执行力度，充分发挥项目支出的效能作用。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无其他需要说明的问题。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40" w:firstLineChars="200"/>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160" w:firstLineChars="1300"/>
        <w:textAlignment w:val="auto"/>
        <w:rPr>
          <w:rFonts w:hint="default" w:ascii="方正仿宋简体" w:hAnsi="方正仿宋简体" w:eastAsia="方正仿宋简体" w:cs="方正仿宋简体"/>
          <w:sz w:val="32"/>
          <w:szCs w:val="32"/>
          <w:lang w:val="en-US" w:eastAsia="zh-CN"/>
        </w:rPr>
      </w:pPr>
    </w:p>
    <w:sectPr>
      <w:footerReference r:id="rId3" w:type="default"/>
      <w:pgSz w:w="11906" w:h="16838"/>
      <w:pgMar w:top="1984" w:right="1474" w:bottom="141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1EC3"/>
    <w:multiLevelType w:val="singleLevel"/>
    <w:tmpl w:val="C4751EC3"/>
    <w:lvl w:ilvl="0" w:tentative="0">
      <w:start w:val="5"/>
      <w:numFmt w:val="chineseCounting"/>
      <w:suff w:val="nothing"/>
      <w:lvlText w:val="%1、"/>
      <w:lvlJc w:val="left"/>
      <w:rPr>
        <w:rFonts w:hint="eastAsia"/>
      </w:rPr>
    </w:lvl>
  </w:abstractNum>
  <w:abstractNum w:abstractNumId="1">
    <w:nsid w:val="D5EFC1E3"/>
    <w:multiLevelType w:val="singleLevel"/>
    <w:tmpl w:val="D5EFC1E3"/>
    <w:lvl w:ilvl="0" w:tentative="0">
      <w:start w:val="1"/>
      <w:numFmt w:val="chineseCounting"/>
      <w:suff w:val="nothing"/>
      <w:lvlText w:val="（%1）"/>
      <w:lvlJc w:val="left"/>
      <w:rPr>
        <w:rFonts w:hint="eastAsia"/>
      </w:rPr>
    </w:lvl>
  </w:abstractNum>
  <w:abstractNum w:abstractNumId="2">
    <w:nsid w:val="D6E36EB8"/>
    <w:multiLevelType w:val="singleLevel"/>
    <w:tmpl w:val="D6E36EB8"/>
    <w:lvl w:ilvl="0" w:tentative="0">
      <w:start w:val="2"/>
      <w:numFmt w:val="chineseCounting"/>
      <w:suff w:val="nothing"/>
      <w:lvlText w:val="（%1）"/>
      <w:lvlJc w:val="left"/>
      <w:pPr>
        <w:ind w:left="-10"/>
      </w:pPr>
      <w:rPr>
        <w:rFonts w:hint="eastAsia"/>
      </w:rPr>
    </w:lvl>
  </w:abstractNum>
  <w:abstractNum w:abstractNumId="3">
    <w:nsid w:val="68C31668"/>
    <w:multiLevelType w:val="singleLevel"/>
    <w:tmpl w:val="68C3166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537BA"/>
    <w:rsid w:val="00BB5EB7"/>
    <w:rsid w:val="00C603E9"/>
    <w:rsid w:val="0171508E"/>
    <w:rsid w:val="01B14BC6"/>
    <w:rsid w:val="01E84282"/>
    <w:rsid w:val="02543352"/>
    <w:rsid w:val="02A52577"/>
    <w:rsid w:val="03712EE0"/>
    <w:rsid w:val="03CA40CF"/>
    <w:rsid w:val="04183808"/>
    <w:rsid w:val="04571855"/>
    <w:rsid w:val="047A4788"/>
    <w:rsid w:val="04880A83"/>
    <w:rsid w:val="04C92059"/>
    <w:rsid w:val="04FA3F42"/>
    <w:rsid w:val="05394F99"/>
    <w:rsid w:val="05852416"/>
    <w:rsid w:val="05A00141"/>
    <w:rsid w:val="06D34AE1"/>
    <w:rsid w:val="07061AC6"/>
    <w:rsid w:val="073B2634"/>
    <w:rsid w:val="07826549"/>
    <w:rsid w:val="07D23798"/>
    <w:rsid w:val="080B4869"/>
    <w:rsid w:val="0832314F"/>
    <w:rsid w:val="08D257EB"/>
    <w:rsid w:val="08DB01D7"/>
    <w:rsid w:val="09464F40"/>
    <w:rsid w:val="094F4C63"/>
    <w:rsid w:val="09D80E22"/>
    <w:rsid w:val="09F85E3F"/>
    <w:rsid w:val="0A087208"/>
    <w:rsid w:val="0A1B49BF"/>
    <w:rsid w:val="0A825471"/>
    <w:rsid w:val="0B0F6391"/>
    <w:rsid w:val="0B1252E2"/>
    <w:rsid w:val="0B1546E8"/>
    <w:rsid w:val="0B2A7C14"/>
    <w:rsid w:val="0B3C5557"/>
    <w:rsid w:val="0B6E30D3"/>
    <w:rsid w:val="0C49490D"/>
    <w:rsid w:val="0CC5107F"/>
    <w:rsid w:val="0CDD1054"/>
    <w:rsid w:val="0D1A38F1"/>
    <w:rsid w:val="0D1C4C4B"/>
    <w:rsid w:val="0D314B3A"/>
    <w:rsid w:val="0E200212"/>
    <w:rsid w:val="0E2607F8"/>
    <w:rsid w:val="0EAB3030"/>
    <w:rsid w:val="0EB6671E"/>
    <w:rsid w:val="0F445F6B"/>
    <w:rsid w:val="0F964F23"/>
    <w:rsid w:val="0FAB0E96"/>
    <w:rsid w:val="0FCB2678"/>
    <w:rsid w:val="0FEF2DF3"/>
    <w:rsid w:val="103F2754"/>
    <w:rsid w:val="106862EE"/>
    <w:rsid w:val="10B053D8"/>
    <w:rsid w:val="10CB459A"/>
    <w:rsid w:val="11374AFE"/>
    <w:rsid w:val="114F650E"/>
    <w:rsid w:val="11657E2B"/>
    <w:rsid w:val="11F90D93"/>
    <w:rsid w:val="123D0C74"/>
    <w:rsid w:val="125A5E42"/>
    <w:rsid w:val="130B05BE"/>
    <w:rsid w:val="135001FC"/>
    <w:rsid w:val="138A1535"/>
    <w:rsid w:val="13E744CA"/>
    <w:rsid w:val="13F43480"/>
    <w:rsid w:val="142A57CC"/>
    <w:rsid w:val="14526852"/>
    <w:rsid w:val="146621A3"/>
    <w:rsid w:val="14A42E96"/>
    <w:rsid w:val="14C2578E"/>
    <w:rsid w:val="14CD10F1"/>
    <w:rsid w:val="15CF251F"/>
    <w:rsid w:val="15D80ED0"/>
    <w:rsid w:val="16242699"/>
    <w:rsid w:val="162852B1"/>
    <w:rsid w:val="16E13213"/>
    <w:rsid w:val="1779715A"/>
    <w:rsid w:val="1928213F"/>
    <w:rsid w:val="19403139"/>
    <w:rsid w:val="19E54739"/>
    <w:rsid w:val="19E731A4"/>
    <w:rsid w:val="19FD26EB"/>
    <w:rsid w:val="1A5439C0"/>
    <w:rsid w:val="1A627306"/>
    <w:rsid w:val="1A94221B"/>
    <w:rsid w:val="1AFD49A8"/>
    <w:rsid w:val="1B8655C9"/>
    <w:rsid w:val="1C0514DB"/>
    <w:rsid w:val="1C121FD6"/>
    <w:rsid w:val="1C6E1DD8"/>
    <w:rsid w:val="1CAF50A2"/>
    <w:rsid w:val="1CDA7313"/>
    <w:rsid w:val="1CF9031B"/>
    <w:rsid w:val="1DCA272D"/>
    <w:rsid w:val="1DEF21EB"/>
    <w:rsid w:val="1DF537BA"/>
    <w:rsid w:val="1E5D5252"/>
    <w:rsid w:val="1E7F2AE5"/>
    <w:rsid w:val="207777C1"/>
    <w:rsid w:val="20814CB0"/>
    <w:rsid w:val="208D7596"/>
    <w:rsid w:val="20B467F8"/>
    <w:rsid w:val="20B6642A"/>
    <w:rsid w:val="21165BC1"/>
    <w:rsid w:val="21410DF8"/>
    <w:rsid w:val="214563B5"/>
    <w:rsid w:val="216D49F2"/>
    <w:rsid w:val="21EC5679"/>
    <w:rsid w:val="2299705E"/>
    <w:rsid w:val="22E155E2"/>
    <w:rsid w:val="230E3856"/>
    <w:rsid w:val="23DE63E2"/>
    <w:rsid w:val="23ED3F18"/>
    <w:rsid w:val="243E4185"/>
    <w:rsid w:val="244345A1"/>
    <w:rsid w:val="246E0574"/>
    <w:rsid w:val="247B3C47"/>
    <w:rsid w:val="24FF11B1"/>
    <w:rsid w:val="258155A0"/>
    <w:rsid w:val="259A5EE0"/>
    <w:rsid w:val="25A74433"/>
    <w:rsid w:val="25F77D70"/>
    <w:rsid w:val="25F8063E"/>
    <w:rsid w:val="25FC1BF8"/>
    <w:rsid w:val="263D1DEF"/>
    <w:rsid w:val="263F21AD"/>
    <w:rsid w:val="270538A4"/>
    <w:rsid w:val="270D683B"/>
    <w:rsid w:val="27370FE0"/>
    <w:rsid w:val="276F75BA"/>
    <w:rsid w:val="283A1A44"/>
    <w:rsid w:val="284E42EF"/>
    <w:rsid w:val="28730515"/>
    <w:rsid w:val="287A0C9A"/>
    <w:rsid w:val="28A3224E"/>
    <w:rsid w:val="28DD6CCD"/>
    <w:rsid w:val="28F35EF6"/>
    <w:rsid w:val="293A5632"/>
    <w:rsid w:val="29AE0ACC"/>
    <w:rsid w:val="29CC0529"/>
    <w:rsid w:val="29E37B95"/>
    <w:rsid w:val="2AB03041"/>
    <w:rsid w:val="2B314DA4"/>
    <w:rsid w:val="2B390F0E"/>
    <w:rsid w:val="2B936F4F"/>
    <w:rsid w:val="2C06004B"/>
    <w:rsid w:val="2C313331"/>
    <w:rsid w:val="2C753649"/>
    <w:rsid w:val="2CA06204"/>
    <w:rsid w:val="2CAF652D"/>
    <w:rsid w:val="2CD22F64"/>
    <w:rsid w:val="2CFB5ADB"/>
    <w:rsid w:val="2D3E573C"/>
    <w:rsid w:val="2D4105BE"/>
    <w:rsid w:val="2D5370A4"/>
    <w:rsid w:val="2D7F4A31"/>
    <w:rsid w:val="2D9E73A3"/>
    <w:rsid w:val="2DF11B22"/>
    <w:rsid w:val="2E557C51"/>
    <w:rsid w:val="2ED52D17"/>
    <w:rsid w:val="2EF579AA"/>
    <w:rsid w:val="2F22413F"/>
    <w:rsid w:val="2F45595B"/>
    <w:rsid w:val="2FC906F5"/>
    <w:rsid w:val="2FE65DC6"/>
    <w:rsid w:val="30036638"/>
    <w:rsid w:val="30104775"/>
    <w:rsid w:val="305A767D"/>
    <w:rsid w:val="30D1404B"/>
    <w:rsid w:val="31652132"/>
    <w:rsid w:val="31DC1BA0"/>
    <w:rsid w:val="3254381C"/>
    <w:rsid w:val="329B7136"/>
    <w:rsid w:val="32A776C5"/>
    <w:rsid w:val="32B363F9"/>
    <w:rsid w:val="32B40A70"/>
    <w:rsid w:val="32D573C2"/>
    <w:rsid w:val="32E86FBF"/>
    <w:rsid w:val="33034ACD"/>
    <w:rsid w:val="33293BDB"/>
    <w:rsid w:val="334C04BE"/>
    <w:rsid w:val="3378190B"/>
    <w:rsid w:val="33B75467"/>
    <w:rsid w:val="34391559"/>
    <w:rsid w:val="34B53651"/>
    <w:rsid w:val="34CB4CFA"/>
    <w:rsid w:val="354E3556"/>
    <w:rsid w:val="3554038F"/>
    <w:rsid w:val="35B0248D"/>
    <w:rsid w:val="35E33806"/>
    <w:rsid w:val="35EB551B"/>
    <w:rsid w:val="360E20D7"/>
    <w:rsid w:val="370756A2"/>
    <w:rsid w:val="371D460B"/>
    <w:rsid w:val="37876DF6"/>
    <w:rsid w:val="37B43234"/>
    <w:rsid w:val="37CF4006"/>
    <w:rsid w:val="37EF107B"/>
    <w:rsid w:val="387F0C73"/>
    <w:rsid w:val="3A2742B1"/>
    <w:rsid w:val="3A297739"/>
    <w:rsid w:val="3A4E6F18"/>
    <w:rsid w:val="3A7A6DA9"/>
    <w:rsid w:val="3A840928"/>
    <w:rsid w:val="3A8B08A6"/>
    <w:rsid w:val="3AC366F7"/>
    <w:rsid w:val="3B077B94"/>
    <w:rsid w:val="3B5A06EB"/>
    <w:rsid w:val="3B624058"/>
    <w:rsid w:val="3BCD40B5"/>
    <w:rsid w:val="3C3B4E9E"/>
    <w:rsid w:val="3C5A1360"/>
    <w:rsid w:val="3C743C1D"/>
    <w:rsid w:val="3C8F314B"/>
    <w:rsid w:val="3CA93FCE"/>
    <w:rsid w:val="3D416BB8"/>
    <w:rsid w:val="3D505788"/>
    <w:rsid w:val="3D9D0D7B"/>
    <w:rsid w:val="3E0C72A2"/>
    <w:rsid w:val="3E23394A"/>
    <w:rsid w:val="3E431690"/>
    <w:rsid w:val="3E4C51B2"/>
    <w:rsid w:val="3E70147B"/>
    <w:rsid w:val="3E7C2F80"/>
    <w:rsid w:val="3EF010EA"/>
    <w:rsid w:val="3F447A2C"/>
    <w:rsid w:val="3F5B43A0"/>
    <w:rsid w:val="3FFC2E50"/>
    <w:rsid w:val="40176A9E"/>
    <w:rsid w:val="401B0156"/>
    <w:rsid w:val="40BD59D8"/>
    <w:rsid w:val="40C4212F"/>
    <w:rsid w:val="40CD56B9"/>
    <w:rsid w:val="40DE3453"/>
    <w:rsid w:val="40F77CAF"/>
    <w:rsid w:val="41A47AE3"/>
    <w:rsid w:val="41A8176B"/>
    <w:rsid w:val="42F25B4A"/>
    <w:rsid w:val="43995AB0"/>
    <w:rsid w:val="43C4054A"/>
    <w:rsid w:val="43E46A12"/>
    <w:rsid w:val="43E6155D"/>
    <w:rsid w:val="43EF33BD"/>
    <w:rsid w:val="446E1FC6"/>
    <w:rsid w:val="44ED315E"/>
    <w:rsid w:val="457E1840"/>
    <w:rsid w:val="462E484E"/>
    <w:rsid w:val="464F2955"/>
    <w:rsid w:val="46801207"/>
    <w:rsid w:val="46CC221E"/>
    <w:rsid w:val="46EB475E"/>
    <w:rsid w:val="475F529A"/>
    <w:rsid w:val="47A40E83"/>
    <w:rsid w:val="48086007"/>
    <w:rsid w:val="488A7829"/>
    <w:rsid w:val="48D3313C"/>
    <w:rsid w:val="492D0BB3"/>
    <w:rsid w:val="49382D65"/>
    <w:rsid w:val="499621DE"/>
    <w:rsid w:val="49E06E0D"/>
    <w:rsid w:val="4BBC0172"/>
    <w:rsid w:val="4C0E43DE"/>
    <w:rsid w:val="4C360621"/>
    <w:rsid w:val="4C736F8A"/>
    <w:rsid w:val="4C8C62E1"/>
    <w:rsid w:val="4CB67707"/>
    <w:rsid w:val="4E435CF4"/>
    <w:rsid w:val="4E654CB3"/>
    <w:rsid w:val="4E6B18B6"/>
    <w:rsid w:val="4E8C0605"/>
    <w:rsid w:val="4EB60808"/>
    <w:rsid w:val="4EE23893"/>
    <w:rsid w:val="4F1077F7"/>
    <w:rsid w:val="4F16373D"/>
    <w:rsid w:val="4F2E1B26"/>
    <w:rsid w:val="4F543056"/>
    <w:rsid w:val="4FA35B3B"/>
    <w:rsid w:val="500D7F86"/>
    <w:rsid w:val="50524BFD"/>
    <w:rsid w:val="50D50039"/>
    <w:rsid w:val="51183B4B"/>
    <w:rsid w:val="51B1401B"/>
    <w:rsid w:val="51E854D3"/>
    <w:rsid w:val="520D07F9"/>
    <w:rsid w:val="523B4097"/>
    <w:rsid w:val="52FA46B1"/>
    <w:rsid w:val="532B1D62"/>
    <w:rsid w:val="53740983"/>
    <w:rsid w:val="538C7E91"/>
    <w:rsid w:val="53FA3FA2"/>
    <w:rsid w:val="540E4627"/>
    <w:rsid w:val="545F2CD8"/>
    <w:rsid w:val="547F68F1"/>
    <w:rsid w:val="54955A66"/>
    <w:rsid w:val="54C80189"/>
    <w:rsid w:val="551516DC"/>
    <w:rsid w:val="55BF703E"/>
    <w:rsid w:val="560A292B"/>
    <w:rsid w:val="56271763"/>
    <w:rsid w:val="5654508A"/>
    <w:rsid w:val="56906C45"/>
    <w:rsid w:val="57263470"/>
    <w:rsid w:val="58350658"/>
    <w:rsid w:val="58672C0B"/>
    <w:rsid w:val="58AE4092"/>
    <w:rsid w:val="594D291B"/>
    <w:rsid w:val="5A0F3C23"/>
    <w:rsid w:val="5A2C1A48"/>
    <w:rsid w:val="5A8A51D5"/>
    <w:rsid w:val="5A906902"/>
    <w:rsid w:val="5AFC5360"/>
    <w:rsid w:val="5B0D7B3D"/>
    <w:rsid w:val="5B271F75"/>
    <w:rsid w:val="5BB958E1"/>
    <w:rsid w:val="5C03036E"/>
    <w:rsid w:val="5CAB2BBF"/>
    <w:rsid w:val="5D294C10"/>
    <w:rsid w:val="5D346951"/>
    <w:rsid w:val="5E822D91"/>
    <w:rsid w:val="5EBE6A4B"/>
    <w:rsid w:val="5EBF1A9E"/>
    <w:rsid w:val="5EC805AB"/>
    <w:rsid w:val="5EC93A0F"/>
    <w:rsid w:val="5F6829FD"/>
    <w:rsid w:val="5FCD46ED"/>
    <w:rsid w:val="60ED121C"/>
    <w:rsid w:val="620B2AF9"/>
    <w:rsid w:val="621476C0"/>
    <w:rsid w:val="626C6B48"/>
    <w:rsid w:val="629A11EB"/>
    <w:rsid w:val="62AE01E2"/>
    <w:rsid w:val="62DB25AF"/>
    <w:rsid w:val="631C4563"/>
    <w:rsid w:val="63A37100"/>
    <w:rsid w:val="64026EC3"/>
    <w:rsid w:val="65412F6F"/>
    <w:rsid w:val="65722F69"/>
    <w:rsid w:val="65CC1617"/>
    <w:rsid w:val="65F909F0"/>
    <w:rsid w:val="6613613A"/>
    <w:rsid w:val="666A66DA"/>
    <w:rsid w:val="670C5400"/>
    <w:rsid w:val="67593779"/>
    <w:rsid w:val="681E0D44"/>
    <w:rsid w:val="68303062"/>
    <w:rsid w:val="684822EC"/>
    <w:rsid w:val="697B42A6"/>
    <w:rsid w:val="697C044B"/>
    <w:rsid w:val="69C8643F"/>
    <w:rsid w:val="69FA22DE"/>
    <w:rsid w:val="6A200943"/>
    <w:rsid w:val="6AB4037F"/>
    <w:rsid w:val="6AEE7E3B"/>
    <w:rsid w:val="6B57625E"/>
    <w:rsid w:val="6B5D7840"/>
    <w:rsid w:val="6B667607"/>
    <w:rsid w:val="6B6A5537"/>
    <w:rsid w:val="6BD8370C"/>
    <w:rsid w:val="6C993585"/>
    <w:rsid w:val="6D1F2F76"/>
    <w:rsid w:val="6D8C2881"/>
    <w:rsid w:val="6DBD28B2"/>
    <w:rsid w:val="6DF87D4C"/>
    <w:rsid w:val="6F99227A"/>
    <w:rsid w:val="6FB126FF"/>
    <w:rsid w:val="70082458"/>
    <w:rsid w:val="70820C18"/>
    <w:rsid w:val="70BF327E"/>
    <w:rsid w:val="7193090F"/>
    <w:rsid w:val="72074D0D"/>
    <w:rsid w:val="720C40B2"/>
    <w:rsid w:val="72C043D8"/>
    <w:rsid w:val="72DE0624"/>
    <w:rsid w:val="732A4B3D"/>
    <w:rsid w:val="73453CFA"/>
    <w:rsid w:val="73566006"/>
    <w:rsid w:val="73BA4B60"/>
    <w:rsid w:val="73DB3E83"/>
    <w:rsid w:val="73DD1D56"/>
    <w:rsid w:val="75212636"/>
    <w:rsid w:val="75B92E9E"/>
    <w:rsid w:val="76B35AB9"/>
    <w:rsid w:val="785C4337"/>
    <w:rsid w:val="795C18E1"/>
    <w:rsid w:val="79657B98"/>
    <w:rsid w:val="79682617"/>
    <w:rsid w:val="79986E8F"/>
    <w:rsid w:val="7A0B0FD6"/>
    <w:rsid w:val="7A310999"/>
    <w:rsid w:val="7A393CB7"/>
    <w:rsid w:val="7A3D3E11"/>
    <w:rsid w:val="7A487809"/>
    <w:rsid w:val="7AA02E7B"/>
    <w:rsid w:val="7C623DD1"/>
    <w:rsid w:val="7CE3574C"/>
    <w:rsid w:val="7CF20711"/>
    <w:rsid w:val="7D0F2D79"/>
    <w:rsid w:val="7D186C84"/>
    <w:rsid w:val="7D676992"/>
    <w:rsid w:val="7DC47E9C"/>
    <w:rsid w:val="7DC66BE5"/>
    <w:rsid w:val="7E04366A"/>
    <w:rsid w:val="7F0B532E"/>
    <w:rsid w:val="7FAF6F02"/>
    <w:rsid w:val="7FC20EBE"/>
    <w:rsid w:val="7FD7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paragraph" w:styleId="8">
    <w:name w:val="List Paragraph"/>
    <w:basedOn w:val="1"/>
    <w:qFormat/>
    <w:uiPriority w:val="34"/>
    <w:pPr>
      <w:ind w:firstLine="420" w:firstLineChars="200"/>
    </w:pPr>
  </w:style>
  <w:style w:type="character" w:customStyle="1" w:styleId="9">
    <w:name w:val="font01"/>
    <w:basedOn w:val="6"/>
    <w:uiPriority w:val="0"/>
    <w:rPr>
      <w:rFonts w:hint="eastAsia" w:ascii="宋体" w:hAnsi="宋体" w:eastAsia="宋体" w:cs="宋体"/>
      <w:color w:val="000000"/>
      <w:sz w:val="18"/>
      <w:szCs w:val="18"/>
      <w:u w:val="none"/>
    </w:rPr>
  </w:style>
  <w:style w:type="character" w:customStyle="1" w:styleId="10">
    <w:name w:val="font31"/>
    <w:basedOn w:val="6"/>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2021-03-16T07:34:00Z</dcterms:created>
  <dc:creator>Pin味@人生</dc:creator>
  <cp:lastModifiedBy>Pin味@人生</cp:lastModifiedBy>
  <dcterms:modified xsi:type="dcterms:W3CDTF">2023-07-13T01:35:45Z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SaveFontToCloudKey">
    <vt:lpwstr>376905995_btnclosed</vt:lpwstr>
  </property>
  <property fmtid="{D5CDD505-2E9C-101B-9397-08002B2CF9AE}" pid="4" name="ICV">
    <vt:lpwstr>7FBCB448F5E34B57B2CDB86E53CE354B</vt:lpwstr>
  </property>
</Properties>
</file>