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20" w:lineRule="exact"/>
        <w:ind w:firstLine="723"/>
        <w:jc w:val="center"/>
        <w:rPr>
          <w:rFonts w:eastAsia="黑体"/>
          <w:b/>
          <w:kern w:val="0"/>
          <w:sz w:val="36"/>
        </w:rPr>
      </w:pPr>
      <w:bookmarkStart w:id="0" w:name="_Toc83097250"/>
      <w:bookmarkStart w:id="1" w:name="_Toc107981036"/>
      <w:bookmarkStart w:id="2" w:name="_Toc65232316"/>
    </w:p>
    <w:p>
      <w:pPr>
        <w:spacing w:before="1200" w:beforeLines="500" w:line="600" w:lineRule="exact"/>
        <w:ind w:firstLine="0" w:firstLineChars="0"/>
        <w:jc w:val="center"/>
        <w:rPr>
          <w:rFonts w:ascii="宋体" w:hAnsi="宋体"/>
          <w:b/>
          <w:kern w:val="0"/>
          <w:sz w:val="36"/>
          <w:szCs w:val="36"/>
        </w:rPr>
      </w:pPr>
      <w:bookmarkStart w:id="3" w:name="_Hlk142495820"/>
      <w:r>
        <w:rPr>
          <w:rFonts w:hint="eastAsia"/>
          <w:b/>
          <w:bCs/>
          <w:spacing w:val="-6"/>
          <w:sz w:val="44"/>
          <w:szCs w:val="44"/>
        </w:rPr>
        <w:t>国道G112遵化城区段改建工程</w:t>
      </w:r>
    </w:p>
    <w:bookmarkEnd w:id="3"/>
    <w:p>
      <w:pPr>
        <w:spacing w:before="120" w:beforeLines="50" w:line="1200" w:lineRule="exact"/>
        <w:ind w:firstLine="0" w:firstLineChars="0"/>
        <w:jc w:val="center"/>
        <w:rPr>
          <w:rFonts w:ascii="黑体" w:hAnsi="黑体" w:eastAsia="黑体"/>
          <w:b/>
          <w:kern w:val="84"/>
          <w:sz w:val="84"/>
          <w:szCs w:val="84"/>
        </w:rPr>
      </w:pPr>
      <w:r>
        <w:rPr>
          <w:rFonts w:hint="eastAsia" w:ascii="黑体" w:hAnsi="黑体" w:eastAsia="黑体"/>
          <w:b/>
          <w:kern w:val="84"/>
          <w:sz w:val="84"/>
          <w:szCs w:val="84"/>
        </w:rPr>
        <w:t>环境影响报告书</w:t>
      </w:r>
    </w:p>
    <w:p>
      <w:pPr>
        <w:spacing w:line="600" w:lineRule="exact"/>
        <w:ind w:firstLine="0" w:firstLineChars="0"/>
        <w:jc w:val="center"/>
        <w:rPr>
          <w:rFonts w:ascii="宋体" w:hAnsi="宋体"/>
          <w:sz w:val="44"/>
          <w:szCs w:val="44"/>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760" w:lineRule="exact"/>
        <w:ind w:firstLine="0" w:firstLineChars="0"/>
        <w:jc w:val="center"/>
        <w:rPr>
          <w:rFonts w:eastAsia="仿宋_GB2312"/>
          <w:highlight w:val="yellow"/>
        </w:rPr>
      </w:pPr>
    </w:p>
    <w:p>
      <w:pPr>
        <w:spacing w:line="600" w:lineRule="exact"/>
        <w:ind w:left="1133" w:leftChars="472" w:firstLine="0" w:firstLineChars="0"/>
        <w:jc w:val="left"/>
        <w:rPr>
          <w:rFonts w:ascii="宋体" w:hAnsi="宋体"/>
          <w:b/>
          <w:kern w:val="0"/>
          <w:sz w:val="32"/>
          <w:szCs w:val="32"/>
        </w:rPr>
      </w:pPr>
      <w:r>
        <w:rPr>
          <w:rFonts w:hint="eastAsia" w:ascii="宋体" w:hAnsi="宋体"/>
          <w:b/>
          <w:kern w:val="0"/>
          <w:sz w:val="32"/>
          <w:szCs w:val="32"/>
        </w:rPr>
        <w:t>建设单位：</w:t>
      </w:r>
      <w:r>
        <w:rPr>
          <w:b/>
          <w:bCs/>
          <w:sz w:val="32"/>
          <w:szCs w:val="32"/>
        </w:rPr>
        <w:t>遵化市交通运输局</w:t>
      </w:r>
    </w:p>
    <w:p>
      <w:pPr>
        <w:spacing w:line="600" w:lineRule="exact"/>
        <w:ind w:left="1133" w:leftChars="472" w:firstLine="0" w:firstLineChars="0"/>
        <w:jc w:val="left"/>
        <w:rPr>
          <w:rFonts w:ascii="宋体" w:hAnsi="宋体"/>
          <w:b/>
          <w:spacing w:val="46"/>
          <w:kern w:val="0"/>
          <w:sz w:val="32"/>
          <w:szCs w:val="32"/>
        </w:rPr>
      </w:pPr>
      <w:r>
        <w:rPr>
          <w:rFonts w:hint="eastAsia" w:ascii="宋体" w:hAnsi="宋体"/>
          <w:b/>
          <w:kern w:val="0"/>
          <w:sz w:val="32"/>
          <w:szCs w:val="32"/>
        </w:rPr>
        <w:t>编制单位：</w:t>
      </w:r>
      <w:r>
        <w:rPr>
          <w:b/>
          <w:bCs/>
          <w:sz w:val="32"/>
          <w:szCs w:val="32"/>
        </w:rPr>
        <w:t xml:space="preserve"> </w:t>
      </w:r>
      <w:r>
        <w:fldChar w:fldCharType="begin"/>
      </w:r>
      <w:r>
        <w:instrText xml:space="preserve"> HYPERLINK "javascript:viewHomeCompanyInfoView('2018982160693731363')" </w:instrText>
      </w:r>
      <w:r>
        <w:fldChar w:fldCharType="separate"/>
      </w:r>
      <w:r>
        <w:rPr>
          <w:rFonts w:hint="eastAsia"/>
          <w:b/>
          <w:bCs/>
          <w:sz w:val="32"/>
          <w:szCs w:val="32"/>
        </w:rPr>
        <w:t>唐山千高科技有限公司</w:t>
      </w:r>
      <w:r>
        <w:rPr>
          <w:rFonts w:hint="eastAsia"/>
          <w:b/>
          <w:bCs/>
          <w:sz w:val="32"/>
          <w:szCs w:val="32"/>
        </w:rPr>
        <w:fldChar w:fldCharType="end"/>
      </w:r>
    </w:p>
    <w:p>
      <w:pPr>
        <w:spacing w:line="600" w:lineRule="exact"/>
        <w:ind w:left="1133" w:leftChars="472" w:firstLine="0" w:firstLineChars="0"/>
        <w:jc w:val="left"/>
        <w:rPr>
          <w:rFonts w:ascii="宋体" w:hAnsi="宋体"/>
          <w:b/>
          <w:kern w:val="0"/>
          <w:sz w:val="32"/>
          <w:szCs w:val="32"/>
        </w:rPr>
      </w:pPr>
      <w:r>
        <w:rPr>
          <w:rFonts w:hint="eastAsia" w:ascii="宋体" w:hAnsi="宋体"/>
          <w:b/>
          <w:kern w:val="0"/>
          <w:sz w:val="32"/>
          <w:szCs w:val="32"/>
        </w:rPr>
        <w:t>编制时间：二〇二三年</w:t>
      </w:r>
      <w:r>
        <w:rPr>
          <w:rFonts w:hint="eastAsia" w:ascii="宋体" w:hAnsi="宋体"/>
          <w:b/>
          <w:kern w:val="0"/>
          <w:sz w:val="32"/>
          <w:szCs w:val="32"/>
          <w:lang w:val="en-US" w:eastAsia="zh-CN"/>
        </w:rPr>
        <w:t>八</w:t>
      </w:r>
      <w:r>
        <w:rPr>
          <w:rFonts w:hint="eastAsia" w:ascii="宋体" w:hAnsi="宋体"/>
          <w:b/>
          <w:kern w:val="0"/>
          <w:sz w:val="32"/>
          <w:szCs w:val="32"/>
        </w:rPr>
        <w:t>月</w:t>
      </w:r>
    </w:p>
    <w:p>
      <w:pPr>
        <w:spacing w:line="600" w:lineRule="exact"/>
        <w:ind w:left="1133" w:leftChars="472" w:firstLine="0" w:firstLineChars="0"/>
        <w:jc w:val="left"/>
        <w:rPr>
          <w:rFonts w:ascii="宋体" w:hAnsi="宋体"/>
          <w:b/>
          <w:kern w:val="0"/>
          <w:sz w:val="32"/>
          <w:szCs w:val="32"/>
          <w:highlight w:val="yellow"/>
        </w:rPr>
      </w:pPr>
    </w:p>
    <w:p>
      <w:pPr>
        <w:spacing w:line="600" w:lineRule="exact"/>
        <w:ind w:left="1133" w:leftChars="472" w:firstLine="0" w:firstLineChars="0"/>
        <w:jc w:val="left"/>
        <w:rPr>
          <w:rFonts w:ascii="宋体" w:hAnsi="宋体"/>
          <w:b/>
          <w:kern w:val="0"/>
          <w:sz w:val="32"/>
          <w:szCs w:val="32"/>
          <w:highlight w:val="yellow"/>
        </w:rPr>
      </w:pPr>
    </w:p>
    <w:p>
      <w:pPr>
        <w:spacing w:line="600" w:lineRule="exact"/>
        <w:ind w:left="1133" w:leftChars="472" w:firstLine="0" w:firstLineChars="0"/>
        <w:jc w:val="left"/>
        <w:rPr>
          <w:rFonts w:ascii="宋体" w:hAnsi="宋体"/>
          <w:b/>
          <w:kern w:val="0"/>
          <w:sz w:val="32"/>
          <w:szCs w:val="32"/>
          <w:highlight w:val="yellow"/>
        </w:rPr>
      </w:pPr>
      <w:bookmarkStart w:id="165" w:name="_GoBack"/>
      <w:bookmarkEnd w:id="165"/>
    </w:p>
    <w:p>
      <w:pPr>
        <w:spacing w:line="600" w:lineRule="exact"/>
        <w:ind w:left="1133" w:leftChars="472" w:firstLine="0" w:firstLineChars="0"/>
        <w:jc w:val="left"/>
        <w:rPr>
          <w:rFonts w:ascii="宋体" w:hAnsi="宋体"/>
          <w:b/>
          <w:kern w:val="0"/>
          <w:sz w:val="32"/>
          <w:szCs w:val="32"/>
          <w:highlight w:val="yellow"/>
        </w:rPr>
      </w:pPr>
    </w:p>
    <w:p>
      <w:pPr>
        <w:spacing w:line="600" w:lineRule="exact"/>
        <w:ind w:left="1133" w:leftChars="472" w:firstLine="0" w:firstLineChars="0"/>
        <w:jc w:val="left"/>
        <w:rPr>
          <w:rFonts w:ascii="宋体" w:hAnsi="宋体"/>
          <w:b/>
          <w:kern w:val="0"/>
          <w:sz w:val="32"/>
          <w:szCs w:val="32"/>
          <w:highlight w:val="yellow"/>
        </w:rPr>
      </w:pPr>
    </w:p>
    <w:p>
      <w:pPr>
        <w:spacing w:line="600" w:lineRule="exact"/>
        <w:ind w:left="1133" w:leftChars="472" w:firstLine="0" w:firstLineChars="0"/>
        <w:jc w:val="left"/>
        <w:rPr>
          <w:rFonts w:ascii="宋体" w:hAnsi="宋体"/>
          <w:b/>
          <w:kern w:val="0"/>
          <w:sz w:val="32"/>
          <w:szCs w:val="32"/>
          <w:highlight w:val="yellow"/>
        </w:rPr>
      </w:pPr>
    </w:p>
    <w:p>
      <w:pPr>
        <w:spacing w:line="600" w:lineRule="exact"/>
        <w:ind w:left="1133" w:leftChars="472" w:firstLine="0" w:firstLineChars="0"/>
        <w:jc w:val="left"/>
        <w:rPr>
          <w:rFonts w:ascii="宋体" w:hAnsi="宋体"/>
          <w:b/>
          <w:kern w:val="0"/>
          <w:sz w:val="32"/>
          <w:szCs w:val="32"/>
          <w:highlight w:val="yellow"/>
        </w:rPr>
        <w:sectPr>
          <w:headerReference r:id="rId5" w:type="first"/>
          <w:footerReference r:id="rId8" w:type="first"/>
          <w:headerReference r:id="rId3" w:type="default"/>
          <w:footerReference r:id="rId6" w:type="default"/>
          <w:headerReference r:id="rId4" w:type="even"/>
          <w:footerReference r:id="rId7" w:type="even"/>
          <w:pgSz w:w="11906" w:h="16838"/>
          <w:pgMar w:top="1418" w:right="1418" w:bottom="1418" w:left="1474" w:header="964" w:footer="964" w:gutter="0"/>
          <w:pgNumType w:start="1"/>
          <w:cols w:space="720" w:num="1"/>
          <w:docGrid w:linePitch="312" w:charSpace="0"/>
        </w:sectPr>
      </w:pPr>
    </w:p>
    <w:p>
      <w:pPr>
        <w:pStyle w:val="4"/>
        <w:spacing w:before="240" w:beforeLines="100" w:after="240" w:afterLines="100"/>
        <w:jc w:val="center"/>
        <w:rPr>
          <w:sz w:val="30"/>
          <w:szCs w:val="30"/>
        </w:rPr>
      </w:pPr>
      <w:bookmarkStart w:id="4" w:name="_Toc496561438"/>
      <w:bookmarkStart w:id="5" w:name="_Toc478128494"/>
      <w:bookmarkStart w:id="6" w:name="_Toc493453318"/>
      <w:bookmarkStart w:id="7" w:name="_Toc6964"/>
      <w:bookmarkStart w:id="8" w:name="_Toc495527995"/>
      <w:bookmarkStart w:id="9" w:name="_Toc442084317"/>
      <w:bookmarkStart w:id="10" w:name="_Toc446882827"/>
      <w:bookmarkStart w:id="11" w:name="_Toc444271917"/>
      <w:bookmarkStart w:id="12" w:name="_Toc29541224"/>
      <w:bookmarkStart w:id="13" w:name="_Toc492734794"/>
      <w:bookmarkStart w:id="14" w:name="_Toc495528172"/>
      <w:bookmarkStart w:id="15" w:name="_Toc478128046"/>
      <w:bookmarkStart w:id="16" w:name="_Toc442084223"/>
      <w:bookmarkStart w:id="17" w:name="_Toc29479191"/>
      <w:bookmarkStart w:id="18" w:name="_Toc18069678"/>
      <w:bookmarkStart w:id="19" w:name="_Toc441678397"/>
      <w:bookmarkStart w:id="20" w:name="_Toc18069538"/>
      <w:bookmarkStart w:id="21" w:name="_Toc478128920"/>
      <w:bookmarkStart w:id="22" w:name="_Toc492734860"/>
      <w:bookmarkStart w:id="23" w:name="_Toc443919248"/>
      <w:bookmarkStart w:id="24" w:name="_Toc495528113"/>
      <w:bookmarkStart w:id="25" w:name="_Toc141284040"/>
      <w:r>
        <w:rPr>
          <w:sz w:val="30"/>
          <w:szCs w:val="30"/>
        </w:rPr>
        <w:t>目录</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pPr>
        <w:pStyle w:val="32"/>
        <w:tabs>
          <w:tab w:val="right" w:leader="dot" w:pos="9004"/>
        </w:tabs>
        <w:rPr>
          <w:rFonts w:asciiTheme="minorHAnsi" w:hAnsiTheme="minorHAnsi" w:eastAsiaTheme="minorEastAsia" w:cstheme="minorBidi"/>
          <w:b w:val="0"/>
          <w:bCs w:val="0"/>
          <w:caps w:val="0"/>
          <w:sz w:val="21"/>
          <w:szCs w:val="22"/>
        </w:rPr>
      </w:pPr>
      <w:r>
        <w:rPr>
          <w:bCs w:val="0"/>
          <w:caps w:val="0"/>
          <w:smallCaps/>
          <w:sz w:val="28"/>
          <w:szCs w:val="24"/>
          <w:highlight w:val="yellow"/>
        </w:rPr>
        <w:fldChar w:fldCharType="begin"/>
      </w:r>
      <w:r>
        <w:rPr>
          <w:sz w:val="28"/>
          <w:szCs w:val="24"/>
          <w:highlight w:val="yellow"/>
        </w:rPr>
        <w:instrText xml:space="preserve"> TOC \o "1-2" \h \z \u </w:instrText>
      </w:r>
      <w:r>
        <w:rPr>
          <w:bCs w:val="0"/>
          <w:caps w:val="0"/>
          <w:smallCaps/>
          <w:sz w:val="28"/>
          <w:szCs w:val="24"/>
          <w:highlight w:val="yellow"/>
        </w:rPr>
        <w:fldChar w:fldCharType="separate"/>
      </w:r>
      <w:r>
        <w:fldChar w:fldCharType="begin"/>
      </w:r>
      <w:r>
        <w:instrText xml:space="preserve"> HYPERLINK \l "_Toc141284041" </w:instrText>
      </w:r>
      <w:r>
        <w:fldChar w:fldCharType="separate"/>
      </w:r>
      <w:r>
        <w:rPr>
          <w:rStyle w:val="59"/>
          <w:color w:val="auto"/>
        </w:rPr>
        <w:t>1</w:t>
      </w:r>
      <w:r>
        <w:rPr>
          <w:rStyle w:val="59"/>
          <w:rFonts w:hint="eastAsia"/>
          <w:color w:val="auto"/>
        </w:rPr>
        <w:t>概述</w:t>
      </w:r>
      <w:r>
        <w:tab/>
      </w:r>
      <w:r>
        <w:fldChar w:fldCharType="begin"/>
      </w:r>
      <w:r>
        <w:instrText xml:space="preserve"> PAGEREF _Toc141284041 \h </w:instrText>
      </w:r>
      <w:r>
        <w:fldChar w:fldCharType="separate"/>
      </w:r>
      <w:r>
        <w:t>1</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"_Toc141284042" </w:instrText>
      </w:r>
      <w:r>
        <w:fldChar w:fldCharType="separate"/>
      </w:r>
      <w:r>
        <w:rPr>
          <w:rStyle w:val="59"/>
          <w:color w:val="auto"/>
        </w:rPr>
        <w:t>1.1</w:t>
      </w:r>
      <w:r>
        <w:rPr>
          <w:rStyle w:val="59"/>
          <w:rFonts w:hint="eastAsia"/>
          <w:color w:val="auto"/>
        </w:rPr>
        <w:t>项目概况和项目特点</w:t>
      </w:r>
      <w:r>
        <w:tab/>
      </w:r>
      <w:r>
        <w:fldChar w:fldCharType="begin"/>
      </w:r>
      <w:r>
        <w:instrText xml:space="preserve"> PAGEREF _Toc141284042 \h </w:instrText>
      </w:r>
      <w:r>
        <w:fldChar w:fldCharType="separate"/>
      </w:r>
      <w:r>
        <w:t>1</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"_Toc141284043" </w:instrText>
      </w:r>
      <w:r>
        <w:fldChar w:fldCharType="separate"/>
      </w:r>
      <w:r>
        <w:rPr>
          <w:rStyle w:val="59"/>
          <w:color w:val="auto"/>
        </w:rPr>
        <w:t>1.2</w:t>
      </w:r>
      <w:r>
        <w:rPr>
          <w:rStyle w:val="59"/>
          <w:rFonts w:hint="eastAsia"/>
          <w:color w:val="auto"/>
        </w:rPr>
        <w:t>工作过程</w:t>
      </w:r>
      <w:r>
        <w:tab/>
      </w:r>
      <w:r>
        <w:fldChar w:fldCharType="begin"/>
      </w:r>
      <w:r>
        <w:instrText xml:space="preserve"> PAGEREF _Toc141284043 \h </w:instrText>
      </w:r>
      <w:r>
        <w:fldChar w:fldCharType="separate"/>
      </w:r>
      <w:r>
        <w:t>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"_Toc141284044" </w:instrText>
      </w:r>
      <w:r>
        <w:fldChar w:fldCharType="separate"/>
      </w:r>
      <w:r>
        <w:rPr>
          <w:rStyle w:val="59"/>
          <w:color w:val="auto"/>
        </w:rPr>
        <w:t>1.3</w:t>
      </w:r>
      <w:r>
        <w:rPr>
          <w:rStyle w:val="59"/>
          <w:rFonts w:hint="eastAsia"/>
          <w:color w:val="auto"/>
        </w:rPr>
        <w:t>分析判定相关情况</w:t>
      </w:r>
      <w:r>
        <w:tab/>
      </w:r>
      <w:r>
        <w:fldChar w:fldCharType="begin"/>
      </w:r>
      <w:r>
        <w:instrText xml:space="preserve"> PAGEREF _Toc141284044 \h </w:instrText>
      </w:r>
      <w:r>
        <w:fldChar w:fldCharType="separate"/>
      </w:r>
      <w:r>
        <w:t>3</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"_Toc141284045" </w:instrText>
      </w:r>
      <w:r>
        <w:fldChar w:fldCharType="separate"/>
      </w:r>
      <w:r>
        <w:rPr>
          <w:rStyle w:val="59"/>
          <w:color w:val="auto"/>
        </w:rPr>
        <w:t>1.4</w:t>
      </w:r>
      <w:r>
        <w:rPr>
          <w:rStyle w:val="59"/>
          <w:rFonts w:hint="eastAsia"/>
          <w:color w:val="auto"/>
        </w:rPr>
        <w:t>关注的主要环境问题及环境影响</w:t>
      </w:r>
      <w:r>
        <w:tab/>
      </w:r>
      <w:r>
        <w:fldChar w:fldCharType="begin"/>
      </w:r>
      <w:r>
        <w:instrText xml:space="preserve"> PAGEREF _Toc141284045 \h </w:instrText>
      </w:r>
      <w:r>
        <w:fldChar w:fldCharType="separate"/>
      </w:r>
      <w:r>
        <w:t>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"_Toc141284046" </w:instrText>
      </w:r>
      <w:r>
        <w:fldChar w:fldCharType="separate"/>
      </w:r>
      <w:r>
        <w:rPr>
          <w:rStyle w:val="59"/>
          <w:color w:val="auto"/>
        </w:rPr>
        <w:t>1.5</w:t>
      </w:r>
      <w:r>
        <w:rPr>
          <w:rStyle w:val="59"/>
          <w:rFonts w:hint="eastAsia"/>
          <w:color w:val="auto"/>
        </w:rPr>
        <w:t>环境影响评价主要结论</w:t>
      </w:r>
      <w:r>
        <w:tab/>
      </w:r>
      <w:r>
        <w:fldChar w:fldCharType="begin"/>
      </w:r>
      <w:r>
        <w:instrText xml:space="preserve"> PAGEREF _Toc141284046 \h </w:instrText>
      </w:r>
      <w:r>
        <w:fldChar w:fldCharType="separate"/>
      </w:r>
      <w:r>
        <w:t>8</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"_Toc141284047" </w:instrText>
      </w:r>
      <w:r>
        <w:fldChar w:fldCharType="separate"/>
      </w:r>
      <w:r>
        <w:rPr>
          <w:rStyle w:val="59"/>
          <w:color w:val="auto"/>
        </w:rPr>
        <w:t>2</w:t>
      </w:r>
      <w:r>
        <w:rPr>
          <w:rStyle w:val="59"/>
          <w:rFonts w:hint="eastAsia"/>
          <w:color w:val="auto"/>
        </w:rPr>
        <w:t>总则</w:t>
      </w:r>
      <w:r>
        <w:tab/>
      </w:r>
      <w:r>
        <w:fldChar w:fldCharType="begin"/>
      </w:r>
      <w:r>
        <w:instrText xml:space="preserve"> PAGEREF _Toc141284047 \h </w:instrText>
      </w:r>
      <w:r>
        <w:fldChar w:fldCharType="separate"/>
      </w:r>
      <w:r>
        <w:t>10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"_Toc141284048" </w:instrText>
      </w:r>
      <w:r>
        <w:fldChar w:fldCharType="separate"/>
      </w:r>
      <w:r>
        <w:rPr>
          <w:rStyle w:val="59"/>
          <w:color w:val="auto"/>
        </w:rPr>
        <w:t>2.1</w:t>
      </w:r>
      <w:r>
        <w:rPr>
          <w:rStyle w:val="59"/>
          <w:rFonts w:hint="eastAsia"/>
          <w:color w:val="auto"/>
        </w:rPr>
        <w:t>编制依据</w:t>
      </w:r>
      <w:r>
        <w:tab/>
      </w:r>
      <w:r>
        <w:fldChar w:fldCharType="begin"/>
      </w:r>
      <w:r>
        <w:instrText xml:space="preserve"> PAGEREF _Toc141284048 \h </w:instrText>
      </w:r>
      <w:r>
        <w:fldChar w:fldCharType="separate"/>
      </w:r>
      <w:r>
        <w:t>10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"_Toc141284049" </w:instrText>
      </w:r>
      <w:r>
        <w:fldChar w:fldCharType="separate"/>
      </w:r>
      <w:r>
        <w:rPr>
          <w:rStyle w:val="59"/>
          <w:color w:val="auto"/>
        </w:rPr>
        <w:t>2.2</w:t>
      </w:r>
      <w:r>
        <w:rPr>
          <w:rStyle w:val="59"/>
          <w:rFonts w:hint="eastAsia"/>
          <w:color w:val="auto"/>
        </w:rPr>
        <w:t>评价目的与原则</w:t>
      </w:r>
      <w:r>
        <w:tab/>
      </w:r>
      <w:r>
        <w:fldChar w:fldCharType="begin"/>
      </w:r>
      <w:r>
        <w:instrText xml:space="preserve"> PAGEREF _Toc141284049 \h </w:instrText>
      </w:r>
      <w:r>
        <w:fldChar w:fldCharType="separate"/>
      </w:r>
      <w:r>
        <w:t>14</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"_Toc141284050" </w:instrText>
      </w:r>
      <w:r>
        <w:fldChar w:fldCharType="separate"/>
      </w:r>
      <w:r>
        <w:rPr>
          <w:rStyle w:val="59"/>
          <w:color w:val="auto"/>
        </w:rPr>
        <w:t>2.3</w:t>
      </w:r>
      <w:r>
        <w:rPr>
          <w:rStyle w:val="59"/>
          <w:rFonts w:hint="eastAsia"/>
          <w:color w:val="auto"/>
        </w:rPr>
        <w:t>环境影响因素识别与评价因子</w:t>
      </w:r>
      <w:r>
        <w:tab/>
      </w:r>
      <w:r>
        <w:fldChar w:fldCharType="begin"/>
      </w:r>
      <w:r>
        <w:instrText xml:space="preserve"> PAGEREF _Toc141284050 \h </w:instrText>
      </w:r>
      <w:r>
        <w:fldChar w:fldCharType="separate"/>
      </w:r>
      <w:r>
        <w:t>15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"_Toc141284051" </w:instrText>
      </w:r>
      <w:r>
        <w:fldChar w:fldCharType="separate"/>
      </w:r>
      <w:r>
        <w:rPr>
          <w:rStyle w:val="59"/>
          <w:color w:val="auto"/>
        </w:rPr>
        <w:t>2.4</w:t>
      </w:r>
      <w:r>
        <w:rPr>
          <w:rStyle w:val="59"/>
          <w:rFonts w:hint="eastAsia"/>
          <w:color w:val="auto"/>
        </w:rPr>
        <w:t>评价级别和评价范围</w:t>
      </w:r>
      <w:r>
        <w:tab/>
      </w:r>
      <w:r>
        <w:fldChar w:fldCharType="begin"/>
      </w:r>
      <w:r>
        <w:instrText xml:space="preserve"> PAGEREF _Toc141284051 \h </w:instrText>
      </w:r>
      <w:r>
        <w:fldChar w:fldCharType="separate"/>
      </w:r>
      <w:r>
        <w:t>16</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"_Toc141284052" </w:instrText>
      </w:r>
      <w:r>
        <w:fldChar w:fldCharType="separate"/>
      </w:r>
      <w:r>
        <w:rPr>
          <w:rStyle w:val="59"/>
          <w:color w:val="auto"/>
        </w:rPr>
        <w:t>2.5</w:t>
      </w:r>
      <w:r>
        <w:rPr>
          <w:rStyle w:val="59"/>
          <w:rFonts w:hint="eastAsia"/>
          <w:color w:val="auto"/>
        </w:rPr>
        <w:t>评价内容和评价重点</w:t>
      </w:r>
      <w:r>
        <w:tab/>
      </w:r>
      <w:r>
        <w:fldChar w:fldCharType="begin"/>
      </w:r>
      <w:r>
        <w:instrText xml:space="preserve"> PAGEREF _Toc141284052 \h </w:instrText>
      </w:r>
      <w:r>
        <w:fldChar w:fldCharType="separate"/>
      </w:r>
      <w:r>
        <w:t>20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"_Toc141284053" </w:instrText>
      </w:r>
      <w:r>
        <w:fldChar w:fldCharType="separate"/>
      </w:r>
      <w:r>
        <w:rPr>
          <w:rStyle w:val="59"/>
          <w:color w:val="auto"/>
        </w:rPr>
        <w:t>2.6</w:t>
      </w:r>
      <w:r>
        <w:rPr>
          <w:rStyle w:val="59"/>
          <w:rFonts w:hint="eastAsia"/>
          <w:color w:val="auto"/>
        </w:rPr>
        <w:t>环境功能区划</w:t>
      </w:r>
      <w:r>
        <w:tab/>
      </w:r>
      <w:r>
        <w:fldChar w:fldCharType="begin"/>
      </w:r>
      <w:r>
        <w:instrText xml:space="preserve"> PAGEREF _Toc141284053 \h </w:instrText>
      </w:r>
      <w:r>
        <w:fldChar w:fldCharType="separate"/>
      </w:r>
      <w:r>
        <w:t>21</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"_Toc141284054" </w:instrText>
      </w:r>
      <w:r>
        <w:fldChar w:fldCharType="separate"/>
      </w:r>
      <w:r>
        <w:rPr>
          <w:rStyle w:val="59"/>
          <w:color w:val="auto"/>
        </w:rPr>
        <w:t>2.7</w:t>
      </w:r>
      <w:r>
        <w:rPr>
          <w:rStyle w:val="59"/>
          <w:rFonts w:hint="eastAsia"/>
          <w:color w:val="auto"/>
        </w:rPr>
        <w:t>评价时段</w:t>
      </w:r>
      <w:r>
        <w:tab/>
      </w:r>
      <w:r>
        <w:fldChar w:fldCharType="begin"/>
      </w:r>
      <w:r>
        <w:instrText xml:space="preserve"> PAGEREF _Toc141284054 \h </w:instrText>
      </w:r>
      <w:r>
        <w:fldChar w:fldCharType="separate"/>
      </w:r>
      <w:r>
        <w:t>31</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"_Toc141284055" </w:instrText>
      </w:r>
      <w:r>
        <w:fldChar w:fldCharType="separate"/>
      </w:r>
      <w:r>
        <w:rPr>
          <w:rStyle w:val="59"/>
          <w:color w:val="auto"/>
        </w:rPr>
        <w:t>3</w:t>
      </w:r>
      <w:r>
        <w:rPr>
          <w:rStyle w:val="59"/>
          <w:rFonts w:hint="eastAsia"/>
          <w:color w:val="auto"/>
        </w:rPr>
        <w:t>工程分析</w:t>
      </w:r>
      <w:r>
        <w:tab/>
      </w:r>
      <w:r>
        <w:fldChar w:fldCharType="begin"/>
      </w:r>
      <w:r>
        <w:instrText xml:space="preserve"> PAGEREF _Toc141284055 \h </w:instrText>
      </w:r>
      <w:r>
        <w:fldChar w:fldCharType="separate"/>
      </w:r>
      <w:r>
        <w:t>32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"_Toc141284056" </w:instrText>
      </w:r>
      <w:r>
        <w:fldChar w:fldCharType="separate"/>
      </w:r>
      <w:r>
        <w:rPr>
          <w:rStyle w:val="59"/>
          <w:color w:val="auto"/>
        </w:rPr>
        <w:t>3.1</w:t>
      </w:r>
      <w:r>
        <w:rPr>
          <w:rStyle w:val="59"/>
          <w:rFonts w:hint="eastAsia"/>
          <w:color w:val="auto"/>
        </w:rPr>
        <w:t>现有道路基本情况</w:t>
      </w:r>
      <w:r>
        <w:tab/>
      </w:r>
      <w:r>
        <w:fldChar w:fldCharType="begin"/>
      </w:r>
      <w:r>
        <w:instrText xml:space="preserve"> PAGEREF _Toc141284056 \h </w:instrText>
      </w:r>
      <w:r>
        <w:fldChar w:fldCharType="separate"/>
      </w:r>
      <w:r>
        <w:t>32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"_Toc141284057" </w:instrText>
      </w:r>
      <w:r>
        <w:fldChar w:fldCharType="separate"/>
      </w:r>
      <w:r>
        <w:rPr>
          <w:rStyle w:val="59"/>
          <w:color w:val="auto"/>
        </w:rPr>
        <w:t>3.2</w:t>
      </w:r>
      <w:r>
        <w:rPr>
          <w:rStyle w:val="59"/>
          <w:rFonts w:hint="eastAsia"/>
          <w:color w:val="auto"/>
        </w:rPr>
        <w:t>拟建工程概况</w:t>
      </w:r>
      <w:r>
        <w:tab/>
      </w:r>
      <w:r>
        <w:fldChar w:fldCharType="begin"/>
      </w:r>
      <w:r>
        <w:instrText xml:space="preserve"> PAGEREF _Toc141284057 \h </w:instrText>
      </w:r>
      <w:r>
        <w:fldChar w:fldCharType="separate"/>
      </w:r>
      <w:r>
        <w:t>32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"_Toc141284058" </w:instrText>
      </w:r>
      <w:r>
        <w:fldChar w:fldCharType="separate"/>
      </w:r>
      <w:r>
        <w:rPr>
          <w:rStyle w:val="59"/>
          <w:color w:val="auto"/>
        </w:rPr>
        <w:t>3.3</w:t>
      </w:r>
      <w:r>
        <w:rPr>
          <w:rStyle w:val="59"/>
          <w:rFonts w:hint="eastAsia"/>
          <w:color w:val="auto"/>
        </w:rPr>
        <w:t>路线方案比选</w:t>
      </w:r>
      <w:r>
        <w:tab/>
      </w:r>
      <w:r>
        <w:fldChar w:fldCharType="begin"/>
      </w:r>
      <w:r>
        <w:instrText xml:space="preserve"> PAGEREF _Toc141284058 \h </w:instrText>
      </w:r>
      <w:r>
        <w:fldChar w:fldCharType="separate"/>
      </w:r>
      <w:r>
        <w:t>36</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"_Toc141284059" </w:instrText>
      </w:r>
      <w:r>
        <w:fldChar w:fldCharType="separate"/>
      </w:r>
      <w:r>
        <w:rPr>
          <w:rStyle w:val="59"/>
          <w:color w:val="auto"/>
        </w:rPr>
        <w:t>3.4</w:t>
      </w:r>
      <w:r>
        <w:rPr>
          <w:rStyle w:val="59"/>
          <w:rFonts w:hint="eastAsia"/>
          <w:color w:val="auto"/>
        </w:rPr>
        <w:t>主要工程概况</w:t>
      </w:r>
      <w:r>
        <w:tab/>
      </w:r>
      <w:r>
        <w:fldChar w:fldCharType="begin"/>
      </w:r>
      <w:r>
        <w:instrText xml:space="preserve"> PAGEREF _Toc141284059 \h </w:instrText>
      </w:r>
      <w:r>
        <w:fldChar w:fldCharType="separate"/>
      </w:r>
      <w:r>
        <w:t>41</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"_Toc141284060" </w:instrText>
      </w:r>
      <w:r>
        <w:fldChar w:fldCharType="separate"/>
      </w:r>
      <w:r>
        <w:rPr>
          <w:rStyle w:val="59"/>
          <w:color w:val="auto"/>
        </w:rPr>
        <w:t>3.5</w:t>
      </w:r>
      <w:r>
        <w:rPr>
          <w:rStyle w:val="59"/>
          <w:rFonts w:hint="eastAsia"/>
          <w:color w:val="auto"/>
        </w:rPr>
        <w:t>临时工程</w:t>
      </w:r>
      <w:r>
        <w:tab/>
      </w:r>
      <w:r>
        <w:fldChar w:fldCharType="begin"/>
      </w:r>
      <w:r>
        <w:instrText xml:space="preserve"> PAGEREF _Toc141284060 \h </w:instrText>
      </w:r>
      <w:r>
        <w:fldChar w:fldCharType="separate"/>
      </w:r>
      <w:r>
        <w:t>52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"_Toc141284061" </w:instrText>
      </w:r>
      <w:r>
        <w:fldChar w:fldCharType="separate"/>
      </w:r>
      <w:r>
        <w:rPr>
          <w:rStyle w:val="59"/>
          <w:color w:val="auto"/>
        </w:rPr>
        <w:t>3.6</w:t>
      </w:r>
      <w:r>
        <w:rPr>
          <w:rStyle w:val="59"/>
          <w:rFonts w:hint="eastAsia"/>
          <w:color w:val="auto"/>
        </w:rPr>
        <w:t>土石方平衡</w:t>
      </w:r>
      <w:r>
        <w:tab/>
      </w:r>
      <w:r>
        <w:fldChar w:fldCharType="begin"/>
      </w:r>
      <w:r>
        <w:instrText xml:space="preserve"> PAGEREF _Toc141284061 \h </w:instrText>
      </w:r>
      <w:r>
        <w:fldChar w:fldCharType="separate"/>
      </w:r>
      <w:r>
        <w:t>52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"_Toc141284062" </w:instrText>
      </w:r>
      <w:r>
        <w:fldChar w:fldCharType="separate"/>
      </w:r>
      <w:r>
        <w:rPr>
          <w:rStyle w:val="59"/>
          <w:color w:val="auto"/>
        </w:rPr>
        <w:t>3.7</w:t>
      </w:r>
      <w:r>
        <w:rPr>
          <w:rStyle w:val="59"/>
          <w:rFonts w:hint="eastAsia"/>
          <w:color w:val="auto"/>
        </w:rPr>
        <w:t>征地及拆迁</w:t>
      </w:r>
      <w:r>
        <w:tab/>
      </w:r>
      <w:r>
        <w:fldChar w:fldCharType="begin"/>
      </w:r>
      <w:r>
        <w:instrText xml:space="preserve"> PAGEREF _Toc141284062 \h </w:instrText>
      </w:r>
      <w:r>
        <w:fldChar w:fldCharType="separate"/>
      </w:r>
      <w:r>
        <w:t>54</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"_Toc141284063" </w:instrText>
      </w:r>
      <w:r>
        <w:fldChar w:fldCharType="separate"/>
      </w:r>
      <w:r>
        <w:rPr>
          <w:rStyle w:val="59"/>
          <w:color w:val="auto"/>
        </w:rPr>
        <w:t>3.8</w:t>
      </w:r>
      <w:r>
        <w:rPr>
          <w:rStyle w:val="59"/>
          <w:rFonts w:hint="eastAsia"/>
          <w:color w:val="auto"/>
        </w:rPr>
        <w:t>沿线筑路材料</w:t>
      </w:r>
      <w:r>
        <w:tab/>
      </w:r>
      <w:r>
        <w:fldChar w:fldCharType="begin"/>
      </w:r>
      <w:r>
        <w:instrText xml:space="preserve"> PAGEREF _Toc141284063 \h </w:instrText>
      </w:r>
      <w:r>
        <w:fldChar w:fldCharType="separate"/>
      </w:r>
      <w:r>
        <w:t>64</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"_Toc141284064" </w:instrText>
      </w:r>
      <w:r>
        <w:fldChar w:fldCharType="separate"/>
      </w:r>
      <w:r>
        <w:rPr>
          <w:rStyle w:val="59"/>
          <w:color w:val="auto"/>
        </w:rPr>
        <w:t>3.9</w:t>
      </w:r>
      <w:r>
        <w:rPr>
          <w:rStyle w:val="59"/>
          <w:rFonts w:hint="eastAsia"/>
          <w:color w:val="auto"/>
        </w:rPr>
        <w:t>施工组织及施工工艺</w:t>
      </w:r>
      <w:r>
        <w:tab/>
      </w:r>
      <w:r>
        <w:fldChar w:fldCharType="begin"/>
      </w:r>
      <w:r>
        <w:instrText xml:space="preserve"> PAGEREF _Toc141284064 \h </w:instrText>
      </w:r>
      <w:r>
        <w:fldChar w:fldCharType="separate"/>
      </w:r>
      <w:r>
        <w:t>64</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"_Toc141284065" </w:instrText>
      </w:r>
      <w:r>
        <w:fldChar w:fldCharType="separate"/>
      </w:r>
      <w:r>
        <w:rPr>
          <w:rStyle w:val="59"/>
          <w:color w:val="auto"/>
        </w:rPr>
        <w:t>3.10</w:t>
      </w:r>
      <w:r>
        <w:rPr>
          <w:rStyle w:val="59"/>
          <w:rFonts w:hint="eastAsia"/>
          <w:color w:val="auto"/>
        </w:rPr>
        <w:t>估算投资及工期安排</w:t>
      </w:r>
      <w:r>
        <w:tab/>
      </w:r>
      <w:r>
        <w:fldChar w:fldCharType="begin"/>
      </w:r>
      <w:r>
        <w:instrText xml:space="preserve"> PAGEREF _Toc141284065 \h </w:instrText>
      </w:r>
      <w:r>
        <w:fldChar w:fldCharType="separate"/>
      </w:r>
      <w:r>
        <w:t>70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"_Toc141284066" </w:instrText>
      </w:r>
      <w:r>
        <w:fldChar w:fldCharType="separate"/>
      </w:r>
      <w:r>
        <w:rPr>
          <w:rStyle w:val="59"/>
          <w:color w:val="auto"/>
        </w:rPr>
        <w:t>3.11</w:t>
      </w:r>
      <w:r>
        <w:rPr>
          <w:rStyle w:val="59"/>
          <w:rFonts w:hint="eastAsia"/>
          <w:color w:val="auto"/>
        </w:rPr>
        <w:t>工程污染源分析及污染防治措施</w:t>
      </w:r>
      <w:r>
        <w:tab/>
      </w:r>
      <w:r>
        <w:fldChar w:fldCharType="begin"/>
      </w:r>
      <w:r>
        <w:instrText xml:space="preserve"> PAGEREF _Toc141284066 \h </w:instrText>
      </w:r>
      <w:r>
        <w:fldChar w:fldCharType="separate"/>
      </w:r>
      <w:r>
        <w:t>71</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"_Toc141284067" </w:instrText>
      </w:r>
      <w:r>
        <w:fldChar w:fldCharType="separate"/>
      </w:r>
      <w:r>
        <w:rPr>
          <w:rStyle w:val="59"/>
          <w:color w:val="auto"/>
        </w:rPr>
        <w:t>3.12</w:t>
      </w:r>
      <w:r>
        <w:rPr>
          <w:rStyle w:val="59"/>
          <w:rFonts w:hint="eastAsia"/>
          <w:color w:val="auto"/>
        </w:rPr>
        <w:t>总量控制分析</w:t>
      </w:r>
      <w:r>
        <w:tab/>
      </w:r>
      <w:r>
        <w:fldChar w:fldCharType="begin"/>
      </w:r>
      <w:r>
        <w:instrText xml:space="preserve"> PAGEREF _Toc141284067 \h </w:instrText>
      </w:r>
      <w:r>
        <w:fldChar w:fldCharType="separate"/>
      </w:r>
      <w:r>
        <w:t>77</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"_Toc141284068" </w:instrText>
      </w:r>
      <w:r>
        <w:fldChar w:fldCharType="separate"/>
      </w:r>
      <w:r>
        <w:rPr>
          <w:rStyle w:val="59"/>
          <w:color w:val="auto"/>
        </w:rPr>
        <w:t>4</w:t>
      </w:r>
      <w:r>
        <w:rPr>
          <w:rStyle w:val="59"/>
          <w:rFonts w:hint="eastAsia"/>
          <w:color w:val="auto"/>
        </w:rPr>
        <w:t>环境现状调查与分析</w:t>
      </w:r>
      <w:r>
        <w:tab/>
      </w:r>
      <w:r>
        <w:fldChar w:fldCharType="begin"/>
      </w:r>
      <w:r>
        <w:instrText xml:space="preserve"> PAGEREF _Toc141284068 \h </w:instrText>
      </w:r>
      <w:r>
        <w:fldChar w:fldCharType="separate"/>
      </w:r>
      <w:r>
        <w:t>78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"_Toc141284069" </w:instrText>
      </w:r>
      <w:r>
        <w:fldChar w:fldCharType="separate"/>
      </w:r>
      <w:r>
        <w:rPr>
          <w:rStyle w:val="59"/>
          <w:color w:val="auto"/>
        </w:rPr>
        <w:t>4.1</w:t>
      </w:r>
      <w:r>
        <w:rPr>
          <w:rStyle w:val="59"/>
          <w:rFonts w:hint="eastAsia"/>
          <w:color w:val="auto"/>
        </w:rPr>
        <w:t>自然环境现状与评价</w:t>
      </w:r>
      <w:r>
        <w:tab/>
      </w:r>
      <w:r>
        <w:fldChar w:fldCharType="begin"/>
      </w:r>
      <w:r>
        <w:instrText xml:space="preserve"> PAGEREF _Toc141284069 \h </w:instrText>
      </w:r>
      <w:r>
        <w:fldChar w:fldCharType="separate"/>
      </w:r>
      <w:r>
        <w:t>78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"_Toc141284070" </w:instrText>
      </w:r>
      <w:r>
        <w:fldChar w:fldCharType="separate"/>
      </w:r>
      <w:r>
        <w:rPr>
          <w:rStyle w:val="59"/>
          <w:color w:val="auto"/>
        </w:rPr>
        <w:t>4.2</w:t>
      </w:r>
      <w:r>
        <w:rPr>
          <w:rStyle w:val="59"/>
          <w:rFonts w:hint="eastAsia"/>
          <w:color w:val="auto"/>
        </w:rPr>
        <w:t>生态环境</w:t>
      </w:r>
      <w:r>
        <w:tab/>
      </w:r>
      <w:r>
        <w:fldChar w:fldCharType="begin"/>
      </w:r>
      <w:r>
        <w:instrText xml:space="preserve"> PAGEREF _Toc141284070 \h </w:instrText>
      </w:r>
      <w:r>
        <w:fldChar w:fldCharType="separate"/>
      </w:r>
      <w:r>
        <w:t>93</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"_Toc141284071" </w:instrText>
      </w:r>
      <w:r>
        <w:fldChar w:fldCharType="separate"/>
      </w:r>
      <w:r>
        <w:rPr>
          <w:rStyle w:val="59"/>
          <w:color w:val="auto"/>
        </w:rPr>
        <w:t>4.3</w:t>
      </w:r>
      <w:r>
        <w:rPr>
          <w:rStyle w:val="59"/>
          <w:rFonts w:hint="eastAsia"/>
          <w:color w:val="auto"/>
        </w:rPr>
        <w:t>环境质量现状与评价</w:t>
      </w:r>
      <w:r>
        <w:tab/>
      </w:r>
      <w:r>
        <w:fldChar w:fldCharType="begin"/>
      </w:r>
      <w:r>
        <w:instrText xml:space="preserve"> PAGEREF _Toc141284071 \h </w:instrText>
      </w:r>
      <w:r>
        <w:fldChar w:fldCharType="separate"/>
      </w:r>
      <w:r>
        <w:t>94</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"_Toc141284072" </w:instrText>
      </w:r>
      <w:r>
        <w:fldChar w:fldCharType="separate"/>
      </w:r>
      <w:r>
        <w:rPr>
          <w:rStyle w:val="59"/>
          <w:color w:val="auto"/>
        </w:rPr>
        <w:t>5</w:t>
      </w:r>
      <w:r>
        <w:rPr>
          <w:rStyle w:val="59"/>
          <w:rFonts w:hint="eastAsia"/>
          <w:color w:val="auto"/>
        </w:rPr>
        <w:t>环境影响预测与评价</w:t>
      </w:r>
      <w:r>
        <w:tab/>
      </w:r>
      <w:r>
        <w:fldChar w:fldCharType="begin"/>
      </w:r>
      <w:r>
        <w:instrText xml:space="preserve"> PAGEREF _Toc141284072 \h </w:instrText>
      </w:r>
      <w:r>
        <w:fldChar w:fldCharType="separate"/>
      </w:r>
      <w:r>
        <w:t>98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"_Toc141284073" </w:instrText>
      </w:r>
      <w:r>
        <w:fldChar w:fldCharType="separate"/>
      </w:r>
      <w:r>
        <w:rPr>
          <w:rStyle w:val="59"/>
          <w:color w:val="auto"/>
        </w:rPr>
        <w:t>5.1</w:t>
      </w:r>
      <w:r>
        <w:rPr>
          <w:rStyle w:val="59"/>
          <w:rFonts w:hint="eastAsia"/>
          <w:color w:val="auto"/>
        </w:rPr>
        <w:t>施工期环境影响分析</w:t>
      </w:r>
      <w:r>
        <w:tab/>
      </w:r>
      <w:r>
        <w:fldChar w:fldCharType="begin"/>
      </w:r>
      <w:r>
        <w:instrText xml:space="preserve"> PAGEREF _Toc141284073 \h </w:instrText>
      </w:r>
      <w:r>
        <w:fldChar w:fldCharType="separate"/>
      </w:r>
      <w:r>
        <w:t>98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"_Toc141284074" </w:instrText>
      </w:r>
      <w:r>
        <w:fldChar w:fldCharType="separate"/>
      </w:r>
      <w:r>
        <w:rPr>
          <w:rStyle w:val="59"/>
          <w:color w:val="auto"/>
        </w:rPr>
        <w:t>5.2</w:t>
      </w:r>
      <w:r>
        <w:rPr>
          <w:rStyle w:val="59"/>
          <w:rFonts w:hint="eastAsia"/>
          <w:color w:val="auto"/>
        </w:rPr>
        <w:t>运营期环境影响分析</w:t>
      </w:r>
      <w:r>
        <w:tab/>
      </w:r>
      <w:r>
        <w:fldChar w:fldCharType="begin"/>
      </w:r>
      <w:r>
        <w:instrText xml:space="preserve"> PAGEREF _Toc141284074 \h </w:instrText>
      </w:r>
      <w:r>
        <w:fldChar w:fldCharType="separate"/>
      </w:r>
      <w:r>
        <w:t>107</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"_Toc141284075" </w:instrText>
      </w:r>
      <w:r>
        <w:fldChar w:fldCharType="separate"/>
      </w:r>
      <w:r>
        <w:rPr>
          <w:rStyle w:val="59"/>
          <w:color w:val="auto"/>
        </w:rPr>
        <w:t>5.3</w:t>
      </w:r>
      <w:r>
        <w:rPr>
          <w:rStyle w:val="59"/>
          <w:rFonts w:hint="eastAsia"/>
          <w:color w:val="auto"/>
        </w:rPr>
        <w:t>对</w:t>
      </w:r>
      <w:r>
        <w:rPr>
          <w:rStyle w:val="59"/>
          <w:rFonts w:hint="eastAsia"/>
          <w:color w:val="auto"/>
          <w:kern w:val="24"/>
        </w:rPr>
        <w:t>遵化市堡子店水源地</w:t>
      </w:r>
      <w:r>
        <w:rPr>
          <w:rStyle w:val="59"/>
          <w:rFonts w:hint="eastAsia"/>
          <w:color w:val="auto"/>
        </w:rPr>
        <w:t>的影响分析</w:t>
      </w:r>
      <w:r>
        <w:tab/>
      </w:r>
      <w:r>
        <w:fldChar w:fldCharType="begin"/>
      </w:r>
      <w:r>
        <w:instrText xml:space="preserve"> PAGEREF _Toc141284075 \h </w:instrText>
      </w:r>
      <w:r>
        <w:fldChar w:fldCharType="separate"/>
      </w:r>
      <w:r>
        <w:t>132</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"_Toc141284076" </w:instrText>
      </w:r>
      <w:r>
        <w:fldChar w:fldCharType="separate"/>
      </w:r>
      <w:r>
        <w:rPr>
          <w:rStyle w:val="59"/>
          <w:color w:val="auto"/>
        </w:rPr>
        <w:t>6</w:t>
      </w:r>
      <w:r>
        <w:rPr>
          <w:rStyle w:val="59"/>
          <w:rFonts w:hint="eastAsia"/>
          <w:color w:val="auto"/>
        </w:rPr>
        <w:t>环境风险评价</w:t>
      </w:r>
      <w:r>
        <w:tab/>
      </w:r>
      <w:r>
        <w:fldChar w:fldCharType="begin"/>
      </w:r>
      <w:r>
        <w:instrText xml:space="preserve"> PAGEREF _Toc141284076 \h </w:instrText>
      </w:r>
      <w:r>
        <w:fldChar w:fldCharType="separate"/>
      </w:r>
      <w:r>
        <w:t>135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"_Toc141284077" </w:instrText>
      </w:r>
      <w:r>
        <w:fldChar w:fldCharType="separate"/>
      </w:r>
      <w:r>
        <w:rPr>
          <w:rStyle w:val="59"/>
          <w:color w:val="auto"/>
        </w:rPr>
        <w:t>6.1</w:t>
      </w:r>
      <w:r>
        <w:rPr>
          <w:rStyle w:val="59"/>
          <w:rFonts w:hint="eastAsia"/>
          <w:color w:val="auto"/>
        </w:rPr>
        <w:t>环境风险因素调查</w:t>
      </w:r>
      <w:r>
        <w:tab/>
      </w:r>
      <w:r>
        <w:fldChar w:fldCharType="begin"/>
      </w:r>
      <w:r>
        <w:instrText xml:space="preserve"> PAGEREF _Toc141284077 \h </w:instrText>
      </w:r>
      <w:r>
        <w:fldChar w:fldCharType="separate"/>
      </w:r>
      <w:r>
        <w:t>135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"_Toc141284078" </w:instrText>
      </w:r>
      <w:r>
        <w:fldChar w:fldCharType="separate"/>
      </w:r>
      <w:r>
        <w:rPr>
          <w:rStyle w:val="59"/>
          <w:color w:val="auto"/>
        </w:rPr>
        <w:t>6.2</w:t>
      </w:r>
      <w:r>
        <w:rPr>
          <w:rStyle w:val="59"/>
          <w:rFonts w:hint="eastAsia"/>
          <w:color w:val="auto"/>
        </w:rPr>
        <w:t>危险品运输风险分析</w:t>
      </w:r>
      <w:r>
        <w:tab/>
      </w:r>
      <w:r>
        <w:fldChar w:fldCharType="begin"/>
      </w:r>
      <w:r>
        <w:instrText xml:space="preserve"> PAGEREF _Toc141284078 \h </w:instrText>
      </w:r>
      <w:r>
        <w:fldChar w:fldCharType="separate"/>
      </w:r>
      <w:r>
        <w:t>135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"_Toc141284079" </w:instrText>
      </w:r>
      <w:r>
        <w:fldChar w:fldCharType="separate"/>
      </w:r>
      <w:r>
        <w:rPr>
          <w:rStyle w:val="59"/>
          <w:color w:val="auto"/>
        </w:rPr>
        <w:t>6.3</w:t>
      </w:r>
      <w:r>
        <w:rPr>
          <w:rStyle w:val="59"/>
          <w:rFonts w:hint="eastAsia"/>
          <w:color w:val="auto"/>
        </w:rPr>
        <w:t>危险品运输预防措施及应急预案</w:t>
      </w:r>
      <w:r>
        <w:tab/>
      </w:r>
      <w:r>
        <w:fldChar w:fldCharType="begin"/>
      </w:r>
      <w:r>
        <w:instrText xml:space="preserve"> PAGEREF _Toc141284079 \h </w:instrText>
      </w:r>
      <w:r>
        <w:fldChar w:fldCharType="separate"/>
      </w:r>
      <w:r>
        <w:t>136</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"_Toc141284080" </w:instrText>
      </w:r>
      <w:r>
        <w:fldChar w:fldCharType="separate"/>
      </w:r>
      <w:r>
        <w:rPr>
          <w:rStyle w:val="59"/>
          <w:color w:val="auto"/>
        </w:rPr>
        <w:t>7</w:t>
      </w:r>
      <w:r>
        <w:rPr>
          <w:rStyle w:val="59"/>
          <w:rFonts w:hint="eastAsia"/>
          <w:color w:val="auto"/>
        </w:rPr>
        <w:t>环境保护措施可行性论证</w:t>
      </w:r>
      <w:r>
        <w:tab/>
      </w:r>
      <w:r>
        <w:fldChar w:fldCharType="begin"/>
      </w:r>
      <w:r>
        <w:instrText xml:space="preserve"> PAGEREF _Toc141284080 \h </w:instrText>
      </w:r>
      <w:r>
        <w:fldChar w:fldCharType="separate"/>
      </w:r>
      <w:r>
        <w:t>143</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"_Toc141284081" </w:instrText>
      </w:r>
      <w:r>
        <w:fldChar w:fldCharType="separate"/>
      </w:r>
      <w:r>
        <w:rPr>
          <w:rStyle w:val="59"/>
          <w:color w:val="auto"/>
        </w:rPr>
        <w:t>7.1</w:t>
      </w:r>
      <w:r>
        <w:rPr>
          <w:rStyle w:val="59"/>
          <w:rFonts w:hint="eastAsia"/>
          <w:color w:val="auto"/>
        </w:rPr>
        <w:t>一般区域生态环境保护措施</w:t>
      </w:r>
      <w:r>
        <w:tab/>
      </w:r>
      <w:r>
        <w:fldChar w:fldCharType="begin"/>
      </w:r>
      <w:r>
        <w:instrText xml:space="preserve"> PAGEREF _Toc141284081 \h </w:instrText>
      </w:r>
      <w:r>
        <w:fldChar w:fldCharType="separate"/>
      </w:r>
      <w:r>
        <w:t>143</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"_Toc141284082" </w:instrText>
      </w:r>
      <w:r>
        <w:fldChar w:fldCharType="separate"/>
      </w:r>
      <w:r>
        <w:rPr>
          <w:rStyle w:val="59"/>
          <w:color w:val="auto"/>
        </w:rPr>
        <w:t>7.2</w:t>
      </w:r>
      <w:r>
        <w:rPr>
          <w:rStyle w:val="59"/>
          <w:rFonts w:hint="eastAsia"/>
          <w:color w:val="auto"/>
        </w:rPr>
        <w:t>声环境保护措施</w:t>
      </w:r>
      <w:r>
        <w:tab/>
      </w:r>
      <w:r>
        <w:fldChar w:fldCharType="begin"/>
      </w:r>
      <w:r>
        <w:instrText xml:space="preserve"> PAGEREF _Toc141284082 \h </w:instrText>
      </w:r>
      <w:r>
        <w:fldChar w:fldCharType="separate"/>
      </w:r>
      <w:r>
        <w:t>145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"_Toc141284083" </w:instrText>
      </w:r>
      <w:r>
        <w:fldChar w:fldCharType="separate"/>
      </w:r>
      <w:r>
        <w:rPr>
          <w:rStyle w:val="59"/>
          <w:color w:val="auto"/>
        </w:rPr>
        <w:t>7.3</w:t>
      </w:r>
      <w:r>
        <w:rPr>
          <w:rStyle w:val="59"/>
          <w:rFonts w:hint="eastAsia"/>
          <w:color w:val="auto"/>
        </w:rPr>
        <w:t>水环境保护措施</w:t>
      </w:r>
      <w:r>
        <w:tab/>
      </w:r>
      <w:r>
        <w:fldChar w:fldCharType="begin"/>
      </w:r>
      <w:r>
        <w:instrText xml:space="preserve"> PAGEREF _Toc141284083 \h </w:instrText>
      </w:r>
      <w:r>
        <w:fldChar w:fldCharType="separate"/>
      </w:r>
      <w:r>
        <w:t>158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"_Toc141284084" </w:instrText>
      </w:r>
      <w:r>
        <w:fldChar w:fldCharType="separate"/>
      </w:r>
      <w:r>
        <w:rPr>
          <w:rStyle w:val="59"/>
          <w:color w:val="auto"/>
        </w:rPr>
        <w:t>7.4</w:t>
      </w:r>
      <w:r>
        <w:rPr>
          <w:rStyle w:val="59"/>
          <w:rFonts w:hint="eastAsia"/>
          <w:color w:val="auto"/>
        </w:rPr>
        <w:t>环境空气保护措施</w:t>
      </w:r>
      <w:r>
        <w:tab/>
      </w:r>
      <w:r>
        <w:fldChar w:fldCharType="begin"/>
      </w:r>
      <w:r>
        <w:instrText xml:space="preserve"> PAGEREF _Toc141284084 \h </w:instrText>
      </w:r>
      <w:r>
        <w:fldChar w:fldCharType="separate"/>
      </w:r>
      <w:r>
        <w:t>160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"_Toc141284085" </w:instrText>
      </w:r>
      <w:r>
        <w:fldChar w:fldCharType="separate"/>
      </w:r>
      <w:r>
        <w:rPr>
          <w:rStyle w:val="59"/>
          <w:color w:val="auto"/>
        </w:rPr>
        <w:t>7.5</w:t>
      </w:r>
      <w:r>
        <w:rPr>
          <w:rStyle w:val="59"/>
          <w:rFonts w:hint="eastAsia"/>
          <w:color w:val="auto"/>
        </w:rPr>
        <w:t>固体废物防治措施</w:t>
      </w:r>
      <w:r>
        <w:tab/>
      </w:r>
      <w:r>
        <w:fldChar w:fldCharType="begin"/>
      </w:r>
      <w:r>
        <w:instrText xml:space="preserve"> PAGEREF _Toc141284085 \h </w:instrText>
      </w:r>
      <w:r>
        <w:fldChar w:fldCharType="separate"/>
      </w:r>
      <w:r>
        <w:t>162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"_Toc141284086" </w:instrText>
      </w:r>
      <w:r>
        <w:fldChar w:fldCharType="separate"/>
      </w:r>
      <w:r>
        <w:rPr>
          <w:rStyle w:val="59"/>
          <w:color w:val="auto"/>
        </w:rPr>
        <w:t>7.6</w:t>
      </w:r>
      <w:r>
        <w:rPr>
          <w:rStyle w:val="59"/>
          <w:rFonts w:hint="eastAsia"/>
          <w:color w:val="auto"/>
        </w:rPr>
        <w:t>遵化市堡子店水源地保护措施</w:t>
      </w:r>
      <w:r>
        <w:tab/>
      </w:r>
      <w:r>
        <w:fldChar w:fldCharType="begin"/>
      </w:r>
      <w:r>
        <w:instrText xml:space="preserve"> PAGEREF _Toc141284086 \h </w:instrText>
      </w:r>
      <w:r>
        <w:fldChar w:fldCharType="separate"/>
      </w:r>
      <w:r>
        <w:t>163</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"_Toc141284087" </w:instrText>
      </w:r>
      <w:r>
        <w:fldChar w:fldCharType="separate"/>
      </w:r>
      <w:r>
        <w:rPr>
          <w:rStyle w:val="59"/>
          <w:color w:val="auto"/>
        </w:rPr>
        <w:t>8</w:t>
      </w:r>
      <w:r>
        <w:rPr>
          <w:rStyle w:val="59"/>
          <w:rFonts w:hint="eastAsia"/>
          <w:color w:val="auto"/>
        </w:rPr>
        <w:t>环境影响经济损益分析</w:t>
      </w:r>
      <w:r>
        <w:tab/>
      </w:r>
      <w:r>
        <w:fldChar w:fldCharType="begin"/>
      </w:r>
      <w:r>
        <w:instrText xml:space="preserve"> PAGEREF _Toc141284087 \h </w:instrText>
      </w:r>
      <w:r>
        <w:fldChar w:fldCharType="separate"/>
      </w:r>
      <w:r>
        <w:t>165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"_Toc141284088" </w:instrText>
      </w:r>
      <w:r>
        <w:fldChar w:fldCharType="separate"/>
      </w:r>
      <w:r>
        <w:rPr>
          <w:rStyle w:val="59"/>
          <w:color w:val="auto"/>
        </w:rPr>
        <w:t>8.1</w:t>
      </w:r>
      <w:r>
        <w:rPr>
          <w:rStyle w:val="59"/>
          <w:rFonts w:hint="eastAsia"/>
          <w:color w:val="auto"/>
        </w:rPr>
        <w:t>环保投资估算</w:t>
      </w:r>
      <w:r>
        <w:tab/>
      </w:r>
      <w:r>
        <w:fldChar w:fldCharType="begin"/>
      </w:r>
      <w:r>
        <w:instrText xml:space="preserve"> PAGEREF _Toc141284088 \h </w:instrText>
      </w:r>
      <w:r>
        <w:fldChar w:fldCharType="separate"/>
      </w:r>
      <w:r>
        <w:t>165</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"_Toc141284089" </w:instrText>
      </w:r>
      <w:r>
        <w:fldChar w:fldCharType="separate"/>
      </w:r>
      <w:r>
        <w:rPr>
          <w:rStyle w:val="59"/>
          <w:color w:val="auto"/>
        </w:rPr>
        <w:t>8.2</w:t>
      </w:r>
      <w:r>
        <w:rPr>
          <w:rStyle w:val="59"/>
          <w:rFonts w:hint="eastAsia"/>
          <w:color w:val="auto"/>
        </w:rPr>
        <w:t>环境影响分析</w:t>
      </w:r>
      <w:r>
        <w:tab/>
      </w:r>
      <w:r>
        <w:fldChar w:fldCharType="begin"/>
      </w:r>
      <w:r>
        <w:instrText xml:space="preserve"> PAGEREF _Toc141284089 \h </w:instrText>
      </w:r>
      <w:r>
        <w:fldChar w:fldCharType="separate"/>
      </w:r>
      <w:r>
        <w:t>167</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"_Toc141284090" </w:instrText>
      </w:r>
      <w:r>
        <w:fldChar w:fldCharType="separate"/>
      </w:r>
      <w:r>
        <w:rPr>
          <w:rStyle w:val="59"/>
          <w:color w:val="auto"/>
        </w:rPr>
        <w:t>8.3</w:t>
      </w:r>
      <w:r>
        <w:rPr>
          <w:rStyle w:val="59"/>
          <w:rFonts w:hint="eastAsia"/>
          <w:color w:val="auto"/>
        </w:rPr>
        <w:t>环境经济损益分析</w:t>
      </w:r>
      <w:r>
        <w:tab/>
      </w:r>
      <w:r>
        <w:fldChar w:fldCharType="begin"/>
      </w:r>
      <w:r>
        <w:instrText xml:space="preserve"> PAGEREF _Toc141284090 \h </w:instrText>
      </w:r>
      <w:r>
        <w:fldChar w:fldCharType="separate"/>
      </w:r>
      <w:r>
        <w:t>167</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"_Toc141284091" </w:instrText>
      </w:r>
      <w:r>
        <w:fldChar w:fldCharType="separate"/>
      </w:r>
      <w:r>
        <w:rPr>
          <w:rStyle w:val="59"/>
          <w:color w:val="auto"/>
        </w:rPr>
        <w:t>8.4</w:t>
      </w:r>
      <w:r>
        <w:rPr>
          <w:rStyle w:val="59"/>
          <w:rFonts w:hint="eastAsia"/>
          <w:color w:val="auto"/>
        </w:rPr>
        <w:t>结论</w:t>
      </w:r>
      <w:r>
        <w:tab/>
      </w:r>
      <w:r>
        <w:fldChar w:fldCharType="begin"/>
      </w:r>
      <w:r>
        <w:instrText xml:space="preserve"> PAGEREF _Toc141284091 \h </w:instrText>
      </w:r>
      <w:r>
        <w:fldChar w:fldCharType="separate"/>
      </w:r>
      <w:r>
        <w:t>169</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"_Toc141284092" </w:instrText>
      </w:r>
      <w:r>
        <w:fldChar w:fldCharType="separate"/>
      </w:r>
      <w:r>
        <w:rPr>
          <w:rStyle w:val="59"/>
          <w:color w:val="auto"/>
        </w:rPr>
        <w:t>9</w:t>
      </w:r>
      <w:r>
        <w:rPr>
          <w:rStyle w:val="59"/>
          <w:rFonts w:hint="eastAsia"/>
          <w:color w:val="auto"/>
        </w:rPr>
        <w:t>环境管理及监测计划</w:t>
      </w:r>
      <w:r>
        <w:tab/>
      </w:r>
      <w:r>
        <w:fldChar w:fldCharType="begin"/>
      </w:r>
      <w:r>
        <w:instrText xml:space="preserve"> PAGEREF _Toc141284092 \h </w:instrText>
      </w:r>
      <w:r>
        <w:fldChar w:fldCharType="separate"/>
      </w:r>
      <w:r>
        <w:t>170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"_Toc141284093" </w:instrText>
      </w:r>
      <w:r>
        <w:fldChar w:fldCharType="separate"/>
      </w:r>
      <w:r>
        <w:rPr>
          <w:rStyle w:val="59"/>
          <w:color w:val="auto"/>
        </w:rPr>
        <w:t>9.1</w:t>
      </w:r>
      <w:r>
        <w:rPr>
          <w:rStyle w:val="59"/>
          <w:rFonts w:hint="eastAsia"/>
          <w:color w:val="auto"/>
        </w:rPr>
        <w:t>环境保护管理计划</w:t>
      </w:r>
      <w:r>
        <w:tab/>
      </w:r>
      <w:r>
        <w:fldChar w:fldCharType="begin"/>
      </w:r>
      <w:r>
        <w:instrText xml:space="preserve"> PAGEREF _Toc141284093 \h </w:instrText>
      </w:r>
      <w:r>
        <w:fldChar w:fldCharType="separate"/>
      </w:r>
      <w:r>
        <w:t>170</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"_Toc141284094" </w:instrText>
      </w:r>
      <w:r>
        <w:fldChar w:fldCharType="separate"/>
      </w:r>
      <w:r>
        <w:rPr>
          <w:rStyle w:val="59"/>
          <w:color w:val="auto"/>
        </w:rPr>
        <w:t>9.2</w:t>
      </w:r>
      <w:r>
        <w:rPr>
          <w:rStyle w:val="59"/>
          <w:rFonts w:hint="eastAsia"/>
          <w:color w:val="auto"/>
        </w:rPr>
        <w:t>环境监测计划</w:t>
      </w:r>
      <w:r>
        <w:tab/>
      </w:r>
      <w:r>
        <w:fldChar w:fldCharType="begin"/>
      </w:r>
      <w:r>
        <w:instrText xml:space="preserve"> PAGEREF _Toc141284094 \h </w:instrText>
      </w:r>
      <w:r>
        <w:fldChar w:fldCharType="separate"/>
      </w:r>
      <w:r>
        <w:t>172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"_Toc141284095" </w:instrText>
      </w:r>
      <w:r>
        <w:fldChar w:fldCharType="separate"/>
      </w:r>
      <w:r>
        <w:rPr>
          <w:rStyle w:val="59"/>
          <w:color w:val="auto"/>
        </w:rPr>
        <w:t>9.3</w:t>
      </w:r>
      <w:r>
        <w:rPr>
          <w:rStyle w:val="59"/>
          <w:rFonts w:hint="eastAsia"/>
          <w:color w:val="auto"/>
        </w:rPr>
        <w:t>环境监理计划</w:t>
      </w:r>
      <w:r>
        <w:tab/>
      </w:r>
      <w:r>
        <w:fldChar w:fldCharType="begin"/>
      </w:r>
      <w:r>
        <w:instrText xml:space="preserve"> PAGEREF _Toc141284095 \h </w:instrText>
      </w:r>
      <w:r>
        <w:fldChar w:fldCharType="separate"/>
      </w:r>
      <w:r>
        <w:t>173</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"_Toc141284096" </w:instrText>
      </w:r>
      <w:r>
        <w:fldChar w:fldCharType="separate"/>
      </w:r>
      <w:r>
        <w:rPr>
          <w:rStyle w:val="59"/>
          <w:color w:val="auto"/>
        </w:rPr>
        <w:t>9.4</w:t>
      </w:r>
      <w:r>
        <w:rPr>
          <w:rStyle w:val="59"/>
          <w:rFonts w:hint="eastAsia"/>
          <w:color w:val="auto"/>
        </w:rPr>
        <w:t>环境保护竣工验收</w:t>
      </w:r>
      <w:r>
        <w:tab/>
      </w:r>
      <w:r>
        <w:fldChar w:fldCharType="begin"/>
      </w:r>
      <w:r>
        <w:instrText xml:space="preserve"> PAGEREF _Toc141284096 \h </w:instrText>
      </w:r>
      <w:r>
        <w:fldChar w:fldCharType="separate"/>
      </w:r>
      <w:r>
        <w:t>176</w:t>
      </w:r>
      <w:r>
        <w:fldChar w:fldCharType="end"/>
      </w:r>
      <w:r>
        <w:fldChar w:fldCharType="end"/>
      </w:r>
    </w:p>
    <w:p>
      <w:pPr>
        <w:pStyle w:val="32"/>
        <w:tabs>
          <w:tab w:val="right" w:leader="dot" w:pos="9004"/>
        </w:tabs>
        <w:rPr>
          <w:rFonts w:asciiTheme="minorHAnsi" w:hAnsiTheme="minorHAnsi" w:eastAsiaTheme="minorEastAsia" w:cstheme="minorBidi"/>
          <w:b w:val="0"/>
          <w:bCs w:val="0"/>
          <w:caps w:val="0"/>
          <w:sz w:val="21"/>
          <w:szCs w:val="22"/>
        </w:rPr>
      </w:pPr>
      <w:r>
        <w:fldChar w:fldCharType="begin"/>
      </w:r>
      <w:r>
        <w:instrText xml:space="preserve"> HYPERLINK \l "_Toc141284097" </w:instrText>
      </w:r>
      <w:r>
        <w:fldChar w:fldCharType="separate"/>
      </w:r>
      <w:r>
        <w:rPr>
          <w:rStyle w:val="59"/>
          <w:color w:val="auto"/>
        </w:rPr>
        <w:t>10</w:t>
      </w:r>
      <w:r>
        <w:rPr>
          <w:rStyle w:val="59"/>
          <w:rFonts w:hint="eastAsia"/>
          <w:color w:val="auto"/>
        </w:rPr>
        <w:t>环境影响评价结论</w:t>
      </w:r>
      <w:r>
        <w:tab/>
      </w:r>
      <w:r>
        <w:fldChar w:fldCharType="begin"/>
      </w:r>
      <w:r>
        <w:instrText xml:space="preserve"> PAGEREF _Toc141284097 \h </w:instrText>
      </w:r>
      <w:r>
        <w:fldChar w:fldCharType="separate"/>
      </w:r>
      <w:r>
        <w:t>178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"_Toc141284098" </w:instrText>
      </w:r>
      <w:r>
        <w:fldChar w:fldCharType="separate"/>
      </w:r>
      <w:r>
        <w:rPr>
          <w:rStyle w:val="59"/>
          <w:color w:val="auto"/>
        </w:rPr>
        <w:t>10.1</w:t>
      </w:r>
      <w:r>
        <w:rPr>
          <w:rStyle w:val="59"/>
          <w:rFonts w:hint="eastAsia"/>
          <w:color w:val="auto"/>
        </w:rPr>
        <w:t>项目建设情况</w:t>
      </w:r>
      <w:r>
        <w:tab/>
      </w:r>
      <w:r>
        <w:fldChar w:fldCharType="begin"/>
      </w:r>
      <w:r>
        <w:instrText xml:space="preserve"> PAGEREF _Toc141284098 \h </w:instrText>
      </w:r>
      <w:r>
        <w:fldChar w:fldCharType="separate"/>
      </w:r>
      <w:r>
        <w:t>178</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"_Toc141284099" </w:instrText>
      </w:r>
      <w:r>
        <w:fldChar w:fldCharType="separate"/>
      </w:r>
      <w:r>
        <w:rPr>
          <w:rStyle w:val="59"/>
          <w:color w:val="auto"/>
        </w:rPr>
        <w:t>10.2</w:t>
      </w:r>
      <w:r>
        <w:rPr>
          <w:rStyle w:val="59"/>
          <w:rFonts w:hint="eastAsia"/>
          <w:color w:val="auto"/>
        </w:rPr>
        <w:t>环境质量现状评价结论</w:t>
      </w:r>
      <w:r>
        <w:tab/>
      </w:r>
      <w:r>
        <w:fldChar w:fldCharType="begin"/>
      </w:r>
      <w:r>
        <w:instrText xml:space="preserve"> PAGEREF _Toc141284099 \h </w:instrText>
      </w:r>
      <w:r>
        <w:fldChar w:fldCharType="separate"/>
      </w:r>
      <w:r>
        <w:t>179</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"_Toc141284100" </w:instrText>
      </w:r>
      <w:r>
        <w:fldChar w:fldCharType="separate"/>
      </w:r>
      <w:r>
        <w:rPr>
          <w:rStyle w:val="59"/>
          <w:color w:val="auto"/>
        </w:rPr>
        <w:t>10.3</w:t>
      </w:r>
      <w:r>
        <w:rPr>
          <w:rStyle w:val="59"/>
          <w:rFonts w:hint="eastAsia"/>
          <w:color w:val="auto"/>
        </w:rPr>
        <w:t>环境影响预测结论及防治措施</w:t>
      </w:r>
      <w:r>
        <w:tab/>
      </w:r>
      <w:r>
        <w:fldChar w:fldCharType="begin"/>
      </w:r>
      <w:r>
        <w:instrText xml:space="preserve"> PAGEREF _Toc141284100 \h </w:instrText>
      </w:r>
      <w:r>
        <w:fldChar w:fldCharType="separate"/>
      </w:r>
      <w:r>
        <w:t>179</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"_Toc141284101" </w:instrText>
      </w:r>
      <w:r>
        <w:fldChar w:fldCharType="separate"/>
      </w:r>
      <w:r>
        <w:rPr>
          <w:rStyle w:val="59"/>
          <w:color w:val="auto"/>
        </w:rPr>
        <w:t>10.4</w:t>
      </w:r>
      <w:r>
        <w:rPr>
          <w:rStyle w:val="59"/>
          <w:rFonts w:hint="eastAsia"/>
          <w:color w:val="auto"/>
        </w:rPr>
        <w:t>公众参与调查结论</w:t>
      </w:r>
      <w:r>
        <w:tab/>
      </w:r>
      <w:r>
        <w:fldChar w:fldCharType="begin"/>
      </w:r>
      <w:r>
        <w:instrText xml:space="preserve"> PAGEREF _Toc141284101 \h </w:instrText>
      </w:r>
      <w:r>
        <w:fldChar w:fldCharType="separate"/>
      </w:r>
      <w:r>
        <w:t>182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"_Toc141284102" </w:instrText>
      </w:r>
      <w:r>
        <w:fldChar w:fldCharType="separate"/>
      </w:r>
      <w:r>
        <w:rPr>
          <w:rStyle w:val="59"/>
          <w:color w:val="auto"/>
        </w:rPr>
        <w:t>10.5</w:t>
      </w:r>
      <w:r>
        <w:rPr>
          <w:rStyle w:val="59"/>
          <w:rFonts w:hint="eastAsia"/>
          <w:color w:val="auto"/>
        </w:rPr>
        <w:t>工程选线可行性分析结论</w:t>
      </w:r>
      <w:r>
        <w:tab/>
      </w:r>
      <w:r>
        <w:fldChar w:fldCharType="begin"/>
      </w:r>
      <w:r>
        <w:instrText xml:space="preserve"> PAGEREF _Toc141284102 \h </w:instrText>
      </w:r>
      <w:r>
        <w:fldChar w:fldCharType="separate"/>
      </w:r>
      <w:r>
        <w:t>182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"_Toc141284103" </w:instrText>
      </w:r>
      <w:r>
        <w:fldChar w:fldCharType="separate"/>
      </w:r>
      <w:r>
        <w:rPr>
          <w:rStyle w:val="59"/>
          <w:color w:val="auto"/>
        </w:rPr>
        <w:t>10.6</w:t>
      </w:r>
      <w:r>
        <w:rPr>
          <w:rStyle w:val="59"/>
          <w:rFonts w:hint="eastAsia"/>
          <w:color w:val="auto"/>
        </w:rPr>
        <w:t>评价总结论</w:t>
      </w:r>
      <w:r>
        <w:tab/>
      </w:r>
      <w:r>
        <w:fldChar w:fldCharType="begin"/>
      </w:r>
      <w:r>
        <w:instrText xml:space="preserve"> PAGEREF _Toc141284103 \h </w:instrText>
      </w:r>
      <w:r>
        <w:fldChar w:fldCharType="separate"/>
      </w:r>
      <w:r>
        <w:t>182</w:t>
      </w:r>
      <w:r>
        <w:fldChar w:fldCharType="end"/>
      </w:r>
      <w:r>
        <w:fldChar w:fldCharType="end"/>
      </w:r>
    </w:p>
    <w:p>
      <w:pPr>
        <w:pStyle w:val="41"/>
        <w:tabs>
          <w:tab w:val="right" w:leader="dot" w:pos="9004"/>
        </w:tabs>
        <w:ind w:firstLine="240"/>
        <w:rPr>
          <w:rFonts w:asciiTheme="minorHAnsi" w:hAnsiTheme="minorHAnsi" w:eastAsiaTheme="minorEastAsia" w:cstheme="minorBidi"/>
          <w:smallCaps w:val="0"/>
          <w:sz w:val="21"/>
          <w:szCs w:val="22"/>
        </w:rPr>
      </w:pPr>
      <w:r>
        <w:fldChar w:fldCharType="begin"/>
      </w:r>
      <w:r>
        <w:instrText xml:space="preserve"> HYPERLINK \l "_Toc141284104" </w:instrText>
      </w:r>
      <w:r>
        <w:fldChar w:fldCharType="separate"/>
      </w:r>
      <w:r>
        <w:rPr>
          <w:rStyle w:val="59"/>
          <w:color w:val="auto"/>
        </w:rPr>
        <w:t>10.7</w:t>
      </w:r>
      <w:r>
        <w:rPr>
          <w:rStyle w:val="59"/>
          <w:rFonts w:hint="eastAsia"/>
          <w:color w:val="auto"/>
        </w:rPr>
        <w:t>建议</w:t>
      </w:r>
      <w:r>
        <w:tab/>
      </w:r>
      <w:r>
        <w:fldChar w:fldCharType="begin"/>
      </w:r>
      <w:r>
        <w:instrText xml:space="preserve"> PAGEREF _Toc141284104 \h </w:instrText>
      </w:r>
      <w:r>
        <w:fldChar w:fldCharType="separate"/>
      </w:r>
      <w:r>
        <w:t>182</w:t>
      </w:r>
      <w:r>
        <w:fldChar w:fldCharType="end"/>
      </w:r>
      <w:r>
        <w:fldChar w:fldCharType="end"/>
      </w:r>
    </w:p>
    <w:p>
      <w:pPr>
        <w:ind w:firstLine="480"/>
        <w:rPr>
          <w:bCs/>
          <w:caps/>
          <w:szCs w:val="24"/>
          <w:highlight w:val="yellow"/>
        </w:rPr>
      </w:pPr>
      <w:r>
        <w:rPr>
          <w:bCs/>
          <w:caps/>
          <w:szCs w:val="24"/>
          <w:highlight w:val="yellow"/>
        </w:rPr>
        <w:fldChar w:fldCharType="end"/>
      </w:r>
    </w:p>
    <w:p>
      <w:pPr>
        <w:ind w:firstLine="480"/>
        <w:rPr>
          <w:bCs/>
          <w:caps/>
          <w:szCs w:val="24"/>
        </w:rPr>
      </w:pPr>
      <w:r>
        <w:rPr>
          <w:bCs/>
          <w:caps/>
          <w:szCs w:val="24"/>
        </w:rPr>
        <w:br w:type="page"/>
      </w:r>
    </w:p>
    <w:p>
      <w:pPr>
        <w:pStyle w:val="6"/>
        <w:spacing w:before="120" w:after="120"/>
      </w:pPr>
      <w:bookmarkStart w:id="26" w:name="_Toc363242833"/>
      <w:bookmarkStart w:id="27" w:name="_Toc363241631"/>
      <w:bookmarkStart w:id="28" w:name="_Toc478128047"/>
      <w:bookmarkStart w:id="29" w:name="_Toc478047277"/>
      <w:bookmarkStart w:id="30" w:name="_Toc286612204"/>
      <w:bookmarkStart w:id="31" w:name="_Toc113081103"/>
      <w:bookmarkStart w:id="32" w:name="_Ref441674684"/>
      <w:bookmarkStart w:id="33" w:name="_Ref441674717"/>
      <w:bookmarkStart w:id="34" w:name="_Toc286603659"/>
      <w:bookmarkStart w:id="35" w:name="_Ref441674668"/>
      <w:r>
        <w:t>附</w:t>
      </w:r>
      <w:r>
        <w:rPr>
          <w:rFonts w:hint="eastAsia"/>
        </w:rPr>
        <w:t>图</w:t>
      </w:r>
    </w:p>
    <w:p>
      <w:pPr>
        <w:ind w:firstLine="480"/>
      </w:pPr>
      <w:r>
        <w:rPr>
          <w:rFonts w:hint="eastAsia"/>
        </w:rPr>
        <w:t>附图1项目地理位置图</w:t>
      </w:r>
    </w:p>
    <w:p>
      <w:pPr>
        <w:ind w:firstLine="480"/>
      </w:pPr>
      <w:r>
        <w:rPr>
          <w:rFonts w:hint="eastAsia"/>
        </w:rPr>
        <w:t>附图2项目线路路径示意图</w:t>
      </w:r>
    </w:p>
    <w:p>
      <w:pPr>
        <w:ind w:firstLine="480"/>
      </w:pPr>
      <w:r>
        <w:rPr>
          <w:rFonts w:hint="eastAsia"/>
        </w:rPr>
        <w:t>附图3项目区域地表水系图</w:t>
      </w:r>
    </w:p>
    <w:p>
      <w:pPr>
        <w:ind w:firstLine="480"/>
      </w:pPr>
      <w:r>
        <w:rPr>
          <w:rFonts w:hint="eastAsia"/>
        </w:rPr>
        <w:t>附图4遵化市规划市域干线路网图</w:t>
      </w:r>
    </w:p>
    <w:p>
      <w:pPr>
        <w:ind w:firstLine="480"/>
      </w:pPr>
      <w:r>
        <w:rPr>
          <w:rFonts w:hint="eastAsia"/>
        </w:rPr>
        <w:t>附图5项目与遵化市堡子店水源地位置关系图</w:t>
      </w:r>
    </w:p>
    <w:p>
      <w:pPr>
        <w:ind w:firstLine="480"/>
      </w:pPr>
      <w:r>
        <w:rPr>
          <w:rFonts w:hint="eastAsia"/>
        </w:rPr>
        <w:t>附图6敏感点噪声预测等值线图</w:t>
      </w:r>
    </w:p>
    <w:p>
      <w:pPr>
        <w:ind w:firstLine="480"/>
        <w:rPr>
          <w:highlight w:val="yellow"/>
        </w:rPr>
      </w:pPr>
    </w:p>
    <w:p>
      <w:pPr>
        <w:pStyle w:val="6"/>
        <w:spacing w:before="120" w:after="120"/>
      </w:pPr>
      <w:bookmarkStart w:id="36" w:name="_Toc442084224"/>
      <w:bookmarkStart w:id="37" w:name="_Toc442084318"/>
      <w:bookmarkStart w:id="38" w:name="_Toc444271918"/>
      <w:bookmarkStart w:id="39" w:name="_Toc443919249"/>
      <w:bookmarkStart w:id="40" w:name="_Toc446882829"/>
      <w:r>
        <w:t>附件</w:t>
      </w:r>
      <w:bookmarkEnd w:id="36"/>
      <w:bookmarkEnd w:id="37"/>
      <w:bookmarkEnd w:id="38"/>
      <w:bookmarkEnd w:id="39"/>
      <w:bookmarkEnd w:id="40"/>
    </w:p>
    <w:p>
      <w:pPr>
        <w:ind w:firstLine="480"/>
      </w:pPr>
      <w:r>
        <w:t>附件1委托书</w:t>
      </w:r>
    </w:p>
    <w:p>
      <w:pPr>
        <w:ind w:firstLine="480"/>
      </w:pPr>
      <w:r>
        <w:rPr>
          <w:rFonts w:hint="eastAsia"/>
        </w:rPr>
        <w:t>附件2河北省交通运输厅关于国道G112遵化城区段改建工程可行性研究报告的意见</w:t>
      </w:r>
    </w:p>
    <w:p>
      <w:pPr>
        <w:ind w:firstLine="480"/>
      </w:pPr>
      <w:r>
        <w:t>附件3</w:t>
      </w:r>
      <w:r>
        <w:rPr>
          <w:rFonts w:hint="eastAsia"/>
        </w:rPr>
        <w:t>建设项目用地预审与选址意见书</w:t>
      </w:r>
    </w:p>
    <w:p>
      <w:pPr>
        <w:ind w:firstLine="480"/>
      </w:pPr>
      <w:r>
        <w:rPr>
          <w:rFonts w:hint="eastAsia"/>
        </w:rPr>
        <w:t>附件4河北省交通运输厅关于国道G112遵化城区段改建工程跨越河流通航的意见</w:t>
      </w:r>
    </w:p>
    <w:p>
      <w:pPr>
        <w:ind w:firstLine="480"/>
      </w:pPr>
      <w:r>
        <w:rPr>
          <w:rFonts w:hint="eastAsia"/>
        </w:rPr>
        <w:t>附件5唐山市生态环境局遵化市分局关于国道G112遵化城区段改建工程环保情况的复函</w:t>
      </w:r>
    </w:p>
    <w:p>
      <w:pPr>
        <w:ind w:firstLine="480"/>
      </w:pPr>
      <w:r>
        <w:rPr>
          <w:rFonts w:hint="eastAsia"/>
        </w:rPr>
        <w:t>附件6遵化市人民政府关于国道G112遵化城区段改建工程建设方案的意见</w:t>
      </w:r>
    </w:p>
    <w:p>
      <w:pPr>
        <w:ind w:firstLine="480"/>
      </w:pPr>
      <w:r>
        <w:rPr>
          <w:rFonts w:hint="eastAsia"/>
        </w:rPr>
        <w:t>附件7遵化市人民政府关于国道G112遵化城区段改建工程项目建设用地纳入国土空间规划及“一张图”的情况说明</w:t>
      </w:r>
    </w:p>
    <w:p>
      <w:pPr>
        <w:ind w:firstLine="480"/>
      </w:pPr>
      <w:r>
        <w:rPr>
          <w:rFonts w:hint="eastAsia"/>
        </w:rPr>
        <w:t>附件8遵化市水利局关于国道G112遵化城区段改建工程路线方案和结构物设置征求意见的函的复函</w:t>
      </w:r>
    </w:p>
    <w:p>
      <w:pPr>
        <w:ind w:firstLine="480"/>
      </w:pPr>
      <w:r>
        <w:rPr>
          <w:rFonts w:hint="eastAsia"/>
        </w:rPr>
        <w:t>附件9项目区域内环境质量现状监测</w:t>
      </w:r>
    </w:p>
    <w:p>
      <w:pPr>
        <w:ind w:firstLine="480"/>
      </w:pPr>
      <w:r>
        <w:rPr>
          <w:rFonts w:hint="eastAsia"/>
        </w:rPr>
        <w:t>附件1</w:t>
      </w:r>
      <w:r>
        <w:t xml:space="preserve">0 </w:t>
      </w:r>
      <w:r>
        <w:rPr>
          <w:rFonts w:hint="eastAsia"/>
        </w:rPr>
        <w:t>遵化市行政审批局关于遵化市交通运输局国道G112遵化城区段改建工程社会稳定风险评估报告的审查意见</w:t>
      </w:r>
    </w:p>
    <w:p>
      <w:pPr>
        <w:ind w:firstLine="480"/>
        <w:rPr>
          <w:highlight w:val="yellow"/>
        </w:rPr>
        <w:sectPr>
          <w:headerReference r:id="rId9" w:type="default"/>
          <w:footerReference r:id="rId11" w:type="default"/>
          <w:headerReference r:id="rId10" w:type="even"/>
          <w:footerReference r:id="rId12" w:type="even"/>
          <w:pgSz w:w="11906" w:h="16838"/>
          <w:pgMar w:top="1418" w:right="1418" w:bottom="1418" w:left="1474" w:header="964" w:footer="964" w:gutter="0"/>
          <w:pgNumType w:fmt="upperRoman" w:start="1"/>
          <w:cols w:space="720" w:num="1"/>
          <w:docGrid w:linePitch="312" w:charSpace="0"/>
        </w:sectPr>
      </w:pPr>
    </w:p>
    <w:bookmarkEnd w:id="26"/>
    <w:bookmarkEnd w:id="27"/>
    <w:bookmarkEnd w:id="28"/>
    <w:bookmarkEnd w:id="29"/>
    <w:p>
      <w:pPr>
        <w:pStyle w:val="4"/>
        <w:spacing w:beforeLines="0" w:afterLines="0"/>
      </w:pPr>
      <w:bookmarkStart w:id="41" w:name="_Toc141284041"/>
      <w:r>
        <w:t>1概述</w:t>
      </w:r>
      <w:bookmarkEnd w:id="41"/>
    </w:p>
    <w:p>
      <w:pPr>
        <w:pStyle w:val="5"/>
        <w:spacing w:beforeLines="0" w:afterLines="0"/>
      </w:pPr>
      <w:bookmarkStart w:id="42" w:name="_Toc141284042"/>
      <w:r>
        <w:t>1.1项目概况</w:t>
      </w:r>
      <w:r>
        <w:rPr>
          <w:rFonts w:hint="eastAsia"/>
        </w:rPr>
        <w:t>和</w:t>
      </w:r>
      <w:r>
        <w:t>项目特点</w:t>
      </w:r>
      <w:bookmarkEnd w:id="42"/>
    </w:p>
    <w:p>
      <w:pPr>
        <w:pStyle w:val="204"/>
        <w:spacing w:line="480" w:lineRule="exact"/>
        <w:ind w:firstLine="0" w:firstLineChars="0"/>
        <w:outlineLvl w:val="2"/>
        <w:rPr>
          <w:b/>
          <w:sz w:val="28"/>
          <w:szCs w:val="28"/>
        </w:rPr>
      </w:pPr>
      <w:r>
        <w:rPr>
          <w:rFonts w:hint="eastAsia"/>
          <w:b/>
          <w:sz w:val="28"/>
          <w:szCs w:val="28"/>
        </w:rPr>
        <w:t>1.</w:t>
      </w:r>
      <w:r>
        <w:rPr>
          <w:b/>
          <w:sz w:val="28"/>
          <w:szCs w:val="28"/>
        </w:rPr>
        <w:t>1</w:t>
      </w:r>
      <w:r>
        <w:rPr>
          <w:rFonts w:hint="eastAsia"/>
          <w:b/>
          <w:sz w:val="28"/>
          <w:szCs w:val="28"/>
        </w:rPr>
        <w:t>.1项目概况</w:t>
      </w:r>
    </w:p>
    <w:p>
      <w:pPr>
        <w:ind w:firstLine="480"/>
      </w:pPr>
      <w:r>
        <w:rPr>
          <w:rFonts w:hint="eastAsia"/>
        </w:rPr>
        <w:t>本项目主要是针对现有国道G</w:t>
      </w:r>
      <w:r>
        <w:t>112</w:t>
      </w:r>
      <w:r>
        <w:rPr>
          <w:rFonts w:hint="eastAsia"/>
        </w:rPr>
        <w:t>线进行改造，目前国道G</w:t>
      </w:r>
      <w:r>
        <w:t>112</w:t>
      </w:r>
      <w:r>
        <w:rPr>
          <w:rFonts w:hint="eastAsia"/>
        </w:rPr>
        <w:t>为</w:t>
      </w:r>
      <w:r>
        <w:t>北京环线，简称</w:t>
      </w:r>
      <w:r>
        <w:rPr>
          <w:rFonts w:hint="eastAsia"/>
        </w:rPr>
        <w:t>“</w:t>
      </w:r>
      <w:r>
        <w:t>京环线</w:t>
      </w:r>
      <w:r>
        <w:rPr>
          <w:rFonts w:hint="eastAsia"/>
        </w:rPr>
        <w:t>”</w:t>
      </w:r>
      <w:r>
        <w:t>，经过河北省和天津市2个省级行政区，起点为河北省保定</w:t>
      </w:r>
      <w:r>
        <w:fldChar w:fldCharType="begin"/>
      </w:r>
      <w:r>
        <w:instrText xml:space="preserve">HYPERLINK "https://baike.baidu.com/item/%E9%AB%98%E7%A2%91%E5%BA%97%E5%B8%82/2398094" \t "_blank"</w:instrText>
      </w:r>
      <w:r>
        <w:fldChar w:fldCharType="separate"/>
      </w:r>
      <w:r>
        <w:t>高碑店市</w:t>
      </w:r>
      <w:r>
        <w:fldChar w:fldCharType="end"/>
      </w:r>
      <w:r>
        <w:t>，经</w:t>
      </w:r>
      <w:r>
        <w:fldChar w:fldCharType="begin"/>
      </w:r>
      <w:r>
        <w:instrText xml:space="preserve"> HYPERLINK "https://baike.baidu.com/item/%E5%A4%A9%E6%B4%A5%E5%B8%82/213824" \t "_blank" </w:instrText>
      </w:r>
      <w:r>
        <w:fldChar w:fldCharType="separate"/>
      </w:r>
      <w:r>
        <w:t>天津市</w:t>
      </w:r>
      <w:r>
        <w:fldChar w:fldCharType="end"/>
      </w:r>
      <w:r>
        <w:t>、河北省</w:t>
      </w:r>
      <w:r>
        <w:fldChar w:fldCharType="begin"/>
      </w:r>
      <w:r>
        <w:instrText xml:space="preserve"> HYPERLINK "https://baike.baidu.com/item/%E5%94%90%E5%B1%B1%E5%B8%82/8404217" \t "_blank" </w:instrText>
      </w:r>
      <w:r>
        <w:fldChar w:fldCharType="separate"/>
      </w:r>
      <w:r>
        <w:t>唐山市</w:t>
      </w:r>
      <w:r>
        <w:fldChar w:fldCharType="end"/>
      </w:r>
      <w:r>
        <w:t>、</w:t>
      </w:r>
      <w:r>
        <w:fldChar w:fldCharType="begin"/>
      </w:r>
      <w:r>
        <w:instrText xml:space="preserve"> HYPERLINK "https://baike.baidu.com/item/%E5%BC%A0%E5%AE%B6%E5%8F%A3%E5%B8%82/182381" \t "_blank" </w:instrText>
      </w:r>
      <w:r>
        <w:fldChar w:fldCharType="separate"/>
      </w:r>
      <w:r>
        <w:t>张家口市</w:t>
      </w:r>
      <w:r>
        <w:fldChar w:fldCharType="end"/>
      </w:r>
      <w:r>
        <w:fldChar w:fldCharType="begin"/>
      </w:r>
      <w:r>
        <w:instrText xml:space="preserve"> HYPERLINK "https://baike.baidu.com/item/%E5%AE%A3%E5%8C%96%E5%8C%BA/11033907" \t "_blank" </w:instrText>
      </w:r>
      <w:r>
        <w:fldChar w:fldCharType="separate"/>
      </w:r>
      <w:r>
        <w:t>宣化区</w:t>
      </w:r>
      <w:r>
        <w:fldChar w:fldCharType="end"/>
      </w:r>
      <w:r>
        <w:t>、保定市</w:t>
      </w:r>
      <w:r>
        <w:fldChar w:fldCharType="begin"/>
      </w:r>
      <w:r>
        <w:instrText xml:space="preserve"> HYPERLINK "https://baike.baidu.com/item/%E6%B6%9E%E6%BA%90%E5%8E%BF/10012091" \t "_blank" </w:instrText>
      </w:r>
      <w:r>
        <w:fldChar w:fldCharType="separate"/>
      </w:r>
      <w:r>
        <w:t>涞源县</w:t>
      </w:r>
      <w:r>
        <w:fldChar w:fldCharType="end"/>
      </w:r>
      <w:r>
        <w:t>，终点仍为高碑店市，全程1228千米</w:t>
      </w:r>
      <w:r>
        <w:rPr>
          <w:rFonts w:hint="eastAsia"/>
        </w:rPr>
        <w:t>。根据我省普通干线公路线位规划，环北京干线公路国道G112唐山市段起于承唐交界罗文峪，终点止于唐津交界东田庄，唐山市境内路线全长约121公里，先后与多条国省干线公路相交。国道G</w:t>
      </w:r>
      <w:r>
        <w:t>112</w:t>
      </w:r>
      <w:r>
        <w:rPr>
          <w:rFonts w:hint="eastAsia"/>
        </w:rPr>
        <w:t>将贯通唐山市西部地区的南北向大通道，对完善河北省、唐山市市干线公路网布局规划，优化区域交通，提高公路的整体运输效率，疏解沿线县（区）环路交通压力，改善人民群众出行条件，促进城乡社会、经济、环境协调发展，带动沿线城镇经济发展具有重要意义。</w:t>
      </w:r>
    </w:p>
    <w:p>
      <w:pPr>
        <w:ind w:firstLine="480"/>
      </w:pPr>
      <w:r>
        <w:rPr>
          <w:rFonts w:hint="eastAsia"/>
        </w:rPr>
        <w:t>随着</w:t>
      </w:r>
      <w:r>
        <w:t>遵化市城市化建设的迅猛推进，城市</w:t>
      </w:r>
      <w:r>
        <w:rPr>
          <w:rFonts w:hint="eastAsia"/>
        </w:rPr>
        <w:t>外缘</w:t>
      </w:r>
      <w:r>
        <w:t>的不断发展</w:t>
      </w:r>
      <w:r>
        <w:rPr>
          <w:rFonts w:hint="eastAsia"/>
        </w:rPr>
        <w:t>，目前既有G112线遵化市区段街道化严重，该段过境车辆与城市交通混杂，交通十分拥堵，为缓解遵化市区交通压力，减少过境车辆带来的</w:t>
      </w:r>
      <w:r>
        <w:t>较为严重的噪音、环境</w:t>
      </w:r>
      <w:r>
        <w:rPr>
          <w:rFonts w:hint="eastAsia"/>
        </w:rPr>
        <w:t>、</w:t>
      </w:r>
      <w:r>
        <w:t>生态等污染，</w:t>
      </w:r>
      <w:r>
        <w:rPr>
          <w:rFonts w:hint="eastAsia"/>
        </w:rPr>
        <w:t>降低</w:t>
      </w:r>
      <w:r>
        <w:t>沿线居民出行</w:t>
      </w:r>
      <w:r>
        <w:rPr>
          <w:rFonts w:hint="eastAsia"/>
        </w:rPr>
        <w:t>带来</w:t>
      </w:r>
      <w:r>
        <w:t>极大</w:t>
      </w:r>
      <w:r>
        <w:rPr>
          <w:rFonts w:hint="eastAsia"/>
        </w:rPr>
        <w:t>安全</w:t>
      </w:r>
      <w:r>
        <w:t>隐患</w:t>
      </w:r>
      <w:r>
        <w:rPr>
          <w:rFonts w:hint="eastAsia"/>
        </w:rPr>
        <w:t>。因此积极</w:t>
      </w:r>
      <w:r>
        <w:t>推动城市扩容、</w:t>
      </w:r>
      <w:r>
        <w:rPr>
          <w:rFonts w:hint="eastAsia"/>
        </w:rPr>
        <w:t>提质工作，积极相应《遵化市交通运输发展十四五规划》，将过境</w:t>
      </w:r>
      <w:r>
        <w:t>交通量</w:t>
      </w:r>
      <w:r>
        <w:rPr>
          <w:rFonts w:hint="eastAsia"/>
        </w:rPr>
        <w:t>引向城外，优化本地区路网结构迫在眉睫。</w:t>
      </w:r>
    </w:p>
    <w:p>
      <w:pPr>
        <w:ind w:firstLine="480"/>
      </w:pPr>
      <w:r>
        <w:t>本项目的实施</w:t>
      </w:r>
      <w:r>
        <w:rPr>
          <w:rFonts w:hint="eastAsia"/>
        </w:rPr>
        <w:t>对积极构建南北贯通、东出西联的干线公路主通道格局，提升遵化市</w:t>
      </w:r>
      <w:r>
        <w:t>南北</w:t>
      </w:r>
      <w:r>
        <w:rPr>
          <w:rFonts w:hint="eastAsia"/>
        </w:rPr>
        <w:t>干线主通道“内通外联”的服务功能，减缓遵化市区交通压力，构筑快速通道，优化区域路网结构，具有重要的</w:t>
      </w:r>
      <w:r>
        <w:t>现实</w:t>
      </w:r>
      <w:r>
        <w:rPr>
          <w:rFonts w:hint="eastAsia"/>
        </w:rPr>
        <w:t>意义</w:t>
      </w:r>
      <w:r>
        <w:t>。</w:t>
      </w:r>
    </w:p>
    <w:p>
      <w:pPr>
        <w:ind w:firstLine="480"/>
      </w:pPr>
      <w:r>
        <w:rPr>
          <w:rFonts w:hint="eastAsia"/>
        </w:rPr>
        <w:t>该项目</w:t>
      </w:r>
      <w:r>
        <w:t>路线全长约18</w:t>
      </w:r>
      <w:r>
        <w:rPr>
          <w:rFonts w:hint="eastAsia"/>
        </w:rPr>
        <w:t>km</w:t>
      </w:r>
      <w:r>
        <w:t>，其中完全利用段约7.7</w:t>
      </w:r>
      <w:r>
        <w:rPr>
          <w:rFonts w:hint="eastAsia"/>
        </w:rPr>
        <w:t xml:space="preserve"> km</w:t>
      </w:r>
      <w:r>
        <w:t>，新建段约10.3</w:t>
      </w:r>
      <w:r>
        <w:rPr>
          <w:rFonts w:hint="eastAsia"/>
        </w:rPr>
        <w:t xml:space="preserve"> km，同时在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m。项目</w:t>
      </w:r>
      <w:r>
        <w:t>路线起自遵化市北苏家洼镇，国道 G112与国道 G230交叉处，向西南利用既有国道 G230约7.7</w:t>
      </w:r>
      <w:r>
        <w:rPr>
          <w:rFonts w:hint="eastAsia"/>
        </w:rPr>
        <w:t xml:space="preserve"> km</w:t>
      </w:r>
      <w:r>
        <w:t>，经旧热电厂西十里铺村至国道G230与通华西街交叉处，再向南新改建约10.3</w:t>
      </w:r>
      <w:r>
        <w:rPr>
          <w:rFonts w:hint="eastAsia"/>
        </w:rPr>
        <w:t xml:space="preserve"> km</w:t>
      </w:r>
      <w:r>
        <w:t>，终于遵化市南吴家坑村北，与现状国道G112相接</w:t>
      </w:r>
      <w:r>
        <w:rPr>
          <w:rFonts w:hint="eastAsia"/>
        </w:rPr>
        <w:t>。</w:t>
      </w:r>
    </w:p>
    <w:p>
      <w:pPr>
        <w:pStyle w:val="204"/>
        <w:spacing w:line="480" w:lineRule="exact"/>
        <w:ind w:firstLine="0" w:firstLineChars="0"/>
        <w:outlineLvl w:val="2"/>
        <w:rPr>
          <w:b/>
          <w:sz w:val="28"/>
          <w:szCs w:val="28"/>
        </w:rPr>
      </w:pPr>
      <w:r>
        <w:rPr>
          <w:rFonts w:hint="eastAsia"/>
          <w:b/>
          <w:sz w:val="28"/>
          <w:szCs w:val="28"/>
        </w:rPr>
        <w:t>1.</w:t>
      </w:r>
      <w:r>
        <w:rPr>
          <w:b/>
          <w:sz w:val="28"/>
          <w:szCs w:val="28"/>
        </w:rPr>
        <w:t>1</w:t>
      </w:r>
      <w:r>
        <w:rPr>
          <w:rFonts w:hint="eastAsia"/>
          <w:b/>
          <w:sz w:val="28"/>
          <w:szCs w:val="28"/>
        </w:rPr>
        <w:t>.</w:t>
      </w:r>
      <w:r>
        <w:rPr>
          <w:b/>
          <w:sz w:val="28"/>
          <w:szCs w:val="28"/>
        </w:rPr>
        <w:t>2</w:t>
      </w:r>
      <w:r>
        <w:rPr>
          <w:rFonts w:hint="eastAsia"/>
          <w:b/>
          <w:sz w:val="28"/>
          <w:szCs w:val="28"/>
        </w:rPr>
        <w:t>项目特点</w:t>
      </w:r>
    </w:p>
    <w:p>
      <w:pPr>
        <w:ind w:firstLine="480"/>
        <w:rPr>
          <w:kern w:val="24"/>
          <w:szCs w:val="24"/>
        </w:rPr>
      </w:pPr>
      <w:r>
        <w:rPr>
          <w:rFonts w:hint="eastAsia"/>
          <w:kern w:val="24"/>
          <w:szCs w:val="24"/>
        </w:rPr>
        <w:t>本</w:t>
      </w:r>
      <w:r>
        <w:rPr>
          <w:kern w:val="24"/>
          <w:szCs w:val="24"/>
        </w:rPr>
        <w:t>路线途径</w:t>
      </w:r>
      <w:r>
        <w:rPr>
          <w:rFonts w:hint="eastAsia"/>
          <w:kern w:val="24"/>
          <w:szCs w:val="24"/>
        </w:rPr>
        <w:t>苏家洼村、旧热电厂、西十里铺村、与通华西街平面交叉后转向东南，奔后王庄、前铺村、蒲池河到学汉坨村西与遵宝线平面交叉，再向南过骆各庄、吴家坑，终点止于吴家坑村</w:t>
      </w:r>
      <w:r>
        <w:rPr>
          <w:kern w:val="24"/>
          <w:szCs w:val="24"/>
        </w:rPr>
        <w:t>北</w:t>
      </w:r>
      <w:r>
        <w:rPr>
          <w:rFonts w:hint="eastAsia"/>
          <w:kern w:val="24"/>
          <w:szCs w:val="24"/>
        </w:rPr>
        <w:t>G112线交叉路口处，路线全长18km，其中，一部分完全利用现有</w:t>
      </w:r>
      <w:r>
        <w:t>G230</w:t>
      </w:r>
      <w:r>
        <w:rPr>
          <w:rFonts w:hint="eastAsia"/>
          <w:kern w:val="24"/>
          <w:szCs w:val="24"/>
        </w:rPr>
        <w:t>国道，其长度为7.7km；另一部分为新建路段，长10.3km，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kern w:val="24"/>
          <w:szCs w:val="24"/>
        </w:rPr>
        <w:t>通过本项目的建设，将</w:t>
      </w:r>
      <w:r>
        <w:rPr>
          <w:rFonts w:hint="eastAsia"/>
          <w:kern w:val="24"/>
          <w:szCs w:val="24"/>
        </w:rPr>
        <w:t>有效缓解</w:t>
      </w:r>
      <w:r>
        <w:rPr>
          <w:rFonts w:hint="eastAsia"/>
        </w:rPr>
        <w:t>既有G112线遵化市区段街道，交通压力，构筑快速通道，优化区域路网结构，减缓遵化市区交通压力</w:t>
      </w:r>
      <w:r>
        <w:rPr>
          <w:kern w:val="24"/>
          <w:szCs w:val="24"/>
        </w:rPr>
        <w:t>。</w:t>
      </w:r>
    </w:p>
    <w:p>
      <w:pPr>
        <w:pStyle w:val="5"/>
        <w:spacing w:beforeLines="0" w:afterLines="0"/>
      </w:pPr>
      <w:bookmarkStart w:id="43" w:name="_Toc141284043"/>
      <w:r>
        <w:t>1.</w:t>
      </w:r>
      <w:r>
        <w:rPr>
          <w:rFonts w:hint="eastAsia"/>
        </w:rPr>
        <w:t>2工作过程</w:t>
      </w:r>
      <w:bookmarkEnd w:id="43"/>
    </w:p>
    <w:p>
      <w:pPr>
        <w:ind w:firstLine="480"/>
        <w:rPr>
          <w:kern w:val="24"/>
          <w:highlight w:val="yellow"/>
        </w:rPr>
      </w:pPr>
      <w:r>
        <w:rPr>
          <w:kern w:val="24"/>
        </w:rPr>
        <w:t>遵照《中华人民共和国环境保护法》、《中华人民共和国环境影响评价法》、《建设项目环境影响评价分类管理名录》和《建设项目环境保护管理条例》等有关环保政策法规的要求，该项目需要进行环境影响评价工作。根据《建设项目环境影响评价分类管理名录》（</w:t>
      </w:r>
      <w:r>
        <w:rPr>
          <w:rFonts w:hint="eastAsia"/>
          <w:kern w:val="24"/>
        </w:rPr>
        <w:t>2021版</w:t>
      </w:r>
      <w:r>
        <w:rPr>
          <w:kern w:val="24"/>
        </w:rPr>
        <w:t>），</w:t>
      </w:r>
      <w:r>
        <w:rPr>
          <w:rFonts w:hint="eastAsia"/>
          <w:kern w:val="24"/>
        </w:rPr>
        <w:t>本项目属于“五十二、交通运输业、管道运输业”。名录中该行业要求“130新建30公里（不含）以上的二级及以上等级公路；新建涉及环境敏感区的二级及以上等级公路”需要编制报告书。本项目建设为一级公路，总长度18km（新建10.3km，利旧7.7km），</w:t>
      </w:r>
      <w:r>
        <w:rPr>
          <w:rFonts w:hint="eastAsia"/>
        </w:rPr>
        <w:t>同时</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m。项目虽总长度小于30km，</w:t>
      </w:r>
      <w:r>
        <w:rPr>
          <w:rFonts w:hint="eastAsia"/>
          <w:kern w:val="24"/>
        </w:rPr>
        <w:t>但是项目建设涉及跨越遵化市堡子店水源地环境敏感区，因此，本项目应编制环境影响报告书。</w:t>
      </w:r>
    </w:p>
    <w:p>
      <w:pPr>
        <w:ind w:firstLine="480"/>
        <w:rPr>
          <w:kern w:val="24"/>
        </w:rPr>
      </w:pPr>
      <w:r>
        <w:rPr>
          <w:rFonts w:hint="eastAsia"/>
          <w:kern w:val="24"/>
        </w:rPr>
        <w:t>第一阶段为调查分析和工作方案制定阶段。接受遵化市交通运输局委托后，我单位组织有关技术人员</w:t>
      </w:r>
      <w:r>
        <w:rPr>
          <w:kern w:val="24"/>
        </w:rPr>
        <w:t>对项目现场及周边环境现状进行了详细踏勘，收集了有关资料</w:t>
      </w:r>
      <w:r>
        <w:rPr>
          <w:rFonts w:hint="eastAsia"/>
          <w:kern w:val="24"/>
        </w:rPr>
        <w:t>；根据收集初步资料，结合《建设项目环境影响评价技术导则 总纲》、《环境影响评价技术导则 大气环境》、《环境影响评价技术导则 地表水环境</w:t>
      </w:r>
      <w:r>
        <w:rPr>
          <w:kern w:val="24"/>
        </w:rPr>
        <w:t>》</w:t>
      </w:r>
      <w:r>
        <w:rPr>
          <w:rFonts w:hint="eastAsia"/>
          <w:kern w:val="24"/>
        </w:rPr>
        <w:t>、《环境影响评价技术导则 地下水环境》、</w:t>
      </w:r>
      <w:r>
        <w:rPr>
          <w:kern w:val="24"/>
        </w:rPr>
        <w:t>《环境影响评价技术导则</w:t>
      </w:r>
      <w:r>
        <w:rPr>
          <w:rFonts w:hint="eastAsia"/>
          <w:kern w:val="24"/>
        </w:rPr>
        <w:t xml:space="preserve"> 声环境</w:t>
      </w:r>
      <w:r>
        <w:rPr>
          <w:kern w:val="24"/>
        </w:rPr>
        <w:t>》</w:t>
      </w:r>
      <w:r>
        <w:rPr>
          <w:rFonts w:hint="eastAsia"/>
          <w:kern w:val="24"/>
        </w:rPr>
        <w:t>、</w:t>
      </w:r>
      <w:r>
        <w:rPr>
          <w:kern w:val="24"/>
        </w:rPr>
        <w:t>《环境影响评价技术导则</w:t>
      </w:r>
      <w:r>
        <w:rPr>
          <w:rFonts w:hint="eastAsia"/>
          <w:kern w:val="24"/>
        </w:rPr>
        <w:t xml:space="preserve"> 生态影响</w:t>
      </w:r>
      <w:r>
        <w:rPr>
          <w:kern w:val="24"/>
        </w:rPr>
        <w:t>》</w:t>
      </w:r>
      <w:r>
        <w:rPr>
          <w:rFonts w:hint="eastAsia"/>
          <w:kern w:val="24"/>
        </w:rPr>
        <w:t>、</w:t>
      </w:r>
      <w:r>
        <w:rPr>
          <w:kern w:val="24"/>
        </w:rPr>
        <w:t>《建设项目环境风险评价技术导则》</w:t>
      </w:r>
      <w:r>
        <w:rPr>
          <w:rFonts w:hint="eastAsia"/>
          <w:kern w:val="24"/>
        </w:rPr>
        <w:t>、《环境影响评价技术导则 土壤环境（试行）》等相关技术文件和其他有关资料，对项目进行初步工程分析和初步环境现状调查，识别环境影响因素，筛选评价因子，明确评价重点和环境保护目标，确定工作等级、评价范围和评价标准，并制定具体工作方案。</w:t>
      </w:r>
    </w:p>
    <w:p>
      <w:pPr>
        <w:ind w:firstLine="480"/>
        <w:rPr>
          <w:kern w:val="24"/>
        </w:rPr>
      </w:pPr>
      <w:r>
        <w:rPr>
          <w:rFonts w:hint="eastAsia"/>
          <w:kern w:val="24"/>
        </w:rPr>
        <w:t>第二阶段为分析论证和预测评价阶段。针对环境现状，一方面收集当地环境现状资料，同时结合项目特点委托河北尚源检测技术服务有限公司对项目评价范围内的噪声、进行环境质量现状监测，结合调查与监测数据，对本项目大气、水、声、固废、生态等环境要素进行环境影响预测与评价。</w:t>
      </w:r>
    </w:p>
    <w:p>
      <w:pPr>
        <w:ind w:firstLine="480"/>
        <w:rPr>
          <w:kern w:val="24"/>
        </w:rPr>
      </w:pPr>
      <w:r>
        <w:rPr>
          <w:rFonts w:hint="eastAsia"/>
          <w:kern w:val="24"/>
        </w:rPr>
        <w:t>第三阶段为编制阶段。基于第二阶段预测与评价情况，提出具体环境保护措施，并进行技术经济论证，同时核算污染物排放清单。结合上述分析，给出建设项目环境影响评价结论，完成环境影响报告书送审稿的编制。</w:t>
      </w:r>
    </w:p>
    <w:p>
      <w:pPr>
        <w:pStyle w:val="553"/>
        <w:adjustRightInd w:val="0"/>
        <w:snapToGrid w:val="0"/>
        <w:ind w:firstLine="0" w:firstLineChars="0"/>
        <w:rPr>
          <w:b/>
          <w:bCs/>
          <w:sz w:val="21"/>
          <w:szCs w:val="21"/>
          <w:highlight w:val="yellow"/>
        </w:rPr>
      </w:pPr>
    </w:p>
    <w:p>
      <w:pPr>
        <w:pStyle w:val="553"/>
        <w:adjustRightInd w:val="0"/>
        <w:snapToGrid w:val="0"/>
        <w:spacing w:line="240" w:lineRule="auto"/>
        <w:ind w:firstLine="0" w:firstLineChars="0"/>
        <w:jc w:val="center"/>
        <w:rPr>
          <w:b/>
          <w:bCs/>
          <w:sz w:val="21"/>
          <w:szCs w:val="21"/>
          <w:highlight w:val="yellow"/>
        </w:rPr>
      </w:pPr>
      <w:r>
        <w:drawing>
          <wp:inline distT="0" distB="0" distL="0" distR="0">
            <wp:extent cx="4874260" cy="6583680"/>
            <wp:effectExtent l="19050" t="0" r="2540" b="0"/>
            <wp:docPr id="1" name="图片 12" descr="B7025718C5FD4AA68EB4CFFEF9570C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descr="B7025718C5FD4AA68EB4CFFEF9570C4C"/>
                    <pic:cNvPicPr>
                      <a:picLocks noChangeAspect="1" noChangeArrowheads="1"/>
                    </pic:cNvPicPr>
                  </pic:nvPicPr>
                  <pic:blipFill>
                    <a:blip r:embed="rId41" cstate="print"/>
                    <a:srcRect/>
                    <a:stretch>
                      <a:fillRect/>
                    </a:stretch>
                  </pic:blipFill>
                  <pic:spPr>
                    <a:xfrm>
                      <a:off x="0" y="0"/>
                      <a:ext cx="4874260" cy="6583680"/>
                    </a:xfrm>
                    <a:prstGeom prst="rect">
                      <a:avLst/>
                    </a:prstGeom>
                    <a:noFill/>
                    <a:ln w="9525">
                      <a:noFill/>
                      <a:miter lim="800000"/>
                      <a:headEnd/>
                      <a:tailEnd/>
                    </a:ln>
                  </pic:spPr>
                </pic:pic>
              </a:graphicData>
            </a:graphic>
          </wp:inline>
        </w:drawing>
      </w:r>
    </w:p>
    <w:p>
      <w:pPr>
        <w:pStyle w:val="553"/>
        <w:ind w:firstLine="0" w:firstLineChars="0"/>
        <w:jc w:val="center"/>
        <w:rPr>
          <w:sz w:val="21"/>
          <w:szCs w:val="21"/>
        </w:rPr>
      </w:pPr>
      <w:r>
        <w:rPr>
          <w:b/>
          <w:bCs/>
          <w:sz w:val="21"/>
          <w:szCs w:val="21"/>
        </w:rPr>
        <w:t>图</w:t>
      </w:r>
      <w:r>
        <w:rPr>
          <w:rFonts w:ascii="Times New Roman" w:hAnsi="Times New Roman"/>
          <w:b/>
          <w:bCs/>
          <w:sz w:val="21"/>
          <w:szCs w:val="21"/>
        </w:rPr>
        <w:t xml:space="preserve">1.2-1  </w:t>
      </w:r>
      <w:r>
        <w:rPr>
          <w:rFonts w:ascii="Times New Roman"/>
          <w:b/>
          <w:bCs/>
          <w:sz w:val="21"/>
          <w:szCs w:val="21"/>
        </w:rPr>
        <w:t>建设项目环境影响评价工作程</w:t>
      </w:r>
      <w:r>
        <w:rPr>
          <w:rFonts w:hint="eastAsia"/>
          <w:b/>
          <w:bCs/>
          <w:sz w:val="21"/>
          <w:szCs w:val="21"/>
        </w:rPr>
        <w:t>序</w:t>
      </w:r>
      <w:r>
        <w:rPr>
          <w:b/>
          <w:bCs/>
          <w:sz w:val="21"/>
          <w:szCs w:val="21"/>
        </w:rPr>
        <w:t>图</w:t>
      </w:r>
    </w:p>
    <w:p>
      <w:pPr>
        <w:pStyle w:val="5"/>
        <w:spacing w:beforeLines="0" w:afterLines="0"/>
      </w:pPr>
      <w:bookmarkStart w:id="44" w:name="_Toc141284044"/>
      <w:r>
        <w:t>1.</w:t>
      </w:r>
      <w:r>
        <w:rPr>
          <w:rFonts w:hint="eastAsia"/>
        </w:rPr>
        <w:t>3分析判定相关情况</w:t>
      </w:r>
      <w:bookmarkEnd w:id="44"/>
    </w:p>
    <w:p>
      <w:pPr>
        <w:pStyle w:val="204"/>
        <w:spacing w:line="480" w:lineRule="exact"/>
        <w:ind w:firstLine="0" w:firstLineChars="0"/>
        <w:outlineLvl w:val="2"/>
        <w:rPr>
          <w:b/>
          <w:sz w:val="28"/>
          <w:szCs w:val="28"/>
        </w:rPr>
      </w:pPr>
      <w:r>
        <w:rPr>
          <w:rFonts w:hint="eastAsia"/>
          <w:b/>
          <w:sz w:val="28"/>
          <w:szCs w:val="28"/>
        </w:rPr>
        <w:t>1.3.1产业政策符合性分析</w:t>
      </w:r>
    </w:p>
    <w:p>
      <w:pPr>
        <w:ind w:firstLine="480"/>
        <w:rPr>
          <w:rFonts w:ascii="宋体" w:hAnsi="宋体" w:cs="宋体"/>
          <w:kern w:val="24"/>
        </w:rPr>
      </w:pPr>
      <w:r>
        <w:rPr>
          <w:rFonts w:hAnsi="宋体"/>
          <w:kern w:val="24"/>
        </w:rPr>
        <w:t>本项目为国道</w:t>
      </w:r>
      <w:r>
        <w:rPr>
          <w:kern w:val="24"/>
        </w:rPr>
        <w:t>G112</w:t>
      </w:r>
      <w:r>
        <w:rPr>
          <w:rFonts w:hAnsi="宋体"/>
          <w:kern w:val="24"/>
        </w:rPr>
        <w:t>遵化城区段改建工程，根据国家发改委《产业结构调整指导目录（</w:t>
      </w:r>
      <w:r>
        <w:rPr>
          <w:rFonts w:eastAsia="Times New Roman"/>
          <w:kern w:val="24"/>
        </w:rPr>
        <w:t>201</w:t>
      </w:r>
      <w:r>
        <w:rPr>
          <w:kern w:val="24"/>
        </w:rPr>
        <w:t>9</w:t>
      </w:r>
      <w:r>
        <w:rPr>
          <w:rFonts w:hAnsi="宋体"/>
          <w:kern w:val="24"/>
        </w:rPr>
        <w:t>年本）》，本项目属于</w:t>
      </w:r>
      <w:r>
        <w:rPr>
          <w:kern w:val="24"/>
        </w:rPr>
        <w:t>“</w:t>
      </w:r>
      <w:r>
        <w:rPr>
          <w:rFonts w:hAnsi="宋体"/>
          <w:kern w:val="24"/>
        </w:rPr>
        <w:t>二十四、公路及道路运输（含城市客运）</w:t>
      </w:r>
      <w:r>
        <w:rPr>
          <w:kern w:val="24"/>
        </w:rPr>
        <w:t>2</w:t>
      </w:r>
      <w:r>
        <w:rPr>
          <w:rFonts w:hAnsi="宋体"/>
          <w:kern w:val="24"/>
        </w:rPr>
        <w:t>、国省干线改造升级</w:t>
      </w:r>
      <w:r>
        <w:rPr>
          <w:kern w:val="24"/>
        </w:rPr>
        <w:t>”</w:t>
      </w:r>
      <w:r>
        <w:rPr>
          <w:rFonts w:hAnsi="宋体"/>
          <w:kern w:val="24"/>
        </w:rPr>
        <w:t>，为鼓励项目。本项目不在《河北省人民政府办公厅</w:t>
      </w:r>
      <w:r>
        <w:rPr>
          <w:rFonts w:eastAsia="Times New Roman"/>
          <w:kern w:val="24"/>
        </w:rPr>
        <w:t>&lt;</w:t>
      </w:r>
      <w:r>
        <w:rPr>
          <w:rFonts w:hAnsi="宋体"/>
          <w:kern w:val="24"/>
        </w:rPr>
        <w:t>关于印发河北省新增限制类和淘汰类产业目录（</w:t>
      </w:r>
      <w:r>
        <w:rPr>
          <w:rFonts w:eastAsia="Times New Roman"/>
          <w:kern w:val="24"/>
        </w:rPr>
        <w:t>2015</w:t>
      </w:r>
      <w:r>
        <w:rPr>
          <w:rFonts w:hAnsi="宋体"/>
          <w:kern w:val="24"/>
        </w:rPr>
        <w:t>年版）</w:t>
      </w:r>
      <w:r>
        <w:rPr>
          <w:rFonts w:eastAsia="Times New Roman"/>
          <w:kern w:val="24"/>
        </w:rPr>
        <w:t>&gt;</w:t>
      </w:r>
      <w:r>
        <w:rPr>
          <w:rFonts w:hAnsi="宋体"/>
          <w:kern w:val="24"/>
        </w:rPr>
        <w:t>的通知》（冀政办发</w:t>
      </w:r>
      <w:r>
        <w:rPr>
          <w:rFonts w:eastAsia="Times New Roman"/>
          <w:kern w:val="24"/>
        </w:rPr>
        <w:t>[2015]7</w:t>
      </w:r>
      <w:r>
        <w:rPr>
          <w:rFonts w:hAnsi="宋体"/>
          <w:kern w:val="24"/>
        </w:rPr>
        <w:t>号）中规定的</w:t>
      </w:r>
      <w:r>
        <w:rPr>
          <w:rFonts w:ascii="宋体" w:hAnsi="宋体" w:cs="宋体"/>
          <w:kern w:val="24"/>
        </w:rPr>
        <w:t>的限制类、淘汰类之列。因此，本项目建设符合国家及地方产业政策的要求</w:t>
      </w:r>
      <w:r>
        <w:rPr>
          <w:rFonts w:hint="eastAsia" w:ascii="宋体" w:hAnsi="宋体" w:cs="宋体"/>
          <w:kern w:val="24"/>
        </w:rPr>
        <w:t>。</w:t>
      </w:r>
    </w:p>
    <w:p>
      <w:pPr>
        <w:pStyle w:val="204"/>
        <w:spacing w:line="480" w:lineRule="exact"/>
        <w:ind w:firstLine="0" w:firstLineChars="0"/>
        <w:outlineLvl w:val="2"/>
        <w:rPr>
          <w:b/>
          <w:sz w:val="28"/>
          <w:szCs w:val="28"/>
        </w:rPr>
      </w:pPr>
      <w:r>
        <w:rPr>
          <w:rFonts w:hint="eastAsia"/>
          <w:b/>
          <w:sz w:val="28"/>
          <w:szCs w:val="28"/>
        </w:rPr>
        <w:t>1.3.2本项目与交通规划符合性分析</w:t>
      </w:r>
    </w:p>
    <w:p>
      <w:pPr>
        <w:ind w:firstLine="480"/>
        <w:rPr>
          <w:szCs w:val="24"/>
        </w:rPr>
      </w:pPr>
      <w:r>
        <w:rPr>
          <w:rFonts w:hint="eastAsia"/>
          <w:szCs w:val="24"/>
        </w:rPr>
        <w:t>（1）与河北省普通干线公路网布局符合性分析</w:t>
      </w:r>
    </w:p>
    <w:p>
      <w:pPr>
        <w:ind w:firstLine="480"/>
        <w:rPr>
          <w:szCs w:val="24"/>
        </w:rPr>
      </w:pPr>
      <w:r>
        <w:rPr>
          <w:rFonts w:hint="eastAsia"/>
          <w:szCs w:val="24"/>
        </w:rPr>
        <w:t>本项目建设线路路径符合河北省普通干线公路网布局，目前项目已经取得河北省交通运输厅</w:t>
      </w:r>
      <w:r>
        <w:rPr>
          <w:rFonts w:hint="eastAsia"/>
        </w:rPr>
        <w:t>关于国道G112遵化城区段改建工程可行性研究报告的审查意见，同意项目建设</w:t>
      </w:r>
      <w:r>
        <w:rPr>
          <w:rFonts w:hint="eastAsia"/>
          <w:szCs w:val="24"/>
        </w:rPr>
        <w:t>，因此，本项目选址符合河北省普通干线公路网布局的要求。</w:t>
      </w:r>
    </w:p>
    <w:p>
      <w:pPr>
        <w:ind w:firstLine="480"/>
        <w:rPr>
          <w:szCs w:val="24"/>
        </w:rPr>
      </w:pPr>
      <w:r>
        <w:rPr>
          <w:rFonts w:hint="eastAsia"/>
          <w:szCs w:val="24"/>
        </w:rPr>
        <w:t>（2）与</w:t>
      </w:r>
      <w:r>
        <w:rPr>
          <w:rFonts w:ascii="宋体" w:hAnsi="宋体" w:cs="宋体"/>
        </w:rPr>
        <w:t>《</w:t>
      </w:r>
      <w:r>
        <w:rPr>
          <w:rFonts w:hint="eastAsia"/>
          <w:shd w:val="clear" w:color="auto" w:fill="FFFFFF"/>
        </w:rPr>
        <w:t>河北省“十四五”现代综合交通运输体系发展规划</w:t>
      </w:r>
      <w:r>
        <w:rPr>
          <w:rFonts w:ascii="宋体" w:hAnsi="宋体" w:cs="宋体"/>
        </w:rPr>
        <w:t>》</w:t>
      </w:r>
      <w:r>
        <w:rPr>
          <w:rFonts w:hint="eastAsia" w:ascii="宋体" w:hAnsi="宋体" w:cs="宋体"/>
        </w:rPr>
        <w:t>符合性分析</w:t>
      </w:r>
    </w:p>
    <w:p>
      <w:pPr>
        <w:ind w:firstLine="480"/>
        <w:rPr>
          <w:szCs w:val="24"/>
        </w:rPr>
      </w:pPr>
      <w:r>
        <w:rPr>
          <w:rFonts w:hint="eastAsia"/>
          <w:shd w:val="clear" w:color="auto" w:fill="FFFFFF"/>
        </w:rPr>
        <w:t>进一步完善公路基础设施网络，打造现代化公路交通体系。优化高速公路网络，贯通国家高速公路通道，强化与京津及周边省高速公路对接，完善省内互联互通高速网络，加快繁忙路段扩能改造。完善普通干线网络，加强与京津及周边省（区、市）对接，完善县域间公路网状交通格局，加快低等级路段提质升级，优化绕城通道布局，推进普通干线公路联网，有效服务全域旅游和产业融合发展。抓好“四好农村路”建设，因地制宜推进连乡通村道路提级改造和过窄农村公路拓宽改造，稳步有序推进较大人口规模自然村（组）通硬化路和异地搬迁村连通公路建设</w:t>
      </w:r>
      <w:r>
        <w:rPr>
          <w:rFonts w:hint="eastAsia"/>
          <w:szCs w:val="24"/>
        </w:rPr>
        <w:t>。</w:t>
      </w:r>
    </w:p>
    <w:p>
      <w:pPr>
        <w:ind w:firstLine="480"/>
        <w:rPr>
          <w:szCs w:val="24"/>
        </w:rPr>
      </w:pPr>
      <w:r>
        <w:rPr>
          <w:rFonts w:hint="eastAsia"/>
          <w:shd w:val="clear" w:color="auto" w:fill="FFFFFF"/>
        </w:rPr>
        <w:t>本项目属于普通干线公路，</w:t>
      </w:r>
      <w:r>
        <w:rPr>
          <w:rFonts w:hint="eastAsia"/>
          <w:szCs w:val="24"/>
        </w:rPr>
        <w:t>能够</w:t>
      </w:r>
      <w:r>
        <w:rPr>
          <w:rFonts w:hint="eastAsia"/>
          <w:shd w:val="clear" w:color="auto" w:fill="FFFFFF"/>
        </w:rPr>
        <w:t>完善县域间公路网状交通格局，加快低等级路段提质升级，优化绕城通道布局，推进普通干线公路联网，有效服务全域旅游和产业融合发展</w:t>
      </w:r>
      <w:r>
        <w:rPr>
          <w:rFonts w:hint="eastAsia"/>
          <w:szCs w:val="24"/>
        </w:rPr>
        <w:t>，符合</w:t>
      </w:r>
      <w:r>
        <w:rPr>
          <w:rFonts w:ascii="宋体" w:hAnsi="宋体" w:cs="宋体"/>
        </w:rPr>
        <w:t>《</w:t>
      </w:r>
      <w:r>
        <w:rPr>
          <w:rFonts w:hint="eastAsia"/>
          <w:shd w:val="clear" w:color="auto" w:fill="FFFFFF"/>
        </w:rPr>
        <w:t>河北省“十四五”现代综合交通运输体系发展规划</w:t>
      </w:r>
      <w:r>
        <w:rPr>
          <w:rFonts w:ascii="宋体" w:hAnsi="宋体" w:cs="宋体"/>
        </w:rPr>
        <w:t>》</w:t>
      </w:r>
      <w:r>
        <w:rPr>
          <w:rFonts w:hint="eastAsia" w:ascii="宋体" w:hAnsi="宋体" w:cs="宋体"/>
        </w:rPr>
        <w:t>要求。</w:t>
      </w:r>
    </w:p>
    <w:p>
      <w:pPr>
        <w:ind w:firstLine="480"/>
        <w:rPr>
          <w:szCs w:val="24"/>
        </w:rPr>
      </w:pPr>
      <w:r>
        <w:rPr>
          <w:rFonts w:hint="eastAsia"/>
          <w:szCs w:val="24"/>
        </w:rPr>
        <w:t>（3）与《遵化市国民经济和社会发展第“十四五”规划》符合性分析</w:t>
      </w:r>
    </w:p>
    <w:p>
      <w:pPr>
        <w:ind w:firstLine="480"/>
        <w:rPr>
          <w:szCs w:val="24"/>
        </w:rPr>
      </w:pPr>
      <w:r>
        <w:rPr>
          <w:rFonts w:hint="eastAsia"/>
          <w:szCs w:val="24"/>
        </w:rPr>
        <w:t>《遵化市国民经济和社会发展第“十四五”规划》中要求“</w:t>
      </w:r>
      <w:r>
        <w:rPr>
          <w:rFonts w:hint="eastAsia" w:ascii="宋体" w:hAnsi="宋体" w:cs="Arial"/>
          <w:kern w:val="0"/>
        </w:rPr>
        <w:t>构建“一核两轴两带一区”的产业空间格局，为遵化优化产业分工、提升产业承载能力、加快产业转型升级提供有力支撑</w:t>
      </w:r>
      <w:r>
        <w:rPr>
          <w:rFonts w:hint="eastAsia"/>
          <w:szCs w:val="24"/>
        </w:rPr>
        <w:t>”其中“两轴”是指“</w:t>
      </w:r>
      <w:r>
        <w:rPr>
          <w:rFonts w:hAnsi="宋体"/>
          <w:kern w:val="0"/>
        </w:rPr>
        <w:t>指综合经济发展轴和</w:t>
      </w:r>
      <w:r>
        <w:rPr>
          <w:kern w:val="0"/>
        </w:rPr>
        <w:t>112</w:t>
      </w:r>
      <w:r>
        <w:rPr>
          <w:rFonts w:hAnsi="宋体"/>
          <w:kern w:val="0"/>
        </w:rPr>
        <w:t>国道综合服务发展轴</w:t>
      </w:r>
      <w:r>
        <w:rPr>
          <w:rFonts w:hint="eastAsia"/>
          <w:szCs w:val="24"/>
        </w:rPr>
        <w:t>”</w:t>
      </w:r>
      <w:r>
        <w:rPr>
          <w:szCs w:val="24"/>
        </w:rPr>
        <w:t>。</w:t>
      </w:r>
    </w:p>
    <w:p>
      <w:pPr>
        <w:ind w:firstLine="480"/>
        <w:rPr>
          <w:szCs w:val="24"/>
        </w:rPr>
      </w:pPr>
      <w:r>
        <w:rPr>
          <w:rFonts w:hint="eastAsia"/>
          <w:szCs w:val="24"/>
        </w:rPr>
        <w:t>本项目属于112国道建设，符合《遵化市国民经济和社会发展第“十四五”规划》要求。</w:t>
      </w:r>
    </w:p>
    <w:p>
      <w:pPr>
        <w:pStyle w:val="204"/>
        <w:spacing w:line="480" w:lineRule="exact"/>
        <w:ind w:firstLine="0" w:firstLineChars="0"/>
        <w:outlineLvl w:val="2"/>
        <w:rPr>
          <w:b/>
          <w:sz w:val="28"/>
          <w:szCs w:val="28"/>
        </w:rPr>
      </w:pPr>
      <w:r>
        <w:rPr>
          <w:rFonts w:hint="eastAsia"/>
          <w:b/>
          <w:sz w:val="28"/>
          <w:szCs w:val="28"/>
        </w:rPr>
        <w:t>1.3.3临时占地设置合理性分析</w:t>
      </w:r>
    </w:p>
    <w:p>
      <w:pPr>
        <w:ind w:firstLine="480"/>
        <w:rPr>
          <w:rFonts w:cs="宋体"/>
        </w:rPr>
      </w:pPr>
      <w:r>
        <w:rPr>
          <w:rFonts w:cs="宋体"/>
        </w:rPr>
        <w:t>本项目施工生产生活区</w:t>
      </w:r>
      <w:r>
        <w:rPr>
          <w:rFonts w:hint="eastAsia" w:cs="宋体"/>
        </w:rPr>
        <w:t>租赁项目周边民户的房屋，主要分布在学汉坨村；本项目水泥混凝土、基础混合料、沥青混凝土及桥梁预制板均为外购；本项目不设置取土场及弃土场。</w:t>
      </w:r>
      <w:r>
        <w:rPr>
          <w:rFonts w:hint="eastAsia"/>
          <w:szCs w:val="24"/>
        </w:rPr>
        <w:t>本项目施工道路</w:t>
      </w:r>
      <w:r>
        <w:rPr>
          <w:szCs w:val="24"/>
        </w:rPr>
        <w:t>利用现有</w:t>
      </w:r>
      <w:r>
        <w:rPr>
          <w:rFonts w:hint="eastAsia"/>
          <w:szCs w:val="24"/>
        </w:rPr>
        <w:t>县道</w:t>
      </w:r>
      <w:r>
        <w:rPr>
          <w:szCs w:val="24"/>
        </w:rPr>
        <w:t>，不修建新的临时施工道路</w:t>
      </w:r>
      <w:r>
        <w:rPr>
          <w:rFonts w:hint="eastAsia"/>
          <w:szCs w:val="24"/>
        </w:rPr>
        <w:t>；本项目施工期沥青混凝土、基础</w:t>
      </w:r>
      <w:r>
        <w:rPr>
          <w:rFonts w:hint="eastAsia" w:cs="宋体"/>
        </w:rPr>
        <w:t>混合料</w:t>
      </w:r>
      <w:r>
        <w:rPr>
          <w:rFonts w:hint="eastAsia"/>
          <w:szCs w:val="24"/>
        </w:rPr>
        <w:t>、水泥混凝土等施工料的运输均</w:t>
      </w:r>
      <w:r>
        <w:rPr>
          <w:szCs w:val="24"/>
        </w:rPr>
        <w:t>利用现有的</w:t>
      </w:r>
      <w:r>
        <w:rPr>
          <w:rFonts w:hint="eastAsia"/>
          <w:szCs w:val="24"/>
        </w:rPr>
        <w:t>国道</w:t>
      </w:r>
      <w:r>
        <w:rPr>
          <w:szCs w:val="24"/>
        </w:rPr>
        <w:t>、县道、乡间公路及</w:t>
      </w:r>
      <w:r>
        <w:rPr>
          <w:rFonts w:hint="eastAsia"/>
          <w:szCs w:val="24"/>
        </w:rPr>
        <w:t>小</w:t>
      </w:r>
      <w:r>
        <w:rPr>
          <w:szCs w:val="24"/>
        </w:rPr>
        <w:t>道</w:t>
      </w:r>
      <w:r>
        <w:rPr>
          <w:rFonts w:hint="eastAsia"/>
          <w:szCs w:val="24"/>
        </w:rPr>
        <w:t>运输</w:t>
      </w:r>
      <w:r>
        <w:rPr>
          <w:szCs w:val="24"/>
        </w:rPr>
        <w:t>，不新增临时道路修建</w:t>
      </w:r>
      <w:r>
        <w:rPr>
          <w:rFonts w:hint="eastAsia" w:cs="宋体"/>
        </w:rPr>
        <w:t>。</w:t>
      </w:r>
    </w:p>
    <w:p>
      <w:pPr>
        <w:ind w:firstLine="480"/>
        <w:rPr>
          <w:rFonts w:cs="宋体"/>
        </w:rPr>
      </w:pPr>
      <w:r>
        <w:rPr>
          <w:rFonts w:cs="宋体"/>
        </w:rPr>
        <w:t>本项目</w:t>
      </w:r>
      <w:r>
        <w:rPr>
          <w:rFonts w:hint="eastAsia" w:cs="宋体"/>
        </w:rPr>
        <w:t>租赁周边民户房屋作为生活区，能够避免施工营地对环境的影响；</w:t>
      </w:r>
      <w:r>
        <w:rPr>
          <w:rFonts w:cs="宋体"/>
        </w:rPr>
        <w:t>施工</w:t>
      </w:r>
      <w:r>
        <w:rPr>
          <w:rFonts w:hint="eastAsia" w:cs="宋体"/>
        </w:rPr>
        <w:t>过程中填土、水泥混凝土、基础混合料、沥青混凝土及桥梁预制板均为外购，不新增取土场、施工生产区</w:t>
      </w:r>
      <w:r>
        <w:rPr>
          <w:rFonts w:cs="宋体"/>
        </w:rPr>
        <w:t>等临时占地</w:t>
      </w:r>
      <w:r>
        <w:rPr>
          <w:rFonts w:hint="eastAsia" w:cs="宋体"/>
        </w:rPr>
        <w:t>，同时</w:t>
      </w:r>
      <w:r>
        <w:rPr>
          <w:rFonts w:cs="宋体"/>
        </w:rPr>
        <w:t>尽量避免</w:t>
      </w:r>
      <w:r>
        <w:rPr>
          <w:rFonts w:hint="eastAsia" w:cs="宋体"/>
        </w:rPr>
        <w:t>临时</w:t>
      </w:r>
      <w:r>
        <w:rPr>
          <w:rFonts w:cs="宋体"/>
        </w:rPr>
        <w:t>施工道路的占地，</w:t>
      </w:r>
      <w:r>
        <w:rPr>
          <w:rFonts w:hint="eastAsia" w:cs="宋体"/>
        </w:rPr>
        <w:t>避免临时占地的占用，不会对区域生态环境产生影响</w:t>
      </w:r>
      <w:r>
        <w:rPr>
          <w:rFonts w:cs="宋体"/>
        </w:rPr>
        <w:t>。</w:t>
      </w:r>
    </w:p>
    <w:p>
      <w:pPr>
        <w:pStyle w:val="204"/>
        <w:spacing w:line="480" w:lineRule="exact"/>
        <w:ind w:firstLine="0" w:firstLineChars="0"/>
        <w:outlineLvl w:val="2"/>
        <w:rPr>
          <w:b/>
          <w:sz w:val="28"/>
          <w:szCs w:val="28"/>
        </w:rPr>
      </w:pPr>
      <w:r>
        <w:rPr>
          <w:rFonts w:hint="eastAsia"/>
          <w:b/>
          <w:sz w:val="28"/>
          <w:szCs w:val="28"/>
        </w:rPr>
        <w:t>1.3.4环境敏感性分析</w:t>
      </w:r>
    </w:p>
    <w:p>
      <w:pPr>
        <w:pStyle w:val="190"/>
        <w:spacing w:beforeLines="0" w:afterLines="0"/>
      </w:pPr>
      <w:r>
        <w:rPr>
          <w:rFonts w:hint="eastAsia"/>
        </w:rPr>
        <w:t>1.3.4.1与《唐山市集中式饮用水水源地保护管理条例》符合性分析</w:t>
      </w:r>
    </w:p>
    <w:p>
      <w:pPr>
        <w:ind w:firstLine="480"/>
        <w:rPr>
          <w:szCs w:val="24"/>
        </w:rPr>
      </w:pPr>
      <w:r>
        <w:rPr>
          <w:rFonts w:ascii="宋体" w:hAnsi="宋体" w:cs="宋体"/>
          <w:szCs w:val="24"/>
        </w:rPr>
        <w:t>本项目与</w:t>
      </w:r>
      <w:r>
        <w:rPr>
          <w:rFonts w:hint="eastAsia"/>
        </w:rPr>
        <w:t>《唐山市集中式饮用水水源地保护管理条例》</w:t>
      </w:r>
      <w:r>
        <w:rPr>
          <w:rFonts w:ascii="宋体" w:hAnsi="宋体" w:cs="宋体"/>
          <w:szCs w:val="24"/>
        </w:rPr>
        <w:t>的符合性分析见表</w:t>
      </w:r>
      <w:r>
        <w:rPr>
          <w:rFonts w:hint="eastAsia"/>
          <w:szCs w:val="24"/>
        </w:rPr>
        <w:t>1.3-1。</w:t>
      </w:r>
    </w:p>
    <w:p>
      <w:pPr>
        <w:pStyle w:val="185"/>
        <w:spacing w:line="480" w:lineRule="exact"/>
        <w:rPr>
          <w:sz w:val="21"/>
          <w:szCs w:val="21"/>
        </w:rPr>
      </w:pPr>
      <w:r>
        <w:rPr>
          <w:sz w:val="21"/>
          <w:szCs w:val="21"/>
        </w:rPr>
        <w:t>表</w:t>
      </w:r>
      <w:r>
        <w:rPr>
          <w:rFonts w:hint="eastAsia"/>
          <w:sz w:val="21"/>
          <w:szCs w:val="21"/>
        </w:rPr>
        <w:t>1.3-1</w:t>
      </w:r>
      <w:r>
        <w:rPr>
          <w:sz w:val="21"/>
          <w:szCs w:val="21"/>
        </w:rPr>
        <w:t>本项目与</w:t>
      </w:r>
      <w:r>
        <w:rPr>
          <w:rFonts w:hint="eastAsia"/>
        </w:rPr>
        <w:t>《唐山市集中式饮用水水源地保护管理条例》</w:t>
      </w:r>
      <w:r>
        <w:rPr>
          <w:sz w:val="21"/>
          <w:szCs w:val="21"/>
        </w:rPr>
        <w:t>符合性分析</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12"/>
        <w:gridCol w:w="4640"/>
        <w:gridCol w:w="2698"/>
        <w:gridCol w:w="10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kern w:val="2"/>
                <w:sz w:val="21"/>
                <w:szCs w:val="21"/>
              </w:rPr>
            </w:pPr>
            <w:r>
              <w:rPr>
                <w:bCs/>
                <w:kern w:val="2"/>
                <w:sz w:val="21"/>
                <w:szCs w:val="21"/>
              </w:rPr>
              <w:t>序号</w:t>
            </w:r>
          </w:p>
        </w:tc>
        <w:tc>
          <w:tcPr>
            <w:tcW w:w="2571" w:type="pct"/>
            <w:vAlign w:val="center"/>
          </w:tcPr>
          <w:p>
            <w:pPr>
              <w:pStyle w:val="675"/>
              <w:jc w:val="center"/>
              <w:rPr>
                <w:kern w:val="2"/>
                <w:sz w:val="21"/>
                <w:szCs w:val="21"/>
              </w:rPr>
            </w:pPr>
            <w:r>
              <w:rPr>
                <w:bCs/>
                <w:kern w:val="2"/>
                <w:sz w:val="21"/>
                <w:szCs w:val="21"/>
              </w:rPr>
              <w:t>法律法规相关要求</w:t>
            </w:r>
          </w:p>
        </w:tc>
        <w:tc>
          <w:tcPr>
            <w:tcW w:w="1495" w:type="pct"/>
            <w:vAlign w:val="center"/>
          </w:tcPr>
          <w:p>
            <w:pPr>
              <w:pStyle w:val="675"/>
              <w:jc w:val="center"/>
              <w:rPr>
                <w:kern w:val="2"/>
                <w:sz w:val="21"/>
                <w:szCs w:val="21"/>
              </w:rPr>
            </w:pPr>
            <w:r>
              <w:rPr>
                <w:bCs/>
                <w:kern w:val="2"/>
                <w:sz w:val="21"/>
                <w:szCs w:val="21"/>
              </w:rPr>
              <w:t>本项目情况</w:t>
            </w:r>
          </w:p>
        </w:tc>
        <w:tc>
          <w:tcPr>
            <w:tcW w:w="595" w:type="pct"/>
            <w:vAlign w:val="center"/>
          </w:tcPr>
          <w:p>
            <w:pPr>
              <w:pStyle w:val="675"/>
              <w:jc w:val="center"/>
              <w:rPr>
                <w:kern w:val="2"/>
                <w:sz w:val="21"/>
                <w:szCs w:val="21"/>
              </w:rPr>
            </w:pPr>
            <w:r>
              <w:rPr>
                <w:bCs/>
                <w:kern w:val="2"/>
                <w:sz w:val="21"/>
                <w:szCs w:val="21"/>
              </w:rPr>
              <w:t>符合性判定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10" w:type="pct"/>
            <w:gridSpan w:val="2"/>
            <w:vAlign w:val="center"/>
          </w:tcPr>
          <w:p>
            <w:pPr>
              <w:pStyle w:val="675"/>
              <w:jc w:val="center"/>
              <w:rPr>
                <w:kern w:val="2"/>
                <w:sz w:val="21"/>
                <w:szCs w:val="21"/>
                <w:highlight w:val="yellow"/>
                <w:lang w:eastAsia="zh-CN"/>
              </w:rPr>
            </w:pPr>
            <w:r>
              <w:rPr>
                <w:rFonts w:hint="eastAsia"/>
                <w:sz w:val="21"/>
                <w:szCs w:val="21"/>
                <w:lang w:eastAsia="zh-CN"/>
              </w:rPr>
              <w:t>《唐山市集中式饮用水水源地保护管理条例》</w:t>
            </w:r>
          </w:p>
        </w:tc>
        <w:tc>
          <w:tcPr>
            <w:tcW w:w="1495" w:type="pct"/>
            <w:vAlign w:val="center"/>
          </w:tcPr>
          <w:p>
            <w:pPr>
              <w:pStyle w:val="675"/>
              <w:jc w:val="center"/>
              <w:rPr>
                <w:kern w:val="2"/>
                <w:sz w:val="21"/>
                <w:szCs w:val="21"/>
                <w:highlight w:val="yellow"/>
                <w:lang w:eastAsia="zh-CN"/>
              </w:rPr>
            </w:pPr>
            <w:r>
              <w:rPr>
                <w:rFonts w:hint="eastAsia"/>
                <w:kern w:val="2"/>
                <w:sz w:val="21"/>
                <w:szCs w:val="21"/>
                <w:lang w:eastAsia="zh-CN"/>
              </w:rPr>
              <w:t>/</w:t>
            </w:r>
          </w:p>
        </w:tc>
        <w:tc>
          <w:tcPr>
            <w:tcW w:w="595" w:type="pct"/>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eastAsia="Times New Roman" w:cs="Times New Roman"/>
                <w:kern w:val="2"/>
                <w:sz w:val="21"/>
                <w:szCs w:val="21"/>
              </w:rPr>
            </w:pPr>
            <w:r>
              <w:rPr>
                <w:rFonts w:ascii="Times New Roman" w:hAnsi="Times New Roman" w:cs="Times New Roman"/>
                <w:kern w:val="2"/>
                <w:sz w:val="21"/>
                <w:szCs w:val="21"/>
              </w:rPr>
              <w:t>1</w:t>
            </w:r>
          </w:p>
        </w:tc>
        <w:tc>
          <w:tcPr>
            <w:tcW w:w="2571" w:type="pct"/>
            <w:vAlign w:val="center"/>
          </w:tcPr>
          <w:p>
            <w:pPr>
              <w:pStyle w:val="675"/>
              <w:ind w:firstLine="412" w:firstLineChars="200"/>
              <w:jc w:val="both"/>
              <w:rPr>
                <w:kern w:val="2"/>
                <w:sz w:val="21"/>
                <w:szCs w:val="21"/>
                <w:lang w:eastAsia="zh-CN"/>
              </w:rPr>
            </w:pPr>
            <w:r>
              <w:rPr>
                <w:spacing w:val="-2"/>
                <w:kern w:val="2"/>
                <w:sz w:val="21"/>
                <w:szCs w:val="21"/>
                <w:lang w:eastAsia="zh-CN"/>
              </w:rPr>
              <w:t>第</w:t>
            </w:r>
            <w:r>
              <w:rPr>
                <w:rFonts w:hint="eastAsia"/>
                <w:spacing w:val="-2"/>
                <w:kern w:val="2"/>
                <w:sz w:val="21"/>
                <w:szCs w:val="21"/>
                <w:lang w:eastAsia="zh-CN"/>
              </w:rPr>
              <w:t>十三</w:t>
            </w:r>
            <w:r>
              <w:rPr>
                <w:spacing w:val="-2"/>
                <w:kern w:val="2"/>
                <w:sz w:val="21"/>
                <w:szCs w:val="21"/>
                <w:lang w:eastAsia="zh-CN"/>
              </w:rPr>
              <w:t>条编制国土空间规划、审批建设项目，应当优先考虑饮用水水源保护，严格控制保护区内的规划用地和项目建设及周围矿产资源的开发、利用，防止水土流失和污染水源，制定和实施保护区水源涵养林发展和利用规划，加强沿河沿库区植被缓冲带和隔离带等植被的保护管理。</w:t>
            </w:r>
          </w:p>
        </w:tc>
        <w:tc>
          <w:tcPr>
            <w:tcW w:w="1495" w:type="pct"/>
            <w:vAlign w:val="center"/>
          </w:tcPr>
          <w:p>
            <w:pPr>
              <w:pStyle w:val="675"/>
              <w:ind w:firstLine="412" w:firstLineChars="200"/>
              <w:jc w:val="both"/>
              <w:rPr>
                <w:spacing w:val="-2"/>
                <w:kern w:val="2"/>
                <w:sz w:val="21"/>
                <w:szCs w:val="21"/>
                <w:lang w:eastAsia="zh-CN"/>
              </w:rPr>
            </w:pPr>
            <w:r>
              <w:rPr>
                <w:rFonts w:hint="eastAsia"/>
                <w:spacing w:val="-2"/>
                <w:kern w:val="2"/>
                <w:sz w:val="21"/>
                <w:szCs w:val="21"/>
                <w:lang w:eastAsia="zh-CN"/>
              </w:rPr>
              <w:t>本项目</w:t>
            </w:r>
            <w:r>
              <w:rPr>
                <w:rFonts w:ascii="Times New Roman" w:hAnsi="Times New Roman" w:cs="Times New Roman"/>
                <w:spacing w:val="-2"/>
                <w:kern w:val="2"/>
                <w:sz w:val="21"/>
                <w:szCs w:val="21"/>
                <w:lang w:eastAsia="zh-CN"/>
              </w:rPr>
              <w:t>K4+000~K13+940</w:t>
            </w:r>
            <w:r>
              <w:rPr>
                <w:rFonts w:hint="eastAsia" w:ascii="Times New Roman" w:hAnsi="Times New Roman" w:cs="Times New Roman"/>
                <w:spacing w:val="-2"/>
                <w:kern w:val="2"/>
                <w:sz w:val="21"/>
                <w:szCs w:val="21"/>
                <w:lang w:eastAsia="zh-CN"/>
              </w:rPr>
              <w:t>涉及遵化市堡子店饮用水水源地穿越，其中</w:t>
            </w:r>
            <w:r>
              <w:rPr>
                <w:rFonts w:ascii="Times New Roman" w:hAnsi="Times New Roman" w:cs="Times New Roman"/>
                <w:spacing w:val="-2"/>
                <w:kern w:val="2"/>
                <w:sz w:val="21"/>
                <w:szCs w:val="21"/>
                <w:lang w:eastAsia="zh-CN"/>
              </w:rPr>
              <w:t>K4+000~K</w:t>
            </w:r>
            <w:r>
              <w:rPr>
                <w:rFonts w:hint="eastAsia" w:ascii="Times New Roman" w:hAnsi="Times New Roman" w:cs="Times New Roman"/>
                <w:spacing w:val="-2"/>
                <w:kern w:val="2"/>
                <w:sz w:val="21"/>
                <w:szCs w:val="21"/>
                <w:lang w:eastAsia="zh-CN"/>
              </w:rPr>
              <w:t>7</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800属于利旧路段，</w:t>
            </w:r>
            <w:r>
              <w:rPr>
                <w:rFonts w:ascii="Times New Roman" w:hAnsi="Times New Roman" w:cs="Times New Roman"/>
                <w:spacing w:val="-2"/>
                <w:kern w:val="2"/>
                <w:sz w:val="21"/>
                <w:szCs w:val="21"/>
                <w:lang w:eastAsia="zh-CN"/>
              </w:rPr>
              <w:t>K</w:t>
            </w:r>
            <w:r>
              <w:rPr>
                <w:rFonts w:hint="eastAsia" w:ascii="Times New Roman" w:hAnsi="Times New Roman" w:cs="Times New Roman"/>
                <w:spacing w:val="-2"/>
                <w:kern w:val="2"/>
                <w:sz w:val="21"/>
                <w:szCs w:val="21"/>
                <w:lang w:eastAsia="zh-CN"/>
              </w:rPr>
              <w:t>7</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800</w:t>
            </w:r>
            <w:r>
              <w:rPr>
                <w:rFonts w:ascii="Times New Roman" w:hAnsi="Times New Roman" w:cs="Times New Roman"/>
                <w:spacing w:val="-2"/>
                <w:kern w:val="2"/>
                <w:sz w:val="21"/>
                <w:szCs w:val="21"/>
                <w:lang w:eastAsia="zh-CN"/>
              </w:rPr>
              <w:t>~K13+940</w:t>
            </w:r>
            <w:r>
              <w:rPr>
                <w:rFonts w:hint="eastAsia" w:ascii="Times New Roman" w:hAnsi="Times New Roman" w:cs="Times New Roman"/>
                <w:spacing w:val="-2"/>
                <w:kern w:val="2"/>
                <w:sz w:val="21"/>
                <w:szCs w:val="21"/>
                <w:lang w:eastAsia="zh-CN"/>
              </w:rPr>
              <w:t>属于</w:t>
            </w:r>
            <w:r>
              <w:rPr>
                <w:rFonts w:hint="eastAsia"/>
                <w:spacing w:val="-2"/>
                <w:kern w:val="2"/>
                <w:sz w:val="21"/>
                <w:szCs w:val="21"/>
                <w:lang w:eastAsia="zh-CN"/>
              </w:rPr>
              <w:t>新建路段。本项目不属于</w:t>
            </w:r>
            <w:r>
              <w:rPr>
                <w:spacing w:val="-2"/>
                <w:kern w:val="2"/>
                <w:sz w:val="21"/>
                <w:szCs w:val="21"/>
                <w:lang w:eastAsia="zh-CN"/>
              </w:rPr>
              <w:t>矿产资源的开发、利用</w:t>
            </w:r>
            <w:r>
              <w:rPr>
                <w:rFonts w:hint="eastAsia"/>
                <w:spacing w:val="-2"/>
                <w:kern w:val="2"/>
                <w:sz w:val="21"/>
                <w:szCs w:val="21"/>
                <w:lang w:eastAsia="zh-CN"/>
              </w:rPr>
              <w:t>项目，项目建设符合</w:t>
            </w:r>
            <w:r>
              <w:rPr>
                <w:rFonts w:hint="eastAsia"/>
                <w:sz w:val="21"/>
                <w:szCs w:val="21"/>
                <w:lang w:eastAsia="zh-CN"/>
              </w:rPr>
              <w:t>《河北省普通干线公路网布局规划》等规划要求，</w:t>
            </w:r>
            <w:r>
              <w:rPr>
                <w:spacing w:val="-2"/>
                <w:kern w:val="2"/>
                <w:sz w:val="21"/>
                <w:szCs w:val="21"/>
                <w:lang w:eastAsia="zh-CN"/>
              </w:rPr>
              <w:t>不属于禁止</w:t>
            </w:r>
            <w:r>
              <w:rPr>
                <w:rFonts w:hint="eastAsia"/>
                <w:spacing w:val="-2"/>
                <w:kern w:val="2"/>
                <w:sz w:val="21"/>
                <w:szCs w:val="21"/>
                <w:lang w:eastAsia="zh-CN"/>
              </w:rPr>
              <w:t>建设项目</w:t>
            </w:r>
          </w:p>
        </w:tc>
        <w:tc>
          <w:tcPr>
            <w:tcW w:w="595" w:type="pct"/>
            <w:vAlign w:val="center"/>
          </w:tcPr>
          <w:p>
            <w:pPr>
              <w:pStyle w:val="675"/>
              <w:jc w:val="center"/>
              <w:rPr>
                <w:kern w:val="2"/>
                <w:sz w:val="21"/>
                <w:szCs w:val="21"/>
              </w:rPr>
            </w:pPr>
            <w:r>
              <w:rPr>
                <w:kern w:val="2"/>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eastAsia="Times New Roman" w:cs="Times New Roman"/>
                <w:kern w:val="2"/>
                <w:sz w:val="21"/>
                <w:szCs w:val="21"/>
              </w:rPr>
            </w:pPr>
            <w:r>
              <w:rPr>
                <w:rFonts w:ascii="Times New Roman" w:hAnsi="Times New Roman" w:cs="Times New Roman"/>
                <w:kern w:val="2"/>
                <w:sz w:val="21"/>
                <w:szCs w:val="21"/>
              </w:rPr>
              <w:t>2</w:t>
            </w:r>
          </w:p>
        </w:tc>
        <w:tc>
          <w:tcPr>
            <w:tcW w:w="2571" w:type="pct"/>
            <w:vAlign w:val="center"/>
          </w:tcPr>
          <w:p>
            <w:pPr>
              <w:pStyle w:val="675"/>
              <w:ind w:firstLine="412" w:firstLineChars="200"/>
              <w:jc w:val="both"/>
              <w:rPr>
                <w:rFonts w:ascii="微软雅黑" w:hAnsi="微软雅黑" w:cs="微软雅黑"/>
                <w:sz w:val="32"/>
                <w:szCs w:val="32"/>
                <w:lang w:eastAsia="zh-CN"/>
              </w:rPr>
            </w:pPr>
            <w:r>
              <w:rPr>
                <w:spacing w:val="-2"/>
                <w:kern w:val="2"/>
                <w:sz w:val="21"/>
                <w:szCs w:val="21"/>
                <w:lang w:eastAsia="zh-CN"/>
              </w:rPr>
              <w:t>第</w:t>
            </w:r>
            <w:r>
              <w:rPr>
                <w:rFonts w:hint="eastAsia"/>
                <w:spacing w:val="-2"/>
                <w:kern w:val="2"/>
                <w:sz w:val="21"/>
                <w:szCs w:val="21"/>
                <w:lang w:eastAsia="zh-CN"/>
              </w:rPr>
              <w:t>十四</w:t>
            </w:r>
            <w:r>
              <w:rPr>
                <w:spacing w:val="-2"/>
                <w:kern w:val="2"/>
                <w:sz w:val="21"/>
                <w:szCs w:val="21"/>
                <w:lang w:eastAsia="zh-CN"/>
              </w:rPr>
              <w:t>条运输危险化学品、剧毒化学品应当避开保护区；确实无法避开的，市、县级人民政府及公安机关等有关部门应当采取相应的安全防护措施。</w:t>
            </w:r>
          </w:p>
        </w:tc>
        <w:tc>
          <w:tcPr>
            <w:tcW w:w="1495" w:type="pct"/>
            <w:vAlign w:val="center"/>
          </w:tcPr>
          <w:p>
            <w:pPr>
              <w:pStyle w:val="675"/>
              <w:ind w:firstLine="420" w:firstLineChars="200"/>
              <w:jc w:val="both"/>
              <w:rPr>
                <w:kern w:val="2"/>
                <w:sz w:val="21"/>
                <w:szCs w:val="21"/>
                <w:lang w:eastAsia="zh-CN"/>
              </w:rPr>
            </w:pPr>
            <w:r>
              <w:rPr>
                <w:rFonts w:hint="eastAsia"/>
                <w:kern w:val="2"/>
                <w:sz w:val="21"/>
                <w:szCs w:val="21"/>
                <w:lang w:eastAsia="zh-CN"/>
              </w:rPr>
              <w:t>本项目运行期在穿越</w:t>
            </w:r>
            <w:r>
              <w:rPr>
                <w:rFonts w:hint="eastAsia" w:ascii="Times New Roman" w:hAnsi="Times New Roman" w:cs="Times New Roman"/>
                <w:spacing w:val="-2"/>
                <w:kern w:val="2"/>
                <w:sz w:val="21"/>
                <w:szCs w:val="21"/>
                <w:lang w:eastAsia="zh-CN"/>
              </w:rPr>
              <w:t>遵化市堡子店饮用水水源地路段</w:t>
            </w:r>
            <w:r>
              <w:rPr>
                <w:rFonts w:hint="eastAsia"/>
                <w:kern w:val="2"/>
                <w:sz w:val="21"/>
                <w:szCs w:val="21"/>
                <w:lang w:eastAsia="zh-CN"/>
              </w:rPr>
              <w:t>设置禁止</w:t>
            </w:r>
            <w:r>
              <w:rPr>
                <w:spacing w:val="-2"/>
                <w:kern w:val="2"/>
                <w:sz w:val="21"/>
                <w:szCs w:val="21"/>
                <w:lang w:eastAsia="zh-CN"/>
              </w:rPr>
              <w:t>运输危险化学品、剧毒化学品</w:t>
            </w:r>
            <w:r>
              <w:rPr>
                <w:rFonts w:hint="eastAsia"/>
                <w:spacing w:val="-2"/>
                <w:kern w:val="2"/>
                <w:sz w:val="21"/>
                <w:szCs w:val="21"/>
                <w:lang w:eastAsia="zh-CN"/>
              </w:rPr>
              <w:t>上路标识牌，同时在公路两侧设置防撞护栏，</w:t>
            </w:r>
            <w:r>
              <w:rPr>
                <w:rFonts w:hint="eastAsia"/>
                <w:kern w:val="2"/>
                <w:sz w:val="21"/>
                <w:szCs w:val="21"/>
                <w:lang w:eastAsia="zh-CN"/>
              </w:rPr>
              <w:t>避免发生事故侧翻，运输物质洒落影响区域地下水水质。</w:t>
            </w:r>
          </w:p>
        </w:tc>
        <w:tc>
          <w:tcPr>
            <w:tcW w:w="595" w:type="pct"/>
            <w:vAlign w:val="center"/>
          </w:tcPr>
          <w:p>
            <w:pPr>
              <w:pStyle w:val="675"/>
              <w:jc w:val="center"/>
              <w:rPr>
                <w:kern w:val="2"/>
                <w:sz w:val="21"/>
                <w:szCs w:val="21"/>
              </w:rPr>
            </w:pPr>
            <w:r>
              <w:rPr>
                <w:kern w:val="2"/>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w:t>
            </w:r>
          </w:p>
        </w:tc>
        <w:tc>
          <w:tcPr>
            <w:tcW w:w="2571" w:type="pct"/>
            <w:vAlign w:val="center"/>
          </w:tcPr>
          <w:p>
            <w:pPr>
              <w:pStyle w:val="675"/>
              <w:ind w:firstLine="412" w:firstLineChars="200"/>
              <w:jc w:val="both"/>
              <w:rPr>
                <w:spacing w:val="-2"/>
                <w:kern w:val="2"/>
                <w:sz w:val="21"/>
                <w:szCs w:val="21"/>
                <w:lang w:eastAsia="zh-CN"/>
              </w:rPr>
            </w:pPr>
            <w:r>
              <w:rPr>
                <w:spacing w:val="-2"/>
                <w:kern w:val="2"/>
                <w:sz w:val="21"/>
                <w:szCs w:val="21"/>
                <w:lang w:eastAsia="zh-CN"/>
              </w:rPr>
              <w:t>第十五条建设公路、桥梁需要穿越保护区的，交通运输部门应当监督建设单位或者管理单位设置隔离防护设施和事故应急处置设施。</w:t>
            </w:r>
          </w:p>
        </w:tc>
        <w:tc>
          <w:tcPr>
            <w:tcW w:w="1495" w:type="pct"/>
            <w:vAlign w:val="center"/>
          </w:tcPr>
          <w:p>
            <w:pPr>
              <w:pStyle w:val="675"/>
              <w:ind w:firstLine="420" w:firstLineChars="200"/>
              <w:jc w:val="both"/>
              <w:rPr>
                <w:kern w:val="2"/>
                <w:sz w:val="21"/>
                <w:szCs w:val="21"/>
                <w:lang w:eastAsia="zh-CN"/>
              </w:rPr>
            </w:pPr>
            <w:r>
              <w:rPr>
                <w:rFonts w:hint="eastAsia"/>
                <w:kern w:val="2"/>
                <w:sz w:val="21"/>
                <w:szCs w:val="21"/>
                <w:lang w:eastAsia="zh-CN"/>
              </w:rPr>
              <w:t>本项目施工过程，要求施工设备、施工材料禁止暂存在水源地保护区内；建设道路两侧设置防撞护栏及道路两侧设置收集导排措施，同时在道路两侧设置事故池，收集道路事故废水。</w:t>
            </w:r>
          </w:p>
        </w:tc>
        <w:tc>
          <w:tcPr>
            <w:tcW w:w="595" w:type="pct"/>
            <w:vAlign w:val="center"/>
          </w:tcPr>
          <w:p>
            <w:pPr>
              <w:pStyle w:val="675"/>
              <w:jc w:val="center"/>
              <w:rPr>
                <w:kern w:val="2"/>
                <w:sz w:val="21"/>
                <w:szCs w:val="21"/>
                <w:lang w:eastAsia="zh-CN"/>
              </w:rPr>
            </w:pPr>
            <w:r>
              <w:rPr>
                <w:rFonts w:hint="eastAsia"/>
                <w:kern w:val="2"/>
                <w:sz w:val="21"/>
                <w:szCs w:val="21"/>
                <w:lang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w:t>
            </w:r>
          </w:p>
        </w:tc>
        <w:tc>
          <w:tcPr>
            <w:tcW w:w="2571" w:type="pct"/>
            <w:vAlign w:val="center"/>
          </w:tcPr>
          <w:p>
            <w:pPr>
              <w:pStyle w:val="675"/>
              <w:ind w:firstLine="412" w:firstLineChars="200"/>
              <w:jc w:val="both"/>
              <w:rPr>
                <w:spacing w:val="-2"/>
                <w:kern w:val="2"/>
                <w:sz w:val="21"/>
                <w:szCs w:val="21"/>
                <w:lang w:eastAsia="zh-CN"/>
              </w:rPr>
            </w:pPr>
            <w:r>
              <w:rPr>
                <w:rFonts w:hint="eastAsia"/>
                <w:spacing w:val="-2"/>
                <w:kern w:val="2"/>
                <w:sz w:val="21"/>
                <w:szCs w:val="21"/>
                <w:lang w:eastAsia="zh-CN"/>
              </w:rPr>
              <w:t>第十七条，在准保护区内，应当遵守下列规定：</w:t>
            </w:r>
          </w:p>
          <w:p>
            <w:pPr>
              <w:autoSpaceDE w:val="0"/>
              <w:autoSpaceDN w:val="0"/>
              <w:adjustRightInd w:val="0"/>
              <w:spacing w:line="240" w:lineRule="auto"/>
              <w:ind w:firstLineChars="0"/>
              <w:jc w:val="left"/>
              <w:rPr>
                <w:rFonts w:ascii="宋体" w:hAnsi="宋体" w:cs="宋体"/>
                <w:spacing w:val="-2"/>
                <w:sz w:val="21"/>
              </w:rPr>
            </w:pPr>
            <w:r>
              <w:rPr>
                <w:rFonts w:ascii="宋体" w:hAnsi="宋体" w:cs="宋体"/>
                <w:spacing w:val="-2"/>
                <w:sz w:val="21"/>
              </w:rPr>
              <w:t>（一）禁止新建、扩建对水体污染严重的建设项目，改建建设项目不得增加排污量；</w:t>
            </w:r>
          </w:p>
          <w:p>
            <w:pPr>
              <w:autoSpaceDE w:val="0"/>
              <w:autoSpaceDN w:val="0"/>
              <w:adjustRightInd w:val="0"/>
              <w:spacing w:line="240" w:lineRule="auto"/>
              <w:ind w:firstLineChars="0"/>
              <w:jc w:val="left"/>
              <w:rPr>
                <w:rFonts w:ascii="宋体" w:hAnsi="宋体" w:cs="宋体"/>
                <w:spacing w:val="-2"/>
                <w:sz w:val="21"/>
              </w:rPr>
            </w:pPr>
            <w:r>
              <w:rPr>
                <w:rFonts w:ascii="宋体" w:hAnsi="宋体" w:cs="宋体"/>
                <w:spacing w:val="-2"/>
                <w:sz w:val="21"/>
              </w:rPr>
              <w:t>（二）禁止直接或者间接排入不符合国家和地方规定标准的废水、污水；</w:t>
            </w:r>
          </w:p>
          <w:p>
            <w:pPr>
              <w:autoSpaceDE w:val="0"/>
              <w:autoSpaceDN w:val="0"/>
              <w:adjustRightInd w:val="0"/>
              <w:spacing w:line="240" w:lineRule="auto"/>
              <w:ind w:firstLineChars="0"/>
              <w:jc w:val="left"/>
              <w:rPr>
                <w:rFonts w:ascii="宋体" w:hAnsi="宋体" w:cs="宋体"/>
                <w:spacing w:val="-2"/>
                <w:sz w:val="21"/>
              </w:rPr>
            </w:pPr>
            <w:r>
              <w:rPr>
                <w:rFonts w:ascii="宋体" w:hAnsi="宋体" w:cs="宋体"/>
                <w:spacing w:val="-2"/>
                <w:sz w:val="21"/>
              </w:rPr>
              <w:t>（三）禁止使用剧毒、高毒、高残留农药；</w:t>
            </w:r>
          </w:p>
          <w:p>
            <w:pPr>
              <w:autoSpaceDE w:val="0"/>
              <w:autoSpaceDN w:val="0"/>
              <w:adjustRightInd w:val="0"/>
              <w:spacing w:line="240" w:lineRule="auto"/>
              <w:ind w:firstLineChars="0"/>
              <w:jc w:val="left"/>
              <w:rPr>
                <w:rFonts w:ascii="宋体" w:hAnsi="宋体" w:cs="宋体"/>
                <w:spacing w:val="-2"/>
                <w:sz w:val="21"/>
              </w:rPr>
            </w:pPr>
            <w:r>
              <w:rPr>
                <w:rFonts w:ascii="宋体" w:hAnsi="宋体" w:cs="宋体"/>
                <w:spacing w:val="-2"/>
                <w:sz w:val="21"/>
              </w:rPr>
              <w:t>（四）禁止设置易溶性、有毒有害废弃物和危险废物的暂存和转运场所，禁止设置生活垃圾和工业固体废物的处置场所，生活垃圾转运站和工业固体废物暂存场所应当设置防护设施。</w:t>
            </w:r>
          </w:p>
          <w:p>
            <w:pPr>
              <w:autoSpaceDE w:val="0"/>
              <w:autoSpaceDN w:val="0"/>
              <w:adjustRightInd w:val="0"/>
              <w:spacing w:line="240" w:lineRule="auto"/>
              <w:ind w:firstLineChars="0"/>
              <w:jc w:val="left"/>
              <w:rPr>
                <w:rFonts w:ascii="宋体" w:hAnsi="宋体" w:cs="宋体"/>
                <w:spacing w:val="-2"/>
                <w:sz w:val="21"/>
              </w:rPr>
            </w:pPr>
            <w:r>
              <w:rPr>
                <w:rFonts w:ascii="宋体" w:hAnsi="宋体" w:cs="宋体"/>
                <w:spacing w:val="-2"/>
                <w:sz w:val="21"/>
              </w:rPr>
              <w:t>排放总量不能保证准保护区内水质符合规定的标准时，所在地人民政府应当组织排污单位削减排污总量。</w:t>
            </w:r>
          </w:p>
        </w:tc>
        <w:tc>
          <w:tcPr>
            <w:tcW w:w="1495" w:type="pct"/>
            <w:vAlign w:val="center"/>
          </w:tcPr>
          <w:p>
            <w:pPr>
              <w:pStyle w:val="675"/>
              <w:ind w:firstLine="420" w:firstLineChars="200"/>
              <w:jc w:val="both"/>
              <w:rPr>
                <w:kern w:val="2"/>
                <w:sz w:val="21"/>
                <w:szCs w:val="21"/>
                <w:lang w:eastAsia="zh-CN"/>
              </w:rPr>
            </w:pPr>
            <w:r>
              <w:rPr>
                <w:rFonts w:hint="eastAsia"/>
                <w:kern w:val="2"/>
                <w:sz w:val="21"/>
                <w:szCs w:val="21"/>
                <w:lang w:eastAsia="zh-CN"/>
              </w:rPr>
              <w:t>本项目</w:t>
            </w:r>
            <w:r>
              <w:rPr>
                <w:rFonts w:ascii="Times New Roman" w:hAnsi="Times New Roman" w:cs="Times New Roman"/>
                <w:spacing w:val="-2"/>
                <w:kern w:val="2"/>
                <w:sz w:val="21"/>
                <w:szCs w:val="21"/>
                <w:lang w:eastAsia="zh-CN"/>
              </w:rPr>
              <w:t>K4+000~K</w:t>
            </w:r>
            <w:r>
              <w:rPr>
                <w:rFonts w:hint="eastAsia" w:ascii="Times New Roman" w:hAnsi="Times New Roman" w:cs="Times New Roman"/>
                <w:spacing w:val="-2"/>
                <w:kern w:val="2"/>
                <w:sz w:val="21"/>
                <w:szCs w:val="21"/>
                <w:lang w:eastAsia="zh-CN"/>
              </w:rPr>
              <w:t>7</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750、</w:t>
            </w:r>
            <w:r>
              <w:rPr>
                <w:rFonts w:ascii="Times New Roman" w:hAnsi="Times New Roman" w:cs="Times New Roman"/>
                <w:spacing w:val="-2"/>
                <w:kern w:val="2"/>
                <w:sz w:val="21"/>
                <w:szCs w:val="21"/>
                <w:lang w:eastAsia="zh-CN"/>
              </w:rPr>
              <w:t>K</w:t>
            </w:r>
            <w:r>
              <w:rPr>
                <w:rFonts w:hint="eastAsia" w:ascii="Times New Roman" w:hAnsi="Times New Roman" w:cs="Times New Roman"/>
                <w:spacing w:val="-2"/>
                <w:kern w:val="2"/>
                <w:sz w:val="21"/>
                <w:szCs w:val="21"/>
                <w:lang w:eastAsia="zh-CN"/>
              </w:rPr>
              <w:t>12</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705</w:t>
            </w:r>
            <w:r>
              <w:rPr>
                <w:rFonts w:ascii="Times New Roman" w:hAnsi="Times New Roman" w:cs="Times New Roman"/>
                <w:spacing w:val="-2"/>
                <w:kern w:val="2"/>
                <w:sz w:val="21"/>
                <w:szCs w:val="21"/>
                <w:lang w:eastAsia="zh-CN"/>
              </w:rPr>
              <w:t>~K</w:t>
            </w:r>
            <w:r>
              <w:rPr>
                <w:rFonts w:hint="eastAsia" w:ascii="Times New Roman" w:hAnsi="Times New Roman" w:cs="Times New Roman"/>
                <w:spacing w:val="-2"/>
                <w:kern w:val="2"/>
                <w:sz w:val="21"/>
                <w:szCs w:val="21"/>
                <w:lang w:eastAsia="zh-CN"/>
              </w:rPr>
              <w:t>13</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940，路段穿越水源地的准保护区，本项目为</w:t>
            </w:r>
            <w:r>
              <w:rPr>
                <w:kern w:val="2"/>
                <w:sz w:val="21"/>
                <w:szCs w:val="21"/>
                <w:lang w:eastAsia="zh-CN"/>
              </w:rPr>
              <w:t>线性交通工程</w:t>
            </w:r>
            <w:r>
              <w:rPr>
                <w:rFonts w:hint="eastAsia"/>
                <w:kern w:val="2"/>
                <w:sz w:val="21"/>
                <w:szCs w:val="21"/>
                <w:lang w:eastAsia="zh-CN"/>
              </w:rPr>
              <w:t>，</w:t>
            </w:r>
            <w:r>
              <w:rPr>
                <w:rFonts w:hint="eastAsia" w:ascii="Times New Roman" w:hAnsi="Times New Roman" w:cs="Times New Roman"/>
                <w:spacing w:val="-2"/>
                <w:kern w:val="2"/>
                <w:sz w:val="21"/>
                <w:szCs w:val="21"/>
                <w:lang w:eastAsia="zh-CN"/>
              </w:rPr>
              <w:t>不属于对水体污染严重的建设项目、施工期和运行期均不向外环境排放废水、不使用</w:t>
            </w:r>
            <w:r>
              <w:rPr>
                <w:spacing w:val="-2"/>
                <w:kern w:val="2"/>
                <w:sz w:val="21"/>
                <w:szCs w:val="21"/>
                <w:lang w:eastAsia="zh-CN"/>
              </w:rPr>
              <w:t>剧毒、高毒、高残留农药</w:t>
            </w:r>
            <w:r>
              <w:rPr>
                <w:rFonts w:hint="eastAsia"/>
                <w:spacing w:val="-2"/>
                <w:kern w:val="2"/>
                <w:sz w:val="21"/>
                <w:szCs w:val="21"/>
                <w:lang w:eastAsia="zh-CN"/>
              </w:rPr>
              <w:t>、未设置危险废物暂存及转运场所、未设置生活垃圾、工业土地废物处置场所等，不会对区域地下水水环境产生影响。</w:t>
            </w:r>
          </w:p>
        </w:tc>
        <w:tc>
          <w:tcPr>
            <w:tcW w:w="595" w:type="pct"/>
            <w:vAlign w:val="center"/>
          </w:tcPr>
          <w:p>
            <w:pPr>
              <w:pStyle w:val="675"/>
              <w:jc w:val="center"/>
              <w:rPr>
                <w:kern w:val="2"/>
                <w:sz w:val="21"/>
                <w:szCs w:val="21"/>
                <w:lang w:eastAsia="zh-CN"/>
              </w:rPr>
            </w:pPr>
            <w:r>
              <w:rPr>
                <w:rFonts w:hint="eastAsia"/>
                <w:kern w:val="2"/>
                <w:sz w:val="21"/>
                <w:szCs w:val="21"/>
                <w:lang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autoSpaceDE w:val="0"/>
              <w:autoSpaceDN w:val="0"/>
              <w:adjustRightInd w:val="0"/>
              <w:spacing w:line="240" w:lineRule="auto"/>
              <w:ind w:firstLine="0" w:firstLineChars="0"/>
              <w:jc w:val="center"/>
              <w:rPr>
                <w:spacing w:val="-2"/>
                <w:sz w:val="21"/>
              </w:rPr>
            </w:pPr>
            <w:r>
              <w:rPr>
                <w:spacing w:val="-2"/>
                <w:sz w:val="21"/>
              </w:rPr>
              <w:t>5</w:t>
            </w:r>
          </w:p>
        </w:tc>
        <w:tc>
          <w:tcPr>
            <w:tcW w:w="2571" w:type="pct"/>
            <w:vAlign w:val="center"/>
          </w:tcPr>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第十八条在二级保护区内，除适用本条例第十七条规定外，还应当遵守下列规定：</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（一）禁止设置排污口；</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（二）禁止新建、改建、扩建排放污染物的建设项目，已建成的由县级以上人民政府责令拆除或者关闭；</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（三）禁止从事网箱养殖等可能污染饮用水水体的活动；</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（四）禁止建设规模化畜禽养殖场、养殖小区；</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（五）禁止从事经营性取土和采石、采砂等活动；</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（六）禁止建设工业固体废物、危险废物集中贮存、利用、处置的设施、场所以及生活垃圾填埋场；</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（七）禁止铺设输送有毒有害物品的管道，铺设生活污水、油类输送管道及贮存设施应当采取防护措施；</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（八）严禁使用农药，禁止丢弃农药、农药包装物或者在河道内清洗施药器械；</w:t>
            </w:r>
          </w:p>
          <w:p>
            <w:pPr>
              <w:autoSpaceDE w:val="0"/>
              <w:autoSpaceDN w:val="0"/>
              <w:adjustRightInd w:val="0"/>
              <w:spacing w:line="240" w:lineRule="auto"/>
              <w:ind w:firstLine="412"/>
              <w:jc w:val="left"/>
              <w:rPr>
                <w:rFonts w:ascii="宋体" w:hAnsi="宋体" w:cs="宋体"/>
                <w:spacing w:val="-2"/>
                <w:sz w:val="21"/>
              </w:rPr>
            </w:pPr>
            <w:r>
              <w:rPr>
                <w:rFonts w:ascii="宋体" w:hAnsi="宋体" w:cs="宋体"/>
                <w:spacing w:val="-2"/>
                <w:sz w:val="21"/>
              </w:rPr>
              <w:t>（九）法律、法规规定的其他禁止行为。</w:t>
            </w:r>
          </w:p>
          <w:p>
            <w:pPr>
              <w:pStyle w:val="675"/>
              <w:ind w:firstLine="412" w:firstLineChars="200"/>
              <w:jc w:val="both"/>
              <w:rPr>
                <w:spacing w:val="-2"/>
                <w:kern w:val="2"/>
                <w:sz w:val="21"/>
                <w:szCs w:val="21"/>
                <w:lang w:eastAsia="zh-CN"/>
              </w:rPr>
            </w:pPr>
            <w:r>
              <w:rPr>
                <w:spacing w:val="-2"/>
                <w:kern w:val="2"/>
                <w:sz w:val="21"/>
                <w:szCs w:val="21"/>
                <w:lang w:eastAsia="zh-CN"/>
              </w:rPr>
              <w:t>在二级保护区内从事旅游等活动的，应当按照规定采取措施，防止污染</w:t>
            </w:r>
            <w:r>
              <w:rPr>
                <w:rFonts w:hint="eastAsia"/>
                <w:spacing w:val="-2"/>
                <w:kern w:val="2"/>
                <w:sz w:val="21"/>
                <w:szCs w:val="21"/>
                <w:lang w:eastAsia="zh-CN"/>
              </w:rPr>
              <w:t>水体。</w:t>
            </w:r>
          </w:p>
        </w:tc>
        <w:tc>
          <w:tcPr>
            <w:tcW w:w="1495" w:type="pct"/>
            <w:vAlign w:val="center"/>
          </w:tcPr>
          <w:p>
            <w:pPr>
              <w:pStyle w:val="675"/>
              <w:ind w:firstLine="420" w:firstLineChars="200"/>
              <w:jc w:val="both"/>
              <w:rPr>
                <w:rFonts w:ascii="Times New Roman" w:hAnsi="Times New Roman" w:cs="Times New Roman"/>
                <w:spacing w:val="-2"/>
                <w:kern w:val="2"/>
                <w:sz w:val="21"/>
                <w:szCs w:val="21"/>
                <w:lang w:eastAsia="zh-CN"/>
              </w:rPr>
            </w:pPr>
            <w:r>
              <w:rPr>
                <w:rFonts w:hint="eastAsia"/>
                <w:kern w:val="2"/>
                <w:sz w:val="21"/>
                <w:szCs w:val="21"/>
                <w:lang w:eastAsia="zh-CN"/>
              </w:rPr>
              <w:t>本项目</w:t>
            </w:r>
            <w:r>
              <w:rPr>
                <w:rFonts w:ascii="Times New Roman" w:hAnsi="Times New Roman" w:cs="Times New Roman"/>
                <w:spacing w:val="-2"/>
                <w:kern w:val="2"/>
                <w:sz w:val="21"/>
                <w:szCs w:val="21"/>
                <w:lang w:eastAsia="zh-CN"/>
              </w:rPr>
              <w:t>K</w:t>
            </w:r>
            <w:r>
              <w:rPr>
                <w:rFonts w:hint="eastAsia" w:ascii="Times New Roman" w:hAnsi="Times New Roman" w:cs="Times New Roman"/>
                <w:spacing w:val="-2"/>
                <w:kern w:val="2"/>
                <w:sz w:val="21"/>
                <w:szCs w:val="21"/>
                <w:lang w:eastAsia="zh-CN"/>
              </w:rPr>
              <w:t>7</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750</w:t>
            </w:r>
            <w:r>
              <w:rPr>
                <w:rFonts w:ascii="Times New Roman" w:hAnsi="Times New Roman" w:cs="Times New Roman"/>
                <w:spacing w:val="-2"/>
                <w:kern w:val="2"/>
                <w:sz w:val="21"/>
                <w:szCs w:val="21"/>
                <w:lang w:eastAsia="zh-CN"/>
              </w:rPr>
              <w:t>~K</w:t>
            </w:r>
            <w:r>
              <w:rPr>
                <w:rFonts w:hint="eastAsia" w:ascii="Times New Roman" w:hAnsi="Times New Roman" w:cs="Times New Roman"/>
                <w:spacing w:val="-2"/>
                <w:kern w:val="2"/>
                <w:sz w:val="21"/>
                <w:szCs w:val="21"/>
                <w:lang w:eastAsia="zh-CN"/>
              </w:rPr>
              <w:t>12</w:t>
            </w:r>
            <w:r>
              <w:rPr>
                <w:rFonts w:ascii="Times New Roman" w:hAnsi="Times New Roman" w:cs="Times New Roman"/>
                <w:spacing w:val="-2"/>
                <w:kern w:val="2"/>
                <w:sz w:val="21"/>
                <w:szCs w:val="21"/>
                <w:lang w:eastAsia="zh-CN"/>
              </w:rPr>
              <w:t>+</w:t>
            </w:r>
            <w:r>
              <w:rPr>
                <w:rFonts w:hint="eastAsia" w:ascii="Times New Roman" w:hAnsi="Times New Roman" w:cs="Times New Roman"/>
                <w:spacing w:val="-2"/>
                <w:kern w:val="2"/>
                <w:sz w:val="21"/>
                <w:szCs w:val="21"/>
                <w:lang w:eastAsia="zh-CN"/>
              </w:rPr>
              <w:t>705穿越水源地二级保护区，本项目在保护区范围内为设置排污口。本项目属于</w:t>
            </w:r>
            <w:r>
              <w:rPr>
                <w:kern w:val="2"/>
                <w:sz w:val="21"/>
                <w:szCs w:val="21"/>
                <w:lang w:eastAsia="zh-CN"/>
              </w:rPr>
              <w:t>线性交通工程</w:t>
            </w:r>
            <w:r>
              <w:rPr>
                <w:rFonts w:hint="eastAsia" w:ascii="Times New Roman" w:hAnsi="Times New Roman" w:cs="Times New Roman"/>
                <w:spacing w:val="-2"/>
                <w:kern w:val="2"/>
                <w:sz w:val="21"/>
                <w:szCs w:val="21"/>
                <w:lang w:eastAsia="zh-CN"/>
              </w:rPr>
              <w:t>，不涉及污染物排放，不属于养殖、不建设固体废物、危险废物贮存、利用、处置设施，不涉及有毒有害物质输送管道建设、不涉及农药使用。本项目施工过程中垫土采用外购方式获取，不设置取土场，施工材料均外购，不进行采砂、采石等活动，不属于法律法规禁止行为。</w:t>
            </w:r>
          </w:p>
        </w:tc>
        <w:tc>
          <w:tcPr>
            <w:tcW w:w="595" w:type="pct"/>
            <w:vAlign w:val="center"/>
          </w:tcPr>
          <w:p>
            <w:pPr>
              <w:pStyle w:val="675"/>
              <w:jc w:val="center"/>
              <w:rPr>
                <w:kern w:val="2"/>
                <w:sz w:val="21"/>
                <w:szCs w:val="21"/>
                <w:lang w:eastAsia="zh-CN"/>
              </w:rPr>
            </w:pPr>
            <w:r>
              <w:rPr>
                <w:rFonts w:hint="eastAsia"/>
                <w:kern w:val="2"/>
                <w:sz w:val="21"/>
                <w:szCs w:val="21"/>
                <w:lang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cs="Times New Roman"/>
                <w:spacing w:val="-2"/>
                <w:kern w:val="2"/>
                <w:sz w:val="21"/>
                <w:szCs w:val="21"/>
                <w:lang w:eastAsia="zh-CN"/>
              </w:rPr>
            </w:pPr>
            <w:r>
              <w:rPr>
                <w:rFonts w:ascii="Times New Roman" w:hAnsi="Times New Roman" w:cs="Times New Roman"/>
                <w:spacing w:val="-2"/>
                <w:kern w:val="2"/>
                <w:sz w:val="21"/>
                <w:szCs w:val="21"/>
                <w:lang w:eastAsia="zh-CN"/>
              </w:rPr>
              <w:t>6</w:t>
            </w:r>
          </w:p>
        </w:tc>
        <w:tc>
          <w:tcPr>
            <w:tcW w:w="2571" w:type="pct"/>
            <w:vAlign w:val="center"/>
          </w:tcPr>
          <w:p>
            <w:pPr>
              <w:pStyle w:val="675"/>
              <w:ind w:firstLine="412" w:firstLineChars="200"/>
              <w:jc w:val="both"/>
              <w:rPr>
                <w:spacing w:val="-2"/>
                <w:kern w:val="2"/>
                <w:sz w:val="21"/>
                <w:szCs w:val="21"/>
                <w:lang w:eastAsia="zh-CN"/>
              </w:rPr>
            </w:pPr>
            <w:r>
              <w:rPr>
                <w:spacing w:val="-2"/>
                <w:kern w:val="2"/>
                <w:sz w:val="21"/>
                <w:szCs w:val="21"/>
                <w:lang w:eastAsia="zh-CN"/>
              </w:rPr>
              <w:t>第十九条在一级保护区内，除适用本条例第十七条、第十八条规定外，还应当遵守下列规定：</w:t>
            </w:r>
          </w:p>
          <w:p>
            <w:pPr>
              <w:pStyle w:val="675"/>
              <w:ind w:firstLine="412" w:firstLineChars="200"/>
              <w:jc w:val="both"/>
              <w:rPr>
                <w:spacing w:val="-2"/>
                <w:kern w:val="2"/>
                <w:sz w:val="21"/>
                <w:szCs w:val="21"/>
                <w:lang w:eastAsia="zh-CN"/>
              </w:rPr>
            </w:pPr>
            <w:r>
              <w:rPr>
                <w:spacing w:val="-2"/>
                <w:kern w:val="2"/>
                <w:sz w:val="21"/>
                <w:szCs w:val="21"/>
                <w:lang w:eastAsia="zh-CN"/>
              </w:rPr>
              <w:t>（一）禁止新建、改建、扩建与供水设施和保护水源无关的建设项目，已建成的由县级以上人民政府责令拆除或者关闭；</w:t>
            </w:r>
          </w:p>
          <w:p>
            <w:pPr>
              <w:pStyle w:val="675"/>
              <w:ind w:firstLine="412" w:firstLineChars="200"/>
              <w:jc w:val="both"/>
              <w:rPr>
                <w:spacing w:val="-2"/>
                <w:kern w:val="2"/>
                <w:sz w:val="21"/>
                <w:szCs w:val="21"/>
                <w:lang w:eastAsia="zh-CN"/>
              </w:rPr>
            </w:pPr>
            <w:r>
              <w:rPr>
                <w:spacing w:val="-2"/>
                <w:kern w:val="2"/>
                <w:sz w:val="21"/>
                <w:szCs w:val="21"/>
                <w:lang w:eastAsia="zh-CN"/>
              </w:rPr>
              <w:t>（二）禁止铺设输送污水的管道及输油管道；</w:t>
            </w:r>
          </w:p>
          <w:p>
            <w:pPr>
              <w:pStyle w:val="675"/>
              <w:ind w:firstLine="412" w:firstLineChars="200"/>
              <w:jc w:val="both"/>
              <w:rPr>
                <w:spacing w:val="-2"/>
                <w:kern w:val="2"/>
                <w:sz w:val="21"/>
                <w:szCs w:val="21"/>
                <w:lang w:eastAsia="zh-CN"/>
              </w:rPr>
            </w:pPr>
            <w:r>
              <w:rPr>
                <w:spacing w:val="-2"/>
                <w:kern w:val="2"/>
                <w:sz w:val="21"/>
                <w:szCs w:val="21"/>
                <w:lang w:eastAsia="zh-CN"/>
              </w:rPr>
              <w:t>（三）禁止其他可能污染饮用水水体的行为。</w:t>
            </w:r>
          </w:p>
          <w:p>
            <w:pPr>
              <w:pStyle w:val="675"/>
              <w:ind w:firstLine="412" w:firstLineChars="200"/>
              <w:jc w:val="both"/>
              <w:rPr>
                <w:spacing w:val="-2"/>
                <w:kern w:val="2"/>
                <w:sz w:val="21"/>
                <w:szCs w:val="21"/>
                <w:lang w:eastAsia="zh-CN"/>
              </w:rPr>
            </w:pPr>
            <w:r>
              <w:rPr>
                <w:spacing w:val="-2"/>
                <w:kern w:val="2"/>
                <w:sz w:val="21"/>
                <w:szCs w:val="21"/>
                <w:lang w:eastAsia="zh-CN"/>
              </w:rPr>
              <w:t>对一级保护区内的居民，市、县级人民政府应当根据集中式饮用水水源地保护需要，有计划地实施搬迁，妥善安置，并依法给予补偿。保护区划定前已有的农业种植和经济林，应当严格控制化肥、农药等非点源污染，并逐步退出。</w:t>
            </w:r>
          </w:p>
        </w:tc>
        <w:tc>
          <w:tcPr>
            <w:tcW w:w="1495" w:type="pct"/>
            <w:vAlign w:val="center"/>
          </w:tcPr>
          <w:p>
            <w:pPr>
              <w:pStyle w:val="675"/>
              <w:ind w:firstLine="420" w:firstLineChars="200"/>
              <w:jc w:val="both"/>
              <w:rPr>
                <w:kern w:val="2"/>
                <w:sz w:val="21"/>
                <w:szCs w:val="21"/>
                <w:lang w:eastAsia="zh-CN"/>
              </w:rPr>
            </w:pPr>
            <w:r>
              <w:rPr>
                <w:rFonts w:hint="eastAsia"/>
                <w:kern w:val="2"/>
                <w:sz w:val="21"/>
                <w:szCs w:val="21"/>
                <w:lang w:eastAsia="zh-CN"/>
              </w:rPr>
              <w:t>本项目不涉及一级保护区穿越，要求项目施工过程中，严格按照施工道路红线要求进行施工，禁止占用一级保护区用地，本项目建设不会对一级保护区产生影响</w:t>
            </w:r>
          </w:p>
        </w:tc>
        <w:tc>
          <w:tcPr>
            <w:tcW w:w="595" w:type="pct"/>
            <w:vAlign w:val="center"/>
          </w:tcPr>
          <w:p>
            <w:pPr>
              <w:pStyle w:val="675"/>
              <w:jc w:val="center"/>
              <w:rPr>
                <w:kern w:val="2"/>
                <w:sz w:val="21"/>
                <w:szCs w:val="21"/>
                <w:lang w:eastAsia="zh-CN"/>
              </w:rPr>
            </w:pPr>
            <w:r>
              <w:rPr>
                <w:rFonts w:hint="eastAsia"/>
                <w:kern w:val="2"/>
                <w:sz w:val="21"/>
                <w:szCs w:val="21"/>
                <w:lang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39" w:type="pct"/>
            <w:vAlign w:val="center"/>
          </w:tcPr>
          <w:p>
            <w:pPr>
              <w:pStyle w:val="675"/>
              <w:jc w:val="center"/>
              <w:rPr>
                <w:rFonts w:ascii="Times New Roman" w:hAnsi="Times New Roman" w:cs="Times New Roman"/>
                <w:spacing w:val="-2"/>
                <w:kern w:val="2"/>
                <w:sz w:val="21"/>
                <w:szCs w:val="21"/>
                <w:lang w:eastAsia="zh-CN"/>
              </w:rPr>
            </w:pPr>
            <w:r>
              <w:rPr>
                <w:rFonts w:ascii="Times New Roman" w:hAnsi="Times New Roman" w:cs="Times New Roman"/>
                <w:spacing w:val="-2"/>
                <w:kern w:val="2"/>
                <w:sz w:val="21"/>
                <w:szCs w:val="21"/>
                <w:lang w:eastAsia="zh-CN"/>
              </w:rPr>
              <w:t>7</w:t>
            </w:r>
          </w:p>
        </w:tc>
        <w:tc>
          <w:tcPr>
            <w:tcW w:w="2571" w:type="pct"/>
            <w:vAlign w:val="center"/>
          </w:tcPr>
          <w:p>
            <w:pPr>
              <w:pStyle w:val="675"/>
              <w:ind w:firstLine="412" w:firstLineChars="200"/>
              <w:jc w:val="both"/>
              <w:rPr>
                <w:spacing w:val="-2"/>
                <w:kern w:val="2"/>
                <w:sz w:val="21"/>
                <w:szCs w:val="21"/>
                <w:lang w:eastAsia="zh-CN"/>
              </w:rPr>
            </w:pPr>
            <w:r>
              <w:rPr>
                <w:spacing w:val="-2"/>
                <w:kern w:val="2"/>
                <w:sz w:val="21"/>
                <w:szCs w:val="21"/>
                <w:lang w:eastAsia="zh-CN"/>
              </w:rPr>
              <w:t>第二十一条在地下水饮用水水源准保护区内从事地下勘探、兴建地下工程设施等活动的，应当采取防护性措施，防止破坏和污染地下水。</w:t>
            </w:r>
          </w:p>
          <w:p>
            <w:pPr>
              <w:pStyle w:val="675"/>
              <w:ind w:firstLine="412" w:firstLineChars="200"/>
              <w:jc w:val="both"/>
              <w:rPr>
                <w:spacing w:val="-2"/>
                <w:kern w:val="2"/>
                <w:sz w:val="21"/>
                <w:szCs w:val="21"/>
                <w:lang w:eastAsia="zh-CN"/>
              </w:rPr>
            </w:pPr>
            <w:r>
              <w:rPr>
                <w:spacing w:val="-2"/>
                <w:kern w:val="2"/>
                <w:sz w:val="21"/>
                <w:szCs w:val="21"/>
                <w:lang w:eastAsia="zh-CN"/>
              </w:rPr>
              <w:t>在地下水饮用水水源保护区内，除适用本条例第十七条、第十八条、第十九条和前款规定外，还应当遵守下列规定：</w:t>
            </w:r>
          </w:p>
          <w:p>
            <w:pPr>
              <w:pStyle w:val="675"/>
              <w:ind w:firstLine="412" w:firstLineChars="200"/>
              <w:jc w:val="both"/>
              <w:rPr>
                <w:spacing w:val="-2"/>
                <w:kern w:val="2"/>
                <w:sz w:val="21"/>
                <w:szCs w:val="21"/>
                <w:lang w:eastAsia="zh-CN"/>
              </w:rPr>
            </w:pPr>
            <w:r>
              <w:rPr>
                <w:spacing w:val="-2"/>
                <w:kern w:val="2"/>
                <w:sz w:val="21"/>
                <w:szCs w:val="21"/>
                <w:lang w:eastAsia="zh-CN"/>
              </w:rPr>
              <w:t>（一）禁止利用渗坑、渗井、裂隙等排放污水和其他有害废弃物；</w:t>
            </w:r>
          </w:p>
          <w:p>
            <w:pPr>
              <w:pStyle w:val="675"/>
              <w:ind w:firstLine="412" w:firstLineChars="200"/>
              <w:jc w:val="both"/>
              <w:rPr>
                <w:spacing w:val="-2"/>
                <w:kern w:val="2"/>
                <w:sz w:val="21"/>
                <w:szCs w:val="21"/>
                <w:lang w:eastAsia="zh-CN"/>
              </w:rPr>
            </w:pPr>
            <w:r>
              <w:rPr>
                <w:spacing w:val="-2"/>
                <w:kern w:val="2"/>
                <w:sz w:val="21"/>
                <w:szCs w:val="21"/>
                <w:lang w:eastAsia="zh-CN"/>
              </w:rPr>
              <w:t>（二）禁止利用渗坑、渗井、裂隙及废弃矿坑储存石油、天然气、放射性物质、有毒有害化工原料、农药等；</w:t>
            </w:r>
          </w:p>
          <w:p>
            <w:pPr>
              <w:pStyle w:val="675"/>
              <w:ind w:firstLine="412" w:firstLineChars="200"/>
              <w:jc w:val="both"/>
              <w:rPr>
                <w:spacing w:val="-2"/>
                <w:kern w:val="2"/>
                <w:sz w:val="21"/>
                <w:szCs w:val="21"/>
                <w:lang w:eastAsia="zh-CN"/>
              </w:rPr>
            </w:pPr>
            <w:r>
              <w:rPr>
                <w:spacing w:val="-2"/>
                <w:kern w:val="2"/>
                <w:sz w:val="21"/>
                <w:szCs w:val="21"/>
                <w:lang w:eastAsia="zh-CN"/>
              </w:rPr>
              <w:t>（三）禁止使用不符合农田灌溉水质标准的水进行灌溉；</w:t>
            </w:r>
          </w:p>
          <w:p>
            <w:pPr>
              <w:pStyle w:val="675"/>
              <w:ind w:firstLine="412" w:firstLineChars="200"/>
              <w:jc w:val="both"/>
              <w:rPr>
                <w:spacing w:val="-2"/>
                <w:kern w:val="2"/>
                <w:sz w:val="21"/>
                <w:szCs w:val="21"/>
                <w:lang w:eastAsia="zh-CN"/>
              </w:rPr>
            </w:pPr>
            <w:r>
              <w:rPr>
                <w:spacing w:val="-2"/>
                <w:kern w:val="2"/>
                <w:sz w:val="21"/>
                <w:szCs w:val="21"/>
                <w:lang w:eastAsia="zh-CN"/>
              </w:rPr>
              <w:t>（四）实行人工回灌地下水时不得污染地下水源。</w:t>
            </w:r>
          </w:p>
        </w:tc>
        <w:tc>
          <w:tcPr>
            <w:tcW w:w="1495" w:type="pct"/>
            <w:vAlign w:val="center"/>
          </w:tcPr>
          <w:p>
            <w:pPr>
              <w:pStyle w:val="675"/>
              <w:ind w:firstLine="420" w:firstLineChars="200"/>
              <w:jc w:val="both"/>
              <w:rPr>
                <w:kern w:val="2"/>
                <w:sz w:val="21"/>
                <w:szCs w:val="21"/>
                <w:lang w:eastAsia="zh-CN"/>
              </w:rPr>
            </w:pPr>
            <w:r>
              <w:rPr>
                <w:rFonts w:hint="eastAsia"/>
                <w:kern w:val="2"/>
                <w:sz w:val="21"/>
                <w:szCs w:val="21"/>
                <w:lang w:eastAsia="zh-CN"/>
              </w:rPr>
              <w:t>本项目属于</w:t>
            </w:r>
            <w:r>
              <w:rPr>
                <w:kern w:val="2"/>
                <w:sz w:val="21"/>
                <w:szCs w:val="21"/>
                <w:lang w:eastAsia="zh-CN"/>
              </w:rPr>
              <w:t>线性交通工程</w:t>
            </w:r>
            <w:r>
              <w:rPr>
                <w:rFonts w:hint="eastAsia"/>
                <w:kern w:val="2"/>
                <w:sz w:val="21"/>
                <w:szCs w:val="21"/>
                <w:lang w:eastAsia="zh-CN"/>
              </w:rPr>
              <w:t>，不属于地下勘探、兴建地下工程设施的活动，本项目不涉及废水产生及外排，道路垃圾及时清运，不会涉及渗坑、</w:t>
            </w:r>
            <w:r>
              <w:rPr>
                <w:spacing w:val="-2"/>
                <w:kern w:val="2"/>
                <w:sz w:val="21"/>
                <w:szCs w:val="21"/>
                <w:lang w:eastAsia="zh-CN"/>
              </w:rPr>
              <w:t>渗井、裂隙等排放污水和其他有害废弃物</w:t>
            </w:r>
            <w:r>
              <w:rPr>
                <w:rFonts w:hint="eastAsia"/>
                <w:spacing w:val="-2"/>
                <w:kern w:val="2"/>
                <w:sz w:val="21"/>
                <w:szCs w:val="21"/>
                <w:lang w:eastAsia="zh-CN"/>
              </w:rPr>
              <w:t>；不涉及灌溉工程，本项目建设不会对区域地下水水源地产生影响。</w:t>
            </w:r>
          </w:p>
        </w:tc>
        <w:tc>
          <w:tcPr>
            <w:tcW w:w="595" w:type="pct"/>
            <w:vAlign w:val="center"/>
          </w:tcPr>
          <w:p>
            <w:pPr>
              <w:pStyle w:val="675"/>
              <w:jc w:val="center"/>
              <w:rPr>
                <w:kern w:val="2"/>
                <w:sz w:val="21"/>
                <w:szCs w:val="21"/>
                <w:lang w:eastAsia="zh-CN"/>
              </w:rPr>
            </w:pPr>
            <w:r>
              <w:rPr>
                <w:rFonts w:hint="eastAsia"/>
                <w:kern w:val="2"/>
                <w:sz w:val="21"/>
                <w:szCs w:val="21"/>
                <w:lang w:eastAsia="zh-CN"/>
              </w:rPr>
              <w:t>符合</w:t>
            </w:r>
          </w:p>
        </w:tc>
      </w:tr>
    </w:tbl>
    <w:p>
      <w:pPr>
        <w:ind w:firstLine="480"/>
        <w:rPr>
          <w:szCs w:val="24"/>
          <w:highlight w:val="yellow"/>
        </w:rPr>
      </w:pPr>
      <w:r>
        <w:rPr>
          <w:szCs w:val="24"/>
        </w:rPr>
        <w:t>综上，本项目不属于</w:t>
      </w:r>
      <w:r>
        <w:rPr>
          <w:rFonts w:hint="eastAsia"/>
        </w:rPr>
        <w:t>《唐山市集中式饮用水水源地保护管理条例》</w:t>
      </w:r>
      <w:r>
        <w:rPr>
          <w:szCs w:val="24"/>
        </w:rPr>
        <w:t>中所列禁止行为，本项目为线性交通工程，</w:t>
      </w:r>
      <w:r>
        <w:rPr>
          <w:rFonts w:hint="eastAsia"/>
          <w:szCs w:val="24"/>
        </w:rPr>
        <w:t>虽穿越遵化市堡子店地下水水源地准保护区和二级保护区，项目采取严格施工措施及道路防护措施，不会对区域地下水环境产生明显影响。</w:t>
      </w:r>
    </w:p>
    <w:p>
      <w:pPr>
        <w:pStyle w:val="204"/>
        <w:spacing w:line="480" w:lineRule="exact"/>
        <w:ind w:firstLine="0" w:firstLineChars="0"/>
        <w:outlineLvl w:val="2"/>
        <w:rPr>
          <w:b/>
          <w:sz w:val="28"/>
          <w:szCs w:val="28"/>
        </w:rPr>
      </w:pPr>
      <w:r>
        <w:rPr>
          <w:rFonts w:hint="eastAsia"/>
          <w:b/>
          <w:sz w:val="28"/>
          <w:szCs w:val="28"/>
        </w:rPr>
        <w:t>1.3.5“三线一单”符合性分析</w:t>
      </w:r>
    </w:p>
    <w:p>
      <w:pPr>
        <w:ind w:firstLine="480"/>
        <w:rPr>
          <w:rFonts w:hAnsi="宋体"/>
          <w:szCs w:val="24"/>
        </w:rPr>
      </w:pPr>
      <w:r>
        <w:rPr>
          <w:rFonts w:hint="eastAsia" w:hAnsi="宋体"/>
          <w:szCs w:val="24"/>
        </w:rPr>
        <w:t>根据《关于以改善环境质量为核心加强环境影响评价管理的通知》（环环评</w:t>
      </w:r>
      <w:r>
        <w:rPr>
          <w:rFonts w:hAnsi="宋体"/>
          <w:bCs/>
          <w:szCs w:val="24"/>
        </w:rPr>
        <w:t>[2016]150</w:t>
      </w:r>
      <w:r>
        <w:rPr>
          <w:rFonts w:hint="eastAsia" w:hAnsi="宋体"/>
          <w:szCs w:val="24"/>
        </w:rPr>
        <w:t>号），要求以生态保护红线、环境质量底线、资源利用上限和环境准入负面清单（以下简称</w:t>
      </w:r>
      <w:r>
        <w:rPr>
          <w:rFonts w:hint="eastAsia" w:hAnsi="宋体"/>
          <w:bCs/>
          <w:szCs w:val="24"/>
        </w:rPr>
        <w:t>“</w:t>
      </w:r>
      <w:r>
        <w:rPr>
          <w:rFonts w:hint="eastAsia" w:hAnsi="宋体"/>
          <w:szCs w:val="24"/>
        </w:rPr>
        <w:t>三线一单</w:t>
      </w:r>
      <w:r>
        <w:rPr>
          <w:rFonts w:hint="eastAsia" w:hAnsi="宋体"/>
          <w:bCs/>
          <w:szCs w:val="24"/>
        </w:rPr>
        <w:t>”</w:t>
      </w:r>
      <w:r>
        <w:rPr>
          <w:rFonts w:hint="eastAsia" w:hAnsi="宋体"/>
          <w:szCs w:val="24"/>
        </w:rPr>
        <w:t>）为手段，强化空间、总量和准入环境管理。本项目关于落实上述要求的分析如下：</w:t>
      </w:r>
    </w:p>
    <w:p>
      <w:pPr>
        <w:ind w:firstLine="480" w:firstLineChars="0"/>
        <w:rPr>
          <w:rFonts w:hAnsi="宋体"/>
          <w:szCs w:val="24"/>
        </w:rPr>
      </w:pPr>
      <w:r>
        <w:rPr>
          <w:rFonts w:hint="eastAsia" w:hAnsi="宋体"/>
          <w:szCs w:val="24"/>
        </w:rPr>
        <w:t>（1）生</w:t>
      </w:r>
      <w:r>
        <w:rPr>
          <w:rFonts w:hAnsi="宋体"/>
          <w:szCs w:val="24"/>
        </w:rPr>
        <w:t>态保护红线</w:t>
      </w:r>
    </w:p>
    <w:p>
      <w:pPr>
        <w:ind w:firstLine="480" w:firstLineChars="0"/>
        <w:rPr>
          <w:rFonts w:hAnsi="宋体"/>
          <w:szCs w:val="24"/>
        </w:rPr>
      </w:pPr>
      <w:r>
        <w:rPr>
          <w:rFonts w:hAnsi="宋体"/>
          <w:szCs w:val="24"/>
        </w:rPr>
        <w:t>生态保护红线包括重点生态功能区保护红线、生态敏感脆弱区保护红线和禁止开发区保护红线。根据《河北省生态保护红线》（冀政字[2018]23号），河北平原河湖滨岸带生态保护红线分布范围南到河南省界，北至燕山，西邻太行山，东濒渤海。主要分布于廊坊、沧州、衡水市，秦皇岛、唐山市南部，保定、石家庄、邢台、邯郸市东部。生态保护红线面积1618km</w:t>
      </w:r>
      <w:r>
        <w:rPr>
          <w:rFonts w:hAnsi="宋体"/>
          <w:szCs w:val="24"/>
          <w:vertAlign w:val="superscript"/>
        </w:rPr>
        <w:t>2</w:t>
      </w:r>
      <w:r>
        <w:rPr>
          <w:rFonts w:hAnsi="宋体"/>
          <w:szCs w:val="24"/>
        </w:rPr>
        <w:t>。生态系统类型及生态功能：区域内主要以农田生态系统为主，兼有河流与淡水湿地生态系统，分布有海河、滦河两大水系。保护重点：主要保护内陆河流与淡水湿地生态系统，逐渐恢复流域内珍稀濒危野生动植物栖息地。本项目</w:t>
      </w:r>
      <w:r>
        <w:rPr>
          <w:rFonts w:hint="eastAsia" w:hAnsi="宋体"/>
          <w:szCs w:val="24"/>
        </w:rPr>
        <w:t>不涉及穿</w:t>
      </w:r>
      <w:r>
        <w:rPr>
          <w:rFonts w:hAnsi="宋体"/>
          <w:szCs w:val="24"/>
        </w:rPr>
        <w:t>越生态红线</w:t>
      </w:r>
      <w:r>
        <w:rPr>
          <w:rFonts w:hint="eastAsia" w:hAnsi="宋体"/>
          <w:szCs w:val="24"/>
        </w:rPr>
        <w:t>，不属于严控开发的建设项目，允许建设。</w:t>
      </w:r>
    </w:p>
    <w:p>
      <w:pPr>
        <w:ind w:firstLine="480"/>
        <w:jc w:val="left"/>
        <w:rPr>
          <w:rFonts w:hAnsi="宋体"/>
          <w:szCs w:val="24"/>
        </w:rPr>
      </w:pPr>
      <w:r>
        <w:rPr>
          <w:rFonts w:hint="eastAsia" w:hAnsi="宋体"/>
          <w:szCs w:val="24"/>
        </w:rPr>
        <w:t>（2）环境质量底线</w:t>
      </w:r>
    </w:p>
    <w:p>
      <w:pPr>
        <w:ind w:firstLine="480"/>
        <w:jc w:val="left"/>
      </w:pPr>
      <w:r>
        <w:rPr>
          <w:rFonts w:hint="eastAsia"/>
        </w:rPr>
        <w:t>根据工程分析，</w:t>
      </w:r>
      <w:r>
        <w:t>本项目废气、废水、噪声经治理后对周边环境影响可接受，固体废物全部妥善处置。因此，本项目建设不会触及环境质量底线。</w:t>
      </w:r>
    </w:p>
    <w:p>
      <w:pPr>
        <w:pStyle w:val="18"/>
        <w:spacing w:after="0"/>
        <w:ind w:firstLine="480"/>
        <w:rPr>
          <w:rFonts w:hAnsi="宋体"/>
          <w:szCs w:val="24"/>
        </w:rPr>
      </w:pPr>
      <w:r>
        <w:rPr>
          <w:rFonts w:hint="eastAsia" w:hAnsi="宋体"/>
          <w:szCs w:val="24"/>
        </w:rPr>
        <w:t>（3）资源利用上限</w:t>
      </w:r>
    </w:p>
    <w:p>
      <w:pPr>
        <w:pStyle w:val="18"/>
        <w:spacing w:after="0"/>
        <w:ind w:firstLine="480"/>
        <w:rPr>
          <w:rFonts w:hAnsi="宋体"/>
          <w:szCs w:val="24"/>
        </w:rPr>
      </w:pPr>
      <w:r>
        <w:rPr>
          <w:rFonts w:hint="eastAsia" w:hAnsi="宋体"/>
          <w:szCs w:val="24"/>
        </w:rPr>
        <w:t>本项目已取得河北省自然资源厅核发的用地预审与选址意见书，同意该项目用地。因此，</w:t>
      </w:r>
      <w:r>
        <w:rPr>
          <w:rFonts w:hAnsi="宋体"/>
          <w:szCs w:val="24"/>
        </w:rPr>
        <w:t>本项目用地符合区域土地资源利用要求；建设及营运过程中有一定量的电力资源、水资源等资源消耗，项目资源消耗量相对区域资源利用总量较少，不会触及资源利用上线</w:t>
      </w:r>
      <w:r>
        <w:rPr>
          <w:rFonts w:hint="eastAsia" w:hAnsi="宋体"/>
          <w:szCs w:val="24"/>
        </w:rPr>
        <w:t>。</w:t>
      </w:r>
    </w:p>
    <w:p>
      <w:pPr>
        <w:pStyle w:val="18"/>
        <w:spacing w:after="0"/>
        <w:ind w:firstLine="480"/>
        <w:rPr>
          <w:rFonts w:hAnsi="宋体"/>
          <w:szCs w:val="24"/>
        </w:rPr>
      </w:pPr>
      <w:r>
        <w:rPr>
          <w:rFonts w:hint="eastAsia" w:hAnsi="宋体"/>
          <w:szCs w:val="24"/>
        </w:rPr>
        <w:t>（4）环境准入负面清单</w:t>
      </w:r>
    </w:p>
    <w:p>
      <w:pPr>
        <w:pStyle w:val="18"/>
        <w:spacing w:after="0"/>
        <w:ind w:firstLine="480"/>
        <w:rPr>
          <w:rFonts w:hAnsi="宋体"/>
          <w:szCs w:val="24"/>
        </w:rPr>
      </w:pPr>
      <w:r>
        <w:rPr>
          <w:rFonts w:hAnsi="宋体"/>
          <w:szCs w:val="24"/>
        </w:rPr>
        <w:t>本项目属于道路改建项目</w:t>
      </w:r>
      <w:r>
        <w:rPr>
          <w:rFonts w:hint="eastAsia" w:hAnsi="宋体"/>
          <w:szCs w:val="24"/>
        </w:rPr>
        <w:t>，</w:t>
      </w:r>
      <w:r>
        <w:rPr>
          <w:rFonts w:hAnsi="宋体"/>
          <w:szCs w:val="24"/>
        </w:rPr>
        <w:t>不属于《产业结构调整指导目录（2019年本）》中鼓励类、限制类、淘汰类，属于允许类。</w:t>
      </w:r>
      <w:r>
        <w:rPr>
          <w:rFonts w:hAnsi="宋体"/>
          <w:bCs/>
          <w:szCs w:val="24"/>
        </w:rPr>
        <w:t>对照《河北省新增限制和淘汰类产业目录》（2015版），项目不属于限制、淘汰类项目</w:t>
      </w:r>
      <w:r>
        <w:rPr>
          <w:rFonts w:hAnsi="宋体"/>
          <w:szCs w:val="24"/>
        </w:rPr>
        <w:t>。本项目已</w:t>
      </w:r>
      <w:r>
        <w:rPr>
          <w:rFonts w:hint="eastAsia" w:hAnsi="宋体"/>
          <w:szCs w:val="24"/>
        </w:rPr>
        <w:t>经河北省发展和改革委员会核准（冀</w:t>
      </w:r>
      <w:r>
        <w:rPr>
          <w:rFonts w:hAnsi="宋体"/>
          <w:szCs w:val="24"/>
        </w:rPr>
        <w:t>发改</w:t>
      </w:r>
      <w:r>
        <w:rPr>
          <w:rFonts w:hint="eastAsia" w:hAnsi="宋体"/>
          <w:szCs w:val="24"/>
        </w:rPr>
        <w:t>基础</w:t>
      </w:r>
      <w:r>
        <w:rPr>
          <w:rFonts w:hAnsi="宋体"/>
          <w:szCs w:val="24"/>
        </w:rPr>
        <w:t>[202</w:t>
      </w:r>
      <w:r>
        <w:rPr>
          <w:rFonts w:hint="eastAsia" w:hAnsi="宋体"/>
          <w:szCs w:val="24"/>
        </w:rPr>
        <w:t>3</w:t>
      </w:r>
      <w:r>
        <w:rPr>
          <w:rFonts w:hAnsi="宋体"/>
          <w:szCs w:val="24"/>
        </w:rPr>
        <w:t>]</w:t>
      </w:r>
      <w:r>
        <w:rPr>
          <w:rFonts w:hint="eastAsia" w:hAnsi="宋体"/>
          <w:szCs w:val="24"/>
        </w:rPr>
        <w:t>383</w:t>
      </w:r>
      <w:r>
        <w:rPr>
          <w:rFonts w:hAnsi="宋体"/>
          <w:szCs w:val="24"/>
        </w:rPr>
        <w:t>号</w:t>
      </w:r>
      <w:r>
        <w:rPr>
          <w:rFonts w:hint="eastAsia" w:hAnsi="宋体"/>
          <w:szCs w:val="24"/>
        </w:rPr>
        <w:t>）</w:t>
      </w:r>
      <w:r>
        <w:rPr>
          <w:rFonts w:hAnsi="宋体"/>
          <w:szCs w:val="24"/>
        </w:rPr>
        <w:t>。本项目对照《市场准入负面清单（202</w:t>
      </w:r>
      <w:r>
        <w:rPr>
          <w:rFonts w:hint="eastAsia" w:hAnsi="宋体"/>
          <w:szCs w:val="24"/>
        </w:rPr>
        <w:t>2</w:t>
      </w:r>
      <w:r>
        <w:rPr>
          <w:rFonts w:hAnsi="宋体"/>
          <w:szCs w:val="24"/>
        </w:rPr>
        <w:t>年版）》（发改体改规〔202</w:t>
      </w:r>
      <w:r>
        <w:rPr>
          <w:rFonts w:hint="eastAsia" w:hAnsi="宋体"/>
          <w:szCs w:val="24"/>
        </w:rPr>
        <w:t>2</w:t>
      </w:r>
      <w:r>
        <w:rPr>
          <w:rFonts w:hAnsi="宋体"/>
          <w:szCs w:val="24"/>
        </w:rPr>
        <w:t>〕</w:t>
      </w:r>
      <w:r>
        <w:rPr>
          <w:rFonts w:hint="eastAsia" w:hAnsi="宋体"/>
          <w:szCs w:val="24"/>
        </w:rPr>
        <w:t>397</w:t>
      </w:r>
      <w:r>
        <w:rPr>
          <w:rFonts w:hAnsi="宋体"/>
          <w:szCs w:val="24"/>
        </w:rPr>
        <w:t>号），本项目不在其负面清单内，因此项目不违反负面清单要求</w:t>
      </w:r>
      <w:r>
        <w:rPr>
          <w:rFonts w:hint="eastAsia" w:hAnsi="宋体"/>
          <w:szCs w:val="24"/>
        </w:rPr>
        <w:t>。</w:t>
      </w:r>
    </w:p>
    <w:p>
      <w:pPr>
        <w:pStyle w:val="18"/>
        <w:spacing w:after="0"/>
        <w:ind w:firstLine="480"/>
        <w:rPr>
          <w:rFonts w:hAnsi="宋体"/>
          <w:szCs w:val="24"/>
        </w:rPr>
      </w:pPr>
      <w:r>
        <w:rPr>
          <w:rFonts w:hint="eastAsia" w:hAnsi="宋体"/>
          <w:szCs w:val="24"/>
        </w:rPr>
        <w:t>经以上分析可知，本项目符合“三线一单”的要求。</w:t>
      </w:r>
    </w:p>
    <w:p>
      <w:pPr>
        <w:pStyle w:val="204"/>
        <w:spacing w:line="480" w:lineRule="exact"/>
        <w:ind w:firstLine="0" w:firstLineChars="0"/>
        <w:outlineLvl w:val="2"/>
        <w:rPr>
          <w:b/>
          <w:sz w:val="28"/>
          <w:szCs w:val="28"/>
        </w:rPr>
      </w:pPr>
      <w:r>
        <w:rPr>
          <w:rFonts w:hint="eastAsia"/>
          <w:b/>
          <w:sz w:val="28"/>
          <w:szCs w:val="28"/>
        </w:rPr>
        <w:t>1.3.6政府意见</w:t>
      </w:r>
    </w:p>
    <w:p>
      <w:pPr>
        <w:pStyle w:val="18"/>
        <w:spacing w:after="0"/>
        <w:ind w:firstLine="468"/>
        <w:rPr>
          <w:rFonts w:hAnsi="宋体"/>
          <w:szCs w:val="24"/>
        </w:rPr>
      </w:pPr>
      <w:r>
        <w:rPr>
          <w:rFonts w:cs="宋体"/>
          <w:spacing w:val="-3"/>
        </w:rPr>
        <w:t>针对本项目建设，</w:t>
      </w:r>
      <w:r>
        <w:rPr>
          <w:rFonts w:hint="eastAsia" w:cs="宋体"/>
          <w:spacing w:val="-3"/>
        </w:rPr>
        <w:t>遵化市文化广电和旅游局、遵化市水利局、遵化市人民政府、唐山市生态环境局遵化市分局、河北省自然资源厅、河北省发展和改革委员会、河北省交通运输厅</w:t>
      </w:r>
      <w:r>
        <w:rPr>
          <w:rFonts w:cs="宋体"/>
        </w:rPr>
        <w:t>均出具了关于本项目路线选线的意见，同意项目路线走向</w:t>
      </w:r>
      <w:r>
        <w:rPr>
          <w:rFonts w:hint="eastAsia" w:cs="宋体"/>
        </w:rPr>
        <w:t>。</w:t>
      </w:r>
    </w:p>
    <w:p>
      <w:pPr>
        <w:pStyle w:val="5"/>
        <w:spacing w:beforeLines="0" w:afterLines="0"/>
      </w:pPr>
      <w:bookmarkStart w:id="45" w:name="_Toc141284045"/>
      <w:r>
        <w:t>1.</w:t>
      </w:r>
      <w:r>
        <w:rPr>
          <w:rFonts w:hint="eastAsia"/>
        </w:rPr>
        <w:t>4关注的主要环境问题及环境影响</w:t>
      </w:r>
      <w:bookmarkEnd w:id="45"/>
    </w:p>
    <w:p>
      <w:pPr>
        <w:pStyle w:val="18"/>
        <w:spacing w:after="0"/>
        <w:ind w:firstLine="468"/>
        <w:rPr>
          <w:rFonts w:cs="宋体"/>
          <w:spacing w:val="-3"/>
        </w:rPr>
      </w:pPr>
      <w:r>
        <w:rPr>
          <w:rFonts w:hint="eastAsia" w:cs="宋体"/>
          <w:spacing w:val="-3"/>
        </w:rPr>
        <w:t>（1）</w:t>
      </w:r>
      <w:r>
        <w:rPr>
          <w:rFonts w:cs="宋体"/>
          <w:spacing w:val="-3"/>
        </w:rPr>
        <w:t>施工期对沿线植被破坏问题及对</w:t>
      </w:r>
      <w:r>
        <w:rPr>
          <w:rFonts w:hint="eastAsia"/>
          <w:kern w:val="24"/>
        </w:rPr>
        <w:t>遵化市堡子店水源地</w:t>
      </w:r>
      <w:r>
        <w:rPr>
          <w:rFonts w:cs="宋体"/>
          <w:spacing w:val="-3"/>
        </w:rPr>
        <w:t>的影响</w:t>
      </w:r>
      <w:r>
        <w:rPr>
          <w:rFonts w:hint="eastAsia" w:cs="宋体"/>
          <w:spacing w:val="-3"/>
        </w:rPr>
        <w:t>。</w:t>
      </w:r>
    </w:p>
    <w:p>
      <w:pPr>
        <w:pStyle w:val="18"/>
        <w:spacing w:after="0"/>
        <w:ind w:firstLine="468"/>
        <w:rPr>
          <w:rFonts w:cs="宋体"/>
          <w:spacing w:val="-3"/>
        </w:rPr>
      </w:pPr>
      <w:r>
        <w:rPr>
          <w:rFonts w:hint="eastAsia" w:cs="宋体"/>
          <w:spacing w:val="-3"/>
        </w:rPr>
        <w:t>（2）</w:t>
      </w:r>
      <w:r>
        <w:rPr>
          <w:rFonts w:cs="宋体"/>
          <w:spacing w:val="-3"/>
        </w:rPr>
        <w:t>施工噪声和施工扬尘污染对周边居民正常生活的影响；</w:t>
      </w:r>
    </w:p>
    <w:p>
      <w:pPr>
        <w:pStyle w:val="18"/>
        <w:spacing w:after="0"/>
        <w:ind w:firstLine="468"/>
        <w:rPr>
          <w:rFonts w:cs="宋体"/>
          <w:spacing w:val="-3"/>
        </w:rPr>
      </w:pPr>
      <w:r>
        <w:rPr>
          <w:rFonts w:hint="eastAsia" w:cs="宋体"/>
          <w:spacing w:val="-3"/>
        </w:rPr>
        <w:t>（3）</w:t>
      </w:r>
      <w:r>
        <w:rPr>
          <w:rFonts w:cs="宋体"/>
          <w:spacing w:val="-3"/>
        </w:rPr>
        <w:t>营运期为交通噪声、汽车尾气对周边居民正常生活的影响及风险事故对</w:t>
      </w:r>
      <w:r>
        <w:rPr>
          <w:rFonts w:hint="eastAsia"/>
          <w:kern w:val="24"/>
        </w:rPr>
        <w:t>遵化市堡子店水源地</w:t>
      </w:r>
      <w:r>
        <w:rPr>
          <w:rFonts w:cs="宋体"/>
          <w:spacing w:val="-3"/>
        </w:rPr>
        <w:t>的影响。</w:t>
      </w:r>
    </w:p>
    <w:p>
      <w:pPr>
        <w:pStyle w:val="5"/>
        <w:spacing w:beforeLines="0" w:afterLines="0"/>
      </w:pPr>
      <w:bookmarkStart w:id="46" w:name="_Toc141284046"/>
      <w:r>
        <w:t>1.</w:t>
      </w:r>
      <w:r>
        <w:rPr>
          <w:rFonts w:hint="eastAsia"/>
        </w:rPr>
        <w:t>5环境影响评价主要结论</w:t>
      </w:r>
      <w:bookmarkEnd w:id="46"/>
    </w:p>
    <w:p>
      <w:pPr>
        <w:ind w:firstLine="480"/>
        <w:rPr>
          <w:shd w:val="clear" w:color="auto" w:fill="FFFFFF"/>
        </w:rPr>
      </w:pPr>
      <w:r>
        <w:rPr>
          <w:rFonts w:hint="eastAsia"/>
          <w:shd w:val="clear" w:color="auto" w:fill="FFFFFF"/>
        </w:rPr>
        <w:t>本项目为“</w:t>
      </w:r>
      <w:r>
        <w:rPr>
          <w:shd w:val="clear" w:color="auto" w:fill="FFFFFF"/>
        </w:rPr>
        <w:t>国道G112遵化城区段改建工程</w:t>
      </w:r>
      <w:r>
        <w:rPr>
          <w:rFonts w:hint="eastAsia"/>
          <w:shd w:val="clear" w:color="auto" w:fill="FFFFFF"/>
        </w:rPr>
        <w:t>”，该工程</w:t>
      </w:r>
      <w:r>
        <w:rPr>
          <w:shd w:val="clear" w:color="auto" w:fill="FFFFFF"/>
        </w:rPr>
        <w:t>符合国家及地方产业政策的要求</w:t>
      </w:r>
      <w:r>
        <w:rPr>
          <w:rFonts w:hint="eastAsia"/>
          <w:shd w:val="clear" w:color="auto" w:fill="FFFFFF"/>
        </w:rPr>
        <w:t>。项目建设符合《河北省普通干线公路网布局规划（2013-2030）》要求、</w:t>
      </w:r>
      <w:r>
        <w:rPr>
          <w:shd w:val="clear" w:color="auto" w:fill="FFFFFF"/>
        </w:rPr>
        <w:t>《</w:t>
      </w:r>
      <w:r>
        <w:rPr>
          <w:rFonts w:hint="eastAsia"/>
          <w:shd w:val="clear" w:color="auto" w:fill="FFFFFF"/>
        </w:rPr>
        <w:t>河北省“十四五”现代综合交通运输体系发展规划</w:t>
      </w:r>
      <w:r>
        <w:rPr>
          <w:shd w:val="clear" w:color="auto" w:fill="FFFFFF"/>
        </w:rPr>
        <w:t>》</w:t>
      </w:r>
      <w:r>
        <w:rPr>
          <w:rFonts w:hint="eastAsia"/>
          <w:shd w:val="clear" w:color="auto" w:fill="FFFFFF"/>
        </w:rPr>
        <w:t>及《遵化市国民经济和社会发展第“十四五”规划》要求。</w:t>
      </w:r>
    </w:p>
    <w:p>
      <w:pPr>
        <w:ind w:firstLine="480"/>
        <w:rPr>
          <w:szCs w:val="24"/>
        </w:rPr>
      </w:pPr>
      <w:r>
        <w:rPr>
          <w:shd w:val="clear" w:color="auto" w:fill="FFFFFF"/>
        </w:rPr>
        <w:t>项目建设的</w:t>
      </w:r>
      <w:r>
        <w:rPr>
          <w:rFonts w:cs="宋体"/>
          <w:spacing w:val="4"/>
        </w:rPr>
        <w:t>同时会对沿线环境产生不同程度的影响，但在严格落实本报告书各项环保措施后，项目对环境的影响可得到有效防治、对公路沿线生态环境影响能够降低到环境可接受的程度。</w:t>
      </w:r>
      <w:r>
        <w:rPr>
          <w:rFonts w:hint="eastAsia" w:cs="宋体"/>
          <w:spacing w:val="4"/>
        </w:rPr>
        <w:t>2</w:t>
      </w:r>
      <w:r>
        <w:rPr>
          <w:rFonts w:cs="宋体"/>
          <w:spacing w:val="4"/>
        </w:rPr>
        <w:t>022</w:t>
      </w:r>
      <w:r>
        <w:rPr>
          <w:rFonts w:hint="eastAsia" w:cs="宋体"/>
          <w:spacing w:val="4"/>
        </w:rPr>
        <w:t>年1</w:t>
      </w:r>
      <w:r>
        <w:rPr>
          <w:rFonts w:cs="宋体"/>
          <w:spacing w:val="4"/>
        </w:rPr>
        <w:t>2</w:t>
      </w:r>
      <w:r>
        <w:rPr>
          <w:rFonts w:hint="eastAsia" w:cs="宋体"/>
          <w:spacing w:val="4"/>
        </w:rPr>
        <w:t>月建设单位委托编制了《国道G</w:t>
      </w:r>
      <w:r>
        <w:rPr>
          <w:rFonts w:cs="宋体"/>
          <w:spacing w:val="4"/>
        </w:rPr>
        <w:t>112</w:t>
      </w:r>
      <w:r>
        <w:rPr>
          <w:rFonts w:hint="eastAsia" w:cs="宋体"/>
          <w:spacing w:val="4"/>
        </w:rPr>
        <w:t>遵化城区段改建工程社会稳定风险评估报告》，同时在2</w:t>
      </w:r>
      <w:r>
        <w:rPr>
          <w:rFonts w:cs="宋体"/>
          <w:spacing w:val="4"/>
        </w:rPr>
        <w:t>023</w:t>
      </w:r>
      <w:r>
        <w:rPr>
          <w:rFonts w:hint="eastAsia" w:cs="宋体"/>
          <w:spacing w:val="4"/>
        </w:rPr>
        <w:t>年1月9日取得遵化市行政审批局的审查意见（遵审批字</w:t>
      </w:r>
      <w:r>
        <w:rPr>
          <w:rFonts w:hint="eastAsia" w:ascii="宋体" w:hAnsi="宋体" w:cs="宋体"/>
          <w:spacing w:val="4"/>
        </w:rPr>
        <w:t>〔2</w:t>
      </w:r>
      <w:r>
        <w:rPr>
          <w:rFonts w:ascii="宋体" w:hAnsi="宋体" w:cs="宋体"/>
          <w:spacing w:val="4"/>
        </w:rPr>
        <w:t>023</w:t>
      </w:r>
      <w:r>
        <w:rPr>
          <w:rFonts w:hint="eastAsia" w:ascii="宋体" w:hAnsi="宋体" w:cs="宋体"/>
          <w:spacing w:val="4"/>
        </w:rPr>
        <w:t>〕1号</w:t>
      </w:r>
      <w:r>
        <w:rPr>
          <w:rFonts w:hint="eastAsia" w:cs="宋体"/>
          <w:spacing w:val="4"/>
        </w:rPr>
        <w:t>）。</w:t>
      </w:r>
      <w:r>
        <w:rPr>
          <w:rFonts w:hint="eastAsia"/>
        </w:rPr>
        <w:t>企业</w:t>
      </w:r>
      <w:r>
        <w:rPr>
          <w:rFonts w:ascii="宋体" w:hAnsi="宋体"/>
        </w:rPr>
        <w:t>于</w:t>
      </w:r>
      <w:r>
        <w:rPr>
          <w:kern w:val="0"/>
        </w:rPr>
        <w:t>2021年6月25日</w:t>
      </w:r>
      <w:r>
        <w:rPr>
          <w:rFonts w:hint="eastAsia"/>
          <w:kern w:val="0"/>
        </w:rPr>
        <w:t>在全国建设项目环境信息公示平台进行</w:t>
      </w:r>
      <w:r>
        <w:rPr>
          <w:rFonts w:hAnsi="宋体"/>
        </w:rPr>
        <w:t>第一次向公众进行信息公开，于</w:t>
      </w:r>
      <w:r>
        <w:rPr>
          <w:szCs w:val="24"/>
        </w:rPr>
        <w:t>2023年7月3日—2023年7月14日</w:t>
      </w:r>
      <w:r>
        <w:rPr>
          <w:rFonts w:hAnsi="宋体"/>
        </w:rPr>
        <w:t>（</w:t>
      </w:r>
      <w:r>
        <w:t>10</w:t>
      </w:r>
      <w:r>
        <w:rPr>
          <w:rFonts w:hAnsi="宋体"/>
        </w:rPr>
        <w:t>个工作日）在</w:t>
      </w:r>
      <w:r>
        <w:rPr>
          <w:rFonts w:hint="eastAsia"/>
          <w:kern w:val="0"/>
        </w:rPr>
        <w:t>全国建设项目环境信息公示平台</w:t>
      </w:r>
      <w:r>
        <w:rPr>
          <w:rFonts w:hAnsi="宋体"/>
        </w:rPr>
        <w:t>第二次向公众进行信息公开，并在</w:t>
      </w:r>
      <w:r>
        <w:rPr>
          <w:rFonts w:hint="eastAsia" w:hAnsi="宋体"/>
        </w:rPr>
        <w:t>河北青年报</w:t>
      </w:r>
      <w:r>
        <w:rPr>
          <w:rFonts w:hAnsi="宋体"/>
        </w:rPr>
        <w:t>进行两次登报公示，同时在</w:t>
      </w:r>
      <w:r>
        <w:rPr>
          <w:rFonts w:hint="eastAsia" w:hAnsi="宋体"/>
        </w:rPr>
        <w:t>项目周边村庄</w:t>
      </w:r>
      <w:r>
        <w:rPr>
          <w:rFonts w:hAnsi="宋体"/>
        </w:rPr>
        <w:t>等进行张贴告示</w:t>
      </w:r>
      <w:r>
        <w:rPr>
          <w:rFonts w:hint="eastAsia" w:cs="宋体"/>
          <w:spacing w:val="4"/>
        </w:rPr>
        <w:t>，公示期间并未收到当地居民及相关单位的投诉及建议。本项目</w:t>
      </w:r>
      <w:r>
        <w:rPr>
          <w:rFonts w:cs="宋体"/>
          <w:spacing w:val="4"/>
        </w:rPr>
        <w:t>在认真落实国家和河北省及地方相应环保法规、政策，并严格执行</w:t>
      </w:r>
      <w:r>
        <w:rPr>
          <w:rFonts w:hint="eastAsia" w:cs="宋体"/>
          <w:spacing w:val="4"/>
        </w:rPr>
        <w:t>“</w:t>
      </w:r>
      <w:r>
        <w:rPr>
          <w:rFonts w:cs="宋体"/>
          <w:spacing w:val="4"/>
        </w:rPr>
        <w:t>三同时</w:t>
      </w:r>
      <w:r>
        <w:rPr>
          <w:rFonts w:hint="eastAsia" w:cs="宋体"/>
          <w:spacing w:val="4"/>
        </w:rPr>
        <w:t>”</w:t>
      </w:r>
      <w:r>
        <w:rPr>
          <w:rFonts w:cs="宋体"/>
          <w:spacing w:val="4"/>
        </w:rPr>
        <w:t>制度的前提下，从环境保护的角度</w:t>
      </w:r>
      <w:r>
        <w:rPr>
          <w:rFonts w:cs="宋体"/>
        </w:rPr>
        <w:t>考虑，工程建设可行。</w:t>
      </w:r>
    </w:p>
    <w:p>
      <w:pPr>
        <w:ind w:firstLine="468"/>
        <w:rPr>
          <w:highlight w:val="yellow"/>
        </w:rPr>
      </w:pPr>
      <w:r>
        <w:rPr>
          <w:rFonts w:cs="宋体"/>
          <w:spacing w:val="-3"/>
        </w:rPr>
        <w:t>此次环境影响评价工作得到了</w:t>
      </w:r>
      <w:r>
        <w:rPr>
          <w:rFonts w:hint="eastAsia" w:cs="宋体"/>
          <w:spacing w:val="-3"/>
        </w:rPr>
        <w:t>遵化市行政审批局、遵化市文化广电和旅游局、遵化市水利局、遵化市人民政府、唐山市生态环境局遵化市分局、河北省自然资源厅、河北省发展和改革委员会、河北省交通运输厅</w:t>
      </w:r>
      <w:r>
        <w:rPr>
          <w:rFonts w:cs="宋体"/>
          <w:spacing w:val="4"/>
        </w:rPr>
        <w:t>及建设单位等的大力支持和帮助，在此一并表示衷心的</w:t>
      </w:r>
      <w:r>
        <w:rPr>
          <w:spacing w:val="4"/>
        </w:rPr>
        <w:t>感</w:t>
      </w:r>
      <w:r>
        <w:t>谢</w:t>
      </w:r>
      <w:r>
        <w:rPr>
          <w:rFonts w:hint="eastAsia"/>
        </w:rPr>
        <w:t>！</w:t>
      </w:r>
    </w:p>
    <w:p>
      <w:pPr>
        <w:ind w:firstLine="480"/>
        <w:rPr>
          <w:highlight w:val="yellow"/>
        </w:rPr>
      </w:pPr>
    </w:p>
    <w:p>
      <w:pPr>
        <w:ind w:firstLine="480"/>
        <w:rPr>
          <w:highlight w:val="yellow"/>
        </w:rPr>
        <w:sectPr>
          <w:headerReference r:id="rId13" w:type="default"/>
          <w:footerReference r:id="rId14" w:type="default"/>
          <w:footerReference r:id="rId15" w:type="even"/>
          <w:type w:val="oddPage"/>
          <w:pgSz w:w="11906" w:h="16838"/>
          <w:pgMar w:top="1418" w:right="1418" w:bottom="1418" w:left="1474" w:header="964" w:footer="964" w:gutter="0"/>
          <w:pgNumType w:start="1"/>
          <w:cols w:space="720" w:num="1"/>
          <w:docGrid w:linePitch="312" w:charSpace="0"/>
        </w:sectPr>
      </w:pPr>
    </w:p>
    <w:p>
      <w:pPr>
        <w:pStyle w:val="4"/>
        <w:spacing w:beforeLines="0" w:afterLines="0"/>
      </w:pPr>
      <w:bookmarkStart w:id="47" w:name="_Toc141284047"/>
      <w:r>
        <w:rPr>
          <w:rFonts w:hint="eastAsia"/>
        </w:rPr>
        <w:t>2</w:t>
      </w:r>
      <w:r>
        <w:t>总则</w:t>
      </w:r>
      <w:bookmarkEnd w:id="47"/>
    </w:p>
    <w:p>
      <w:pPr>
        <w:pStyle w:val="5"/>
        <w:spacing w:beforeLines="0" w:afterLines="0"/>
      </w:pPr>
      <w:bookmarkStart w:id="48" w:name="_Toc363241632"/>
      <w:bookmarkStart w:id="49" w:name="_Toc363242834"/>
      <w:bookmarkStart w:id="50" w:name="_Toc141284048"/>
      <w:bookmarkStart w:id="51" w:name="_Toc478047279"/>
      <w:r>
        <w:rPr>
          <w:rFonts w:hint="eastAsia"/>
        </w:rPr>
        <w:t>2</w:t>
      </w:r>
      <w:r>
        <w:t>.1</w:t>
      </w:r>
      <w:r>
        <w:rPr>
          <w:rFonts w:hint="eastAsia"/>
        </w:rPr>
        <w:t>编制</w:t>
      </w:r>
      <w:r>
        <w:t>依据</w:t>
      </w:r>
      <w:bookmarkEnd w:id="48"/>
      <w:bookmarkEnd w:id="49"/>
      <w:bookmarkEnd w:id="50"/>
      <w:bookmarkEnd w:id="51"/>
    </w:p>
    <w:p>
      <w:pPr>
        <w:pStyle w:val="204"/>
        <w:spacing w:line="480" w:lineRule="exact"/>
        <w:ind w:firstLine="0" w:firstLineChars="0"/>
        <w:outlineLvl w:val="2"/>
        <w:rPr>
          <w:b/>
          <w:sz w:val="28"/>
          <w:szCs w:val="28"/>
        </w:rPr>
      </w:pPr>
      <w:bookmarkStart w:id="52" w:name="_Toc363241633"/>
      <w:bookmarkStart w:id="53" w:name="_Toc363242835"/>
      <w:r>
        <w:rPr>
          <w:rFonts w:hint="eastAsia"/>
          <w:b/>
          <w:sz w:val="28"/>
          <w:szCs w:val="28"/>
        </w:rPr>
        <w:t>2</w:t>
      </w:r>
      <w:r>
        <w:rPr>
          <w:b/>
          <w:sz w:val="28"/>
          <w:szCs w:val="28"/>
        </w:rPr>
        <w:t>.1.1</w:t>
      </w:r>
      <w:bookmarkEnd w:id="52"/>
      <w:bookmarkEnd w:id="53"/>
      <w:r>
        <w:rPr>
          <w:rFonts w:hint="eastAsia"/>
          <w:b/>
          <w:sz w:val="28"/>
          <w:szCs w:val="28"/>
        </w:rPr>
        <w:t>环境</w:t>
      </w:r>
      <w:r>
        <w:rPr>
          <w:b/>
          <w:sz w:val="28"/>
          <w:szCs w:val="28"/>
        </w:rPr>
        <w:t>保护法律</w:t>
      </w:r>
    </w:p>
    <w:p>
      <w:pPr>
        <w:ind w:firstLine="480"/>
      </w:pPr>
      <w:r>
        <w:rPr>
          <w:rFonts w:hint="eastAsia"/>
        </w:rPr>
        <w:t>（1）《中华人民共和国环境保护法》（</w:t>
      </w:r>
      <w:r>
        <w:t>2015</w:t>
      </w:r>
      <w:r>
        <w:rPr>
          <w:rFonts w:hint="eastAsia"/>
        </w:rPr>
        <w:t>年1月1日实施）；</w:t>
      </w:r>
    </w:p>
    <w:p>
      <w:pPr>
        <w:ind w:firstLine="480"/>
      </w:pPr>
      <w:r>
        <w:rPr>
          <w:rFonts w:hint="eastAsia"/>
        </w:rPr>
        <w:t>（2）《中华人民共和国环境影响评价法》（20</w:t>
      </w:r>
      <w:r>
        <w:t>1</w:t>
      </w:r>
      <w:r>
        <w:rPr>
          <w:rFonts w:hint="eastAsia"/>
        </w:rPr>
        <w:t>8年12月29日修订并实施）；</w:t>
      </w:r>
    </w:p>
    <w:p>
      <w:pPr>
        <w:ind w:firstLine="480"/>
      </w:pPr>
      <w:r>
        <w:rPr>
          <w:rFonts w:hint="eastAsia"/>
        </w:rPr>
        <w:t>（3）《中华人民共和国大气污染防治法》（20</w:t>
      </w:r>
      <w:r>
        <w:t>1</w:t>
      </w:r>
      <w:r>
        <w:rPr>
          <w:rFonts w:hint="eastAsia"/>
        </w:rPr>
        <w:t>8年10月26日修订并实施）；</w:t>
      </w:r>
    </w:p>
    <w:p>
      <w:pPr>
        <w:ind w:firstLine="480"/>
      </w:pPr>
      <w:r>
        <w:rPr>
          <w:rFonts w:hint="eastAsia"/>
        </w:rPr>
        <w:t>（4）《中华人民共和国水污染防治法》（</w:t>
      </w:r>
      <w:r>
        <w:rPr>
          <w:rFonts w:hint="eastAsia"/>
          <w:bCs/>
        </w:rPr>
        <w:t>2018</w:t>
      </w:r>
      <w:r>
        <w:rPr>
          <w:rFonts w:hint="eastAsia"/>
        </w:rPr>
        <w:t>年</w:t>
      </w:r>
      <w:r>
        <w:rPr>
          <w:rFonts w:hint="eastAsia"/>
          <w:bCs/>
        </w:rPr>
        <w:t>1</w:t>
      </w:r>
      <w:r>
        <w:rPr>
          <w:rFonts w:hint="eastAsia"/>
        </w:rPr>
        <w:t>月</w:t>
      </w:r>
      <w:r>
        <w:rPr>
          <w:rFonts w:hint="eastAsia"/>
          <w:bCs/>
        </w:rPr>
        <w:t>1</w:t>
      </w:r>
      <w:r>
        <w:rPr>
          <w:rFonts w:hint="eastAsia"/>
        </w:rPr>
        <w:t>日实施）；</w:t>
      </w:r>
    </w:p>
    <w:p>
      <w:pPr>
        <w:ind w:firstLine="480"/>
      </w:pPr>
      <w:r>
        <w:rPr>
          <w:rFonts w:hint="eastAsia"/>
        </w:rPr>
        <w:t>（5）《中华人民共和国环境噪声污染防治法》（2022年6月5日</w:t>
      </w:r>
      <w:r>
        <w:t>修</w:t>
      </w:r>
      <w:r>
        <w:rPr>
          <w:rFonts w:hint="eastAsia"/>
        </w:rPr>
        <w:t>订并实施）；</w:t>
      </w:r>
    </w:p>
    <w:p>
      <w:pPr>
        <w:ind w:firstLine="480"/>
      </w:pPr>
      <w:r>
        <w:rPr>
          <w:rFonts w:hint="eastAsia"/>
        </w:rPr>
        <w:t>（6）《中华人民共和国固体废物污染防治法》（</w:t>
      </w:r>
      <w:r>
        <w:t>2020年9月1日修</w:t>
      </w:r>
      <w:r>
        <w:rPr>
          <w:rFonts w:hint="eastAsia"/>
        </w:rPr>
        <w:t>订并实施）；</w:t>
      </w:r>
    </w:p>
    <w:p>
      <w:pPr>
        <w:ind w:firstLine="480"/>
      </w:pPr>
      <w:r>
        <w:rPr>
          <w:rFonts w:hint="eastAsia"/>
        </w:rPr>
        <w:t>（7）</w:t>
      </w:r>
      <w:r>
        <w:t>《中华人民共和国水法》</w:t>
      </w:r>
      <w:r>
        <w:rPr>
          <w:rFonts w:hint="eastAsia"/>
        </w:rPr>
        <w:t>（2016年7月2日</w:t>
      </w:r>
      <w:r>
        <w:t>修</w:t>
      </w:r>
      <w:r>
        <w:rPr>
          <w:rFonts w:hint="eastAsia"/>
        </w:rPr>
        <w:t>订）</w:t>
      </w:r>
      <w:r>
        <w:t>；</w:t>
      </w:r>
    </w:p>
    <w:p>
      <w:pPr>
        <w:ind w:firstLine="480"/>
        <w:rPr>
          <w:rFonts w:cs="宋体"/>
          <w:kern w:val="0"/>
          <w:szCs w:val="24"/>
        </w:rPr>
      </w:pPr>
      <w:r>
        <w:rPr>
          <w:rFonts w:hint="eastAsia"/>
        </w:rPr>
        <w:t>（8）</w:t>
      </w:r>
      <w:r>
        <w:rPr>
          <w:rFonts w:hint="eastAsia" w:cs="宋体"/>
          <w:kern w:val="0"/>
          <w:szCs w:val="24"/>
        </w:rPr>
        <w:t>《中华人民共和国土壤污染防治法》（</w:t>
      </w:r>
      <w:r>
        <w:rPr>
          <w:kern w:val="0"/>
          <w:szCs w:val="24"/>
        </w:rPr>
        <w:t>2019</w:t>
      </w:r>
      <w:r>
        <w:rPr>
          <w:rFonts w:hint="eastAsia" w:cs="宋体"/>
          <w:kern w:val="0"/>
          <w:szCs w:val="24"/>
        </w:rPr>
        <w:t>年</w:t>
      </w:r>
      <w:r>
        <w:rPr>
          <w:kern w:val="0"/>
          <w:szCs w:val="24"/>
        </w:rPr>
        <w:t>1</w:t>
      </w:r>
      <w:r>
        <w:rPr>
          <w:rFonts w:hint="eastAsia" w:cs="宋体"/>
          <w:kern w:val="0"/>
          <w:szCs w:val="24"/>
        </w:rPr>
        <w:t>月</w:t>
      </w:r>
      <w:r>
        <w:rPr>
          <w:kern w:val="0"/>
          <w:szCs w:val="24"/>
        </w:rPr>
        <w:t>1</w:t>
      </w:r>
      <w:r>
        <w:rPr>
          <w:rFonts w:hint="eastAsia" w:cs="宋体"/>
          <w:kern w:val="0"/>
          <w:szCs w:val="24"/>
        </w:rPr>
        <w:t>日）；</w:t>
      </w:r>
    </w:p>
    <w:p>
      <w:pPr>
        <w:ind w:firstLine="480"/>
      </w:pPr>
      <w:r>
        <w:t>（</w:t>
      </w:r>
      <w:r>
        <w:rPr>
          <w:rFonts w:hint="eastAsia"/>
        </w:rPr>
        <w:t>9</w:t>
      </w:r>
      <w:r>
        <w:t>）《中华人民共和国公路法》</w:t>
      </w:r>
      <w:r>
        <w:rPr>
          <w:rFonts w:hint="eastAsia"/>
        </w:rPr>
        <w:t>（</w:t>
      </w:r>
      <w:r>
        <w:t>201</w:t>
      </w:r>
      <w:r>
        <w:rPr>
          <w:rFonts w:hint="eastAsia"/>
        </w:rPr>
        <w:t>7年</w:t>
      </w:r>
      <w:r>
        <w:t>11</w:t>
      </w:r>
      <w:r>
        <w:rPr>
          <w:rFonts w:hint="eastAsia"/>
        </w:rPr>
        <w:t>月5日实施）</w:t>
      </w:r>
      <w:r>
        <w:t>；</w:t>
      </w:r>
    </w:p>
    <w:p>
      <w:pPr>
        <w:ind w:firstLine="480"/>
      </w:pPr>
      <w:r>
        <w:t>（</w:t>
      </w:r>
      <w:r>
        <w:rPr>
          <w:rFonts w:hint="eastAsia"/>
        </w:rPr>
        <w:t>10</w:t>
      </w:r>
      <w:r>
        <w:t>）《中华人民共和国水土保持法》</w:t>
      </w:r>
      <w:r>
        <w:rPr>
          <w:rFonts w:hint="eastAsia"/>
        </w:rPr>
        <w:t>（</w:t>
      </w:r>
      <w:r>
        <w:t>2011</w:t>
      </w:r>
      <w:r>
        <w:rPr>
          <w:rFonts w:hint="eastAsia"/>
        </w:rPr>
        <w:t>年</w:t>
      </w:r>
      <w:r>
        <w:t>3</w:t>
      </w:r>
      <w:r>
        <w:rPr>
          <w:rFonts w:hint="eastAsia"/>
        </w:rPr>
        <w:t>月</w:t>
      </w:r>
      <w:r>
        <w:t>1</w:t>
      </w:r>
      <w:r>
        <w:rPr>
          <w:rFonts w:hint="eastAsia"/>
        </w:rPr>
        <w:t>日实施）</w:t>
      </w:r>
      <w:r>
        <w:t>；</w:t>
      </w:r>
    </w:p>
    <w:p>
      <w:pPr>
        <w:ind w:firstLine="480"/>
      </w:pPr>
      <w:r>
        <w:t>（1</w:t>
      </w:r>
      <w:r>
        <w:rPr>
          <w:rFonts w:hint="eastAsia"/>
        </w:rPr>
        <w:t>1</w:t>
      </w:r>
      <w:r>
        <w:t>）《中华人民共和国文物保护法》</w:t>
      </w:r>
      <w:r>
        <w:rPr>
          <w:rFonts w:hint="eastAsia"/>
        </w:rPr>
        <w:t>（</w:t>
      </w:r>
      <w:r>
        <w:t>201</w:t>
      </w:r>
      <w:r>
        <w:rPr>
          <w:rFonts w:hint="eastAsia"/>
        </w:rPr>
        <w:t>7年11月4日修订）</w:t>
      </w:r>
      <w:r>
        <w:t>；</w:t>
      </w:r>
    </w:p>
    <w:p>
      <w:pPr>
        <w:ind w:firstLine="480"/>
      </w:pPr>
      <w:r>
        <w:t>（1</w:t>
      </w:r>
      <w:r>
        <w:rPr>
          <w:rFonts w:hint="eastAsia"/>
        </w:rPr>
        <w:t>2</w:t>
      </w:r>
      <w:r>
        <w:t>）《中华人民共和国城乡规划法》</w:t>
      </w:r>
      <w:r>
        <w:rPr>
          <w:rFonts w:hint="eastAsia"/>
        </w:rPr>
        <w:t>（</w:t>
      </w:r>
      <w:r>
        <w:t>201</w:t>
      </w:r>
      <w:r>
        <w:rPr>
          <w:rFonts w:hint="eastAsia"/>
        </w:rPr>
        <w:t>9年</w:t>
      </w:r>
      <w:r>
        <w:t>4</w:t>
      </w:r>
      <w:r>
        <w:rPr>
          <w:rFonts w:hint="eastAsia"/>
        </w:rPr>
        <w:t>月23日</w:t>
      </w:r>
      <w:r>
        <w:t>修订</w:t>
      </w:r>
      <w:r>
        <w:rPr>
          <w:rFonts w:hint="eastAsia"/>
        </w:rPr>
        <w:t>）</w:t>
      </w:r>
      <w:r>
        <w:t>；</w:t>
      </w:r>
    </w:p>
    <w:p>
      <w:pPr>
        <w:ind w:firstLine="480"/>
      </w:pPr>
      <w:r>
        <w:t>（1</w:t>
      </w:r>
      <w:r>
        <w:rPr>
          <w:rFonts w:hint="eastAsia"/>
        </w:rPr>
        <w:t>3</w:t>
      </w:r>
      <w:r>
        <w:t>）《中华人民共和国野生动物保护法》</w:t>
      </w:r>
      <w:r>
        <w:rPr>
          <w:rFonts w:hint="eastAsia"/>
        </w:rPr>
        <w:t>（</w:t>
      </w:r>
      <w:r>
        <w:t>201</w:t>
      </w:r>
      <w:r>
        <w:rPr>
          <w:rFonts w:hint="eastAsia"/>
        </w:rPr>
        <w:t>7年1月1日实施）</w:t>
      </w:r>
      <w:r>
        <w:t>；</w:t>
      </w:r>
    </w:p>
    <w:p>
      <w:pPr>
        <w:ind w:firstLine="480"/>
      </w:pPr>
      <w:r>
        <w:t>（1</w:t>
      </w:r>
      <w:r>
        <w:rPr>
          <w:rFonts w:hint="eastAsia"/>
        </w:rPr>
        <w:t>4</w:t>
      </w:r>
      <w:r>
        <w:t>）《中华人民共和国道路交通安全法》</w:t>
      </w:r>
      <w:r>
        <w:rPr>
          <w:rFonts w:hint="eastAsia"/>
        </w:rPr>
        <w:t>（</w:t>
      </w:r>
      <w:r>
        <w:t>2011</w:t>
      </w:r>
      <w:r>
        <w:rPr>
          <w:rFonts w:hint="eastAsia"/>
        </w:rPr>
        <w:t>年</w:t>
      </w:r>
      <w:r>
        <w:t>5</w:t>
      </w:r>
      <w:r>
        <w:rPr>
          <w:rFonts w:hint="eastAsia"/>
        </w:rPr>
        <w:t>月</w:t>
      </w:r>
      <w:r>
        <w:t>1</w:t>
      </w:r>
      <w:r>
        <w:rPr>
          <w:rFonts w:hint="eastAsia"/>
        </w:rPr>
        <w:t>日实施）</w:t>
      </w:r>
      <w:r>
        <w:t>；</w:t>
      </w:r>
    </w:p>
    <w:p>
      <w:pPr>
        <w:ind w:firstLine="480"/>
      </w:pPr>
      <w:r>
        <w:t>（1</w:t>
      </w:r>
      <w:r>
        <w:rPr>
          <w:rFonts w:hint="eastAsia"/>
        </w:rPr>
        <w:t>5</w:t>
      </w:r>
      <w:r>
        <w:t>）《中华人民共和国森林法》</w:t>
      </w:r>
      <w:r>
        <w:rPr>
          <w:rFonts w:hint="eastAsia"/>
        </w:rPr>
        <w:t>（2017</w:t>
      </w:r>
      <w:r>
        <w:t>年</w:t>
      </w:r>
      <w:r>
        <w:rPr>
          <w:rFonts w:hint="eastAsia"/>
        </w:rPr>
        <w:t>1</w:t>
      </w:r>
      <w:r>
        <w:t>月</w:t>
      </w:r>
      <w:r>
        <w:rPr>
          <w:rFonts w:hint="eastAsia"/>
        </w:rPr>
        <w:t>1</w:t>
      </w:r>
      <w:r>
        <w:t>日</w:t>
      </w:r>
      <w:r>
        <w:rPr>
          <w:rFonts w:hint="eastAsia"/>
        </w:rPr>
        <w:t>实施）。</w:t>
      </w:r>
    </w:p>
    <w:p>
      <w:pPr>
        <w:pStyle w:val="204"/>
        <w:spacing w:line="480" w:lineRule="exact"/>
        <w:ind w:firstLine="0" w:firstLineChars="0"/>
        <w:outlineLvl w:val="2"/>
        <w:rPr>
          <w:b/>
          <w:sz w:val="28"/>
          <w:szCs w:val="28"/>
        </w:rPr>
      </w:pPr>
      <w:r>
        <w:rPr>
          <w:rFonts w:hint="eastAsia"/>
          <w:b/>
          <w:sz w:val="28"/>
          <w:szCs w:val="28"/>
        </w:rPr>
        <w:t>2.</w:t>
      </w:r>
      <w:r>
        <w:rPr>
          <w:b/>
          <w:sz w:val="28"/>
          <w:szCs w:val="28"/>
        </w:rPr>
        <w:t>1</w:t>
      </w:r>
      <w:r>
        <w:rPr>
          <w:rFonts w:hint="eastAsia"/>
          <w:b/>
          <w:sz w:val="28"/>
          <w:szCs w:val="28"/>
        </w:rPr>
        <w:t>.2</w:t>
      </w:r>
      <w:r>
        <w:rPr>
          <w:b/>
          <w:sz w:val="28"/>
          <w:szCs w:val="28"/>
        </w:rPr>
        <w:t>环境保护法规、</w:t>
      </w:r>
      <w:r>
        <w:rPr>
          <w:rFonts w:hint="eastAsia"/>
          <w:b/>
          <w:sz w:val="28"/>
          <w:szCs w:val="28"/>
        </w:rPr>
        <w:t>部门</w:t>
      </w:r>
      <w:r>
        <w:rPr>
          <w:b/>
          <w:sz w:val="28"/>
          <w:szCs w:val="28"/>
        </w:rPr>
        <w:t>规章</w:t>
      </w:r>
      <w:r>
        <w:rPr>
          <w:rFonts w:hint="eastAsia"/>
          <w:b/>
          <w:sz w:val="28"/>
          <w:szCs w:val="28"/>
        </w:rPr>
        <w:t>及规范性文件</w:t>
      </w:r>
    </w:p>
    <w:p>
      <w:pPr>
        <w:ind w:firstLine="480"/>
      </w:pPr>
      <w:r>
        <w:rPr>
          <w:rFonts w:hint="eastAsia"/>
        </w:rPr>
        <w:t>（1）《建设项目环境保护管理条例》（国务院令第</w:t>
      </w:r>
      <w:r>
        <w:rPr>
          <w:bCs/>
        </w:rPr>
        <w:t>682</w:t>
      </w:r>
      <w:r>
        <w:rPr>
          <w:rFonts w:hint="eastAsia"/>
        </w:rPr>
        <w:t>号）；</w:t>
      </w:r>
    </w:p>
    <w:p>
      <w:pPr>
        <w:ind w:firstLine="480"/>
      </w:pPr>
      <w:r>
        <w:t>（</w:t>
      </w:r>
      <w:r>
        <w:rPr>
          <w:rFonts w:hint="eastAsia"/>
        </w:rPr>
        <w:t>2</w:t>
      </w:r>
      <w:r>
        <w:t>）</w:t>
      </w:r>
      <w:r>
        <w:rPr>
          <w:rFonts w:hint="eastAsia"/>
        </w:rPr>
        <w:t>《产业结构调整指导目录》（</w:t>
      </w:r>
      <w:r>
        <w:t>20</w:t>
      </w:r>
      <w:r>
        <w:rPr>
          <w:rFonts w:hint="eastAsia"/>
        </w:rPr>
        <w:t>21年本）；</w:t>
      </w:r>
    </w:p>
    <w:p>
      <w:pPr>
        <w:ind w:firstLine="480"/>
      </w:pPr>
      <w:r>
        <w:rPr>
          <w:rFonts w:hint="eastAsia"/>
        </w:rPr>
        <w:t>（3）</w:t>
      </w:r>
      <w:r>
        <w:t>《危险化学品安全管理条例》（2011.02.16</w:t>
      </w:r>
      <w:r>
        <w:rPr>
          <w:rFonts w:hint="eastAsia"/>
        </w:rPr>
        <w:t>修订</w:t>
      </w:r>
      <w:r>
        <w:t>）；</w:t>
      </w:r>
    </w:p>
    <w:p>
      <w:pPr>
        <w:ind w:firstLine="480"/>
      </w:pPr>
      <w:r>
        <w:rPr>
          <w:rFonts w:hint="eastAsia"/>
        </w:rPr>
        <w:t>（4）《国务院关于印发大气污染防治行动计划的通知》（国发</w:t>
      </w:r>
      <w:r>
        <w:t>[2013]37</w:t>
      </w:r>
      <w:r>
        <w:rPr>
          <w:rFonts w:hint="eastAsia"/>
        </w:rPr>
        <w:t>号）；</w:t>
      </w:r>
    </w:p>
    <w:p>
      <w:pPr>
        <w:ind w:firstLine="480"/>
      </w:pPr>
      <w:r>
        <w:rPr>
          <w:rFonts w:hint="eastAsia"/>
        </w:rPr>
        <w:t>（5）《国务院关于印发水污染防治行动计划的通知》（国发</w:t>
      </w:r>
      <w:r>
        <w:t>[2015]17</w:t>
      </w:r>
      <w:r>
        <w:rPr>
          <w:rFonts w:hint="eastAsia"/>
        </w:rPr>
        <w:t>号）；</w:t>
      </w:r>
    </w:p>
    <w:p>
      <w:pPr>
        <w:ind w:firstLine="480"/>
      </w:pPr>
      <w:r>
        <w:rPr>
          <w:rFonts w:hint="eastAsia"/>
        </w:rPr>
        <w:t>（6）</w:t>
      </w:r>
      <w:r>
        <w:t>《中华人民共和国河道管理条例》（2017.3.1）</w:t>
      </w:r>
      <w:r>
        <w:rPr>
          <w:rFonts w:hint="eastAsia"/>
        </w:rPr>
        <w:t>；</w:t>
      </w:r>
    </w:p>
    <w:p>
      <w:pPr>
        <w:ind w:firstLine="480"/>
      </w:pPr>
      <w:r>
        <w:rPr>
          <w:rFonts w:hint="eastAsia"/>
        </w:rPr>
        <w:t>（7）</w:t>
      </w:r>
      <w:r>
        <w:t>《中华人民共和国陆生野生动物保护实施条例》（2016.2.6）</w:t>
      </w:r>
      <w:r>
        <w:rPr>
          <w:rFonts w:hint="eastAsia"/>
        </w:rPr>
        <w:t>；</w:t>
      </w:r>
    </w:p>
    <w:p>
      <w:pPr>
        <w:ind w:firstLine="480"/>
      </w:pPr>
      <w:r>
        <w:t>（</w:t>
      </w:r>
      <w:r>
        <w:rPr>
          <w:rFonts w:hint="eastAsia"/>
        </w:rPr>
        <w:t>8</w:t>
      </w:r>
      <w:r>
        <w:t>）《全国生态环境保护纲要》（2000.11.26）；</w:t>
      </w:r>
    </w:p>
    <w:p>
      <w:pPr>
        <w:ind w:firstLine="480"/>
      </w:pPr>
      <w:r>
        <w:t>（</w:t>
      </w:r>
      <w:r>
        <w:rPr>
          <w:rFonts w:hint="eastAsia"/>
        </w:rPr>
        <w:t>9</w:t>
      </w:r>
      <w:r>
        <w:t>）《基本农田保护条例》（2011.1.8修订）；</w:t>
      </w:r>
    </w:p>
    <w:p>
      <w:pPr>
        <w:ind w:firstLine="480"/>
      </w:pPr>
      <w:r>
        <w:t>（</w:t>
      </w:r>
      <w:r>
        <w:rPr>
          <w:rFonts w:hint="eastAsia"/>
        </w:rPr>
        <w:t>10</w:t>
      </w:r>
      <w:r>
        <w:t>）《交通建设项目环境保护管理办法》（交通部令2003年第5号，2003.06.01）；</w:t>
      </w:r>
    </w:p>
    <w:p>
      <w:pPr>
        <w:ind w:firstLine="480"/>
      </w:pPr>
      <w:r>
        <w:t>（</w:t>
      </w:r>
      <w:r>
        <w:rPr>
          <w:rFonts w:hint="eastAsia"/>
        </w:rPr>
        <w:t>11</w:t>
      </w:r>
      <w:r>
        <w:t>）《关于在公路建设中实施最严格的耕地保护制度的若干意见》（交公路发[2004]164号）；</w:t>
      </w:r>
    </w:p>
    <w:p>
      <w:pPr>
        <w:ind w:firstLine="480"/>
      </w:pPr>
      <w:r>
        <w:rPr>
          <w:rFonts w:hint="eastAsia"/>
        </w:rPr>
        <w:t>（12）</w:t>
      </w:r>
      <w:r>
        <w:t>《中华人民共和国野生植物保护条例》（</w:t>
      </w:r>
      <w:r>
        <w:rPr>
          <w:rFonts w:hint="eastAsia"/>
        </w:rPr>
        <w:t>2017年10月7日修订</w:t>
      </w:r>
      <w:r>
        <w:t>）</w:t>
      </w:r>
      <w:r>
        <w:rPr>
          <w:rFonts w:hint="eastAsia"/>
        </w:rPr>
        <w:t>；</w:t>
      </w:r>
    </w:p>
    <w:p>
      <w:pPr>
        <w:ind w:firstLine="480"/>
      </w:pPr>
      <w:r>
        <w:t>（</w:t>
      </w:r>
      <w:r>
        <w:rPr>
          <w:rFonts w:hint="eastAsia"/>
        </w:rPr>
        <w:t>13</w:t>
      </w:r>
      <w:r>
        <w:t>）《交通建设项目环境保护管理办法》（中华人民共和国交通部[2003]5号，2003.06.01）；</w:t>
      </w:r>
    </w:p>
    <w:p>
      <w:pPr>
        <w:ind w:firstLine="480"/>
      </w:pPr>
      <w:r>
        <w:rPr>
          <w:rFonts w:hint="eastAsia"/>
        </w:rPr>
        <w:t>（14）</w:t>
      </w:r>
      <w:r>
        <w:t>《关于印发改善大气环境质量实施区域差别化环境准入的指导意见的通知》（冀环环评函[2019]308号）</w:t>
      </w:r>
      <w:r>
        <w:rPr>
          <w:rFonts w:hint="eastAsia"/>
        </w:rPr>
        <w:t>；</w:t>
      </w:r>
    </w:p>
    <w:p>
      <w:pPr>
        <w:ind w:firstLine="480"/>
      </w:pPr>
      <w:r>
        <w:t>（1</w:t>
      </w:r>
      <w:r>
        <w:rPr>
          <w:rFonts w:hint="eastAsia"/>
        </w:rPr>
        <w:t>5</w:t>
      </w:r>
      <w:r>
        <w:t>）《关于坚决制止占用基本农田进行植树等行为的紧急通知》（国务院国发电[2004]1号，2004.03.20）；</w:t>
      </w:r>
    </w:p>
    <w:p>
      <w:pPr>
        <w:ind w:firstLine="480"/>
      </w:pPr>
      <w:r>
        <w:t>（1</w:t>
      </w:r>
      <w:r>
        <w:rPr>
          <w:rFonts w:hint="eastAsia"/>
        </w:rPr>
        <w:t>6</w:t>
      </w:r>
      <w:r>
        <w:t>）《关于进一步加强土地整理复垦开发工作的通知》（国土资发［2008］176号，2008.08.29）；</w:t>
      </w:r>
    </w:p>
    <w:p>
      <w:pPr>
        <w:ind w:firstLine="480"/>
      </w:pPr>
      <w:r>
        <w:t>（</w:t>
      </w:r>
      <w:r>
        <w:rPr>
          <w:rFonts w:hint="eastAsia"/>
        </w:rPr>
        <w:t>17</w:t>
      </w:r>
      <w:r>
        <w:t>）《关于印发建设节约型交通指导意见的通知》（交通部，2006.07.18）</w:t>
      </w:r>
      <w:r>
        <w:rPr>
          <w:rFonts w:hint="eastAsia"/>
        </w:rPr>
        <w:t>；</w:t>
      </w:r>
    </w:p>
    <w:p>
      <w:pPr>
        <w:ind w:firstLine="480"/>
      </w:pPr>
      <w:r>
        <w:rPr>
          <w:rFonts w:hint="eastAsia"/>
        </w:rPr>
        <w:t>（18）《建设项目环境影响评价分类管理名录》（</w:t>
      </w:r>
      <w:r>
        <w:t>2021版生态环境部 部令第16号</w:t>
      </w:r>
      <w:r>
        <w:rPr>
          <w:rFonts w:hint="eastAsia"/>
        </w:rPr>
        <w:t>）；</w:t>
      </w:r>
    </w:p>
    <w:p>
      <w:pPr>
        <w:ind w:firstLine="480"/>
      </w:pPr>
      <w:r>
        <w:t>（</w:t>
      </w:r>
      <w:r>
        <w:rPr>
          <w:rFonts w:hint="eastAsia"/>
        </w:rPr>
        <w:t>19</w:t>
      </w:r>
      <w:r>
        <w:t>）《环境影响评价公众参与办法》（生态环境部部令第4号，2019.1.1）</w:t>
      </w:r>
      <w:r>
        <w:rPr>
          <w:rFonts w:hint="eastAsia"/>
        </w:rPr>
        <w:t>；</w:t>
      </w:r>
    </w:p>
    <w:p>
      <w:pPr>
        <w:ind w:firstLine="480"/>
      </w:pPr>
      <w:r>
        <w:t>（</w:t>
      </w:r>
      <w:r>
        <w:rPr>
          <w:rFonts w:hint="eastAsia"/>
        </w:rPr>
        <w:t>20</w:t>
      </w:r>
      <w:r>
        <w:t>）《关于开展交通工程环境监理工作的通知》（交通部交环发[2004]314号，2004.06.15）</w:t>
      </w:r>
      <w:r>
        <w:rPr>
          <w:rFonts w:hint="eastAsia"/>
        </w:rPr>
        <w:t>；</w:t>
      </w:r>
    </w:p>
    <w:p>
      <w:pPr>
        <w:ind w:firstLine="480"/>
      </w:pPr>
      <w:r>
        <w:rPr>
          <w:rFonts w:hint="eastAsia"/>
        </w:rPr>
        <w:t>（21）《关于切实加强风险防范严格环境影响评价管理的通知》（环发[2012]</w:t>
      </w:r>
      <w:r>
        <w:t>98</w:t>
      </w:r>
      <w:r>
        <w:rPr>
          <w:rFonts w:hint="eastAsia"/>
        </w:rPr>
        <w:t>号，2012.8.7）；</w:t>
      </w:r>
    </w:p>
    <w:p>
      <w:pPr>
        <w:ind w:firstLine="480"/>
      </w:pPr>
      <w:r>
        <w:rPr>
          <w:rFonts w:hint="eastAsia"/>
        </w:rPr>
        <w:t>（22）《关于印发〈建设项目环境影响评价政府信息公开指南（试行）</w:t>
      </w:r>
      <w:r>
        <w:t>&gt;</w:t>
      </w:r>
      <w:r>
        <w:rPr>
          <w:rFonts w:hint="eastAsia"/>
        </w:rPr>
        <w:t>的通知》（环发</w:t>
      </w:r>
      <w:r>
        <w:t>[2013]103</w:t>
      </w:r>
      <w:r>
        <w:rPr>
          <w:rFonts w:hint="eastAsia"/>
        </w:rPr>
        <w:t>号）；</w:t>
      </w:r>
    </w:p>
    <w:p>
      <w:pPr>
        <w:ind w:firstLine="480"/>
      </w:pPr>
      <w:r>
        <w:t>（2</w:t>
      </w:r>
      <w:r>
        <w:rPr>
          <w:rFonts w:hint="eastAsia"/>
        </w:rPr>
        <w:t>3</w:t>
      </w:r>
      <w:r>
        <w:t>）《关于公路、铁路（含轻轨）等建设项目环境影响评价中环境噪声有关问题的通知》（国家环境保护总局环发[2003]94号，2003.05.24）；</w:t>
      </w:r>
    </w:p>
    <w:p>
      <w:pPr>
        <w:ind w:firstLine="480"/>
      </w:pPr>
      <w:r>
        <w:t>（2</w:t>
      </w:r>
      <w:r>
        <w:rPr>
          <w:rFonts w:hint="eastAsia"/>
        </w:rPr>
        <w:t>4</w:t>
      </w:r>
      <w:r>
        <w:t>）关于发布《地面交通噪声污染防治技术政策》的通知（环境保护部环发[2010]7号，2010.01.11）；</w:t>
      </w:r>
    </w:p>
    <w:p>
      <w:pPr>
        <w:ind w:firstLine="480"/>
      </w:pPr>
      <w:r>
        <w:t>（2</w:t>
      </w:r>
      <w:r>
        <w:rPr>
          <w:rFonts w:hint="eastAsia"/>
        </w:rPr>
        <w:t>5</w:t>
      </w:r>
      <w:r>
        <w:t>）《关于加强环境噪声污染防治工作改善城乡声环境质量的指导意见》（环境保护部环发[2010]144号，2010.12.15）；</w:t>
      </w:r>
    </w:p>
    <w:p>
      <w:pPr>
        <w:ind w:firstLine="480"/>
      </w:pPr>
      <w:r>
        <w:rPr>
          <w:rFonts w:hint="eastAsia"/>
        </w:rPr>
        <w:t>（26）《京津冀及周边地区落实大气污染防治行动计划实施细则》（环发</w:t>
      </w:r>
      <w:r>
        <w:t>[2013]104</w:t>
      </w:r>
      <w:r>
        <w:rPr>
          <w:rFonts w:hint="eastAsia"/>
        </w:rPr>
        <w:t>号</w:t>
      </w:r>
      <w:r>
        <w:t>）</w:t>
      </w:r>
      <w:r>
        <w:rPr>
          <w:rFonts w:hint="eastAsia"/>
        </w:rPr>
        <w:t>；</w:t>
      </w:r>
    </w:p>
    <w:p>
      <w:pPr>
        <w:ind w:firstLine="480"/>
      </w:pPr>
      <w:r>
        <w:t>（</w:t>
      </w:r>
      <w:r>
        <w:rPr>
          <w:rFonts w:hint="eastAsia"/>
        </w:rPr>
        <w:t>27</w:t>
      </w:r>
      <w:r>
        <w:t>）《关于落实大气污染防治行动计划严格环境影响评价准入的通知》（环办[2014]30号）</w:t>
      </w:r>
      <w:r>
        <w:rPr>
          <w:rFonts w:hint="eastAsia"/>
        </w:rPr>
        <w:t>；</w:t>
      </w:r>
    </w:p>
    <w:p>
      <w:pPr>
        <w:ind w:firstLine="480"/>
      </w:pPr>
      <w:r>
        <w:rPr>
          <w:rFonts w:hint="eastAsia"/>
        </w:rPr>
        <w:t>（28）《关于印发〈企业事业单位突发环境事件应急预案备案管理办法（试行）</w:t>
      </w:r>
      <w:r>
        <w:t>&gt;</w:t>
      </w:r>
      <w:r>
        <w:rPr>
          <w:rFonts w:hint="eastAsia"/>
        </w:rPr>
        <w:t>的通知》</w:t>
      </w:r>
      <w:r>
        <w:t>（</w:t>
      </w:r>
      <w:r>
        <w:rPr>
          <w:rFonts w:hint="eastAsia"/>
        </w:rPr>
        <w:t>环发</w:t>
      </w:r>
      <w:r>
        <w:t>[2015]4</w:t>
      </w:r>
      <w:r>
        <w:rPr>
          <w:rFonts w:hint="eastAsia"/>
        </w:rPr>
        <w:t>号）；</w:t>
      </w:r>
    </w:p>
    <w:p>
      <w:pPr>
        <w:ind w:firstLine="480"/>
      </w:pPr>
      <w:r>
        <w:t>（</w:t>
      </w:r>
      <w:r>
        <w:rPr>
          <w:rFonts w:hint="eastAsia"/>
        </w:rPr>
        <w:t>29</w:t>
      </w:r>
      <w:r>
        <w:t>）《关于贯彻实施国家主体功能区环境政策的若干意见》（环发[2015]92号）</w:t>
      </w:r>
      <w:r>
        <w:rPr>
          <w:rFonts w:hint="eastAsia"/>
        </w:rPr>
        <w:t>；</w:t>
      </w:r>
    </w:p>
    <w:p>
      <w:pPr>
        <w:ind w:firstLine="480"/>
      </w:pPr>
      <w:r>
        <w:rPr>
          <w:rFonts w:hint="eastAsia"/>
        </w:rPr>
        <w:t>（30）《关于印发建设项目环境影响评价区域限批管理办法（试行）的通知》</w:t>
      </w:r>
      <w:r>
        <w:t>（</w:t>
      </w:r>
      <w:r>
        <w:rPr>
          <w:rFonts w:hint="eastAsia"/>
        </w:rPr>
        <w:t>环发</w:t>
      </w:r>
      <w:r>
        <w:t>[2015]169</w:t>
      </w:r>
      <w:r>
        <w:rPr>
          <w:rFonts w:hint="eastAsia"/>
        </w:rPr>
        <w:t>号）；</w:t>
      </w:r>
    </w:p>
    <w:p>
      <w:pPr>
        <w:ind w:firstLine="480"/>
      </w:pPr>
      <w:r>
        <w:rPr>
          <w:rFonts w:hint="eastAsia"/>
        </w:rPr>
        <w:t>（31）</w:t>
      </w:r>
      <w:r>
        <w:t>《关于生态环境领域进一步深化</w:t>
      </w:r>
      <w:r>
        <w:rPr>
          <w:rFonts w:hint="eastAsia"/>
        </w:rPr>
        <w:t>“</w:t>
      </w:r>
      <w:r>
        <w:t>放管服</w:t>
      </w:r>
      <w:r>
        <w:rPr>
          <w:rFonts w:hint="eastAsia"/>
        </w:rPr>
        <w:t>”</w:t>
      </w:r>
      <w:r>
        <w:t>改革，推动经济高质量发展的指导意见》（环规财[2018]86号）</w:t>
      </w:r>
      <w:r>
        <w:rPr>
          <w:rFonts w:hint="eastAsia"/>
        </w:rPr>
        <w:t>；</w:t>
      </w:r>
    </w:p>
    <w:p>
      <w:pPr>
        <w:ind w:firstLine="480"/>
      </w:pPr>
      <w:r>
        <w:rPr>
          <w:rFonts w:hint="eastAsia"/>
        </w:rPr>
        <w:t>（32）《关于以改善环境质量为核心加强环境影响评价管理的通知》（环环评</w:t>
      </w:r>
      <w:r>
        <w:t>[2016]150</w:t>
      </w:r>
      <w:r>
        <w:rPr>
          <w:rFonts w:hint="eastAsia"/>
        </w:rPr>
        <w:t>号</w:t>
      </w:r>
      <w:r>
        <w:t>）</w:t>
      </w:r>
    </w:p>
    <w:p>
      <w:pPr>
        <w:ind w:firstLine="480"/>
      </w:pPr>
      <w:r>
        <w:rPr>
          <w:rFonts w:hint="eastAsia"/>
        </w:rPr>
        <w:t>（33）《河北省大气污染防治行动计划实施方案》（中共河北省委、河北省人民政府</w:t>
      </w:r>
      <w:r>
        <w:t>2013</w:t>
      </w:r>
      <w:r>
        <w:rPr>
          <w:rFonts w:hint="eastAsia"/>
        </w:rPr>
        <w:t>年</w:t>
      </w:r>
      <w:r>
        <w:t>9</w:t>
      </w:r>
      <w:r>
        <w:rPr>
          <w:rFonts w:hint="eastAsia"/>
        </w:rPr>
        <w:t>月</w:t>
      </w:r>
      <w:r>
        <w:t>6</w:t>
      </w:r>
      <w:r>
        <w:rPr>
          <w:rFonts w:hint="eastAsia"/>
        </w:rPr>
        <w:t>日）；</w:t>
      </w:r>
    </w:p>
    <w:p>
      <w:pPr>
        <w:ind w:firstLine="480"/>
      </w:pPr>
      <w:r>
        <w:rPr>
          <w:rFonts w:hint="eastAsia"/>
        </w:rPr>
        <w:t>（34）《河北省大气污染防治条例（</w:t>
      </w:r>
      <w:r>
        <w:t>2016</w:t>
      </w:r>
      <w:r>
        <w:rPr>
          <w:rFonts w:hint="eastAsia"/>
        </w:rPr>
        <w:t>年修订）》（</w:t>
      </w:r>
      <w:r>
        <w:t>2016</w:t>
      </w:r>
      <w:r>
        <w:rPr>
          <w:rFonts w:hint="eastAsia"/>
        </w:rPr>
        <w:t>年</w:t>
      </w:r>
      <w:r>
        <w:t>1</w:t>
      </w:r>
      <w:r>
        <w:rPr>
          <w:rFonts w:hint="eastAsia"/>
        </w:rPr>
        <w:t>月</w:t>
      </w:r>
      <w:r>
        <w:t>13</w:t>
      </w:r>
      <w:r>
        <w:rPr>
          <w:rFonts w:hint="eastAsia"/>
        </w:rPr>
        <w:t>日）；</w:t>
      </w:r>
    </w:p>
    <w:p>
      <w:pPr>
        <w:ind w:firstLine="480"/>
      </w:pPr>
      <w:r>
        <w:rPr>
          <w:rFonts w:hint="eastAsia"/>
        </w:rPr>
        <w:t>（35）《河北省水污染防治工作方案》（</w:t>
      </w:r>
      <w:r>
        <w:t>2016</w:t>
      </w:r>
      <w:r>
        <w:rPr>
          <w:rFonts w:hint="eastAsia"/>
        </w:rPr>
        <w:t>年</w:t>
      </w:r>
      <w:r>
        <w:t>2</w:t>
      </w:r>
      <w:r>
        <w:rPr>
          <w:rFonts w:hint="eastAsia"/>
        </w:rPr>
        <w:t>月</w:t>
      </w:r>
      <w:r>
        <w:t>19</w:t>
      </w:r>
      <w:r>
        <w:rPr>
          <w:rFonts w:hint="eastAsia"/>
        </w:rPr>
        <w:t>日）；</w:t>
      </w:r>
    </w:p>
    <w:p>
      <w:pPr>
        <w:ind w:firstLine="480"/>
      </w:pPr>
      <w:r>
        <w:rPr>
          <w:rFonts w:hint="eastAsia"/>
        </w:rPr>
        <w:t>（36）《河北省生态环境保护条例》（</w:t>
      </w:r>
      <w:r>
        <w:t>2020年7月1日施行</w:t>
      </w:r>
      <w:r>
        <w:rPr>
          <w:rFonts w:hint="eastAsia"/>
        </w:rPr>
        <w:t>）；</w:t>
      </w:r>
    </w:p>
    <w:p>
      <w:pPr>
        <w:ind w:firstLine="480"/>
      </w:pPr>
      <w:r>
        <w:rPr>
          <w:rFonts w:hint="eastAsia"/>
        </w:rPr>
        <w:t>（37）《关于印发河北省新增限制和淘汰类产业目录</w:t>
      </w:r>
      <w:r>
        <w:t>（2015</w:t>
      </w:r>
      <w:r>
        <w:rPr>
          <w:rFonts w:hint="eastAsia"/>
        </w:rPr>
        <w:t>年版）的通知》（冀政办发</w:t>
      </w:r>
      <w:r>
        <w:t>[2015]7</w:t>
      </w:r>
      <w:r>
        <w:rPr>
          <w:rFonts w:hint="eastAsia"/>
        </w:rPr>
        <w:t>号）；</w:t>
      </w:r>
    </w:p>
    <w:p>
      <w:pPr>
        <w:ind w:firstLine="480"/>
      </w:pPr>
      <w:r>
        <w:rPr>
          <w:rFonts w:hint="eastAsia"/>
        </w:rPr>
        <w:t>（38）《关于印发河北省建设京津冀生态环境支撑区规划（</w:t>
      </w:r>
      <w:r>
        <w:t>2016-2020</w:t>
      </w:r>
      <w:r>
        <w:rPr>
          <w:rFonts w:hint="eastAsia"/>
        </w:rPr>
        <w:t>年）的通知》</w:t>
      </w:r>
      <w:r>
        <w:t>（</w:t>
      </w:r>
      <w:r>
        <w:rPr>
          <w:rFonts w:hint="eastAsia"/>
        </w:rPr>
        <w:t>冀政发</w:t>
      </w:r>
      <w:r>
        <w:t>[2016]8</w:t>
      </w:r>
      <w:r>
        <w:rPr>
          <w:rFonts w:hint="eastAsia"/>
        </w:rPr>
        <w:t>号）；</w:t>
      </w:r>
    </w:p>
    <w:p>
      <w:pPr>
        <w:ind w:firstLine="480"/>
      </w:pPr>
      <w:r>
        <w:rPr>
          <w:rFonts w:hint="eastAsia"/>
        </w:rPr>
        <w:t>（39）《河北省人民政府关于印发河北省生态环境保护“十四五”规划的通知》</w:t>
      </w:r>
      <w:r>
        <w:t>（</w:t>
      </w:r>
      <w:r>
        <w:rPr>
          <w:rFonts w:hint="eastAsia"/>
        </w:rPr>
        <w:t>冀政字</w:t>
      </w:r>
      <w:r>
        <w:t>[</w:t>
      </w:r>
      <w:r>
        <w:rPr>
          <w:rFonts w:hint="eastAsia"/>
        </w:rPr>
        <w:t>2022</w:t>
      </w:r>
      <w:r>
        <w:t>]</w:t>
      </w:r>
      <w:r>
        <w:rPr>
          <w:rFonts w:hint="eastAsia"/>
        </w:rPr>
        <w:t>2号）；</w:t>
      </w:r>
    </w:p>
    <w:p>
      <w:pPr>
        <w:ind w:firstLine="480"/>
      </w:pPr>
      <w:r>
        <w:rPr>
          <w:rFonts w:hint="eastAsia"/>
        </w:rPr>
        <w:t>（40）《河北省人民政府关于发布〈河北省生态保护红线〉的通知》（冀政字</w:t>
      </w:r>
      <w:r>
        <w:t>[2018]23</w:t>
      </w:r>
      <w:r>
        <w:rPr>
          <w:rFonts w:hint="eastAsia"/>
        </w:rPr>
        <w:t>号</w:t>
      </w:r>
      <w:r>
        <w:t>）</w:t>
      </w:r>
      <w:r>
        <w:rPr>
          <w:rFonts w:hint="eastAsia"/>
        </w:rPr>
        <w:t>；</w:t>
      </w:r>
    </w:p>
    <w:p>
      <w:pPr>
        <w:ind w:firstLine="480"/>
      </w:pPr>
      <w:r>
        <w:rPr>
          <w:rFonts w:hint="eastAsia"/>
        </w:rPr>
        <w:t>（41）《关于进一步加强污染防治工作的意见》（冀环防</w:t>
      </w:r>
      <w:r>
        <w:t>[2012]224</w:t>
      </w:r>
      <w:r>
        <w:rPr>
          <w:rFonts w:hint="eastAsia"/>
        </w:rPr>
        <w:t>号）；</w:t>
      </w:r>
    </w:p>
    <w:p>
      <w:pPr>
        <w:ind w:firstLine="480"/>
      </w:pPr>
      <w:r>
        <w:rPr>
          <w:rFonts w:hint="eastAsia"/>
        </w:rPr>
        <w:t>（42）《关于印发〈河北省建筑施工扬尘治理措施〉的通知》（冀建安</w:t>
      </w:r>
      <w:r>
        <w:t>[2017]9</w:t>
      </w:r>
      <w:r>
        <w:rPr>
          <w:rFonts w:hint="eastAsia"/>
        </w:rPr>
        <w:t>号）；</w:t>
      </w:r>
    </w:p>
    <w:p>
      <w:pPr>
        <w:ind w:firstLine="480"/>
      </w:pPr>
      <w:r>
        <w:rPr>
          <w:rFonts w:hint="eastAsia"/>
        </w:rPr>
        <w:t>（43）《关于贯彻落实</w:t>
      </w:r>
      <w:r>
        <w:t>&lt;</w:t>
      </w:r>
      <w:r>
        <w:rPr>
          <w:rFonts w:hint="eastAsia"/>
        </w:rPr>
        <w:t>环境影响评价公众参与办法</w:t>
      </w:r>
      <w:r>
        <w:t>&gt;</w:t>
      </w:r>
      <w:r>
        <w:rPr>
          <w:rFonts w:hint="eastAsia"/>
        </w:rPr>
        <w:t>规范环评文件审批的通知》（冀环办发</w:t>
      </w:r>
      <w:r>
        <w:t>[2018]23</w:t>
      </w:r>
      <w:r>
        <w:rPr>
          <w:rFonts w:hint="eastAsia"/>
        </w:rPr>
        <w:t>号）；</w:t>
      </w:r>
    </w:p>
    <w:p>
      <w:pPr>
        <w:ind w:firstLine="480"/>
      </w:pPr>
      <w:r>
        <w:t>（</w:t>
      </w:r>
      <w:r>
        <w:rPr>
          <w:rFonts w:hint="eastAsia"/>
        </w:rPr>
        <w:t>44</w:t>
      </w:r>
      <w:r>
        <w:t>）《河北省土地管理条例》（</w:t>
      </w:r>
      <w:r>
        <w:rPr>
          <w:rFonts w:ascii="Arial" w:hAnsi="Arial" w:cs="Arial"/>
          <w:sz w:val="21"/>
          <w:shd w:val="clear" w:color="auto" w:fill="FFFFFF"/>
        </w:rPr>
        <w:t>2014年9月26日</w:t>
      </w:r>
      <w:r>
        <w:rPr>
          <w:rFonts w:hint="eastAsia" w:ascii="Arial" w:hAnsi="Arial" w:cs="Arial"/>
          <w:sz w:val="21"/>
          <w:shd w:val="clear" w:color="auto" w:fill="FFFFFF"/>
        </w:rPr>
        <w:t>修订</w:t>
      </w:r>
      <w:r>
        <w:t>）</w:t>
      </w:r>
      <w:r>
        <w:rPr>
          <w:rFonts w:hint="eastAsia"/>
        </w:rPr>
        <w:t>；</w:t>
      </w:r>
    </w:p>
    <w:p>
      <w:pPr>
        <w:ind w:firstLine="480"/>
      </w:pPr>
      <w:r>
        <w:t>（</w:t>
      </w:r>
      <w:r>
        <w:rPr>
          <w:rFonts w:hint="eastAsia"/>
        </w:rPr>
        <w:t>45</w:t>
      </w:r>
      <w:r>
        <w:t>）《河北省水功能区划》（河北省水利厅、河北省环境保护厅文件冀水资[2017]127号，2017.11.30）</w:t>
      </w:r>
      <w:r>
        <w:rPr>
          <w:rFonts w:hint="eastAsia"/>
        </w:rPr>
        <w:t>；</w:t>
      </w:r>
    </w:p>
    <w:p>
      <w:pPr>
        <w:ind w:firstLine="480"/>
      </w:pPr>
      <w:r>
        <w:t>（</w:t>
      </w:r>
      <w:r>
        <w:rPr>
          <w:rFonts w:hint="eastAsia"/>
        </w:rPr>
        <w:t>46</w:t>
      </w:r>
      <w:r>
        <w:t>）《河北省环境敏感区支持、限制及禁止建设项目名录》（2005年修订版）；</w:t>
      </w:r>
    </w:p>
    <w:p>
      <w:pPr>
        <w:ind w:firstLine="480"/>
      </w:pPr>
      <w:r>
        <w:t>（</w:t>
      </w:r>
      <w:r>
        <w:rPr>
          <w:rFonts w:hint="eastAsia"/>
        </w:rPr>
        <w:t>47</w:t>
      </w:r>
      <w:r>
        <w:t>）《河北省建筑施工扬尘防治强化措施18条》（河北省住房和城乡建设厅，冀建安[2016]27号，2016.12.16）</w:t>
      </w:r>
      <w:r>
        <w:rPr>
          <w:rFonts w:hint="eastAsia"/>
        </w:rPr>
        <w:t>；</w:t>
      </w:r>
    </w:p>
    <w:p>
      <w:pPr>
        <w:ind w:firstLine="480"/>
      </w:pPr>
      <w:r>
        <w:t>（</w:t>
      </w:r>
      <w:r>
        <w:rPr>
          <w:rFonts w:hint="eastAsia"/>
        </w:rPr>
        <w:t>48</w:t>
      </w:r>
      <w:r>
        <w:t>）《河北省用水定额》（DB13/T</w:t>
      </w:r>
      <w:r>
        <w:rPr>
          <w:rFonts w:hint="eastAsia"/>
        </w:rPr>
        <w:t>5448</w:t>
      </w:r>
      <w:r>
        <w:t>.1~</w:t>
      </w:r>
      <w:r>
        <w:rPr>
          <w:rFonts w:hint="eastAsia"/>
        </w:rPr>
        <w:t>14</w:t>
      </w:r>
      <w:r>
        <w:t>-20</w:t>
      </w:r>
      <w:r>
        <w:rPr>
          <w:rFonts w:hint="eastAsia"/>
        </w:rPr>
        <w:t>21，</w:t>
      </w:r>
      <w:r>
        <w:t>DB13/T</w:t>
      </w:r>
      <w:r>
        <w:rPr>
          <w:rFonts w:hint="eastAsia"/>
        </w:rPr>
        <w:t>5449</w:t>
      </w:r>
      <w:r>
        <w:t>.1~</w:t>
      </w:r>
      <w:r>
        <w:rPr>
          <w:rFonts w:hint="eastAsia"/>
        </w:rPr>
        <w:t>2</w:t>
      </w:r>
      <w:r>
        <w:t>-20</w:t>
      </w:r>
      <w:r>
        <w:rPr>
          <w:rFonts w:hint="eastAsia"/>
        </w:rPr>
        <w:t>21，</w:t>
      </w:r>
      <w:r>
        <w:t>DB13/T</w:t>
      </w:r>
      <w:r>
        <w:rPr>
          <w:rFonts w:hint="eastAsia"/>
        </w:rPr>
        <w:t>5450</w:t>
      </w:r>
      <w:r>
        <w:t>.1~</w:t>
      </w:r>
      <w:r>
        <w:rPr>
          <w:rFonts w:hint="eastAsia"/>
        </w:rPr>
        <w:t>3</w:t>
      </w:r>
      <w:r>
        <w:t>-20</w:t>
      </w:r>
      <w:r>
        <w:rPr>
          <w:rFonts w:hint="eastAsia"/>
        </w:rPr>
        <w:t>21</w:t>
      </w:r>
      <w:r>
        <w:t>）；</w:t>
      </w:r>
    </w:p>
    <w:p>
      <w:pPr>
        <w:ind w:firstLine="480"/>
      </w:pPr>
      <w:r>
        <w:t>（</w:t>
      </w:r>
      <w:r>
        <w:rPr>
          <w:rFonts w:hint="eastAsia"/>
        </w:rPr>
        <w:t>49</w:t>
      </w:r>
      <w:r>
        <w:t>）</w:t>
      </w:r>
      <w:r>
        <w:rPr>
          <w:rFonts w:hint="eastAsia"/>
        </w:rPr>
        <w:t>《河北省扬尘污染防治办法》（河北省人民政府令（2020）第1号）；</w:t>
      </w:r>
    </w:p>
    <w:p>
      <w:pPr>
        <w:ind w:firstLine="480"/>
      </w:pPr>
      <w:r>
        <w:rPr>
          <w:rFonts w:hint="eastAsia"/>
        </w:rPr>
        <w:t>（50）《唐山市生态</w:t>
      </w:r>
      <w:r>
        <w:t>环境保护</w:t>
      </w:r>
      <w:r>
        <w:rPr>
          <w:rFonts w:hint="eastAsia"/>
        </w:rPr>
        <w:t>“十四五”</w:t>
      </w:r>
      <w:r>
        <w:t>规划</w:t>
      </w:r>
      <w:r>
        <w:rPr>
          <w:rFonts w:hint="eastAsia"/>
        </w:rPr>
        <w:t>》</w:t>
      </w:r>
      <w:r>
        <w:t>（</w:t>
      </w:r>
      <w:r>
        <w:rPr>
          <w:rFonts w:hint="eastAsia"/>
        </w:rPr>
        <w:t>唐政字[2022]46号</w:t>
      </w:r>
      <w:r>
        <w:t>）</w:t>
      </w:r>
      <w:r>
        <w:rPr>
          <w:rFonts w:hint="eastAsia"/>
        </w:rPr>
        <w:t>；</w:t>
      </w:r>
    </w:p>
    <w:p>
      <w:pPr>
        <w:ind w:firstLine="480"/>
      </w:pPr>
      <w:r>
        <w:rPr>
          <w:rFonts w:hint="eastAsia"/>
        </w:rPr>
        <w:t>（51）</w:t>
      </w:r>
      <w:r>
        <w:rPr>
          <w:szCs w:val="24"/>
        </w:rPr>
        <w:t>关于进一步加强建设项目“三同时”管理工作的通知（唐环发[2013]39号），2013年5月2日</w:t>
      </w:r>
      <w:r>
        <w:rPr>
          <w:rFonts w:hint="eastAsia"/>
        </w:rPr>
        <w:t>；</w:t>
      </w:r>
    </w:p>
    <w:p>
      <w:pPr>
        <w:ind w:firstLine="480"/>
      </w:pPr>
      <w:r>
        <w:rPr>
          <w:rFonts w:hint="eastAsia"/>
        </w:rPr>
        <w:t>（52）</w:t>
      </w:r>
      <w:r>
        <w:rPr>
          <w:szCs w:val="24"/>
        </w:rPr>
        <w:t>《唐山市生态环境局关于印发唐山市2018年重点行业大气污染深度治理专项行动方案的通知》(唐环气[2018]6号</w:t>
      </w:r>
      <w:r>
        <w:rPr>
          <w:rFonts w:hint="eastAsia"/>
        </w:rPr>
        <w:t>；</w:t>
      </w:r>
    </w:p>
    <w:p>
      <w:pPr>
        <w:ind w:firstLine="480"/>
      </w:pPr>
      <w:r>
        <w:rPr>
          <w:rFonts w:hint="eastAsia"/>
        </w:rPr>
        <w:t>（53）</w:t>
      </w:r>
      <w:r>
        <w:rPr>
          <w:szCs w:val="24"/>
        </w:rPr>
        <w:t>《中共唐山市委唐山市人民政府关于强力推进大气污染综合治理的意见》(唐发[2017]7号)</w:t>
      </w:r>
      <w:r>
        <w:rPr>
          <w:rFonts w:hint="eastAsia"/>
        </w:rPr>
        <w:t>；</w:t>
      </w:r>
    </w:p>
    <w:p>
      <w:pPr>
        <w:ind w:firstLine="480"/>
        <w:rPr>
          <w:szCs w:val="24"/>
        </w:rPr>
      </w:pPr>
      <w:r>
        <w:rPr>
          <w:rFonts w:hint="eastAsia"/>
        </w:rPr>
        <w:t>（54）</w:t>
      </w:r>
      <w:r>
        <w:rPr>
          <w:szCs w:val="24"/>
        </w:rPr>
        <w:t>《唐山市人民政府关于实施“三线一单”生态环境分区管控的意见（唐政字[2021]48号）</w:t>
      </w:r>
      <w:r>
        <w:rPr>
          <w:rFonts w:hint="eastAsia"/>
          <w:szCs w:val="24"/>
        </w:rPr>
        <w:t>；</w:t>
      </w:r>
    </w:p>
    <w:p>
      <w:pPr>
        <w:ind w:firstLine="480"/>
      </w:pPr>
      <w:r>
        <w:rPr>
          <w:rFonts w:hint="eastAsia"/>
          <w:szCs w:val="24"/>
        </w:rPr>
        <w:t>（55）《唐山市集中式饮用水水源地保护管理条例》（2021年9月1日起施行）。</w:t>
      </w:r>
    </w:p>
    <w:p>
      <w:pPr>
        <w:pStyle w:val="204"/>
        <w:spacing w:line="480" w:lineRule="exact"/>
        <w:ind w:firstLine="0" w:firstLineChars="0"/>
        <w:outlineLvl w:val="2"/>
        <w:rPr>
          <w:b/>
          <w:sz w:val="28"/>
          <w:szCs w:val="28"/>
        </w:rPr>
      </w:pPr>
      <w:bookmarkStart w:id="54" w:name="_Toc363242836"/>
      <w:bookmarkStart w:id="55" w:name="_Toc363241634"/>
      <w:r>
        <w:rPr>
          <w:rFonts w:hint="eastAsia"/>
          <w:b/>
          <w:sz w:val="28"/>
          <w:szCs w:val="28"/>
        </w:rPr>
        <w:t>2</w:t>
      </w:r>
      <w:r>
        <w:rPr>
          <w:b/>
          <w:sz w:val="28"/>
          <w:szCs w:val="28"/>
        </w:rPr>
        <w:t>.1.3</w:t>
      </w:r>
      <w:r>
        <w:rPr>
          <w:rFonts w:hint="eastAsia"/>
          <w:b/>
          <w:sz w:val="28"/>
          <w:szCs w:val="28"/>
        </w:rPr>
        <w:t>环境保护技术规范</w:t>
      </w:r>
      <w:bookmarkEnd w:id="54"/>
      <w:bookmarkEnd w:id="55"/>
    </w:p>
    <w:p>
      <w:pPr>
        <w:ind w:firstLine="480"/>
      </w:pPr>
      <w:r>
        <w:rPr>
          <w:rFonts w:hint="eastAsia"/>
        </w:rPr>
        <w:t>（1）《</w:t>
      </w:r>
      <w:r>
        <w:rPr>
          <w:rFonts w:hint="eastAsia" w:ascii="宋体"/>
        </w:rPr>
        <w:t>建设项目环境影响评价技术导则 总纲</w:t>
      </w:r>
      <w:r>
        <w:t>》</w:t>
      </w:r>
      <w:r>
        <w:rPr>
          <w:rFonts w:hint="eastAsia"/>
        </w:rPr>
        <w:t>（</w:t>
      </w:r>
      <w:r>
        <w:t>HJ2.1</w:t>
      </w:r>
      <w:r>
        <w:rPr>
          <w:rFonts w:hint="eastAsia"/>
        </w:rPr>
        <w:t>-201</w:t>
      </w:r>
      <w:r>
        <w:t>6</w:t>
      </w:r>
      <w:r>
        <w:rPr>
          <w:rFonts w:hint="eastAsia"/>
        </w:rPr>
        <w:t>）</w:t>
      </w:r>
      <w:r>
        <w:t>；</w:t>
      </w:r>
    </w:p>
    <w:p>
      <w:pPr>
        <w:ind w:firstLine="480"/>
      </w:pPr>
      <w:r>
        <w:rPr>
          <w:rFonts w:hint="eastAsia"/>
        </w:rPr>
        <w:t>（2）《环境影响评价技术导则 大气环境</w:t>
      </w:r>
      <w:r>
        <w:t>》</w:t>
      </w:r>
      <w:r>
        <w:rPr>
          <w:rFonts w:hint="eastAsia"/>
        </w:rPr>
        <w:t>（</w:t>
      </w:r>
      <w:r>
        <w:t>HJ2.</w:t>
      </w:r>
      <w:r>
        <w:rPr>
          <w:rFonts w:hint="eastAsia"/>
        </w:rPr>
        <w:t>2-2018）；</w:t>
      </w:r>
    </w:p>
    <w:p>
      <w:pPr>
        <w:ind w:firstLine="480"/>
      </w:pPr>
      <w:r>
        <w:rPr>
          <w:rFonts w:hint="eastAsia"/>
        </w:rPr>
        <w:t>（3）《环境影响评价技术导则 地表水环境</w:t>
      </w:r>
      <w:r>
        <w:t>》</w:t>
      </w:r>
      <w:r>
        <w:rPr>
          <w:rFonts w:hint="eastAsia"/>
        </w:rPr>
        <w:t>（</w:t>
      </w:r>
      <w:r>
        <w:t>HJ2.</w:t>
      </w:r>
      <w:r>
        <w:rPr>
          <w:rFonts w:hint="eastAsia"/>
        </w:rPr>
        <w:t>3-2018）；</w:t>
      </w:r>
    </w:p>
    <w:p>
      <w:pPr>
        <w:ind w:firstLine="480"/>
      </w:pPr>
      <w:r>
        <w:rPr>
          <w:rFonts w:hint="eastAsia"/>
        </w:rPr>
        <w:t>（4）</w:t>
      </w:r>
      <w:r>
        <w:rPr>
          <w:rFonts w:hint="eastAsia" w:ascii="宋体"/>
        </w:rPr>
        <w:t>《环境影响评价技术导则 地下水环境</w:t>
      </w:r>
      <w:r>
        <w:t>》</w:t>
      </w:r>
      <w:r>
        <w:rPr>
          <w:rFonts w:hint="eastAsia"/>
        </w:rPr>
        <w:t>（</w:t>
      </w:r>
      <w:r>
        <w:t>HJ</w:t>
      </w:r>
      <w:r>
        <w:rPr>
          <w:rFonts w:hint="eastAsia"/>
        </w:rPr>
        <w:t>610-201</w:t>
      </w:r>
      <w:r>
        <w:t>6</w:t>
      </w:r>
      <w:r>
        <w:rPr>
          <w:rFonts w:hint="eastAsia"/>
        </w:rPr>
        <w:t>）；</w:t>
      </w:r>
    </w:p>
    <w:p>
      <w:pPr>
        <w:ind w:firstLine="480"/>
      </w:pPr>
      <w:r>
        <w:rPr>
          <w:rFonts w:hint="eastAsia"/>
        </w:rPr>
        <w:t>（5）</w:t>
      </w:r>
      <w:r>
        <w:t>《环境影响评价技术导则</w:t>
      </w:r>
      <w:r>
        <w:rPr>
          <w:rFonts w:hint="eastAsia"/>
        </w:rPr>
        <w:t xml:space="preserve"> 声环境</w:t>
      </w:r>
      <w:r>
        <w:t>》</w:t>
      </w:r>
      <w:r>
        <w:rPr>
          <w:rFonts w:hint="eastAsia"/>
        </w:rPr>
        <w:t>（</w:t>
      </w:r>
      <w:r>
        <w:t>HJ2.</w:t>
      </w:r>
      <w:r>
        <w:rPr>
          <w:rFonts w:hint="eastAsia"/>
        </w:rPr>
        <w:t>4-2021）</w:t>
      </w:r>
      <w:r>
        <w:t>；</w:t>
      </w:r>
    </w:p>
    <w:p>
      <w:pPr>
        <w:ind w:firstLine="480"/>
        <w:rPr>
          <w:kern w:val="0"/>
        </w:rPr>
      </w:pPr>
      <w:r>
        <w:rPr>
          <w:rFonts w:hint="eastAsia"/>
        </w:rPr>
        <w:t>（6）</w:t>
      </w:r>
      <w:r>
        <w:t>《环境影响评价技术导则</w:t>
      </w:r>
      <w:r>
        <w:rPr>
          <w:rFonts w:hint="eastAsia"/>
        </w:rPr>
        <w:t xml:space="preserve"> 生态影响</w:t>
      </w:r>
      <w:r>
        <w:t>》</w:t>
      </w:r>
      <w:r>
        <w:rPr>
          <w:rFonts w:hint="eastAsia"/>
        </w:rPr>
        <w:t>（</w:t>
      </w:r>
      <w:r>
        <w:t>HJ</w:t>
      </w:r>
      <w:r>
        <w:rPr>
          <w:rFonts w:hint="eastAsia"/>
        </w:rPr>
        <w:t>19</w:t>
      </w:r>
      <w:r>
        <w:t>-</w:t>
      </w:r>
      <w:r>
        <w:rPr>
          <w:rFonts w:hint="eastAsia"/>
        </w:rPr>
        <w:t>2022）；</w:t>
      </w:r>
    </w:p>
    <w:p>
      <w:pPr>
        <w:ind w:firstLine="480"/>
        <w:rPr>
          <w:kern w:val="0"/>
        </w:rPr>
      </w:pPr>
      <w:r>
        <w:rPr>
          <w:rFonts w:hint="eastAsia"/>
        </w:rPr>
        <w:t>（7）</w:t>
      </w:r>
      <w:r>
        <w:rPr>
          <w:kern w:val="0"/>
        </w:rPr>
        <w:t>《建设项目环境风险评价技术导则》（HJ169-20</w:t>
      </w:r>
      <w:r>
        <w:rPr>
          <w:rFonts w:hint="eastAsia"/>
          <w:kern w:val="0"/>
        </w:rPr>
        <w:t>18</w:t>
      </w:r>
      <w:r>
        <w:rPr>
          <w:kern w:val="0"/>
        </w:rPr>
        <w:t>）</w:t>
      </w:r>
      <w:r>
        <w:rPr>
          <w:rFonts w:hint="eastAsia"/>
          <w:kern w:val="0"/>
        </w:rPr>
        <w:t>；</w:t>
      </w:r>
    </w:p>
    <w:p>
      <w:pPr>
        <w:ind w:firstLine="480"/>
        <w:rPr>
          <w:kern w:val="0"/>
        </w:rPr>
      </w:pPr>
      <w:r>
        <w:rPr>
          <w:rFonts w:hint="eastAsia"/>
          <w:kern w:val="0"/>
        </w:rPr>
        <w:t>（8）《环境影响评价技术导则 土壤环境（试行）》（HJ964-2018）；</w:t>
      </w:r>
    </w:p>
    <w:p>
      <w:pPr>
        <w:ind w:firstLine="480"/>
        <w:rPr>
          <w:kern w:val="0"/>
        </w:rPr>
      </w:pPr>
      <w:r>
        <w:rPr>
          <w:kern w:val="0"/>
        </w:rPr>
        <w:t>（9）《声环境功能区划分技术规范》（GBT15190-2014）；</w:t>
      </w:r>
    </w:p>
    <w:p>
      <w:pPr>
        <w:ind w:firstLine="480"/>
        <w:rPr>
          <w:kern w:val="0"/>
        </w:rPr>
      </w:pPr>
      <w:r>
        <w:rPr>
          <w:kern w:val="0"/>
        </w:rPr>
        <w:t>（10）《公路建设项目环境影响评价规范》（JT</w:t>
      </w:r>
      <w:r>
        <w:rPr>
          <w:rFonts w:hint="eastAsia"/>
          <w:kern w:val="0"/>
        </w:rPr>
        <w:t>G B30</w:t>
      </w:r>
      <w:r>
        <w:rPr>
          <w:kern w:val="0"/>
        </w:rPr>
        <w:t>-2006）；</w:t>
      </w:r>
    </w:p>
    <w:p>
      <w:pPr>
        <w:ind w:firstLine="480"/>
        <w:rPr>
          <w:kern w:val="0"/>
        </w:rPr>
      </w:pPr>
      <w:r>
        <w:rPr>
          <w:kern w:val="0"/>
        </w:rPr>
        <w:t>（11）《生态环境状况评价技术规范》（HJ192-2015）</w:t>
      </w:r>
      <w:r>
        <w:rPr>
          <w:rFonts w:hint="eastAsia"/>
          <w:kern w:val="0"/>
        </w:rPr>
        <w:t>；</w:t>
      </w:r>
    </w:p>
    <w:p>
      <w:pPr>
        <w:ind w:firstLine="480"/>
        <w:rPr>
          <w:kern w:val="0"/>
        </w:rPr>
      </w:pPr>
      <w:r>
        <w:rPr>
          <w:kern w:val="0"/>
        </w:rPr>
        <w:t>（13）《公路环境保护设计规范》（JTGB04-2010）</w:t>
      </w:r>
      <w:r>
        <w:rPr>
          <w:rFonts w:hint="eastAsia"/>
          <w:kern w:val="0"/>
        </w:rPr>
        <w:t>；</w:t>
      </w:r>
    </w:p>
    <w:p>
      <w:pPr>
        <w:ind w:firstLine="480"/>
        <w:rPr>
          <w:kern w:val="0"/>
        </w:rPr>
      </w:pPr>
      <w:r>
        <w:rPr>
          <w:kern w:val="0"/>
        </w:rPr>
        <w:t>（15）《公路排水设计规范》（JTG/D33-2012）</w:t>
      </w:r>
      <w:r>
        <w:rPr>
          <w:rFonts w:hint="eastAsia"/>
          <w:kern w:val="0"/>
        </w:rPr>
        <w:t>。</w:t>
      </w:r>
    </w:p>
    <w:p>
      <w:pPr>
        <w:pStyle w:val="204"/>
        <w:spacing w:line="480" w:lineRule="exact"/>
        <w:ind w:firstLine="0" w:firstLineChars="0"/>
        <w:outlineLvl w:val="2"/>
        <w:rPr>
          <w:b/>
          <w:sz w:val="28"/>
          <w:szCs w:val="28"/>
        </w:rPr>
      </w:pPr>
      <w:r>
        <w:rPr>
          <w:rFonts w:hint="eastAsia"/>
          <w:b/>
          <w:sz w:val="28"/>
          <w:szCs w:val="28"/>
        </w:rPr>
        <w:t>2</w:t>
      </w:r>
      <w:r>
        <w:rPr>
          <w:b/>
          <w:sz w:val="28"/>
          <w:szCs w:val="28"/>
        </w:rPr>
        <w:t>.1.</w:t>
      </w:r>
      <w:r>
        <w:rPr>
          <w:rFonts w:hint="eastAsia"/>
          <w:b/>
          <w:sz w:val="28"/>
          <w:szCs w:val="28"/>
        </w:rPr>
        <w:t>4</w:t>
      </w:r>
      <w:r>
        <w:rPr>
          <w:b/>
          <w:sz w:val="28"/>
          <w:szCs w:val="28"/>
        </w:rPr>
        <w:t>相关资料</w:t>
      </w:r>
    </w:p>
    <w:p>
      <w:pPr>
        <w:ind w:firstLine="480"/>
      </w:pPr>
      <w:r>
        <w:t>（1）环境影响评价工作委托书</w:t>
      </w:r>
      <w:r>
        <w:rPr>
          <w:rFonts w:hint="eastAsia"/>
        </w:rPr>
        <w:t>，2017年3月</w:t>
      </w:r>
      <w:r>
        <w:t>；</w:t>
      </w:r>
    </w:p>
    <w:p>
      <w:pPr>
        <w:ind w:firstLine="480"/>
      </w:pPr>
      <w:r>
        <w:t>（2）《</w:t>
      </w:r>
      <w:r>
        <w:rPr>
          <w:rFonts w:hint="eastAsia"/>
        </w:rPr>
        <w:t>国道G112遵化城区段改建工程可行性研究报告</w:t>
      </w:r>
      <w:r>
        <w:t>》，</w:t>
      </w:r>
      <w:r>
        <w:rPr>
          <w:rFonts w:hint="eastAsia"/>
        </w:rPr>
        <w:t>北京建达道桥咨询有限公司</w:t>
      </w:r>
      <w:r>
        <w:t>，</w:t>
      </w:r>
      <w:r>
        <w:rPr>
          <w:rFonts w:hint="eastAsia"/>
        </w:rPr>
        <w:t>2022</w:t>
      </w:r>
      <w:r>
        <w:t>年</w:t>
      </w:r>
      <w:r>
        <w:rPr>
          <w:rFonts w:hint="eastAsia"/>
        </w:rPr>
        <w:t>5</w:t>
      </w:r>
      <w:r>
        <w:t>月</w:t>
      </w:r>
      <w:r>
        <w:rPr>
          <w:szCs w:val="24"/>
          <w:lang w:val="zh-CN"/>
        </w:rPr>
        <w:t>；</w:t>
      </w:r>
    </w:p>
    <w:p>
      <w:pPr>
        <w:ind w:firstLine="480"/>
      </w:pPr>
      <w:r>
        <w:t>（3）《</w:t>
      </w:r>
      <w:r>
        <w:rPr>
          <w:rFonts w:hint="eastAsia"/>
        </w:rPr>
        <w:t>国道G112遵化城区段改建工程现状监测报告</w:t>
      </w:r>
      <w:r>
        <w:t>》</w:t>
      </w:r>
      <w:r>
        <w:rPr>
          <w:rFonts w:hint="eastAsia"/>
        </w:rPr>
        <w:t>（报告编号：SYJC2023H0039）</w:t>
      </w:r>
      <w:r>
        <w:t>，河北</w:t>
      </w:r>
      <w:r>
        <w:rPr>
          <w:rFonts w:hint="eastAsia"/>
        </w:rPr>
        <w:t>尚源</w:t>
      </w:r>
      <w:r>
        <w:t>检测技术</w:t>
      </w:r>
      <w:r>
        <w:rPr>
          <w:rFonts w:hint="eastAsia"/>
        </w:rPr>
        <w:t>服务</w:t>
      </w:r>
      <w:r>
        <w:t>有限公司</w:t>
      </w:r>
      <w:r>
        <w:rPr>
          <w:rFonts w:hint="eastAsia"/>
        </w:rPr>
        <w:t>，2023年6月9日</w:t>
      </w:r>
      <w:r>
        <w:t>；</w:t>
      </w:r>
    </w:p>
    <w:p>
      <w:pPr>
        <w:ind w:firstLine="480"/>
      </w:pPr>
      <w:r>
        <w:t>（</w:t>
      </w:r>
      <w:r>
        <w:rPr>
          <w:rFonts w:hint="eastAsia"/>
        </w:rPr>
        <w:t>4</w:t>
      </w:r>
      <w:r>
        <w:t>）建设单位提供的</w:t>
      </w:r>
      <w:r>
        <w:rPr>
          <w:rFonts w:hint="eastAsia"/>
        </w:rPr>
        <w:t>其他</w:t>
      </w:r>
      <w:r>
        <w:t>相关资料。</w:t>
      </w:r>
    </w:p>
    <w:p>
      <w:pPr>
        <w:pStyle w:val="5"/>
        <w:spacing w:beforeLines="0" w:afterLines="0"/>
      </w:pPr>
      <w:bookmarkStart w:id="56" w:name="_Toc478047280"/>
      <w:bookmarkStart w:id="57" w:name="_Toc141284049"/>
      <w:r>
        <w:rPr>
          <w:rFonts w:hint="eastAsia"/>
        </w:rPr>
        <w:t>2</w:t>
      </w:r>
      <w:r>
        <w:t>.2</w:t>
      </w:r>
      <w:bookmarkEnd w:id="56"/>
      <w:r>
        <w:rPr>
          <w:rFonts w:hint="eastAsia"/>
        </w:rPr>
        <w:t>评价目的与原则</w:t>
      </w:r>
      <w:bookmarkEnd w:id="57"/>
    </w:p>
    <w:p>
      <w:pPr>
        <w:pStyle w:val="204"/>
        <w:spacing w:line="480" w:lineRule="exact"/>
        <w:ind w:firstLine="0" w:firstLineChars="0"/>
        <w:outlineLvl w:val="2"/>
        <w:rPr>
          <w:b/>
          <w:sz w:val="28"/>
          <w:szCs w:val="28"/>
        </w:rPr>
      </w:pPr>
      <w:r>
        <w:rPr>
          <w:rFonts w:hint="eastAsia"/>
          <w:b/>
          <w:sz w:val="28"/>
          <w:szCs w:val="28"/>
        </w:rPr>
        <w:t>2.2.1评价目的</w:t>
      </w:r>
    </w:p>
    <w:p>
      <w:pPr>
        <w:adjustRightInd w:val="0"/>
        <w:snapToGrid w:val="0"/>
        <w:ind w:firstLine="496"/>
        <w:rPr>
          <w:rFonts w:cs="宋体"/>
        </w:rPr>
      </w:pPr>
      <w:r>
        <w:rPr>
          <w:rFonts w:cs="宋体"/>
          <w:spacing w:val="4"/>
        </w:rPr>
        <w:t>公路建设是一项对社会、经济影响深远的开发性活动，其施工建设和通车营运将对自然环境和社会环境产生较大影响，必须妥善处理项目实施和保护环</w:t>
      </w:r>
      <w:r>
        <w:rPr>
          <w:rFonts w:cs="宋体"/>
        </w:rPr>
        <w:t>境的关系。通过本次环境影响评价，应达到以下主要目的</w:t>
      </w:r>
      <w:r>
        <w:rPr>
          <w:rFonts w:hint="eastAsia" w:cs="宋体"/>
        </w:rPr>
        <w:t>：</w:t>
      </w:r>
    </w:p>
    <w:p>
      <w:pPr>
        <w:adjustRightInd w:val="0"/>
        <w:snapToGrid w:val="0"/>
        <w:ind w:firstLine="480"/>
      </w:pPr>
      <w:r>
        <w:rPr>
          <w:rFonts w:hint="eastAsia" w:cs="宋体"/>
        </w:rPr>
        <w:t>（1）</w:t>
      </w:r>
      <w:r>
        <w:rPr>
          <w:rFonts w:cs="宋体"/>
          <w:spacing w:val="-1"/>
        </w:rPr>
        <w:t>通过对</w:t>
      </w:r>
      <w:r>
        <w:rPr>
          <w:rFonts w:hint="eastAsia"/>
        </w:rPr>
        <w:t>国道G112遵化城区段改建工程</w:t>
      </w:r>
      <w:r>
        <w:rPr>
          <w:rFonts w:cs="宋体"/>
          <w:spacing w:val="-1"/>
        </w:rPr>
        <w:t>及临近地区生态、</w:t>
      </w:r>
      <w:r>
        <w:rPr>
          <w:rFonts w:cs="宋体"/>
        </w:rPr>
        <w:t>环境现状的调查评价，了解区域主要环境问题，分析公路选线的环境可行性</w:t>
      </w:r>
      <w:r>
        <w:t>。</w:t>
      </w:r>
    </w:p>
    <w:p>
      <w:pPr>
        <w:adjustRightInd w:val="0"/>
        <w:snapToGrid w:val="0"/>
        <w:ind w:firstLine="480"/>
      </w:pPr>
      <w:r>
        <w:rPr>
          <w:rFonts w:hint="eastAsia" w:cs="宋体"/>
        </w:rPr>
        <w:t>（2）</w:t>
      </w:r>
      <w:r>
        <w:rPr>
          <w:rFonts w:cs="宋体"/>
        </w:rPr>
        <w:t>通过工程分析、现场调查和类比分析，识别和判定公路在施工期以及营运期产生的主要环境影响，确定主要污染源参数</w:t>
      </w:r>
      <w:r>
        <w:t>。</w:t>
      </w:r>
    </w:p>
    <w:p>
      <w:pPr>
        <w:adjustRightInd w:val="0"/>
        <w:snapToGrid w:val="0"/>
        <w:ind w:firstLine="480"/>
      </w:pPr>
      <w:r>
        <w:rPr>
          <w:rFonts w:hint="eastAsia" w:cs="宋体"/>
        </w:rPr>
        <w:t>（3）</w:t>
      </w:r>
      <w:r>
        <w:rPr>
          <w:rFonts w:cs="宋体"/>
        </w:rPr>
        <w:t>通过采用模型模拟、类比调查等技术手段，预测评价公路建设可能诱</w:t>
      </w:r>
      <w:r>
        <w:rPr>
          <w:rFonts w:cs="宋体"/>
          <w:spacing w:val="-3"/>
        </w:rPr>
        <w:t>发的主要环境问题以及环境影响范围和程度，从而分析选线的环境可行性，为公</w:t>
      </w:r>
      <w:r>
        <w:rPr>
          <w:rFonts w:cs="宋体"/>
        </w:rPr>
        <w:t>路优化选线、设计、施工、营运过程中实施环境保护措施提供依据</w:t>
      </w:r>
      <w:r>
        <w:rPr>
          <w:rFonts w:hint="eastAsia" w:cs="宋体"/>
        </w:rPr>
        <w:t>；</w:t>
      </w:r>
    </w:p>
    <w:p>
      <w:pPr>
        <w:adjustRightInd w:val="0"/>
        <w:snapToGrid w:val="0"/>
        <w:ind w:firstLine="480"/>
      </w:pPr>
      <w:r>
        <w:rPr>
          <w:rFonts w:hint="eastAsia" w:cs="宋体"/>
        </w:rPr>
        <w:t>（4）</w:t>
      </w:r>
      <w:r>
        <w:rPr>
          <w:rFonts w:cs="宋体"/>
        </w:rPr>
        <w:t>通过广泛调查，征询公众意见和建议，评价项目选线和建设方案的环境可接受性</w:t>
      </w:r>
      <w:r>
        <w:t>。</w:t>
      </w:r>
    </w:p>
    <w:p>
      <w:pPr>
        <w:adjustRightInd w:val="0"/>
        <w:snapToGrid w:val="0"/>
        <w:ind w:firstLine="480"/>
      </w:pPr>
      <w:r>
        <w:rPr>
          <w:rFonts w:hint="eastAsia" w:cs="宋体"/>
        </w:rPr>
        <w:t>（5）</w:t>
      </w:r>
      <w:r>
        <w:rPr>
          <w:rFonts w:cs="宋体"/>
        </w:rPr>
        <w:t>提出可行的环境保护措施和建议，以指导设计、施工和营运管理，减</w:t>
      </w:r>
      <w:r>
        <w:rPr>
          <w:rFonts w:cs="宋体"/>
          <w:spacing w:val="-3"/>
        </w:rPr>
        <w:t>轻和消除项目开发带来的不利影响，为管理部门提供决策依据，达到经济建设和</w:t>
      </w:r>
      <w:r>
        <w:rPr>
          <w:rFonts w:cs="宋体"/>
        </w:rPr>
        <w:t>环境保护协调发展的目的</w:t>
      </w:r>
      <w:r>
        <w:rPr>
          <w:rFonts w:hint="eastAsia" w:cs="宋体"/>
        </w:rPr>
        <w:t>。</w:t>
      </w:r>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2.2评价原则</w:t>
      </w:r>
    </w:p>
    <w:p>
      <w:pPr>
        <w:ind w:firstLine="480"/>
        <w:rPr>
          <w:szCs w:val="24"/>
        </w:rPr>
      </w:pPr>
      <w:r>
        <w:rPr>
          <w:szCs w:val="24"/>
        </w:rPr>
        <w:t>突出环境影响评价的源头预防作用，坚持保护和改善环境质量。</w:t>
      </w:r>
    </w:p>
    <w:p>
      <w:pPr>
        <w:ind w:firstLine="480"/>
        <w:rPr>
          <w:szCs w:val="24"/>
        </w:rPr>
      </w:pPr>
      <w:r>
        <w:rPr>
          <w:szCs w:val="24"/>
        </w:rPr>
        <w:t>（1）依法评价</w:t>
      </w:r>
    </w:p>
    <w:p>
      <w:pPr>
        <w:ind w:firstLine="480"/>
        <w:rPr>
          <w:szCs w:val="24"/>
        </w:rPr>
      </w:pPr>
      <w:r>
        <w:rPr>
          <w:szCs w:val="24"/>
        </w:rPr>
        <w:t>贯彻执行我国环境保护相关法律法规、标准、政策和规划等，优化项目建设，服务环境管理。</w:t>
      </w:r>
    </w:p>
    <w:p>
      <w:pPr>
        <w:ind w:firstLine="480"/>
        <w:rPr>
          <w:szCs w:val="24"/>
        </w:rPr>
      </w:pPr>
      <w:r>
        <w:rPr>
          <w:szCs w:val="24"/>
        </w:rPr>
        <w:t>（2）科学评价</w:t>
      </w:r>
    </w:p>
    <w:p>
      <w:pPr>
        <w:ind w:firstLine="480"/>
        <w:rPr>
          <w:szCs w:val="24"/>
        </w:rPr>
      </w:pPr>
      <w:r>
        <w:rPr>
          <w:szCs w:val="24"/>
        </w:rPr>
        <w:t>规范环境影响评价方法，科学分析项目建设对环境质量的影响。</w:t>
      </w:r>
    </w:p>
    <w:p>
      <w:pPr>
        <w:ind w:firstLine="480"/>
        <w:rPr>
          <w:szCs w:val="24"/>
        </w:rPr>
      </w:pPr>
      <w:r>
        <w:rPr>
          <w:szCs w:val="24"/>
        </w:rPr>
        <w:t>（3）突出重点</w:t>
      </w:r>
    </w:p>
    <w:p>
      <w:pPr>
        <w:adjustRightInd w:val="0"/>
        <w:snapToGrid w:val="0"/>
        <w:ind w:firstLine="480"/>
      </w:pPr>
      <w:r>
        <w:rPr>
          <w:szCs w:val="24"/>
        </w:rPr>
        <w:t>根据建设项目的工程内容及其特点，明确与环境要素间的作用效应关系，根据规划环境影响评价结论和审查意见，充分利用符合时效的数据资料及成果，对建设项目主要环境影响予以重点分析和评价</w:t>
      </w:r>
      <w:r>
        <w:t>。</w:t>
      </w:r>
    </w:p>
    <w:p>
      <w:pPr>
        <w:pStyle w:val="5"/>
        <w:spacing w:beforeLines="0" w:afterLines="0"/>
      </w:pPr>
      <w:bookmarkStart w:id="58" w:name="_Toc141284050"/>
      <w:r>
        <w:rPr>
          <w:rFonts w:hint="eastAsia"/>
        </w:rPr>
        <w:t>2</w:t>
      </w:r>
      <w:r>
        <w:t>.</w:t>
      </w:r>
      <w:r>
        <w:rPr>
          <w:rFonts w:hint="eastAsia"/>
        </w:rPr>
        <w:t>3</w:t>
      </w:r>
      <w:r>
        <w:t>环境影响因素识别与评价因子</w:t>
      </w:r>
      <w:bookmarkEnd w:id="58"/>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3</w:t>
      </w:r>
      <w:r>
        <w:rPr>
          <w:b/>
          <w:sz w:val="28"/>
          <w:szCs w:val="28"/>
        </w:rPr>
        <w:t>.1环境影响因素识别</w:t>
      </w:r>
    </w:p>
    <w:p>
      <w:pPr>
        <w:ind w:firstLine="496"/>
        <w:rPr>
          <w:szCs w:val="24"/>
        </w:rPr>
      </w:pPr>
      <w:r>
        <w:rPr>
          <w:rFonts w:cs="宋体"/>
          <w:spacing w:val="4"/>
        </w:rPr>
        <w:t>根据公路项目特点及建设地区的环境状况，采用矩阵识别工程在不同阶段对环境资源可能产生影响的因素、影响性质与程度，并依据识别结果筛选工程</w:t>
      </w:r>
      <w:r>
        <w:rPr>
          <w:rFonts w:cs="宋体"/>
        </w:rPr>
        <w:t>在施工期和营运期的主要环境问题与评价因子</w:t>
      </w:r>
      <w:r>
        <w:rPr>
          <w:szCs w:val="24"/>
        </w:rPr>
        <w:t>，见表</w:t>
      </w:r>
      <w:r>
        <w:rPr>
          <w:rFonts w:hint="eastAsia"/>
          <w:szCs w:val="24"/>
        </w:rPr>
        <w:t>2</w:t>
      </w:r>
      <w:r>
        <w:rPr>
          <w:szCs w:val="24"/>
        </w:rPr>
        <w:t>.</w:t>
      </w:r>
      <w:r>
        <w:rPr>
          <w:rFonts w:hint="eastAsia"/>
          <w:szCs w:val="24"/>
        </w:rPr>
        <w:t>3</w:t>
      </w:r>
      <w:r>
        <w:rPr>
          <w:szCs w:val="24"/>
        </w:rPr>
        <w:t>-1。</w:t>
      </w:r>
    </w:p>
    <w:p>
      <w:pPr>
        <w:pStyle w:val="185"/>
        <w:spacing w:line="480" w:lineRule="exact"/>
        <w:rPr>
          <w:sz w:val="21"/>
          <w:szCs w:val="21"/>
        </w:rPr>
      </w:pPr>
      <w:r>
        <w:rPr>
          <w:sz w:val="21"/>
          <w:szCs w:val="21"/>
        </w:rPr>
        <w:t>表</w:t>
      </w:r>
      <w:r>
        <w:rPr>
          <w:rFonts w:hint="eastAsia"/>
          <w:sz w:val="21"/>
          <w:szCs w:val="21"/>
        </w:rPr>
        <w:t>2</w:t>
      </w:r>
      <w:r>
        <w:rPr>
          <w:sz w:val="21"/>
          <w:szCs w:val="21"/>
        </w:rPr>
        <w:t>.</w:t>
      </w:r>
      <w:r>
        <w:rPr>
          <w:rFonts w:hint="eastAsia"/>
          <w:sz w:val="21"/>
          <w:szCs w:val="21"/>
        </w:rPr>
        <w:t>3</w:t>
      </w:r>
      <w:r>
        <w:rPr>
          <w:sz w:val="21"/>
          <w:szCs w:val="21"/>
        </w:rPr>
        <w:t>-1 影响因素与影响程度识别表</w:t>
      </w:r>
    </w:p>
    <w:tbl>
      <w:tblPr>
        <w:tblStyle w:val="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09"/>
        <w:gridCol w:w="1449"/>
        <w:gridCol w:w="978"/>
        <w:gridCol w:w="984"/>
        <w:gridCol w:w="987"/>
        <w:gridCol w:w="978"/>
        <w:gridCol w:w="982"/>
        <w:gridCol w:w="978"/>
        <w:gridCol w:w="97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96" w:type="pct"/>
            <w:gridSpan w:val="2"/>
            <w:vMerge w:val="restart"/>
            <w:tcBorders>
              <w:top w:val="single" w:color="000000" w:sz="4" w:space="0"/>
              <w:left w:val="single" w:color="000000" w:sz="4" w:space="0"/>
              <w:bottom w:val="single" w:color="000000" w:sz="4" w:space="0"/>
              <w:tl2br w:val="single" w:color="000000" w:sz="4" w:space="0"/>
            </w:tcBorders>
            <w:vAlign w:val="center"/>
          </w:tcPr>
          <w:p>
            <w:pPr>
              <w:pStyle w:val="675"/>
              <w:jc w:val="right"/>
              <w:rPr>
                <w:sz w:val="21"/>
                <w:szCs w:val="21"/>
                <w:lang w:eastAsia="zh-CN"/>
              </w:rPr>
            </w:pPr>
            <w:r>
              <w:rPr>
                <w:rFonts w:hint="eastAsia"/>
                <w:sz w:val="21"/>
                <w:szCs w:val="21"/>
                <w:lang w:eastAsia="zh-CN"/>
              </w:rPr>
              <w:t xml:space="preserve">   环境资源</w:t>
            </w:r>
          </w:p>
          <w:p>
            <w:pPr>
              <w:pStyle w:val="675"/>
              <w:rPr>
                <w:sz w:val="21"/>
                <w:szCs w:val="21"/>
                <w:lang w:eastAsia="zh-CN"/>
              </w:rPr>
            </w:pPr>
          </w:p>
          <w:p>
            <w:pPr>
              <w:pStyle w:val="675"/>
              <w:ind w:firstLine="210" w:firstLineChars="100"/>
              <w:rPr>
                <w:sz w:val="21"/>
                <w:szCs w:val="21"/>
                <w:lang w:eastAsia="zh-CN"/>
              </w:rPr>
            </w:pPr>
            <w:r>
              <w:rPr>
                <w:rFonts w:hint="eastAsia"/>
                <w:sz w:val="21"/>
                <w:szCs w:val="21"/>
                <w:lang w:eastAsia="zh-CN"/>
              </w:rPr>
              <w:t>影响因素</w:t>
            </w:r>
          </w:p>
        </w:tc>
        <w:tc>
          <w:tcPr>
            <w:tcW w:w="1634" w:type="pct"/>
            <w:gridSpan w:val="3"/>
            <w:tcBorders>
              <w:top w:val="single" w:color="000000" w:sz="4" w:space="0"/>
              <w:bottom w:val="single" w:color="000000" w:sz="4" w:space="0"/>
            </w:tcBorders>
            <w:vAlign w:val="center"/>
          </w:tcPr>
          <w:p>
            <w:pPr>
              <w:pStyle w:val="675"/>
              <w:jc w:val="center"/>
              <w:rPr>
                <w:sz w:val="21"/>
                <w:szCs w:val="21"/>
              </w:rPr>
            </w:pPr>
            <w:r>
              <w:rPr>
                <w:bCs/>
                <w:sz w:val="21"/>
                <w:szCs w:val="21"/>
              </w:rPr>
              <w:t>自然环境</w:t>
            </w:r>
          </w:p>
        </w:tc>
        <w:tc>
          <w:tcPr>
            <w:tcW w:w="2170" w:type="pct"/>
            <w:gridSpan w:val="4"/>
            <w:tcBorders>
              <w:top w:val="single" w:color="000000" w:sz="4" w:space="0"/>
              <w:bottom w:val="single" w:color="000000" w:sz="4" w:space="0"/>
              <w:right w:val="single" w:color="000000" w:sz="4" w:space="0"/>
            </w:tcBorders>
            <w:vAlign w:val="center"/>
          </w:tcPr>
          <w:p>
            <w:pPr>
              <w:pStyle w:val="675"/>
              <w:jc w:val="center"/>
              <w:rPr>
                <w:sz w:val="21"/>
                <w:szCs w:val="21"/>
              </w:rPr>
            </w:pPr>
            <w:r>
              <w:rPr>
                <w:bCs/>
                <w:sz w:val="21"/>
                <w:szCs w:val="21"/>
              </w:rPr>
              <w:t>生态环境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96" w:type="pct"/>
            <w:gridSpan w:val="2"/>
            <w:vMerge w:val="continue"/>
            <w:tcBorders>
              <w:top w:val="single" w:color="000000" w:sz="4" w:space="0"/>
              <w:left w:val="single" w:color="000000" w:sz="4" w:space="0"/>
              <w:bottom w:val="single" w:color="000000" w:sz="4" w:space="0"/>
              <w:tl2br w:val="single" w:color="000000" w:sz="4" w:space="0"/>
            </w:tcBorders>
            <w:vAlign w:val="center"/>
          </w:tcPr>
          <w:p>
            <w:pPr>
              <w:spacing w:line="240" w:lineRule="auto"/>
              <w:ind w:firstLine="0" w:firstLineChars="0"/>
              <w:jc w:val="center"/>
              <w:rPr>
                <w:kern w:val="0"/>
                <w:szCs w:val="22"/>
                <w:lang w:eastAsia="en-US"/>
              </w:rPr>
            </w:pPr>
          </w:p>
        </w:tc>
        <w:tc>
          <w:tcPr>
            <w:tcW w:w="542" w:type="pct"/>
            <w:tcBorders>
              <w:top w:val="single" w:color="000000" w:sz="4" w:space="0"/>
              <w:bottom w:val="single" w:color="000000" w:sz="4" w:space="0"/>
            </w:tcBorders>
            <w:vAlign w:val="center"/>
          </w:tcPr>
          <w:p>
            <w:pPr>
              <w:pStyle w:val="675"/>
              <w:jc w:val="center"/>
              <w:rPr>
                <w:sz w:val="21"/>
                <w:szCs w:val="21"/>
              </w:rPr>
            </w:pPr>
            <w:r>
              <w:rPr>
                <w:bCs/>
                <w:sz w:val="21"/>
                <w:szCs w:val="21"/>
              </w:rPr>
              <w:t>大气环境</w:t>
            </w:r>
          </w:p>
        </w:tc>
        <w:tc>
          <w:tcPr>
            <w:tcW w:w="545" w:type="pct"/>
            <w:tcBorders>
              <w:top w:val="single" w:color="000000" w:sz="4" w:space="0"/>
              <w:bottom w:val="single" w:color="000000" w:sz="4" w:space="0"/>
            </w:tcBorders>
            <w:vAlign w:val="center"/>
          </w:tcPr>
          <w:p>
            <w:pPr>
              <w:pStyle w:val="675"/>
              <w:jc w:val="center"/>
              <w:rPr>
                <w:sz w:val="21"/>
                <w:szCs w:val="21"/>
              </w:rPr>
            </w:pPr>
            <w:r>
              <w:rPr>
                <w:bCs/>
                <w:sz w:val="21"/>
                <w:szCs w:val="21"/>
              </w:rPr>
              <w:t>声环境</w:t>
            </w:r>
          </w:p>
        </w:tc>
        <w:tc>
          <w:tcPr>
            <w:tcW w:w="547" w:type="pct"/>
            <w:tcBorders>
              <w:top w:val="single" w:color="000000" w:sz="4" w:space="0"/>
              <w:bottom w:val="single" w:color="000000" w:sz="4" w:space="0"/>
            </w:tcBorders>
            <w:vAlign w:val="center"/>
          </w:tcPr>
          <w:p>
            <w:pPr>
              <w:pStyle w:val="675"/>
              <w:jc w:val="center"/>
              <w:rPr>
                <w:sz w:val="21"/>
                <w:szCs w:val="21"/>
              </w:rPr>
            </w:pPr>
            <w:r>
              <w:rPr>
                <w:bCs/>
                <w:sz w:val="21"/>
                <w:szCs w:val="21"/>
              </w:rPr>
              <w:t>水环境</w:t>
            </w:r>
          </w:p>
        </w:tc>
        <w:tc>
          <w:tcPr>
            <w:tcW w:w="542" w:type="pct"/>
            <w:tcBorders>
              <w:top w:val="single" w:color="000000" w:sz="4" w:space="0"/>
              <w:bottom w:val="single" w:color="000000" w:sz="4" w:space="0"/>
            </w:tcBorders>
            <w:vAlign w:val="center"/>
          </w:tcPr>
          <w:p>
            <w:pPr>
              <w:pStyle w:val="675"/>
              <w:jc w:val="center"/>
              <w:rPr>
                <w:sz w:val="21"/>
                <w:szCs w:val="21"/>
              </w:rPr>
            </w:pPr>
            <w:r>
              <w:rPr>
                <w:bCs/>
                <w:sz w:val="21"/>
                <w:szCs w:val="21"/>
              </w:rPr>
              <w:t>陆地植被</w:t>
            </w:r>
          </w:p>
        </w:tc>
        <w:tc>
          <w:tcPr>
            <w:tcW w:w="544" w:type="pct"/>
            <w:tcBorders>
              <w:top w:val="single" w:color="000000" w:sz="4" w:space="0"/>
              <w:bottom w:val="single" w:color="000000" w:sz="4" w:space="0"/>
            </w:tcBorders>
            <w:vAlign w:val="center"/>
          </w:tcPr>
          <w:p>
            <w:pPr>
              <w:pStyle w:val="675"/>
              <w:jc w:val="center"/>
              <w:rPr>
                <w:sz w:val="21"/>
                <w:szCs w:val="21"/>
              </w:rPr>
            </w:pPr>
            <w:r>
              <w:rPr>
                <w:bCs/>
                <w:sz w:val="21"/>
                <w:szCs w:val="21"/>
              </w:rPr>
              <w:t>野生动物</w:t>
            </w:r>
          </w:p>
        </w:tc>
        <w:tc>
          <w:tcPr>
            <w:tcW w:w="542" w:type="pct"/>
            <w:tcBorders>
              <w:top w:val="single" w:color="000000" w:sz="4" w:space="0"/>
              <w:bottom w:val="single" w:color="000000" w:sz="4" w:space="0"/>
            </w:tcBorders>
            <w:vAlign w:val="center"/>
          </w:tcPr>
          <w:p>
            <w:pPr>
              <w:pStyle w:val="675"/>
              <w:jc w:val="center"/>
              <w:rPr>
                <w:sz w:val="21"/>
                <w:szCs w:val="21"/>
              </w:rPr>
            </w:pPr>
            <w:r>
              <w:rPr>
                <w:bCs/>
                <w:sz w:val="21"/>
                <w:szCs w:val="21"/>
              </w:rPr>
              <w:t>农业生态</w:t>
            </w:r>
          </w:p>
        </w:tc>
        <w:tc>
          <w:tcPr>
            <w:tcW w:w="542" w:type="pct"/>
            <w:tcBorders>
              <w:top w:val="single" w:color="000000" w:sz="4" w:space="0"/>
              <w:bottom w:val="single" w:color="000000" w:sz="4" w:space="0"/>
              <w:right w:val="single" w:color="000000" w:sz="4" w:space="0"/>
            </w:tcBorders>
            <w:vAlign w:val="center"/>
          </w:tcPr>
          <w:p>
            <w:pPr>
              <w:pStyle w:val="675"/>
              <w:jc w:val="center"/>
              <w:rPr>
                <w:sz w:val="21"/>
                <w:szCs w:val="21"/>
              </w:rPr>
            </w:pPr>
            <w:r>
              <w:rPr>
                <w:bCs/>
                <w:sz w:val="21"/>
                <w:szCs w:val="21"/>
              </w:rPr>
              <w:t>水土流失</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tcBorders>
              <w:top w:val="single" w:color="000000" w:sz="4" w:space="0"/>
              <w:left w:val="single" w:color="000000" w:sz="4" w:space="0"/>
              <w:bottom w:val="single" w:color="000000" w:sz="4" w:space="0"/>
            </w:tcBorders>
            <w:vAlign w:val="center"/>
          </w:tcPr>
          <w:p>
            <w:pPr>
              <w:pStyle w:val="675"/>
              <w:jc w:val="center"/>
              <w:rPr>
                <w:sz w:val="21"/>
                <w:szCs w:val="21"/>
              </w:rPr>
            </w:pPr>
            <w:r>
              <w:rPr>
                <w:sz w:val="21"/>
                <w:szCs w:val="21"/>
              </w:rPr>
              <w:t>施工期</w:t>
            </w: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拆迁</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D</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D</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D</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D</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pStyle w:val="675"/>
              <w:jc w:val="center"/>
              <w:rPr>
                <w:sz w:val="21"/>
                <w:szCs w:val="21"/>
              </w:rPr>
            </w:pPr>
          </w:p>
        </w:tc>
        <w:tc>
          <w:tcPr>
            <w:tcW w:w="803" w:type="pct"/>
            <w:tcBorders>
              <w:top w:val="single" w:color="000000" w:sz="4" w:space="0"/>
              <w:bottom w:val="single" w:color="000000" w:sz="4" w:space="0"/>
            </w:tcBorders>
            <w:vAlign w:val="center"/>
          </w:tcPr>
          <w:p>
            <w:pPr>
              <w:pStyle w:val="675"/>
              <w:jc w:val="center"/>
              <w:rPr>
                <w:sz w:val="21"/>
                <w:szCs w:val="21"/>
                <w:lang w:eastAsia="zh-CN"/>
              </w:rPr>
            </w:pPr>
            <w:r>
              <w:rPr>
                <w:rFonts w:hint="eastAsia"/>
                <w:sz w:val="21"/>
                <w:szCs w:val="21"/>
                <w:lang w:eastAsia="zh-CN"/>
              </w:rPr>
              <w:t>永久占地</w:t>
            </w:r>
          </w:p>
        </w:tc>
        <w:tc>
          <w:tcPr>
            <w:tcW w:w="542" w:type="pct"/>
            <w:tcBorders>
              <w:top w:val="single" w:color="000000" w:sz="4" w:space="0"/>
              <w:bottom w:val="single" w:color="000000" w:sz="4" w:space="0"/>
            </w:tcBorders>
            <w:vAlign w:val="center"/>
          </w:tcPr>
          <w:p>
            <w:pPr>
              <w:pStyle w:val="675"/>
              <w:jc w:val="center"/>
              <w:rPr>
                <w:rFonts w:ascii="Times New Roman"/>
                <w:sz w:val="21"/>
                <w:lang w:eastAsia="zh-CN"/>
              </w:rPr>
            </w:pPr>
            <w:r>
              <w:rPr>
                <w:rFonts w:ascii="Times New Roman"/>
                <w:sz w:val="21"/>
              </w:rPr>
              <w:t>-</w:t>
            </w:r>
            <w:r>
              <w:rPr>
                <w:rFonts w:hint="eastAsia" w:ascii="Times New Roman"/>
                <w:sz w:val="21"/>
                <w:lang w:eastAsia="zh-CN"/>
              </w:rPr>
              <w:t>1D</w:t>
            </w:r>
          </w:p>
        </w:tc>
        <w:tc>
          <w:tcPr>
            <w:tcW w:w="545" w:type="pct"/>
            <w:tcBorders>
              <w:top w:val="single" w:color="000000" w:sz="4" w:space="0"/>
              <w:bottom w:val="single" w:color="000000" w:sz="4" w:space="0"/>
            </w:tcBorders>
            <w:vAlign w:val="center"/>
          </w:tcPr>
          <w:p>
            <w:pPr>
              <w:pStyle w:val="675"/>
              <w:jc w:val="center"/>
              <w:rPr>
                <w:rFonts w:ascii="Times New Roman"/>
                <w:sz w:val="21"/>
                <w:lang w:eastAsia="zh-CN"/>
              </w:rPr>
            </w:pPr>
            <w:r>
              <w:rPr>
                <w:rFonts w:ascii="Times New Roman"/>
                <w:sz w:val="21"/>
              </w:rPr>
              <w:t>-</w:t>
            </w:r>
            <w:r>
              <w:rPr>
                <w:rFonts w:hint="eastAsia" w:ascii="Times New Roman"/>
                <w:sz w:val="21"/>
                <w:lang w:eastAsia="zh-CN"/>
              </w:rPr>
              <w:t>1D</w:t>
            </w:r>
          </w:p>
        </w:tc>
        <w:tc>
          <w:tcPr>
            <w:tcW w:w="547" w:type="pct"/>
            <w:tcBorders>
              <w:top w:val="single" w:color="000000" w:sz="4" w:space="0"/>
              <w:bottom w:val="single" w:color="000000" w:sz="4" w:space="0"/>
            </w:tcBorders>
            <w:vAlign w:val="center"/>
          </w:tcPr>
          <w:p>
            <w:pPr>
              <w:pStyle w:val="675"/>
              <w:jc w:val="center"/>
              <w:rPr>
                <w:rFonts w:ascii="Times New Roman"/>
                <w:sz w:val="21"/>
                <w:lang w:eastAsia="zh-CN"/>
              </w:rPr>
            </w:pPr>
            <w:r>
              <w:rPr>
                <w:rFonts w:ascii="Times New Roman"/>
                <w:sz w:val="21"/>
              </w:rPr>
              <w:t>-</w:t>
            </w:r>
            <w:r>
              <w:rPr>
                <w:rFonts w:hint="eastAsia" w:ascii="Times New Roman"/>
                <w:sz w:val="21"/>
                <w:lang w:eastAsia="zh-CN"/>
              </w:rPr>
              <w:t>1D</w:t>
            </w:r>
          </w:p>
        </w:tc>
        <w:tc>
          <w:tcPr>
            <w:tcW w:w="542"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-2</w:t>
            </w:r>
            <w:r>
              <w:rPr>
                <w:rFonts w:hint="eastAsia" w:ascii="Times New Roman"/>
                <w:sz w:val="21"/>
                <w:lang w:eastAsia="zh-CN"/>
              </w:rPr>
              <w:t>D</w:t>
            </w:r>
          </w:p>
        </w:tc>
        <w:tc>
          <w:tcPr>
            <w:tcW w:w="544"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w:t>
            </w:r>
            <w:r>
              <w:rPr>
                <w:rFonts w:hint="eastAsia" w:ascii="Times New Roman"/>
                <w:sz w:val="21"/>
                <w:lang w:eastAsia="zh-CN"/>
              </w:rPr>
              <w:t>1D</w:t>
            </w:r>
          </w:p>
        </w:tc>
        <w:tc>
          <w:tcPr>
            <w:tcW w:w="542"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-2</w:t>
            </w:r>
            <w:r>
              <w:rPr>
                <w:rFonts w:hint="eastAsia" w:ascii="Times New Roman"/>
                <w:sz w:val="21"/>
                <w:lang w:eastAsia="zh-CN"/>
              </w:rPr>
              <w:t>D</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sz w:val="21"/>
              </w:rPr>
            </w:pPr>
            <w:r>
              <w:rPr>
                <w:rFonts w:ascii="Times New Roman"/>
                <w:sz w:val="21"/>
              </w:rPr>
              <w:t>-</w:t>
            </w:r>
            <w:r>
              <w:rPr>
                <w:rFonts w:hint="eastAsia" w:ascii="Times New Roman"/>
                <w:sz w:val="21"/>
                <w:lang w:eastAsia="zh-CN"/>
              </w:rPr>
              <w:t>1D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spacing w:line="240" w:lineRule="auto"/>
              <w:ind w:firstLine="0" w:firstLineChars="0"/>
              <w:jc w:val="center"/>
              <w:rPr>
                <w:kern w:val="0"/>
                <w:szCs w:val="22"/>
                <w:lang w:eastAsia="en-US"/>
              </w:rPr>
            </w:pP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路基</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spacing w:line="240" w:lineRule="auto"/>
              <w:ind w:firstLine="0" w:firstLineChars="0"/>
              <w:jc w:val="center"/>
              <w:rPr>
                <w:kern w:val="0"/>
                <w:szCs w:val="22"/>
                <w:lang w:eastAsia="en-US"/>
              </w:rPr>
            </w:pP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路面</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-3</w:t>
            </w:r>
            <w:r>
              <w:rPr>
                <w:rFonts w:hint="eastAsia" w:ascii="Times New Roman"/>
                <w:sz w:val="21"/>
                <w:lang w:eastAsia="zh-CN"/>
              </w:rPr>
              <w:t>D</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spacing w:line="240" w:lineRule="auto"/>
              <w:ind w:firstLine="0" w:firstLineChars="0"/>
              <w:jc w:val="center"/>
              <w:rPr>
                <w:kern w:val="0"/>
                <w:szCs w:val="22"/>
                <w:lang w:eastAsia="en-US"/>
              </w:rPr>
            </w:pP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桥梁涵洞</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spacing w:line="240" w:lineRule="auto"/>
              <w:ind w:firstLine="0" w:firstLineChars="0"/>
              <w:jc w:val="center"/>
              <w:rPr>
                <w:kern w:val="0"/>
                <w:szCs w:val="22"/>
                <w:lang w:eastAsia="en-US"/>
              </w:rPr>
            </w:pP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材料运输</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-2</w:t>
            </w:r>
            <w:r>
              <w:rPr>
                <w:rFonts w:hint="eastAsia" w:ascii="Times New Roman"/>
                <w:sz w:val="21"/>
                <w:lang w:eastAsia="zh-CN"/>
              </w:rPr>
              <w:t>D</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-1</w:t>
            </w:r>
            <w:r>
              <w:rPr>
                <w:rFonts w:hint="eastAsia" w:ascii="Times New Roman"/>
                <w:sz w:val="21"/>
                <w:lang w:eastAsia="zh-CN"/>
              </w:rPr>
              <w:t>D</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tcBorders>
              <w:top w:val="single" w:color="000000" w:sz="4" w:space="0"/>
              <w:left w:val="single" w:color="000000" w:sz="4" w:space="0"/>
              <w:bottom w:val="single" w:color="000000" w:sz="4" w:space="0"/>
            </w:tcBorders>
            <w:vAlign w:val="center"/>
          </w:tcPr>
          <w:p>
            <w:pPr>
              <w:pStyle w:val="675"/>
              <w:jc w:val="center"/>
              <w:rPr>
                <w:sz w:val="21"/>
                <w:szCs w:val="21"/>
              </w:rPr>
            </w:pPr>
            <w:r>
              <w:rPr>
                <w:sz w:val="21"/>
                <w:szCs w:val="21"/>
              </w:rPr>
              <w:t>运营期</w:t>
            </w: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车辆行驶</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C</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C</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pStyle w:val="675"/>
              <w:jc w:val="center"/>
              <w:rPr>
                <w:sz w:val="21"/>
                <w:szCs w:val="21"/>
              </w:rPr>
            </w:pPr>
          </w:p>
        </w:tc>
        <w:tc>
          <w:tcPr>
            <w:tcW w:w="803" w:type="pct"/>
            <w:tcBorders>
              <w:top w:val="single" w:color="000000" w:sz="4" w:space="0"/>
              <w:bottom w:val="single" w:color="000000" w:sz="4" w:space="0"/>
            </w:tcBorders>
            <w:vAlign w:val="center"/>
          </w:tcPr>
          <w:p>
            <w:pPr>
              <w:pStyle w:val="675"/>
              <w:jc w:val="center"/>
              <w:rPr>
                <w:sz w:val="21"/>
                <w:szCs w:val="21"/>
                <w:lang w:eastAsia="zh-CN"/>
              </w:rPr>
            </w:pPr>
            <w:r>
              <w:rPr>
                <w:rFonts w:hint="eastAsia"/>
                <w:sz w:val="21"/>
                <w:szCs w:val="21"/>
                <w:lang w:eastAsia="zh-CN"/>
              </w:rPr>
              <w:t>永久占地</w:t>
            </w:r>
          </w:p>
        </w:tc>
        <w:tc>
          <w:tcPr>
            <w:tcW w:w="542" w:type="pct"/>
            <w:tcBorders>
              <w:top w:val="single" w:color="000000" w:sz="4" w:space="0"/>
              <w:bottom w:val="single" w:color="000000" w:sz="4" w:space="0"/>
            </w:tcBorders>
            <w:vAlign w:val="center"/>
          </w:tcPr>
          <w:p>
            <w:pPr>
              <w:pStyle w:val="675"/>
              <w:jc w:val="center"/>
              <w:rPr>
                <w:rFonts w:ascii="Times New Roman"/>
                <w:sz w:val="21"/>
                <w:lang w:eastAsia="zh-CN"/>
              </w:rPr>
            </w:pPr>
            <w:r>
              <w:rPr>
                <w:rFonts w:hint="eastAsia" w:ascii="Times New Roman"/>
                <w:sz w:val="21"/>
                <w:lang w:eastAsia="zh-CN"/>
              </w:rPr>
              <w:t>0</w:t>
            </w:r>
          </w:p>
        </w:tc>
        <w:tc>
          <w:tcPr>
            <w:tcW w:w="545" w:type="pct"/>
            <w:tcBorders>
              <w:top w:val="single" w:color="000000" w:sz="4" w:space="0"/>
              <w:bottom w:val="single" w:color="000000" w:sz="4" w:space="0"/>
            </w:tcBorders>
            <w:vAlign w:val="center"/>
          </w:tcPr>
          <w:p>
            <w:pPr>
              <w:pStyle w:val="675"/>
              <w:jc w:val="center"/>
              <w:rPr>
                <w:rFonts w:ascii="Times New Roman"/>
                <w:sz w:val="21"/>
                <w:lang w:eastAsia="zh-CN"/>
              </w:rPr>
            </w:pPr>
            <w:r>
              <w:rPr>
                <w:rFonts w:hint="eastAsia" w:ascii="Times New Roman"/>
                <w:sz w:val="21"/>
                <w:lang w:eastAsia="zh-CN"/>
              </w:rPr>
              <w:t>0</w:t>
            </w:r>
          </w:p>
        </w:tc>
        <w:tc>
          <w:tcPr>
            <w:tcW w:w="547" w:type="pct"/>
            <w:tcBorders>
              <w:top w:val="single" w:color="000000" w:sz="4" w:space="0"/>
              <w:bottom w:val="single" w:color="000000" w:sz="4" w:space="0"/>
            </w:tcBorders>
            <w:vAlign w:val="center"/>
          </w:tcPr>
          <w:p>
            <w:pPr>
              <w:pStyle w:val="675"/>
              <w:jc w:val="center"/>
              <w:rPr>
                <w:rFonts w:ascii="Times New Roman"/>
                <w:sz w:val="21"/>
                <w:lang w:eastAsia="zh-CN"/>
              </w:rPr>
            </w:pPr>
            <w:r>
              <w:rPr>
                <w:rFonts w:ascii="Times New Roman"/>
                <w:sz w:val="21"/>
              </w:rPr>
              <w:t>-1</w:t>
            </w:r>
            <w:r>
              <w:rPr>
                <w:rFonts w:hint="eastAsia" w:ascii="Times New Roman"/>
                <w:sz w:val="21"/>
                <w:lang w:eastAsia="zh-CN"/>
              </w:rPr>
              <w:t>C</w:t>
            </w:r>
          </w:p>
        </w:tc>
        <w:tc>
          <w:tcPr>
            <w:tcW w:w="542"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w:t>
            </w:r>
            <w:r>
              <w:rPr>
                <w:rFonts w:hint="eastAsia" w:ascii="Times New Roman"/>
                <w:sz w:val="21"/>
                <w:lang w:eastAsia="zh-CN"/>
              </w:rPr>
              <w:t>2C</w:t>
            </w:r>
          </w:p>
        </w:tc>
        <w:tc>
          <w:tcPr>
            <w:tcW w:w="544"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-1</w:t>
            </w:r>
            <w:r>
              <w:rPr>
                <w:rFonts w:hint="eastAsia" w:ascii="Times New Roman"/>
                <w:sz w:val="21"/>
                <w:lang w:eastAsia="zh-CN"/>
              </w:rPr>
              <w:t>C</w:t>
            </w:r>
          </w:p>
        </w:tc>
        <w:tc>
          <w:tcPr>
            <w:tcW w:w="542" w:type="pct"/>
            <w:tcBorders>
              <w:top w:val="single" w:color="000000" w:sz="4" w:space="0"/>
              <w:bottom w:val="single" w:color="000000" w:sz="4" w:space="0"/>
            </w:tcBorders>
            <w:vAlign w:val="center"/>
          </w:tcPr>
          <w:p>
            <w:pPr>
              <w:pStyle w:val="675"/>
              <w:jc w:val="center"/>
              <w:rPr>
                <w:rFonts w:ascii="Times New Roman"/>
                <w:sz w:val="21"/>
              </w:rPr>
            </w:pPr>
            <w:r>
              <w:rPr>
                <w:rFonts w:ascii="Times New Roman"/>
                <w:sz w:val="21"/>
              </w:rPr>
              <w:t>-</w:t>
            </w:r>
            <w:r>
              <w:rPr>
                <w:rFonts w:hint="eastAsia" w:ascii="Times New Roman"/>
                <w:sz w:val="21"/>
                <w:lang w:eastAsia="zh-CN"/>
              </w:rPr>
              <w:t>2C</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sz w:val="21"/>
                <w:lang w:eastAsia="zh-CN"/>
              </w:rPr>
            </w:pPr>
            <w:r>
              <w:rPr>
                <w:rFonts w:hint="eastAsia" w:ascii="Times New Roman"/>
                <w:sz w:val="21"/>
                <w:lang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tcBorders>
              <w:top w:val="single" w:color="000000" w:sz="4" w:space="0"/>
              <w:left w:val="single" w:color="000000" w:sz="4" w:space="0"/>
              <w:bottom w:val="single" w:color="000000" w:sz="4" w:space="0"/>
            </w:tcBorders>
            <w:vAlign w:val="center"/>
          </w:tcPr>
          <w:p>
            <w:pPr>
              <w:spacing w:line="240" w:lineRule="auto"/>
              <w:ind w:firstLine="0" w:firstLineChars="0"/>
              <w:jc w:val="center"/>
              <w:rPr>
                <w:kern w:val="0"/>
                <w:szCs w:val="22"/>
                <w:lang w:eastAsia="en-US"/>
              </w:rPr>
            </w:pPr>
          </w:p>
        </w:tc>
        <w:tc>
          <w:tcPr>
            <w:tcW w:w="803" w:type="pct"/>
            <w:tcBorders>
              <w:top w:val="single" w:color="000000" w:sz="4" w:space="0"/>
              <w:bottom w:val="single" w:color="000000" w:sz="4" w:space="0"/>
            </w:tcBorders>
            <w:vAlign w:val="center"/>
          </w:tcPr>
          <w:p>
            <w:pPr>
              <w:pStyle w:val="675"/>
              <w:jc w:val="center"/>
              <w:rPr>
                <w:sz w:val="21"/>
                <w:szCs w:val="21"/>
              </w:rPr>
            </w:pPr>
            <w:r>
              <w:rPr>
                <w:sz w:val="21"/>
                <w:szCs w:val="21"/>
              </w:rPr>
              <w:t>绿化</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5"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C</w:t>
            </w:r>
          </w:p>
        </w:tc>
        <w:tc>
          <w:tcPr>
            <w:tcW w:w="547"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+1</w:t>
            </w:r>
            <w:r>
              <w:rPr>
                <w:rFonts w:hint="eastAsia" w:ascii="Times New Roman"/>
                <w:sz w:val="21"/>
                <w:lang w:eastAsia="zh-CN"/>
              </w:rPr>
              <w:t>C</w:t>
            </w:r>
          </w:p>
        </w:tc>
        <w:tc>
          <w:tcPr>
            <w:tcW w:w="544"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tcBorders>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542" w:type="pct"/>
            <w:tcBorders>
              <w:top w:val="single" w:color="000000" w:sz="4" w:space="0"/>
              <w:bottom w:val="single" w:color="000000" w:sz="4" w:space="0"/>
              <w:right w:val="single" w:color="000000" w:sz="4" w:space="0"/>
            </w:tcBorders>
            <w:vAlign w:val="center"/>
          </w:tcPr>
          <w:p>
            <w:pPr>
              <w:pStyle w:val="675"/>
              <w:jc w:val="center"/>
              <w:rPr>
                <w:rFonts w:ascii="Times New Roman" w:hAnsi="Times New Roman" w:eastAsia="Times New Roman" w:cs="Times New Roman"/>
                <w:sz w:val="21"/>
                <w:szCs w:val="21"/>
                <w:lang w:eastAsia="zh-CN"/>
              </w:rPr>
            </w:pPr>
            <w:r>
              <w:rPr>
                <w:rFonts w:ascii="Times New Roman"/>
                <w:sz w:val="21"/>
              </w:rPr>
              <w:t>+2</w:t>
            </w:r>
            <w:r>
              <w:rPr>
                <w:rFonts w:hint="eastAsia" w:ascii="Times New Roman"/>
                <w:sz w:val="21"/>
                <w:lang w:eastAsia="zh-CN"/>
              </w:rPr>
              <w:t>C</w:t>
            </w:r>
          </w:p>
        </w:tc>
      </w:tr>
    </w:tbl>
    <w:p>
      <w:pPr>
        <w:pStyle w:val="185"/>
        <w:jc w:val="left"/>
        <w:rPr>
          <w:b w:val="0"/>
        </w:rPr>
      </w:pPr>
      <w:r>
        <w:rPr>
          <w:rFonts w:ascii="宋体" w:hAnsi="宋体" w:cs="宋体"/>
          <w:b w:val="0"/>
          <w:spacing w:val="-2"/>
          <w:szCs w:val="21"/>
        </w:rPr>
        <w:t>注：</w:t>
      </w:r>
      <w:r>
        <w:rPr>
          <w:rFonts w:eastAsia="Times New Roman"/>
          <w:b w:val="0"/>
          <w:spacing w:val="-2"/>
          <w:szCs w:val="21"/>
        </w:rPr>
        <w:t>-</w:t>
      </w:r>
      <w:r>
        <w:rPr>
          <w:rFonts w:ascii="宋体" w:hAnsi="宋体" w:cs="宋体"/>
          <w:b w:val="0"/>
          <w:spacing w:val="-2"/>
          <w:szCs w:val="21"/>
        </w:rPr>
        <w:t>：不利影响，</w:t>
      </w:r>
      <w:r>
        <w:rPr>
          <w:rFonts w:eastAsia="Times New Roman"/>
          <w:b w:val="0"/>
          <w:spacing w:val="-2"/>
          <w:szCs w:val="21"/>
        </w:rPr>
        <w:t>+</w:t>
      </w:r>
      <w:r>
        <w:rPr>
          <w:rFonts w:ascii="宋体" w:hAnsi="宋体" w:cs="宋体"/>
          <w:b w:val="0"/>
          <w:spacing w:val="-2"/>
          <w:szCs w:val="21"/>
        </w:rPr>
        <w:t>：有利影响</w:t>
      </w:r>
      <w:r>
        <w:rPr>
          <w:rFonts w:hint="eastAsia" w:ascii="宋体" w:hAnsi="宋体" w:cs="宋体"/>
          <w:b w:val="0"/>
          <w:spacing w:val="-2"/>
          <w:szCs w:val="21"/>
        </w:rPr>
        <w:t>；</w:t>
      </w:r>
      <w:r>
        <w:rPr>
          <w:rFonts w:eastAsia="Times New Roman"/>
          <w:b w:val="0"/>
          <w:spacing w:val="-2"/>
          <w:szCs w:val="21"/>
        </w:rPr>
        <w:t>3</w:t>
      </w:r>
      <w:r>
        <w:rPr>
          <w:rFonts w:ascii="宋体" w:hAnsi="宋体" w:cs="宋体"/>
          <w:b w:val="0"/>
          <w:spacing w:val="-2"/>
          <w:szCs w:val="21"/>
        </w:rPr>
        <w:t>：重大影响，</w:t>
      </w:r>
      <w:r>
        <w:rPr>
          <w:rFonts w:eastAsia="Times New Roman"/>
          <w:b w:val="0"/>
          <w:spacing w:val="-2"/>
          <w:szCs w:val="21"/>
        </w:rPr>
        <w:t>2</w:t>
      </w:r>
      <w:r>
        <w:rPr>
          <w:rFonts w:ascii="宋体" w:hAnsi="宋体" w:cs="宋体"/>
          <w:b w:val="0"/>
          <w:spacing w:val="-2"/>
          <w:szCs w:val="21"/>
        </w:rPr>
        <w:t>：中等影响，</w:t>
      </w:r>
      <w:r>
        <w:rPr>
          <w:rFonts w:eastAsia="Times New Roman"/>
          <w:b w:val="0"/>
          <w:spacing w:val="-2"/>
          <w:szCs w:val="21"/>
        </w:rPr>
        <w:t>1</w:t>
      </w:r>
      <w:r>
        <w:rPr>
          <w:rFonts w:ascii="宋体" w:hAnsi="宋体" w:cs="宋体"/>
          <w:b w:val="0"/>
          <w:spacing w:val="-2"/>
          <w:szCs w:val="21"/>
        </w:rPr>
        <w:t>：轻度影响，</w:t>
      </w:r>
      <w:r>
        <w:rPr>
          <w:rFonts w:eastAsia="Times New Roman"/>
          <w:b w:val="0"/>
          <w:spacing w:val="-2"/>
          <w:szCs w:val="21"/>
        </w:rPr>
        <w:t>0</w:t>
      </w:r>
      <w:r>
        <w:rPr>
          <w:rFonts w:ascii="宋体" w:hAnsi="宋体" w:cs="宋体"/>
          <w:b w:val="0"/>
          <w:spacing w:val="-2"/>
          <w:szCs w:val="21"/>
        </w:rPr>
        <w:t>：基本</w:t>
      </w:r>
      <w:r>
        <w:rPr>
          <w:rFonts w:ascii="宋体" w:hAnsi="宋体" w:cs="宋体"/>
          <w:b w:val="0"/>
          <w:szCs w:val="21"/>
        </w:rPr>
        <w:t>无影响</w:t>
      </w:r>
      <w:r>
        <w:rPr>
          <w:rFonts w:hint="eastAsia" w:ascii="宋体" w:hAnsi="宋体" w:cs="宋体"/>
          <w:b w:val="0"/>
          <w:szCs w:val="21"/>
        </w:rPr>
        <w:t>；C：长期影响；D：短期影响</w:t>
      </w:r>
    </w:p>
    <w:p>
      <w:pPr>
        <w:ind w:firstLine="480"/>
      </w:pPr>
      <w:r>
        <w:t>（1）施工期将对自然与生态环境产生一定程度的不利影响，其中以路基、施工生活区对生态、景观的影响，占地拆迁行为对生态、景观的影响，施工噪声对声环境的影响，施工生产生活区对大气环境、声环境、水环境的影响，施工扬尘与汽车尾气排放对环境空气的影响尤为严重。施工期对环境产生的不利影响多为可逆、短期、局部影响，绝大多数不利影响将随着工程施工活动的结束而消失。</w:t>
      </w:r>
    </w:p>
    <w:p>
      <w:pPr>
        <w:ind w:firstLine="480"/>
      </w:pPr>
      <w:r>
        <w:t>（2）营运期的主要环境问题是车辆行驶交通噪声对声环境的影响、</w:t>
      </w:r>
      <w:r>
        <w:rPr>
          <w:rFonts w:hint="eastAsia"/>
        </w:rPr>
        <w:t>道路扬尘、</w:t>
      </w:r>
      <w:r>
        <w:t>汽车</w:t>
      </w:r>
      <w:r>
        <w:rPr>
          <w:rFonts w:hint="eastAsia"/>
        </w:rPr>
        <w:t>尾气</w:t>
      </w:r>
      <w:r>
        <w:rPr>
          <w:rFonts w:cs="宋体"/>
        </w:rPr>
        <w:t>排放对环境空气的影响及生态阻隔的影响</w:t>
      </w:r>
      <w:r>
        <w:rPr>
          <w:rFonts w:hint="eastAsia" w:cs="宋体"/>
        </w:rPr>
        <w:t>。</w:t>
      </w:r>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3</w:t>
      </w:r>
      <w:r>
        <w:rPr>
          <w:b/>
          <w:sz w:val="28"/>
          <w:szCs w:val="28"/>
        </w:rPr>
        <w:t>.</w:t>
      </w:r>
      <w:r>
        <w:rPr>
          <w:rFonts w:hint="eastAsia"/>
          <w:b/>
          <w:sz w:val="28"/>
          <w:szCs w:val="28"/>
        </w:rPr>
        <w:t>2评价因子</w:t>
      </w:r>
    </w:p>
    <w:p>
      <w:pPr>
        <w:ind w:firstLine="480"/>
      </w:pPr>
      <w:r>
        <w:rPr>
          <w:rFonts w:hint="eastAsia"/>
        </w:rPr>
        <w:t>根据环境影响因素识别结果，结合区域环境质量现状，以及工程特点和污染物排放特征，确定本项目评价因子见表2.3</w:t>
      </w:r>
      <w:r>
        <w:t>-</w:t>
      </w:r>
      <w:r>
        <w:rPr>
          <w:rFonts w:hint="eastAsia"/>
        </w:rPr>
        <w:t>2。</w:t>
      </w:r>
    </w:p>
    <w:p>
      <w:pPr>
        <w:pStyle w:val="185"/>
        <w:spacing w:line="480" w:lineRule="exact"/>
        <w:rPr>
          <w:sz w:val="21"/>
          <w:szCs w:val="21"/>
        </w:rPr>
      </w:pPr>
      <w:r>
        <w:rPr>
          <w:sz w:val="21"/>
          <w:szCs w:val="21"/>
        </w:rPr>
        <w:t>表2.</w:t>
      </w:r>
      <w:r>
        <w:rPr>
          <w:rFonts w:hint="eastAsia"/>
          <w:sz w:val="21"/>
          <w:szCs w:val="21"/>
        </w:rPr>
        <w:t>3</w:t>
      </w:r>
      <w:r>
        <w:rPr>
          <w:sz w:val="21"/>
          <w:szCs w:val="21"/>
        </w:rPr>
        <w:t>-</w:t>
      </w:r>
      <w:r>
        <w:rPr>
          <w:rFonts w:hint="eastAsia"/>
          <w:sz w:val="21"/>
          <w:szCs w:val="21"/>
        </w:rPr>
        <w:t xml:space="preserve">2 </w:t>
      </w:r>
      <w:r>
        <w:rPr>
          <w:sz w:val="21"/>
          <w:szCs w:val="21"/>
        </w:rPr>
        <w:t>评价因子一览表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24"/>
        <w:gridCol w:w="628"/>
        <w:gridCol w:w="850"/>
        <w:gridCol w:w="6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hint="eastAsia" w:ascii="Times New Roman" w:eastAsia="宋体" w:cs="Times New Roman"/>
                <w:spacing w:val="0"/>
                <w:kern w:val="2"/>
                <w:sz w:val="21"/>
                <w:szCs w:val="21"/>
              </w:rPr>
              <w:t>要素</w:t>
            </w:r>
          </w:p>
        </w:tc>
        <w:tc>
          <w:tcPr>
            <w:tcW w:w="819" w:type="pct"/>
            <w:gridSpan w:val="2"/>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hint="eastAsia" w:ascii="Times New Roman" w:eastAsia="宋体" w:cs="Times New Roman"/>
                <w:spacing w:val="0"/>
                <w:kern w:val="2"/>
                <w:sz w:val="21"/>
                <w:szCs w:val="21"/>
              </w:rPr>
              <w:t>项目</w:t>
            </w:r>
          </w:p>
        </w:tc>
        <w:tc>
          <w:tcPr>
            <w:tcW w:w="3503"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hint="eastAsia" w:ascii="Times New Roman" w:eastAsia="宋体" w:cs="Times New Roman"/>
                <w:spacing w:val="0"/>
                <w:kern w:val="2"/>
                <w:sz w:val="21"/>
                <w:szCs w:val="21"/>
              </w:rPr>
              <w:t>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restart"/>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eastAsia="zh-TW"/>
              </w:rPr>
              <w:t>大气环境</w:t>
            </w:r>
          </w:p>
        </w:tc>
        <w:tc>
          <w:tcPr>
            <w:tcW w:w="819" w:type="pct"/>
            <w:gridSpan w:val="2"/>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现状评价</w:t>
            </w:r>
          </w:p>
        </w:tc>
        <w:tc>
          <w:tcPr>
            <w:tcW w:w="3503" w:type="pct"/>
            <w:vAlign w:val="center"/>
          </w:tcPr>
          <w:p>
            <w:pPr>
              <w:pStyle w:val="18"/>
              <w:spacing w:after="0" w:line="240" w:lineRule="auto"/>
              <w:ind w:firstLine="0" w:firstLineChars="0"/>
              <w:jc w:val="left"/>
              <w:rPr>
                <w:kern w:val="2"/>
                <w:sz w:val="21"/>
              </w:rPr>
            </w:pPr>
            <w:r>
              <w:rPr>
                <w:rStyle w:val="575"/>
                <w:rFonts w:ascii="Times New Roman" w:eastAsia="宋体" w:cs="Times New Roman"/>
                <w:b w:val="0"/>
                <w:bCs w:val="0"/>
                <w:kern w:val="2"/>
                <w:sz w:val="21"/>
                <w:szCs w:val="21"/>
              </w:rPr>
              <w:t>PM</w:t>
            </w:r>
            <w:r>
              <w:rPr>
                <w:rStyle w:val="580"/>
                <w:rFonts w:eastAsia="宋体"/>
                <w:spacing w:val="0"/>
                <w:kern w:val="2"/>
                <w:sz w:val="21"/>
                <w:szCs w:val="21"/>
                <w:vertAlign w:val="subscript"/>
                <w:lang w:eastAsia="en-US"/>
              </w:rPr>
              <w:t>2</w:t>
            </w:r>
            <w:r>
              <w:rPr>
                <w:rStyle w:val="575"/>
                <w:rFonts w:ascii="Times New Roman" w:eastAsia="宋体" w:cs="Times New Roman"/>
                <w:b w:val="0"/>
                <w:bCs w:val="0"/>
                <w:kern w:val="2"/>
                <w:sz w:val="21"/>
                <w:szCs w:val="21"/>
                <w:vertAlign w:val="subscript"/>
              </w:rPr>
              <w:t>.</w:t>
            </w:r>
            <w:r>
              <w:rPr>
                <w:rStyle w:val="580"/>
                <w:rFonts w:eastAsia="宋体"/>
                <w:spacing w:val="0"/>
                <w:kern w:val="2"/>
                <w:sz w:val="21"/>
                <w:szCs w:val="21"/>
                <w:vertAlign w:val="subscript"/>
                <w:lang w:eastAsia="en-US"/>
              </w:rPr>
              <w:t>5</w:t>
            </w:r>
            <w:r>
              <w:rPr>
                <w:rStyle w:val="576"/>
                <w:rFonts w:ascii="Times New Roman" w:eastAsia="宋体" w:cs="Times New Roman"/>
                <w:spacing w:val="0"/>
                <w:kern w:val="2"/>
                <w:sz w:val="21"/>
                <w:szCs w:val="21"/>
                <w:lang w:eastAsia="en-US"/>
              </w:rPr>
              <w:t>、</w:t>
            </w:r>
            <w:r>
              <w:rPr>
                <w:rStyle w:val="575"/>
                <w:rFonts w:ascii="Times New Roman" w:eastAsia="宋体" w:cs="Times New Roman"/>
                <w:b w:val="0"/>
                <w:bCs w:val="0"/>
                <w:kern w:val="2"/>
                <w:sz w:val="21"/>
                <w:szCs w:val="21"/>
              </w:rPr>
              <w:t>PM</w:t>
            </w:r>
            <w:r>
              <w:rPr>
                <w:rStyle w:val="580"/>
                <w:rFonts w:hint="eastAsia" w:eastAsia="宋体"/>
                <w:spacing w:val="0"/>
                <w:kern w:val="2"/>
                <w:sz w:val="21"/>
                <w:szCs w:val="21"/>
                <w:vertAlign w:val="subscript"/>
              </w:rPr>
              <w:t>10</w:t>
            </w:r>
            <w:r>
              <w:rPr>
                <w:rStyle w:val="576"/>
                <w:rFonts w:ascii="Times New Roman" w:eastAsia="宋体" w:cs="Times New Roman"/>
                <w:spacing w:val="0"/>
                <w:kern w:val="2"/>
                <w:sz w:val="21"/>
                <w:szCs w:val="21"/>
                <w:lang w:eastAsia="en-US"/>
              </w:rPr>
              <w:t>、</w:t>
            </w:r>
            <w:r>
              <w:rPr>
                <w:rStyle w:val="575"/>
                <w:rFonts w:ascii="Times New Roman" w:eastAsia="宋体" w:cs="Times New Roman"/>
                <w:b w:val="0"/>
                <w:bCs w:val="0"/>
                <w:kern w:val="2"/>
                <w:sz w:val="21"/>
                <w:szCs w:val="21"/>
              </w:rPr>
              <w:t>SO</w:t>
            </w:r>
            <w:r>
              <w:rPr>
                <w:rStyle w:val="580"/>
                <w:rFonts w:eastAsia="宋体"/>
                <w:spacing w:val="0"/>
                <w:kern w:val="2"/>
                <w:sz w:val="21"/>
                <w:szCs w:val="21"/>
                <w:vertAlign w:val="subscript"/>
                <w:lang w:eastAsia="en-US"/>
              </w:rPr>
              <w:t>2</w:t>
            </w:r>
            <w:r>
              <w:rPr>
                <w:rStyle w:val="576"/>
                <w:rFonts w:ascii="Times New Roman" w:eastAsia="宋体" w:cs="Times New Roman"/>
                <w:spacing w:val="0"/>
                <w:kern w:val="2"/>
                <w:sz w:val="21"/>
                <w:szCs w:val="21"/>
                <w:lang w:eastAsia="en-US"/>
              </w:rPr>
              <w:t>、</w:t>
            </w:r>
            <w:r>
              <w:rPr>
                <w:rStyle w:val="575"/>
                <w:rFonts w:ascii="Times New Roman" w:eastAsia="宋体" w:cs="Times New Roman"/>
                <w:b w:val="0"/>
                <w:bCs w:val="0"/>
                <w:kern w:val="2"/>
                <w:sz w:val="21"/>
                <w:szCs w:val="21"/>
              </w:rPr>
              <w:t>NO</w:t>
            </w:r>
            <w:r>
              <w:rPr>
                <w:rStyle w:val="580"/>
                <w:rFonts w:eastAsia="宋体"/>
                <w:spacing w:val="0"/>
                <w:kern w:val="2"/>
                <w:sz w:val="21"/>
                <w:szCs w:val="21"/>
                <w:vertAlign w:val="subscript"/>
                <w:lang w:eastAsia="en-US"/>
              </w:rPr>
              <w:t>2</w:t>
            </w:r>
            <w:r>
              <w:rPr>
                <w:rStyle w:val="576"/>
                <w:rFonts w:ascii="Times New Roman" w:eastAsia="宋体" w:cs="Times New Roman"/>
                <w:spacing w:val="0"/>
                <w:kern w:val="2"/>
                <w:sz w:val="21"/>
                <w:szCs w:val="21"/>
                <w:lang w:eastAsia="en-US"/>
              </w:rPr>
              <w:t>、</w:t>
            </w:r>
            <w:r>
              <w:rPr>
                <w:rStyle w:val="575"/>
                <w:rFonts w:ascii="Times New Roman" w:eastAsia="宋体" w:cs="Times New Roman"/>
                <w:b w:val="0"/>
                <w:bCs w:val="0"/>
                <w:kern w:val="2"/>
                <w:sz w:val="21"/>
                <w:szCs w:val="21"/>
              </w:rPr>
              <w:t>CO</w:t>
            </w:r>
            <w:r>
              <w:rPr>
                <w:rStyle w:val="576"/>
                <w:rFonts w:ascii="Times New Roman" w:eastAsia="宋体" w:cs="Times New Roman"/>
                <w:spacing w:val="0"/>
                <w:kern w:val="2"/>
                <w:sz w:val="21"/>
                <w:szCs w:val="21"/>
                <w:lang w:eastAsia="en-US"/>
              </w:rPr>
              <w:t>、</w:t>
            </w:r>
            <w:r>
              <w:rPr>
                <w:rStyle w:val="575"/>
                <w:rFonts w:ascii="Times New Roman" w:eastAsia="宋体" w:cs="Times New Roman"/>
                <w:b w:val="0"/>
                <w:bCs w:val="0"/>
                <w:kern w:val="2"/>
                <w:sz w:val="21"/>
                <w:szCs w:val="21"/>
              </w:rPr>
              <w:t>O</w:t>
            </w:r>
            <w:r>
              <w:rPr>
                <w:rStyle w:val="580"/>
                <w:rFonts w:eastAsia="宋体"/>
                <w:spacing w:val="0"/>
                <w:kern w:val="2"/>
                <w:sz w:val="21"/>
                <w:szCs w:val="21"/>
                <w:vertAlign w:val="subscript"/>
                <w:lang w:eastAsia="en-US"/>
              </w:rPr>
              <w:t>3</w:t>
            </w:r>
            <w:r>
              <w:rPr>
                <w:rStyle w:val="580"/>
                <w:rFonts w:hint="eastAsia" w:eastAsia="宋体"/>
                <w:spacing w:val="0"/>
                <w:kern w:val="2"/>
                <w:sz w:val="21"/>
                <w:szCs w:val="21"/>
              </w:rPr>
              <w:t>、TSP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restart"/>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污染源</w:t>
            </w:r>
          </w:p>
        </w:tc>
        <w:tc>
          <w:tcPr>
            <w:tcW w:w="471" w:type="pct"/>
            <w:vAlign w:val="center"/>
          </w:tcPr>
          <w:p>
            <w:pPr>
              <w:pStyle w:val="18"/>
              <w:spacing w:after="0" w:line="240" w:lineRule="auto"/>
              <w:ind w:firstLine="0" w:firstLineChars="0"/>
              <w:jc w:val="center"/>
              <w:rPr>
                <w:kern w:val="2"/>
                <w:sz w:val="21"/>
              </w:rPr>
            </w:pPr>
            <w:r>
              <w:rPr>
                <w:rFonts w:hint="eastAsia"/>
                <w:kern w:val="2"/>
                <w:sz w:val="21"/>
              </w:rPr>
              <w:t>施工期</w:t>
            </w:r>
          </w:p>
        </w:tc>
        <w:tc>
          <w:tcPr>
            <w:tcW w:w="3503" w:type="pct"/>
            <w:vAlign w:val="center"/>
          </w:tcPr>
          <w:p>
            <w:pPr>
              <w:pStyle w:val="18"/>
              <w:spacing w:after="0" w:line="240" w:lineRule="auto"/>
              <w:ind w:firstLine="0" w:firstLineChars="0"/>
              <w:jc w:val="left"/>
              <w:rPr>
                <w:kern w:val="2"/>
                <w:sz w:val="21"/>
              </w:rPr>
            </w:pPr>
            <w:r>
              <w:rPr>
                <w:kern w:val="2"/>
                <w:sz w:val="21"/>
              </w:rPr>
              <w:t>PM</w:t>
            </w:r>
            <w:r>
              <w:rPr>
                <w:kern w:val="2"/>
                <w:sz w:val="21"/>
                <w:vertAlign w:val="subscript"/>
              </w:rPr>
              <w:t>10</w:t>
            </w:r>
            <w:r>
              <w:rPr>
                <w:rStyle w:val="576"/>
                <w:rFonts w:ascii="Times New Roman" w:eastAsia="宋体" w:cs="Times New Roman"/>
                <w:spacing w:val="0"/>
                <w:kern w:val="2"/>
                <w:sz w:val="21"/>
                <w:szCs w:val="21"/>
                <w:lang w:val="zh-TW" w:eastAsia="zh-TW"/>
              </w:rPr>
              <w:t>、</w:t>
            </w:r>
            <w:r>
              <w:rPr>
                <w:rStyle w:val="575"/>
                <w:rFonts w:ascii="Times New Roman" w:eastAsia="宋体" w:cs="Times New Roman"/>
                <w:b w:val="0"/>
                <w:bCs w:val="0"/>
                <w:kern w:val="2"/>
                <w:sz w:val="21"/>
                <w:szCs w:val="21"/>
                <w:lang w:eastAsia="zh-CN"/>
              </w:rPr>
              <w:t>沥青烟</w:t>
            </w:r>
            <w:r>
              <w:rPr>
                <w:rStyle w:val="575"/>
                <w:rFonts w:hint="eastAsia" w:ascii="Times New Roman" w:eastAsia="宋体" w:cs="Times New Roman"/>
                <w:b w:val="0"/>
                <w:bCs w:val="0"/>
                <w:kern w:val="2"/>
                <w:sz w:val="21"/>
                <w:szCs w:val="21"/>
                <w:lang w:eastAsia="zh-CN"/>
              </w:rPr>
              <w:t>、苯并[</w:t>
            </w:r>
            <w:r>
              <w:rPr>
                <w:rStyle w:val="575"/>
                <w:rFonts w:ascii="Times New Roman" w:eastAsia="宋体" w:cs="Times New Roman"/>
                <w:b w:val="0"/>
                <w:bCs w:val="0"/>
                <w:kern w:val="2"/>
                <w:sz w:val="21"/>
                <w:szCs w:val="21"/>
                <w:lang w:eastAsia="zh-CN"/>
              </w:rPr>
              <w:t>a</w:t>
            </w:r>
            <w:r>
              <w:rPr>
                <w:rStyle w:val="575"/>
                <w:kern w:val="2"/>
                <w:sz w:val="21"/>
                <w:szCs w:val="21"/>
              </w:rPr>
              <w:t>]</w:t>
            </w:r>
            <w:r>
              <w:rPr>
                <w:rStyle w:val="575"/>
                <w:rFonts w:hint="eastAsia" w:ascii="Times New Roman" w:eastAsia="宋体" w:cs="Times New Roman"/>
                <w:b w:val="0"/>
                <w:bCs w:val="0"/>
                <w:kern w:val="2"/>
                <w:sz w:val="21"/>
                <w:szCs w:val="21"/>
                <w:lang w:eastAsia="zh-CN"/>
              </w:rPr>
              <w:t>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continue"/>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p>
        </w:tc>
        <w:tc>
          <w:tcPr>
            <w:tcW w:w="47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运营期</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eastAsia="zh-TW"/>
              </w:rPr>
            </w:pPr>
            <w:r>
              <w:rPr>
                <w:rFonts w:eastAsia="Times New Roman"/>
                <w:kern w:val="2"/>
                <w:sz w:val="21"/>
                <w:lang w:eastAsia="zh-TW"/>
              </w:rPr>
              <w:t>NO</w:t>
            </w:r>
            <w:r>
              <w:rPr>
                <w:rFonts w:eastAsia="Times New Roman"/>
                <w:kern w:val="2"/>
                <w:position w:val="-2"/>
                <w:sz w:val="14"/>
                <w:szCs w:val="14"/>
                <w:lang w:eastAsia="zh-TW"/>
              </w:rPr>
              <w:t>X</w:t>
            </w:r>
            <w:r>
              <w:rPr>
                <w:kern w:val="2"/>
                <w:sz w:val="21"/>
                <w:lang w:eastAsia="zh-TW"/>
              </w:rPr>
              <w:t>、</w:t>
            </w:r>
            <w:r>
              <w:rPr>
                <w:rFonts w:eastAsia="Times New Roman"/>
                <w:kern w:val="2"/>
                <w:sz w:val="21"/>
                <w:lang w:eastAsia="zh-TW"/>
              </w:rPr>
              <w:t>CO</w:t>
            </w:r>
            <w:r>
              <w:rPr>
                <w:kern w:val="2"/>
                <w:sz w:val="21"/>
                <w:lang w:eastAsia="zh-TW"/>
              </w:rPr>
              <w:t>、</w:t>
            </w:r>
            <w:r>
              <w:rPr>
                <w:rFonts w:eastAsia="Times New Roman"/>
                <w:kern w:val="2"/>
                <w:sz w:val="21"/>
                <w:lang w:eastAsia="zh-TW"/>
              </w:rPr>
              <w:t>THC</w:t>
            </w:r>
            <w:r>
              <w:rPr>
                <w:rStyle w:val="576"/>
                <w:rFonts w:ascii="Times New Roman" w:eastAsia="宋体" w:cs="Times New Roman"/>
                <w:spacing w:val="0"/>
                <w:kern w:val="2"/>
                <w:sz w:val="21"/>
                <w:szCs w:val="21"/>
                <w:lang w:val="zh-TW" w:eastAsia="zh-TW"/>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lang w:eastAsia="zh-TW"/>
              </w:rPr>
            </w:pPr>
          </w:p>
        </w:tc>
        <w:tc>
          <w:tcPr>
            <w:tcW w:w="348" w:type="pct"/>
            <w:vMerge w:val="restar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eastAsia="zh-TW"/>
              </w:rPr>
              <w:t>影响</w:t>
            </w:r>
          </w:p>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评价</w:t>
            </w:r>
          </w:p>
        </w:tc>
        <w:tc>
          <w:tcPr>
            <w:tcW w:w="471" w:type="pct"/>
            <w:vAlign w:val="center"/>
          </w:tcPr>
          <w:p>
            <w:pPr>
              <w:pStyle w:val="18"/>
              <w:spacing w:after="0" w:line="240" w:lineRule="auto"/>
              <w:ind w:firstLine="0" w:firstLineChars="0"/>
              <w:jc w:val="center"/>
              <w:rPr>
                <w:kern w:val="2"/>
                <w:sz w:val="21"/>
              </w:rPr>
            </w:pPr>
            <w:r>
              <w:rPr>
                <w:rFonts w:hint="eastAsia"/>
                <w:kern w:val="2"/>
                <w:sz w:val="21"/>
              </w:rPr>
              <w:t>施工期</w:t>
            </w:r>
          </w:p>
        </w:tc>
        <w:tc>
          <w:tcPr>
            <w:tcW w:w="3503" w:type="pct"/>
            <w:vAlign w:val="center"/>
          </w:tcPr>
          <w:p>
            <w:pPr>
              <w:pStyle w:val="18"/>
              <w:spacing w:after="0" w:line="240" w:lineRule="auto"/>
              <w:ind w:firstLine="0" w:firstLineChars="0"/>
              <w:jc w:val="left"/>
              <w:rPr>
                <w:kern w:val="2"/>
                <w:sz w:val="21"/>
              </w:rPr>
            </w:pPr>
            <w:r>
              <w:rPr>
                <w:kern w:val="2"/>
                <w:sz w:val="21"/>
              </w:rPr>
              <w:t>PM</w:t>
            </w:r>
            <w:r>
              <w:rPr>
                <w:kern w:val="2"/>
                <w:sz w:val="21"/>
                <w:vertAlign w:val="subscript"/>
              </w:rPr>
              <w:t>10</w:t>
            </w:r>
            <w:r>
              <w:rPr>
                <w:rStyle w:val="576"/>
                <w:rFonts w:ascii="Times New Roman" w:eastAsia="宋体" w:cs="Times New Roman"/>
                <w:spacing w:val="0"/>
                <w:kern w:val="2"/>
                <w:sz w:val="21"/>
                <w:szCs w:val="21"/>
                <w:lang w:val="zh-TW" w:eastAsia="zh-TW"/>
              </w:rPr>
              <w:t>、</w:t>
            </w:r>
            <w:r>
              <w:rPr>
                <w:rStyle w:val="575"/>
                <w:rFonts w:ascii="Times New Roman" w:eastAsia="宋体" w:cs="Times New Roman"/>
                <w:b w:val="0"/>
                <w:bCs w:val="0"/>
                <w:kern w:val="2"/>
                <w:sz w:val="21"/>
                <w:szCs w:val="21"/>
                <w:lang w:eastAsia="zh-CN"/>
              </w:rPr>
              <w:t>沥青烟</w:t>
            </w:r>
            <w:r>
              <w:rPr>
                <w:rStyle w:val="575"/>
                <w:rFonts w:hint="eastAsia" w:ascii="Times New Roman" w:eastAsia="宋体" w:cs="Times New Roman"/>
                <w:b w:val="0"/>
                <w:bCs w:val="0"/>
                <w:kern w:val="2"/>
                <w:sz w:val="21"/>
                <w:szCs w:val="21"/>
                <w:lang w:eastAsia="zh-CN"/>
              </w:rPr>
              <w:t>、苯并[</w:t>
            </w:r>
            <w:r>
              <w:rPr>
                <w:rStyle w:val="575"/>
                <w:rFonts w:ascii="Times New Roman" w:eastAsia="宋体" w:cs="Times New Roman"/>
                <w:b w:val="0"/>
                <w:bCs w:val="0"/>
                <w:kern w:val="2"/>
                <w:sz w:val="21"/>
                <w:szCs w:val="21"/>
                <w:lang w:eastAsia="zh-CN"/>
              </w:rPr>
              <w:t>a</w:t>
            </w:r>
            <w:r>
              <w:rPr>
                <w:rStyle w:val="575"/>
                <w:kern w:val="2"/>
                <w:sz w:val="21"/>
                <w:szCs w:val="21"/>
              </w:rPr>
              <w:t>]</w:t>
            </w:r>
            <w:r>
              <w:rPr>
                <w:rStyle w:val="575"/>
                <w:rFonts w:hint="eastAsia" w:ascii="Times New Roman" w:eastAsia="宋体" w:cs="Times New Roman"/>
                <w:b w:val="0"/>
                <w:bCs w:val="0"/>
                <w:kern w:val="2"/>
                <w:sz w:val="21"/>
                <w:szCs w:val="21"/>
                <w:lang w:eastAsia="zh-CN"/>
              </w:rPr>
              <w:t>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highlight w:val="yellow"/>
                <w:lang w:eastAsia="zh-TW"/>
              </w:rPr>
            </w:pPr>
          </w:p>
        </w:tc>
        <w:tc>
          <w:tcPr>
            <w:tcW w:w="348" w:type="pct"/>
            <w:vMerge w:val="continue"/>
            <w:vAlign w:val="center"/>
          </w:tcPr>
          <w:p>
            <w:pPr>
              <w:pStyle w:val="18"/>
              <w:spacing w:after="0" w:line="240" w:lineRule="auto"/>
              <w:ind w:firstLine="0" w:firstLineChars="0"/>
              <w:jc w:val="center"/>
              <w:rPr>
                <w:rStyle w:val="576"/>
                <w:rFonts w:ascii="Times New Roman" w:eastAsia="宋体" w:cs="Times New Roman"/>
                <w:spacing w:val="0"/>
                <w:kern w:val="2"/>
                <w:sz w:val="21"/>
                <w:szCs w:val="21"/>
                <w:highlight w:val="yellow"/>
                <w:lang w:val="zh-TW" w:eastAsia="zh-TW"/>
              </w:rPr>
            </w:pPr>
          </w:p>
        </w:tc>
        <w:tc>
          <w:tcPr>
            <w:tcW w:w="47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运营期</w:t>
            </w:r>
          </w:p>
        </w:tc>
        <w:tc>
          <w:tcPr>
            <w:tcW w:w="3503" w:type="pct"/>
            <w:vAlign w:val="center"/>
          </w:tcPr>
          <w:p>
            <w:pPr>
              <w:pStyle w:val="18"/>
              <w:spacing w:after="0" w:line="240" w:lineRule="auto"/>
              <w:ind w:firstLine="0" w:firstLineChars="0"/>
              <w:jc w:val="left"/>
              <w:rPr>
                <w:rStyle w:val="575"/>
                <w:rFonts w:ascii="Times New Roman" w:eastAsia="宋体" w:cs="Times New Roman"/>
                <w:b w:val="0"/>
                <w:bCs w:val="0"/>
                <w:kern w:val="2"/>
                <w:sz w:val="21"/>
                <w:szCs w:val="21"/>
                <w:lang w:eastAsia="zh-TW"/>
              </w:rPr>
            </w:pPr>
            <w:r>
              <w:rPr>
                <w:rFonts w:eastAsia="Times New Roman"/>
                <w:kern w:val="2"/>
                <w:sz w:val="21"/>
                <w:lang w:eastAsia="zh-TW"/>
              </w:rPr>
              <w:t>NO</w:t>
            </w:r>
            <w:r>
              <w:rPr>
                <w:rFonts w:eastAsia="Times New Roman"/>
                <w:kern w:val="2"/>
                <w:position w:val="-2"/>
                <w:sz w:val="14"/>
                <w:szCs w:val="14"/>
                <w:lang w:eastAsia="zh-TW"/>
              </w:rPr>
              <w:t>X</w:t>
            </w:r>
            <w:r>
              <w:rPr>
                <w:kern w:val="2"/>
                <w:sz w:val="21"/>
                <w:lang w:eastAsia="zh-TW"/>
              </w:rPr>
              <w:t>、</w:t>
            </w:r>
            <w:r>
              <w:rPr>
                <w:rFonts w:eastAsia="Times New Roman"/>
                <w:kern w:val="2"/>
                <w:sz w:val="21"/>
                <w:lang w:eastAsia="zh-TW"/>
              </w:rPr>
              <w:t>CO</w:t>
            </w:r>
            <w:r>
              <w:rPr>
                <w:kern w:val="2"/>
                <w:sz w:val="21"/>
                <w:lang w:eastAsia="zh-TW"/>
              </w:rPr>
              <w:t>、</w:t>
            </w:r>
            <w:r>
              <w:rPr>
                <w:rFonts w:eastAsia="Times New Roman"/>
                <w:kern w:val="2"/>
                <w:sz w:val="21"/>
                <w:lang w:eastAsia="zh-TW"/>
              </w:rPr>
              <w:t>THC</w:t>
            </w:r>
            <w:r>
              <w:rPr>
                <w:rStyle w:val="575"/>
                <w:rFonts w:ascii="Times New Roman" w:eastAsia="宋体" w:cs="Times New Roman"/>
                <w:b w:val="0"/>
                <w:bCs w:val="0"/>
                <w:kern w:val="2"/>
                <w:sz w:val="21"/>
                <w:szCs w:val="21"/>
                <w:lang w:eastAsia="zh-TW"/>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restart"/>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地表水</w:t>
            </w:r>
          </w:p>
        </w:tc>
        <w:tc>
          <w:tcPr>
            <w:tcW w:w="819" w:type="pct"/>
            <w:gridSpan w:val="2"/>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Style w:val="576"/>
                <w:rFonts w:ascii="Times New Roman" w:eastAsia="宋体" w:cs="Times New Roman"/>
                <w:spacing w:val="0"/>
                <w:kern w:val="2"/>
                <w:sz w:val="21"/>
                <w:szCs w:val="21"/>
                <w:lang w:val="zh-TW" w:eastAsia="zh-TW"/>
              </w:rPr>
              <w:t>现状评价</w:t>
            </w:r>
          </w:p>
        </w:tc>
        <w:tc>
          <w:tcPr>
            <w:tcW w:w="3503" w:type="pct"/>
            <w:vAlign w:val="center"/>
          </w:tcPr>
          <w:p>
            <w:pPr>
              <w:pStyle w:val="18"/>
              <w:spacing w:after="0" w:line="240" w:lineRule="auto"/>
              <w:ind w:firstLine="0" w:firstLineChars="0"/>
              <w:jc w:val="left"/>
              <w:rPr>
                <w:kern w:val="2"/>
                <w:sz w:val="21"/>
              </w:rPr>
            </w:pPr>
            <w:r>
              <w:rPr>
                <w:rFonts w:eastAsia="Times New Roman"/>
                <w:kern w:val="2"/>
                <w:sz w:val="21"/>
              </w:rPr>
              <w:t>pH</w:t>
            </w:r>
            <w:r>
              <w:rPr>
                <w:rFonts w:ascii="宋体" w:hAnsi="宋体" w:cs="宋体"/>
                <w:kern w:val="2"/>
                <w:sz w:val="21"/>
              </w:rPr>
              <w:t>、</w:t>
            </w:r>
            <w:r>
              <w:rPr>
                <w:rFonts w:eastAsia="Times New Roman"/>
                <w:kern w:val="2"/>
                <w:sz w:val="21"/>
              </w:rPr>
              <w:t>COD</w:t>
            </w:r>
            <w:r>
              <w:rPr>
                <w:rFonts w:ascii="宋体" w:hAnsi="宋体" w:cs="宋体"/>
                <w:kern w:val="2"/>
                <w:sz w:val="21"/>
              </w:rPr>
              <w:t>、</w:t>
            </w:r>
            <w:r>
              <w:rPr>
                <w:rFonts w:eastAsia="Times New Roman"/>
                <w:kern w:val="2"/>
                <w:sz w:val="21"/>
              </w:rPr>
              <w:t>BOD</w:t>
            </w:r>
            <w:r>
              <w:rPr>
                <w:rFonts w:eastAsia="Times New Roman"/>
                <w:kern w:val="2"/>
                <w:position w:val="-2"/>
                <w:sz w:val="14"/>
                <w:szCs w:val="14"/>
              </w:rPr>
              <w:t>5</w:t>
            </w:r>
            <w:r>
              <w:rPr>
                <w:rFonts w:ascii="宋体" w:hAnsi="宋体" w:cs="宋体"/>
                <w:kern w:val="2"/>
                <w:sz w:val="21"/>
              </w:rPr>
              <w:t>、氨氮、</w:t>
            </w:r>
            <w:r>
              <w:rPr>
                <w:rFonts w:eastAsia="Times New Roman"/>
                <w:kern w:val="2"/>
                <w:sz w:val="21"/>
              </w:rPr>
              <w:t>SS</w:t>
            </w:r>
            <w:r>
              <w:rPr>
                <w:rFonts w:ascii="宋体" w:hAnsi="宋体" w:cs="宋体"/>
                <w:kern w:val="2"/>
                <w:sz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restar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Style w:val="576"/>
                <w:rFonts w:hint="eastAsia" w:ascii="宋体" w:hAnsi="宋体" w:eastAsia="宋体"/>
                <w:spacing w:val="0"/>
                <w:kern w:val="2"/>
                <w:sz w:val="21"/>
                <w:szCs w:val="21"/>
                <w:lang w:val="zh-TW" w:eastAsia="zh-TW"/>
              </w:rPr>
              <w:t>污染源</w:t>
            </w: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Fonts w:hint="eastAsia"/>
                <w:kern w:val="2"/>
                <w:sz w:val="21"/>
              </w:rPr>
              <w:t>施工期</w:t>
            </w:r>
          </w:p>
        </w:tc>
        <w:tc>
          <w:tcPr>
            <w:tcW w:w="3503" w:type="pct"/>
            <w:vAlign w:val="center"/>
          </w:tcPr>
          <w:p>
            <w:pPr>
              <w:pStyle w:val="18"/>
              <w:spacing w:after="0" w:line="240" w:lineRule="auto"/>
              <w:ind w:firstLine="0" w:firstLineChars="0"/>
              <w:jc w:val="left"/>
              <w:rPr>
                <w:kern w:val="2"/>
                <w:sz w:val="21"/>
              </w:rPr>
            </w:pPr>
            <w:r>
              <w:rPr>
                <w:rFonts w:eastAsia="Times New Roman"/>
                <w:kern w:val="2"/>
                <w:sz w:val="21"/>
              </w:rPr>
              <w:t xml:space="preserve">COD </w:t>
            </w:r>
            <w:r>
              <w:rPr>
                <w:rFonts w:hint="eastAsia" w:ascii="宋体" w:hAnsi="宋体" w:cs="宋体"/>
                <w:kern w:val="2"/>
                <w:sz w:val="21"/>
              </w:rPr>
              <w:t>、氨氮、</w:t>
            </w:r>
            <w:r>
              <w:rPr>
                <w:rFonts w:eastAsia="Times New Roman"/>
                <w:kern w:val="2"/>
                <w:sz w:val="21"/>
              </w:rPr>
              <w:t>SS</w:t>
            </w:r>
            <w:r>
              <w:rPr>
                <w:rFonts w:ascii="宋体" w:hAnsi="宋体" w:cs="宋体"/>
                <w:kern w:val="2"/>
                <w:sz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continue"/>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Style w:val="576"/>
                <w:rFonts w:hint="eastAsia" w:ascii="Times New Roman" w:eastAsia="宋体" w:cs="Times New Roman"/>
                <w:spacing w:val="0"/>
                <w:kern w:val="2"/>
                <w:sz w:val="21"/>
                <w:szCs w:val="21"/>
                <w:lang w:val="zh-TW"/>
              </w:rPr>
              <w:t>运营期</w:t>
            </w:r>
          </w:p>
        </w:tc>
        <w:tc>
          <w:tcPr>
            <w:tcW w:w="3503" w:type="pct"/>
            <w:vAlign w:val="center"/>
          </w:tcPr>
          <w:p>
            <w:pPr>
              <w:pStyle w:val="18"/>
              <w:spacing w:after="0" w:line="240" w:lineRule="auto"/>
              <w:ind w:firstLine="0" w:firstLineChars="0"/>
              <w:jc w:val="left"/>
              <w:rPr>
                <w:kern w:val="2"/>
                <w:sz w:val="21"/>
              </w:rPr>
            </w:pPr>
            <w:r>
              <w:rPr>
                <w:rFonts w:eastAsia="Times New Roman"/>
                <w:kern w:val="2"/>
                <w:sz w:val="21"/>
                <w:lang w:eastAsia="zh-TW"/>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restar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Style w:val="576"/>
                <w:rFonts w:hint="eastAsia" w:ascii="宋体" w:hAnsi="宋体" w:eastAsia="宋体"/>
                <w:spacing w:val="0"/>
                <w:kern w:val="2"/>
                <w:sz w:val="21"/>
                <w:szCs w:val="21"/>
                <w:lang w:val="zh-TW" w:eastAsia="zh-TW"/>
              </w:rPr>
              <w:t>影响评价</w:t>
            </w: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Fonts w:hint="eastAsia"/>
                <w:kern w:val="2"/>
                <w:sz w:val="21"/>
              </w:rPr>
              <w:t>施工期</w:t>
            </w:r>
          </w:p>
        </w:tc>
        <w:tc>
          <w:tcPr>
            <w:tcW w:w="3503" w:type="pct"/>
            <w:vAlign w:val="center"/>
          </w:tcPr>
          <w:p>
            <w:pPr>
              <w:pStyle w:val="18"/>
              <w:spacing w:after="0" w:line="240" w:lineRule="auto"/>
              <w:ind w:firstLine="0" w:firstLineChars="0"/>
              <w:jc w:val="left"/>
              <w:rPr>
                <w:kern w:val="2"/>
                <w:sz w:val="21"/>
              </w:rPr>
            </w:pPr>
            <w:r>
              <w:rPr>
                <w:rFonts w:eastAsia="Times New Roman"/>
                <w:kern w:val="2"/>
                <w:sz w:val="21"/>
              </w:rPr>
              <w:t xml:space="preserve">COD </w:t>
            </w:r>
            <w:r>
              <w:rPr>
                <w:rFonts w:hint="eastAsia" w:ascii="宋体" w:hAnsi="宋体" w:cs="宋体"/>
                <w:kern w:val="2"/>
                <w:sz w:val="21"/>
              </w:rPr>
              <w:t>、氨氮、</w:t>
            </w:r>
            <w:r>
              <w:rPr>
                <w:rFonts w:eastAsia="Times New Roman"/>
                <w:kern w:val="2"/>
                <w:sz w:val="21"/>
              </w:rPr>
              <w:t>SS</w:t>
            </w:r>
            <w:r>
              <w:rPr>
                <w:rFonts w:ascii="宋体" w:hAnsi="宋体" w:cs="宋体"/>
                <w:kern w:val="2"/>
                <w:sz w:val="21"/>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continue"/>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eastAsia="zh-TW"/>
              </w:rPr>
            </w:pPr>
            <w:r>
              <w:rPr>
                <w:rStyle w:val="576"/>
                <w:rFonts w:hint="eastAsia" w:ascii="Times New Roman" w:eastAsia="宋体" w:cs="Times New Roman"/>
                <w:spacing w:val="0"/>
                <w:kern w:val="2"/>
                <w:sz w:val="21"/>
                <w:szCs w:val="21"/>
                <w:lang w:val="zh-TW"/>
              </w:rPr>
              <w:t>运营期</w:t>
            </w:r>
          </w:p>
        </w:tc>
        <w:tc>
          <w:tcPr>
            <w:tcW w:w="3503" w:type="pct"/>
            <w:vAlign w:val="center"/>
          </w:tcPr>
          <w:p>
            <w:pPr>
              <w:pStyle w:val="18"/>
              <w:spacing w:after="0" w:line="240" w:lineRule="auto"/>
              <w:ind w:firstLine="0" w:firstLineChars="0"/>
              <w:jc w:val="left"/>
              <w:rPr>
                <w:kern w:val="2"/>
                <w:sz w:val="21"/>
              </w:rPr>
            </w:pPr>
            <w:r>
              <w:rPr>
                <w:rFonts w:eastAsia="Times New Roman"/>
                <w:kern w:val="2"/>
                <w:sz w:val="21"/>
                <w:lang w:eastAsia="zh-TW"/>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restart"/>
            <w:vAlign w:val="center"/>
          </w:tcPr>
          <w:p>
            <w:pPr>
              <w:pStyle w:val="18"/>
              <w:spacing w:after="0" w:line="240" w:lineRule="auto"/>
              <w:ind w:firstLine="0" w:firstLineChars="0"/>
              <w:jc w:val="center"/>
              <w:rPr>
                <w:kern w:val="2"/>
                <w:sz w:val="21"/>
              </w:rPr>
            </w:pPr>
            <w:r>
              <w:rPr>
                <w:rFonts w:hint="eastAsia"/>
                <w:kern w:val="2"/>
                <w:sz w:val="21"/>
              </w:rPr>
              <w:t>声环境</w:t>
            </w:r>
          </w:p>
        </w:tc>
        <w:tc>
          <w:tcPr>
            <w:tcW w:w="819" w:type="pct"/>
            <w:gridSpan w:val="2"/>
            <w:vAlign w:val="center"/>
          </w:tcPr>
          <w:p>
            <w:pPr>
              <w:pStyle w:val="18"/>
              <w:spacing w:after="0" w:line="240" w:lineRule="auto"/>
              <w:ind w:firstLine="0" w:firstLineChars="0"/>
              <w:jc w:val="center"/>
              <w:rPr>
                <w:rFonts w:ascii="宋体" w:hAnsi="宋体"/>
                <w:kern w:val="2"/>
                <w:sz w:val="21"/>
              </w:rPr>
            </w:pPr>
            <w:r>
              <w:rPr>
                <w:rStyle w:val="576"/>
                <w:rFonts w:hint="eastAsia" w:ascii="宋体" w:hAnsi="宋体" w:eastAsia="宋体"/>
                <w:spacing w:val="0"/>
                <w:kern w:val="2"/>
                <w:sz w:val="21"/>
                <w:szCs w:val="21"/>
                <w:lang w:val="zh-TW" w:eastAsia="zh-TW"/>
              </w:rPr>
              <w:t>现状评价</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hint="eastAsia"/>
                <w:kern w:val="2"/>
                <w:sz w:val="21"/>
              </w:rPr>
              <w:t>等效连续</w:t>
            </w:r>
            <w:r>
              <w:rPr>
                <w:rFonts w:eastAsia="Times New Roman"/>
                <w:kern w:val="2"/>
                <w:sz w:val="21"/>
              </w:rPr>
              <w:t>A</w:t>
            </w:r>
            <w:r>
              <w:rPr>
                <w:rFonts w:ascii="宋体" w:hAnsi="宋体" w:cs="宋体"/>
                <w:kern w:val="2"/>
                <w:sz w:val="21"/>
              </w:rPr>
              <w:t>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highlight w:val="yellow"/>
              </w:rPr>
            </w:pPr>
          </w:p>
        </w:tc>
        <w:tc>
          <w:tcPr>
            <w:tcW w:w="819" w:type="pct"/>
            <w:gridSpan w:val="2"/>
            <w:vAlign w:val="center"/>
          </w:tcPr>
          <w:p>
            <w:pPr>
              <w:pStyle w:val="18"/>
              <w:spacing w:after="0" w:line="240" w:lineRule="auto"/>
              <w:ind w:firstLine="0" w:firstLineChars="0"/>
              <w:jc w:val="center"/>
              <w:rPr>
                <w:rFonts w:ascii="宋体" w:hAnsi="宋体"/>
                <w:kern w:val="2"/>
                <w:sz w:val="21"/>
              </w:rPr>
            </w:pPr>
            <w:r>
              <w:rPr>
                <w:rStyle w:val="576"/>
                <w:rFonts w:hint="eastAsia" w:ascii="宋体" w:hAnsi="宋体" w:eastAsia="宋体"/>
                <w:spacing w:val="0"/>
                <w:kern w:val="2"/>
                <w:sz w:val="21"/>
                <w:szCs w:val="21"/>
                <w:lang w:val="zh-TW" w:eastAsia="zh-TW"/>
              </w:rPr>
              <w:t>污染源</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eastAsia="Times New Roman"/>
                <w:kern w:val="2"/>
                <w:sz w:val="21"/>
              </w:rPr>
              <w:t>A</w:t>
            </w:r>
            <w:r>
              <w:rPr>
                <w:rFonts w:ascii="宋体" w:hAnsi="宋体" w:cs="宋体"/>
                <w:kern w:val="2"/>
                <w:sz w:val="21"/>
              </w:rPr>
              <w:t>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78" w:type="pct"/>
            <w:vMerge w:val="continue"/>
            <w:vAlign w:val="center"/>
          </w:tcPr>
          <w:p>
            <w:pPr>
              <w:pStyle w:val="18"/>
              <w:spacing w:after="0" w:line="240" w:lineRule="auto"/>
              <w:ind w:firstLine="0" w:firstLineChars="0"/>
              <w:jc w:val="center"/>
              <w:rPr>
                <w:kern w:val="2"/>
                <w:sz w:val="21"/>
                <w:highlight w:val="yellow"/>
              </w:rPr>
            </w:pPr>
          </w:p>
        </w:tc>
        <w:tc>
          <w:tcPr>
            <w:tcW w:w="819" w:type="pct"/>
            <w:gridSpan w:val="2"/>
            <w:vAlign w:val="center"/>
          </w:tcPr>
          <w:p>
            <w:pPr>
              <w:pStyle w:val="18"/>
              <w:spacing w:after="0" w:line="240" w:lineRule="auto"/>
              <w:ind w:firstLine="0" w:firstLineChars="0"/>
              <w:jc w:val="center"/>
              <w:rPr>
                <w:rFonts w:ascii="宋体" w:hAnsi="宋体"/>
                <w:kern w:val="2"/>
                <w:sz w:val="21"/>
              </w:rPr>
            </w:pPr>
            <w:r>
              <w:rPr>
                <w:rStyle w:val="576"/>
                <w:rFonts w:hint="eastAsia" w:ascii="宋体" w:hAnsi="宋体" w:eastAsia="宋体"/>
                <w:spacing w:val="0"/>
                <w:kern w:val="2"/>
                <w:sz w:val="21"/>
                <w:szCs w:val="21"/>
                <w:lang w:val="zh-TW" w:eastAsia="zh-TW"/>
              </w:rPr>
              <w:t>影响评价</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hint="eastAsia"/>
                <w:kern w:val="2"/>
                <w:sz w:val="21"/>
              </w:rPr>
              <w:t>等效连续</w:t>
            </w:r>
            <w:r>
              <w:rPr>
                <w:rFonts w:eastAsia="Times New Roman"/>
                <w:kern w:val="2"/>
                <w:sz w:val="21"/>
              </w:rPr>
              <w:t>A</w:t>
            </w:r>
            <w:r>
              <w:rPr>
                <w:rFonts w:ascii="宋体" w:hAnsi="宋体" w:cs="宋体"/>
                <w:kern w:val="2"/>
                <w:sz w:val="21"/>
              </w:rPr>
              <w:t>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restart"/>
            <w:vAlign w:val="center"/>
          </w:tcPr>
          <w:p>
            <w:pPr>
              <w:pStyle w:val="18"/>
              <w:spacing w:after="0" w:line="240" w:lineRule="auto"/>
              <w:ind w:firstLine="0" w:firstLineChars="0"/>
              <w:jc w:val="center"/>
              <w:rPr>
                <w:kern w:val="2"/>
                <w:sz w:val="21"/>
              </w:rPr>
            </w:pPr>
            <w:r>
              <w:rPr>
                <w:rFonts w:hint="eastAsia"/>
                <w:kern w:val="2"/>
                <w:sz w:val="21"/>
              </w:rPr>
              <w:t>固体废物</w:t>
            </w:r>
          </w:p>
        </w:tc>
        <w:tc>
          <w:tcPr>
            <w:tcW w:w="348" w:type="pct"/>
            <w:vMerge w:val="restar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污染源</w:t>
            </w: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施工期</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ascii="宋体" w:hAnsi="宋体" w:cs="宋体"/>
                <w:spacing w:val="-5"/>
                <w:kern w:val="2"/>
                <w:sz w:val="21"/>
              </w:rPr>
              <w:t>建筑垃圾、</w:t>
            </w:r>
            <w:r>
              <w:rPr>
                <w:rFonts w:hint="eastAsia" w:ascii="宋体" w:hAnsi="宋体" w:cs="宋体"/>
                <w:spacing w:val="-5"/>
                <w:kern w:val="2"/>
                <w:sz w:val="21"/>
              </w:rPr>
              <w:t>钻渣、开挖土石方、沉淀池沉淀泥浆、</w:t>
            </w:r>
            <w:r>
              <w:rPr>
                <w:rFonts w:ascii="宋体" w:hAnsi="宋体" w:cs="宋体"/>
                <w:spacing w:val="-5"/>
                <w:kern w:val="2"/>
                <w:sz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continue"/>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运营期</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hint="eastAsia" w:ascii="宋体" w:hAnsi="宋体" w:cs="宋体"/>
                <w:spacing w:val="-5"/>
                <w:kern w:val="2"/>
                <w:sz w:val="21"/>
              </w:rPr>
              <w:t>道路垃圾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restar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影响</w:t>
            </w:r>
          </w:p>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分析</w:t>
            </w: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施工期</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ascii="宋体" w:hAnsi="宋体" w:cs="宋体"/>
                <w:spacing w:val="-5"/>
                <w:kern w:val="2"/>
                <w:sz w:val="21"/>
              </w:rPr>
              <w:t>建筑垃圾、</w:t>
            </w:r>
            <w:r>
              <w:rPr>
                <w:rFonts w:hint="eastAsia" w:ascii="宋体" w:hAnsi="宋体" w:cs="宋体"/>
                <w:spacing w:val="-5"/>
                <w:kern w:val="2"/>
                <w:sz w:val="21"/>
              </w:rPr>
              <w:t>钻渣、开挖土石方、沉淀池沉淀泥浆、</w:t>
            </w:r>
            <w:r>
              <w:rPr>
                <w:rFonts w:ascii="宋体" w:hAnsi="宋体" w:cs="宋体"/>
                <w:spacing w:val="-5"/>
                <w:kern w:val="2"/>
                <w:sz w:val="21"/>
              </w:rPr>
              <w:t>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78" w:type="pct"/>
            <w:vMerge w:val="continue"/>
            <w:vAlign w:val="center"/>
          </w:tcPr>
          <w:p>
            <w:pPr>
              <w:pStyle w:val="18"/>
              <w:spacing w:after="0" w:line="240" w:lineRule="auto"/>
              <w:ind w:firstLine="0" w:firstLineChars="0"/>
              <w:jc w:val="center"/>
              <w:rPr>
                <w:kern w:val="2"/>
                <w:sz w:val="21"/>
              </w:rPr>
            </w:pPr>
          </w:p>
        </w:tc>
        <w:tc>
          <w:tcPr>
            <w:tcW w:w="348" w:type="pct"/>
            <w:vMerge w:val="continue"/>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p>
        </w:tc>
        <w:tc>
          <w:tcPr>
            <w:tcW w:w="471" w:type="pct"/>
            <w:vAlign w:val="center"/>
          </w:tcPr>
          <w:p>
            <w:pPr>
              <w:pStyle w:val="18"/>
              <w:spacing w:after="0" w:line="240" w:lineRule="auto"/>
              <w:ind w:firstLine="0" w:firstLineChars="0"/>
              <w:jc w:val="center"/>
              <w:rPr>
                <w:rStyle w:val="576"/>
                <w:rFonts w:ascii="宋体" w:hAnsi="宋体" w:eastAsia="宋体"/>
                <w:spacing w:val="0"/>
                <w:kern w:val="2"/>
                <w:sz w:val="21"/>
                <w:szCs w:val="21"/>
                <w:lang w:val="zh-TW"/>
              </w:rPr>
            </w:pPr>
            <w:r>
              <w:rPr>
                <w:rStyle w:val="576"/>
                <w:rFonts w:hint="eastAsia" w:ascii="宋体" w:hAnsi="宋体" w:eastAsia="宋体"/>
                <w:spacing w:val="0"/>
                <w:kern w:val="2"/>
                <w:sz w:val="21"/>
                <w:szCs w:val="21"/>
                <w:lang w:val="zh-TW"/>
              </w:rPr>
              <w:t>运营期</w:t>
            </w:r>
          </w:p>
        </w:tc>
        <w:tc>
          <w:tcPr>
            <w:tcW w:w="3503" w:type="pct"/>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hint="eastAsia" w:ascii="宋体" w:hAnsi="宋体" w:cs="宋体"/>
                <w:spacing w:val="-5"/>
                <w:kern w:val="2"/>
                <w:sz w:val="21"/>
              </w:rPr>
              <w:t>道路垃圾</w:t>
            </w:r>
          </w:p>
        </w:tc>
      </w:tr>
    </w:tbl>
    <w:p>
      <w:pPr>
        <w:pStyle w:val="185"/>
        <w:spacing w:line="480" w:lineRule="exact"/>
        <w:rPr>
          <w:sz w:val="21"/>
          <w:szCs w:val="21"/>
        </w:rPr>
      </w:pPr>
      <w:bookmarkStart w:id="59" w:name="_Toc141284051"/>
      <w:r>
        <w:rPr>
          <w:sz w:val="21"/>
          <w:szCs w:val="21"/>
        </w:rPr>
        <w:t>表2.</w:t>
      </w:r>
      <w:r>
        <w:rPr>
          <w:rFonts w:hint="eastAsia"/>
          <w:sz w:val="21"/>
          <w:szCs w:val="21"/>
        </w:rPr>
        <w:t>3</w:t>
      </w:r>
      <w:r>
        <w:rPr>
          <w:sz w:val="21"/>
          <w:szCs w:val="21"/>
        </w:rPr>
        <w:t>-3</w:t>
      </w:r>
      <w:r>
        <w:rPr>
          <w:rFonts w:hint="eastAsia"/>
          <w:sz w:val="21"/>
          <w:szCs w:val="21"/>
        </w:rPr>
        <w:t xml:space="preserve"> </w:t>
      </w:r>
      <w:r>
        <w:rPr>
          <w:sz w:val="21"/>
          <w:szCs w:val="21"/>
        </w:rPr>
        <w:t>评价因子一览表</w:t>
      </w:r>
    </w:p>
    <w:tbl>
      <w:tblPr>
        <w:tblStyle w:val="53"/>
        <w:tblW w:w="48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726"/>
        <w:gridCol w:w="1419"/>
        <w:gridCol w:w="3066"/>
        <w:gridCol w:w="1539"/>
        <w:gridCol w:w="1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Align w:val="center"/>
          </w:tcPr>
          <w:p>
            <w:pPr>
              <w:spacing w:line="240" w:lineRule="auto"/>
              <w:ind w:firstLine="0" w:firstLineChars="0"/>
              <w:rPr>
                <w:rFonts w:eastAsiaTheme="minorEastAsia"/>
                <w:sz w:val="21"/>
              </w:rPr>
            </w:pPr>
            <w:r>
              <w:rPr>
                <w:rFonts w:eastAsiaTheme="minorEastAsia"/>
                <w:sz w:val="21"/>
              </w:rPr>
              <w:t>评价时段</w:t>
            </w:r>
          </w:p>
        </w:tc>
        <w:tc>
          <w:tcPr>
            <w:tcW w:w="404" w:type="pct"/>
            <w:vAlign w:val="center"/>
          </w:tcPr>
          <w:p>
            <w:pPr>
              <w:spacing w:line="240" w:lineRule="auto"/>
              <w:ind w:firstLine="0" w:firstLineChars="0"/>
              <w:rPr>
                <w:rFonts w:eastAsiaTheme="minorEastAsia"/>
                <w:sz w:val="21"/>
              </w:rPr>
            </w:pPr>
            <w:r>
              <w:rPr>
                <w:rFonts w:eastAsiaTheme="minorEastAsia"/>
                <w:sz w:val="21"/>
              </w:rPr>
              <w:t>受影响对象</w:t>
            </w:r>
          </w:p>
        </w:tc>
        <w:tc>
          <w:tcPr>
            <w:tcW w:w="790" w:type="pct"/>
            <w:vAlign w:val="center"/>
          </w:tcPr>
          <w:p>
            <w:pPr>
              <w:spacing w:line="240" w:lineRule="auto"/>
              <w:ind w:firstLine="0" w:firstLineChars="0"/>
              <w:rPr>
                <w:rFonts w:eastAsiaTheme="minorEastAsia"/>
                <w:sz w:val="21"/>
              </w:rPr>
            </w:pPr>
            <w:r>
              <w:rPr>
                <w:rFonts w:eastAsiaTheme="minorEastAsia"/>
                <w:sz w:val="21"/>
              </w:rPr>
              <w:t>评价因子</w:t>
            </w:r>
          </w:p>
        </w:tc>
        <w:tc>
          <w:tcPr>
            <w:tcW w:w="1707" w:type="pct"/>
            <w:vAlign w:val="center"/>
          </w:tcPr>
          <w:p>
            <w:pPr>
              <w:spacing w:line="240" w:lineRule="auto"/>
              <w:ind w:firstLine="0" w:firstLineChars="0"/>
              <w:rPr>
                <w:rFonts w:eastAsiaTheme="minorEastAsia"/>
                <w:sz w:val="21"/>
              </w:rPr>
            </w:pPr>
            <w:r>
              <w:rPr>
                <w:rFonts w:eastAsiaTheme="minorEastAsia"/>
                <w:sz w:val="21"/>
              </w:rPr>
              <w:t>工程内容及影响方式</w:t>
            </w:r>
          </w:p>
        </w:tc>
        <w:tc>
          <w:tcPr>
            <w:tcW w:w="857" w:type="pct"/>
            <w:vAlign w:val="center"/>
          </w:tcPr>
          <w:p>
            <w:pPr>
              <w:spacing w:line="240" w:lineRule="auto"/>
              <w:ind w:firstLine="0" w:firstLineChars="0"/>
              <w:rPr>
                <w:rFonts w:eastAsiaTheme="minorEastAsia"/>
                <w:sz w:val="21"/>
              </w:rPr>
            </w:pPr>
            <w:r>
              <w:rPr>
                <w:rFonts w:eastAsiaTheme="minorEastAsia"/>
                <w:sz w:val="21"/>
              </w:rPr>
              <w:t>影响性质</w:t>
            </w:r>
          </w:p>
        </w:tc>
        <w:tc>
          <w:tcPr>
            <w:tcW w:w="856" w:type="pct"/>
            <w:vAlign w:val="center"/>
          </w:tcPr>
          <w:p>
            <w:pPr>
              <w:spacing w:line="240" w:lineRule="auto"/>
              <w:ind w:firstLine="0" w:firstLineChars="0"/>
              <w:rPr>
                <w:rFonts w:eastAsiaTheme="minorEastAsia"/>
                <w:sz w:val="21"/>
              </w:rPr>
            </w:pPr>
            <w:r>
              <w:rPr>
                <w:rFonts w:eastAsiaTheme="minorEastAsia"/>
                <w:sz w:val="21"/>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restart"/>
            <w:vAlign w:val="center"/>
          </w:tcPr>
          <w:p>
            <w:pPr>
              <w:spacing w:line="240" w:lineRule="auto"/>
              <w:ind w:firstLine="0" w:firstLineChars="0"/>
              <w:rPr>
                <w:rFonts w:eastAsiaTheme="minorEastAsia"/>
                <w:sz w:val="21"/>
              </w:rPr>
            </w:pPr>
            <w:r>
              <w:rPr>
                <w:rFonts w:eastAsiaTheme="minorEastAsia"/>
                <w:sz w:val="21"/>
              </w:rPr>
              <w:t>施工期</w:t>
            </w:r>
          </w:p>
        </w:tc>
        <w:tc>
          <w:tcPr>
            <w:tcW w:w="404" w:type="pct"/>
            <w:vAlign w:val="center"/>
          </w:tcPr>
          <w:p>
            <w:pPr>
              <w:spacing w:line="240" w:lineRule="auto"/>
              <w:ind w:firstLine="0" w:firstLineChars="0"/>
              <w:rPr>
                <w:rFonts w:eastAsiaTheme="minorEastAsia"/>
                <w:sz w:val="21"/>
              </w:rPr>
            </w:pPr>
            <w:r>
              <w:rPr>
                <w:rFonts w:eastAsiaTheme="minorEastAsia"/>
                <w:sz w:val="21"/>
              </w:rPr>
              <w:t>物种</w:t>
            </w:r>
          </w:p>
        </w:tc>
        <w:tc>
          <w:tcPr>
            <w:tcW w:w="790" w:type="pct"/>
            <w:vAlign w:val="center"/>
          </w:tcPr>
          <w:p>
            <w:pPr>
              <w:spacing w:line="240" w:lineRule="auto"/>
              <w:ind w:firstLine="0" w:firstLineChars="0"/>
              <w:rPr>
                <w:rFonts w:eastAsiaTheme="minorEastAsia"/>
                <w:sz w:val="21"/>
              </w:rPr>
            </w:pPr>
            <w:r>
              <w:rPr>
                <w:rFonts w:eastAsiaTheme="minorEastAsia"/>
                <w:sz w:val="21"/>
              </w:rPr>
              <w:t>分布范围、种群数量</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工程新增永久占地范围内的物种受到破坏</w:t>
            </w:r>
          </w:p>
        </w:tc>
        <w:tc>
          <w:tcPr>
            <w:tcW w:w="857" w:type="pct"/>
            <w:vAlign w:val="center"/>
          </w:tcPr>
          <w:p>
            <w:pPr>
              <w:spacing w:line="240" w:lineRule="auto"/>
              <w:ind w:firstLine="0" w:firstLineChars="0"/>
              <w:rPr>
                <w:rFonts w:eastAsiaTheme="minorEastAsia"/>
                <w:sz w:val="21"/>
              </w:rPr>
            </w:pPr>
            <w:r>
              <w:rPr>
                <w:rFonts w:eastAsiaTheme="minorEastAsia"/>
                <w:sz w:val="21"/>
              </w:rPr>
              <w:t>长期、不可逆</w:t>
            </w:r>
          </w:p>
        </w:tc>
        <w:tc>
          <w:tcPr>
            <w:tcW w:w="856" w:type="pct"/>
            <w:vAlign w:val="center"/>
          </w:tcPr>
          <w:p>
            <w:pPr>
              <w:spacing w:line="240" w:lineRule="auto"/>
              <w:ind w:firstLine="0" w:firstLineChars="0"/>
              <w:rPr>
                <w:rFonts w:eastAsiaTheme="minorEastAsia"/>
                <w:sz w:val="21"/>
              </w:rPr>
            </w:pPr>
            <w:r>
              <w:rPr>
                <w:rFonts w:eastAsiaTheme="minorEastAsia"/>
                <w:sz w:val="21"/>
              </w:rPr>
              <w:t>较大影响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pPr>
              <w:spacing w:line="240" w:lineRule="auto"/>
              <w:ind w:firstLine="0" w:firstLineChars="0"/>
              <w:rPr>
                <w:rFonts w:eastAsiaTheme="minorEastAsia"/>
                <w:sz w:val="21"/>
              </w:rPr>
            </w:pPr>
          </w:p>
        </w:tc>
        <w:tc>
          <w:tcPr>
            <w:tcW w:w="404" w:type="pct"/>
            <w:vAlign w:val="center"/>
          </w:tcPr>
          <w:p>
            <w:pPr>
              <w:spacing w:line="240" w:lineRule="auto"/>
              <w:ind w:firstLine="0" w:firstLineChars="0"/>
              <w:rPr>
                <w:rFonts w:eastAsiaTheme="minorEastAsia"/>
                <w:sz w:val="21"/>
              </w:rPr>
            </w:pPr>
            <w:r>
              <w:rPr>
                <w:rFonts w:eastAsiaTheme="minorEastAsia"/>
                <w:sz w:val="21"/>
              </w:rPr>
              <w:t>生境</w:t>
            </w:r>
          </w:p>
        </w:tc>
        <w:tc>
          <w:tcPr>
            <w:tcW w:w="790" w:type="pct"/>
            <w:vAlign w:val="center"/>
          </w:tcPr>
          <w:p>
            <w:pPr>
              <w:spacing w:line="240" w:lineRule="auto"/>
              <w:ind w:firstLine="0" w:firstLineChars="0"/>
              <w:rPr>
                <w:rFonts w:eastAsiaTheme="minorEastAsia"/>
                <w:sz w:val="21"/>
              </w:rPr>
            </w:pPr>
            <w:r>
              <w:rPr>
                <w:rFonts w:eastAsiaTheme="minorEastAsia"/>
                <w:sz w:val="21"/>
              </w:rPr>
              <w:t>生境面积、连通性</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工程新增永久占地占用生境面积，影响生境连通性</w:t>
            </w:r>
          </w:p>
        </w:tc>
        <w:tc>
          <w:tcPr>
            <w:tcW w:w="857" w:type="pct"/>
            <w:vAlign w:val="center"/>
          </w:tcPr>
          <w:p>
            <w:pPr>
              <w:spacing w:line="240" w:lineRule="auto"/>
              <w:ind w:firstLine="0" w:firstLineChars="0"/>
              <w:rPr>
                <w:rFonts w:eastAsiaTheme="minorEastAsia"/>
                <w:sz w:val="21"/>
              </w:rPr>
            </w:pPr>
            <w:r>
              <w:rPr>
                <w:rFonts w:eastAsiaTheme="minorEastAsia"/>
                <w:sz w:val="21"/>
              </w:rPr>
              <w:t>长期、不可逆</w:t>
            </w:r>
          </w:p>
        </w:tc>
        <w:tc>
          <w:tcPr>
            <w:tcW w:w="856" w:type="pct"/>
            <w:vAlign w:val="center"/>
          </w:tcPr>
          <w:p>
            <w:pPr>
              <w:spacing w:line="240" w:lineRule="auto"/>
              <w:ind w:firstLine="0" w:firstLineChars="0"/>
              <w:rPr>
                <w:rFonts w:eastAsiaTheme="minorEastAsia"/>
                <w:sz w:val="21"/>
              </w:rPr>
            </w:pPr>
            <w:r>
              <w:rPr>
                <w:rFonts w:eastAsiaTheme="minorEastAsia"/>
                <w:sz w:val="21"/>
              </w:rPr>
              <w:t>一般影响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pPr>
              <w:spacing w:line="240" w:lineRule="auto"/>
              <w:ind w:firstLine="0" w:firstLineChars="0"/>
              <w:rPr>
                <w:rFonts w:eastAsiaTheme="minorEastAsia"/>
                <w:sz w:val="21"/>
              </w:rPr>
            </w:pPr>
          </w:p>
        </w:tc>
        <w:tc>
          <w:tcPr>
            <w:tcW w:w="404" w:type="pct"/>
            <w:vAlign w:val="center"/>
          </w:tcPr>
          <w:p>
            <w:pPr>
              <w:spacing w:line="240" w:lineRule="auto"/>
              <w:ind w:firstLine="0" w:firstLineChars="0"/>
              <w:rPr>
                <w:rFonts w:eastAsiaTheme="minorEastAsia"/>
                <w:sz w:val="21"/>
              </w:rPr>
            </w:pPr>
            <w:r>
              <w:rPr>
                <w:rFonts w:eastAsiaTheme="minorEastAsia"/>
                <w:sz w:val="21"/>
              </w:rPr>
              <w:t>生态系统</w:t>
            </w:r>
          </w:p>
        </w:tc>
        <w:tc>
          <w:tcPr>
            <w:tcW w:w="790" w:type="pct"/>
            <w:vAlign w:val="center"/>
          </w:tcPr>
          <w:p>
            <w:pPr>
              <w:spacing w:line="240" w:lineRule="auto"/>
              <w:ind w:firstLine="0" w:firstLineChars="0"/>
              <w:rPr>
                <w:rFonts w:eastAsiaTheme="minorEastAsia"/>
                <w:sz w:val="21"/>
              </w:rPr>
            </w:pPr>
            <w:r>
              <w:rPr>
                <w:rFonts w:eastAsiaTheme="minorEastAsia"/>
                <w:sz w:val="21"/>
              </w:rPr>
              <w:t>植被覆盖度、生产力、生物量</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工程新增占地破坏植被，降低区域植被覆盖区、生产力和生物量</w:t>
            </w:r>
          </w:p>
        </w:tc>
        <w:tc>
          <w:tcPr>
            <w:tcW w:w="857" w:type="pct"/>
            <w:vAlign w:val="center"/>
          </w:tcPr>
          <w:p>
            <w:pPr>
              <w:spacing w:line="240" w:lineRule="auto"/>
              <w:ind w:firstLine="0" w:firstLineChars="0"/>
              <w:rPr>
                <w:rFonts w:eastAsiaTheme="minorEastAsia"/>
                <w:sz w:val="21"/>
              </w:rPr>
            </w:pPr>
            <w:r>
              <w:rPr>
                <w:rFonts w:eastAsiaTheme="minorEastAsia"/>
                <w:sz w:val="21"/>
              </w:rPr>
              <w:t>长期、不可逆</w:t>
            </w:r>
          </w:p>
        </w:tc>
        <w:tc>
          <w:tcPr>
            <w:tcW w:w="856" w:type="pct"/>
            <w:vAlign w:val="center"/>
          </w:tcPr>
          <w:p>
            <w:pPr>
              <w:spacing w:line="240" w:lineRule="auto"/>
              <w:ind w:firstLine="0" w:firstLineChars="0"/>
              <w:rPr>
                <w:rFonts w:eastAsiaTheme="minorEastAsia"/>
                <w:sz w:val="21"/>
              </w:rPr>
            </w:pPr>
            <w:r>
              <w:rPr>
                <w:rFonts w:eastAsiaTheme="minorEastAsia"/>
                <w:sz w:val="21"/>
              </w:rPr>
              <w:t>一般影响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pPr>
              <w:spacing w:line="240" w:lineRule="auto"/>
              <w:ind w:firstLine="0" w:firstLineChars="0"/>
              <w:rPr>
                <w:rFonts w:eastAsiaTheme="minorEastAsia"/>
                <w:sz w:val="21"/>
              </w:rPr>
            </w:pPr>
          </w:p>
        </w:tc>
        <w:tc>
          <w:tcPr>
            <w:tcW w:w="404" w:type="pct"/>
            <w:vAlign w:val="center"/>
          </w:tcPr>
          <w:p>
            <w:pPr>
              <w:spacing w:line="240" w:lineRule="auto"/>
              <w:ind w:firstLine="0" w:firstLineChars="0"/>
              <w:rPr>
                <w:rFonts w:eastAsiaTheme="minorEastAsia"/>
                <w:sz w:val="21"/>
              </w:rPr>
            </w:pPr>
            <w:r>
              <w:rPr>
                <w:rFonts w:eastAsiaTheme="minorEastAsia"/>
                <w:sz w:val="21"/>
              </w:rPr>
              <w:t>自然景观</w:t>
            </w:r>
          </w:p>
        </w:tc>
        <w:tc>
          <w:tcPr>
            <w:tcW w:w="790" w:type="pct"/>
            <w:vAlign w:val="center"/>
          </w:tcPr>
          <w:p>
            <w:pPr>
              <w:spacing w:line="240" w:lineRule="auto"/>
              <w:ind w:firstLine="0" w:firstLineChars="0"/>
              <w:rPr>
                <w:rFonts w:eastAsiaTheme="minorEastAsia"/>
                <w:sz w:val="21"/>
              </w:rPr>
            </w:pPr>
            <w:r>
              <w:rPr>
                <w:rFonts w:eastAsiaTheme="minorEastAsia"/>
                <w:sz w:val="21"/>
              </w:rPr>
              <w:t>景观完整性</w:t>
            </w:r>
          </w:p>
        </w:tc>
        <w:tc>
          <w:tcPr>
            <w:tcW w:w="1707" w:type="pct"/>
            <w:vAlign w:val="center"/>
          </w:tcPr>
          <w:p>
            <w:pPr>
              <w:spacing w:line="240" w:lineRule="auto"/>
              <w:ind w:firstLine="0" w:firstLineChars="0"/>
              <w:rPr>
                <w:rFonts w:eastAsiaTheme="minorEastAsia"/>
                <w:sz w:val="21"/>
              </w:rPr>
            </w:pPr>
            <w:r>
              <w:rPr>
                <w:rFonts w:eastAsiaTheme="minorEastAsia"/>
                <w:kern w:val="0"/>
                <w:sz w:val="21"/>
              </w:rPr>
              <w:t>施工占地影响景观完整性</w:t>
            </w:r>
          </w:p>
        </w:tc>
        <w:tc>
          <w:tcPr>
            <w:tcW w:w="857" w:type="pct"/>
            <w:vAlign w:val="center"/>
          </w:tcPr>
          <w:p>
            <w:pPr>
              <w:spacing w:line="240" w:lineRule="auto"/>
              <w:ind w:firstLine="0" w:firstLineChars="0"/>
              <w:rPr>
                <w:rFonts w:eastAsiaTheme="minorEastAsia"/>
                <w:sz w:val="21"/>
              </w:rPr>
            </w:pPr>
            <w:r>
              <w:rPr>
                <w:rFonts w:eastAsiaTheme="minorEastAsia"/>
                <w:sz w:val="21"/>
              </w:rPr>
              <w:t>长期、不可逆</w:t>
            </w:r>
          </w:p>
        </w:tc>
        <w:tc>
          <w:tcPr>
            <w:tcW w:w="856" w:type="pct"/>
            <w:vAlign w:val="center"/>
          </w:tcPr>
          <w:p>
            <w:pPr>
              <w:spacing w:line="240" w:lineRule="auto"/>
              <w:ind w:firstLine="0" w:firstLineChars="0"/>
              <w:rPr>
                <w:rFonts w:eastAsiaTheme="minorEastAsia"/>
                <w:sz w:val="21"/>
              </w:rPr>
            </w:pPr>
            <w:r>
              <w:rPr>
                <w:rFonts w:eastAsiaTheme="minorEastAsia"/>
                <w:sz w:val="21"/>
              </w:rPr>
              <w:t>较大影响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restart"/>
            <w:vAlign w:val="center"/>
          </w:tcPr>
          <w:p>
            <w:pPr>
              <w:spacing w:line="240" w:lineRule="auto"/>
              <w:ind w:firstLine="0" w:firstLineChars="0"/>
              <w:rPr>
                <w:rFonts w:eastAsiaTheme="minorEastAsia"/>
                <w:sz w:val="21"/>
              </w:rPr>
            </w:pPr>
            <w:r>
              <w:rPr>
                <w:rFonts w:eastAsiaTheme="minorEastAsia"/>
                <w:sz w:val="21"/>
              </w:rPr>
              <w:t>运行期</w:t>
            </w:r>
          </w:p>
        </w:tc>
        <w:tc>
          <w:tcPr>
            <w:tcW w:w="404" w:type="pct"/>
            <w:vAlign w:val="center"/>
          </w:tcPr>
          <w:p>
            <w:pPr>
              <w:spacing w:line="240" w:lineRule="auto"/>
              <w:ind w:firstLine="0" w:firstLineChars="0"/>
              <w:rPr>
                <w:rFonts w:eastAsiaTheme="minorEastAsia"/>
                <w:sz w:val="21"/>
              </w:rPr>
            </w:pPr>
            <w:r>
              <w:rPr>
                <w:rFonts w:eastAsiaTheme="minorEastAsia"/>
                <w:sz w:val="21"/>
              </w:rPr>
              <w:t>物种</w:t>
            </w:r>
          </w:p>
        </w:tc>
        <w:tc>
          <w:tcPr>
            <w:tcW w:w="790" w:type="pct"/>
            <w:vAlign w:val="center"/>
          </w:tcPr>
          <w:p>
            <w:pPr>
              <w:spacing w:line="240" w:lineRule="auto"/>
              <w:ind w:firstLine="0" w:firstLineChars="0"/>
              <w:rPr>
                <w:rFonts w:eastAsiaTheme="minorEastAsia"/>
                <w:sz w:val="21"/>
              </w:rPr>
            </w:pPr>
            <w:r>
              <w:rPr>
                <w:rFonts w:eastAsiaTheme="minorEastAsia"/>
                <w:sz w:val="21"/>
              </w:rPr>
              <w:t>分布范围、种群数量</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通过植被恢复，减少对区域植被种群数量的影响</w:t>
            </w:r>
          </w:p>
        </w:tc>
        <w:tc>
          <w:tcPr>
            <w:tcW w:w="857" w:type="pct"/>
            <w:vAlign w:val="center"/>
          </w:tcPr>
          <w:p>
            <w:pPr>
              <w:spacing w:line="240" w:lineRule="auto"/>
              <w:ind w:firstLine="0" w:firstLineChars="0"/>
              <w:rPr>
                <w:rFonts w:eastAsiaTheme="minorEastAsia"/>
                <w:sz w:val="21"/>
              </w:rPr>
            </w:pPr>
            <w:r>
              <w:rPr>
                <w:rFonts w:eastAsiaTheme="minorEastAsia"/>
                <w:sz w:val="21"/>
              </w:rPr>
              <w:t>长期、正向</w:t>
            </w:r>
          </w:p>
        </w:tc>
        <w:tc>
          <w:tcPr>
            <w:tcW w:w="856" w:type="pct"/>
            <w:vAlign w:val="center"/>
          </w:tcPr>
          <w:p>
            <w:pPr>
              <w:spacing w:line="240" w:lineRule="auto"/>
              <w:ind w:firstLine="0" w:firstLineChars="0"/>
              <w:rPr>
                <w:rFonts w:eastAsiaTheme="minorEastAsia"/>
                <w:sz w:val="21"/>
              </w:rPr>
            </w:pPr>
            <w:r>
              <w:rPr>
                <w:rFonts w:eastAsiaTheme="minorEastAsia"/>
                <w:sz w:val="21"/>
              </w:rPr>
              <w:t>一般影响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pPr>
              <w:spacing w:line="240" w:lineRule="auto"/>
              <w:ind w:firstLine="0" w:firstLineChars="0"/>
              <w:rPr>
                <w:rFonts w:eastAsiaTheme="minorEastAsia"/>
                <w:sz w:val="21"/>
              </w:rPr>
            </w:pPr>
          </w:p>
        </w:tc>
        <w:tc>
          <w:tcPr>
            <w:tcW w:w="404" w:type="pct"/>
            <w:vAlign w:val="center"/>
          </w:tcPr>
          <w:p>
            <w:pPr>
              <w:spacing w:line="240" w:lineRule="auto"/>
              <w:ind w:firstLine="0" w:firstLineChars="0"/>
              <w:rPr>
                <w:rFonts w:eastAsiaTheme="minorEastAsia"/>
                <w:sz w:val="21"/>
              </w:rPr>
            </w:pPr>
            <w:r>
              <w:rPr>
                <w:rFonts w:eastAsiaTheme="minorEastAsia"/>
                <w:sz w:val="21"/>
              </w:rPr>
              <w:t>生态系统</w:t>
            </w:r>
          </w:p>
        </w:tc>
        <w:tc>
          <w:tcPr>
            <w:tcW w:w="790" w:type="pct"/>
            <w:vAlign w:val="center"/>
          </w:tcPr>
          <w:p>
            <w:pPr>
              <w:spacing w:line="240" w:lineRule="auto"/>
              <w:ind w:firstLine="0" w:firstLineChars="0"/>
              <w:rPr>
                <w:rFonts w:eastAsiaTheme="minorEastAsia"/>
                <w:sz w:val="21"/>
              </w:rPr>
            </w:pPr>
            <w:r>
              <w:rPr>
                <w:rFonts w:eastAsiaTheme="minorEastAsia"/>
                <w:sz w:val="21"/>
              </w:rPr>
              <w:t>植被覆盖度、生产力、生物量</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对路基边坡进行绿化，减少了对区域植被覆盖区、生产力和生物量影响</w:t>
            </w:r>
          </w:p>
        </w:tc>
        <w:tc>
          <w:tcPr>
            <w:tcW w:w="857" w:type="pct"/>
            <w:vAlign w:val="center"/>
          </w:tcPr>
          <w:p>
            <w:pPr>
              <w:spacing w:line="240" w:lineRule="auto"/>
              <w:ind w:firstLine="0" w:firstLineChars="0"/>
              <w:rPr>
                <w:rFonts w:eastAsiaTheme="minorEastAsia"/>
                <w:sz w:val="21"/>
              </w:rPr>
            </w:pPr>
            <w:r>
              <w:rPr>
                <w:rFonts w:eastAsiaTheme="minorEastAsia"/>
                <w:sz w:val="21"/>
              </w:rPr>
              <w:t>长期、正向</w:t>
            </w:r>
          </w:p>
        </w:tc>
        <w:tc>
          <w:tcPr>
            <w:tcW w:w="856" w:type="pct"/>
            <w:vAlign w:val="center"/>
          </w:tcPr>
          <w:p>
            <w:pPr>
              <w:spacing w:line="240" w:lineRule="auto"/>
              <w:ind w:firstLine="0" w:firstLineChars="0"/>
              <w:rPr>
                <w:rFonts w:eastAsiaTheme="minorEastAsia"/>
                <w:sz w:val="21"/>
              </w:rPr>
            </w:pPr>
            <w:r>
              <w:rPr>
                <w:rFonts w:eastAsiaTheme="minorEastAsia"/>
                <w:sz w:val="21"/>
              </w:rPr>
              <w:t>一般影响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6" w:type="pct"/>
            <w:vMerge w:val="continue"/>
            <w:vAlign w:val="center"/>
          </w:tcPr>
          <w:p>
            <w:pPr>
              <w:spacing w:line="240" w:lineRule="auto"/>
              <w:ind w:firstLine="0" w:firstLineChars="0"/>
              <w:rPr>
                <w:rFonts w:eastAsiaTheme="minorEastAsia"/>
                <w:sz w:val="21"/>
              </w:rPr>
            </w:pPr>
          </w:p>
        </w:tc>
        <w:tc>
          <w:tcPr>
            <w:tcW w:w="404" w:type="pct"/>
            <w:vAlign w:val="center"/>
          </w:tcPr>
          <w:p>
            <w:pPr>
              <w:spacing w:line="240" w:lineRule="auto"/>
              <w:ind w:firstLine="0" w:firstLineChars="0"/>
              <w:rPr>
                <w:rFonts w:eastAsiaTheme="minorEastAsia"/>
                <w:sz w:val="21"/>
              </w:rPr>
            </w:pPr>
            <w:r>
              <w:rPr>
                <w:rFonts w:eastAsiaTheme="minorEastAsia"/>
                <w:sz w:val="21"/>
              </w:rPr>
              <w:t>自然景观</w:t>
            </w:r>
          </w:p>
        </w:tc>
        <w:tc>
          <w:tcPr>
            <w:tcW w:w="790" w:type="pct"/>
            <w:vAlign w:val="center"/>
          </w:tcPr>
          <w:p>
            <w:pPr>
              <w:spacing w:line="240" w:lineRule="auto"/>
              <w:ind w:firstLine="0" w:firstLineChars="0"/>
              <w:rPr>
                <w:rFonts w:eastAsiaTheme="minorEastAsia"/>
                <w:sz w:val="21"/>
              </w:rPr>
            </w:pPr>
            <w:r>
              <w:rPr>
                <w:rFonts w:eastAsiaTheme="minorEastAsia"/>
                <w:sz w:val="21"/>
              </w:rPr>
              <w:t>景观完整性</w:t>
            </w:r>
          </w:p>
        </w:tc>
        <w:tc>
          <w:tcPr>
            <w:tcW w:w="1707" w:type="pct"/>
            <w:vAlign w:val="center"/>
          </w:tcPr>
          <w:p>
            <w:pPr>
              <w:autoSpaceDE w:val="0"/>
              <w:autoSpaceDN w:val="0"/>
              <w:adjustRightInd w:val="0"/>
              <w:spacing w:line="240" w:lineRule="auto"/>
              <w:ind w:firstLine="0" w:firstLineChars="0"/>
              <w:rPr>
                <w:rFonts w:eastAsiaTheme="minorEastAsia"/>
                <w:sz w:val="21"/>
              </w:rPr>
            </w:pPr>
            <w:r>
              <w:rPr>
                <w:rFonts w:eastAsiaTheme="minorEastAsia"/>
                <w:kern w:val="0"/>
                <w:sz w:val="21"/>
              </w:rPr>
              <w:t>通过植被恢复，减少对区域景观完整性的影响</w:t>
            </w:r>
          </w:p>
        </w:tc>
        <w:tc>
          <w:tcPr>
            <w:tcW w:w="857" w:type="pct"/>
            <w:vAlign w:val="center"/>
          </w:tcPr>
          <w:p>
            <w:pPr>
              <w:spacing w:line="240" w:lineRule="auto"/>
              <w:ind w:firstLine="0" w:firstLineChars="0"/>
              <w:rPr>
                <w:rFonts w:eastAsiaTheme="minorEastAsia"/>
                <w:sz w:val="21"/>
              </w:rPr>
            </w:pPr>
            <w:r>
              <w:rPr>
                <w:rFonts w:eastAsiaTheme="minorEastAsia"/>
                <w:sz w:val="21"/>
              </w:rPr>
              <w:t>长期、正向</w:t>
            </w:r>
          </w:p>
        </w:tc>
        <w:tc>
          <w:tcPr>
            <w:tcW w:w="856" w:type="pct"/>
            <w:vAlign w:val="center"/>
          </w:tcPr>
          <w:p>
            <w:pPr>
              <w:spacing w:line="240" w:lineRule="auto"/>
              <w:ind w:firstLine="0" w:firstLineChars="0"/>
              <w:rPr>
                <w:rFonts w:eastAsiaTheme="minorEastAsia"/>
                <w:sz w:val="21"/>
              </w:rPr>
            </w:pPr>
            <w:r>
              <w:rPr>
                <w:rFonts w:eastAsiaTheme="minorEastAsia"/>
                <w:sz w:val="21"/>
              </w:rPr>
              <w:t>一般影响</w:t>
            </w:r>
          </w:p>
        </w:tc>
      </w:tr>
    </w:tbl>
    <w:p>
      <w:pPr>
        <w:pStyle w:val="5"/>
        <w:spacing w:beforeLines="0" w:afterLines="0"/>
      </w:pPr>
      <w:r>
        <w:rPr>
          <w:rFonts w:hint="eastAsia"/>
        </w:rPr>
        <w:t>2</w:t>
      </w:r>
      <w:r>
        <w:t>.</w:t>
      </w:r>
      <w:r>
        <w:rPr>
          <w:rFonts w:hint="eastAsia"/>
        </w:rPr>
        <w:t>4评价级别和评价范围</w:t>
      </w:r>
      <w:bookmarkEnd w:id="59"/>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4</w:t>
      </w:r>
      <w:r>
        <w:rPr>
          <w:b/>
          <w:sz w:val="28"/>
          <w:szCs w:val="28"/>
        </w:rPr>
        <w:t>.</w:t>
      </w:r>
      <w:r>
        <w:rPr>
          <w:rFonts w:hint="eastAsia"/>
          <w:b/>
          <w:sz w:val="28"/>
          <w:szCs w:val="28"/>
        </w:rPr>
        <w:t>1评价级别</w:t>
      </w:r>
    </w:p>
    <w:p>
      <w:pPr>
        <w:pStyle w:val="190"/>
        <w:spacing w:beforeLines="0" w:afterLines="0"/>
      </w:pPr>
      <w:r>
        <w:rPr>
          <w:rFonts w:hint="eastAsia"/>
        </w:rPr>
        <w:t>2.4.</w:t>
      </w:r>
      <w:r>
        <w:t>1.</w:t>
      </w:r>
      <w:r>
        <w:rPr>
          <w:rFonts w:hint="eastAsia"/>
        </w:rPr>
        <w:t>1大气环境影响评价工作等级确定</w:t>
      </w:r>
    </w:p>
    <w:p>
      <w:pPr>
        <w:ind w:firstLine="480"/>
        <w:rPr>
          <w:bCs/>
        </w:rPr>
      </w:pPr>
      <w:r>
        <w:t>依据《环境影响评价技术导则大气环境》</w:t>
      </w:r>
      <w:r>
        <w:rPr>
          <w:rFonts w:hint="eastAsia"/>
        </w:rPr>
        <w:t>（</w:t>
      </w:r>
      <w:r>
        <w:t>HJ2.2018</w:t>
      </w:r>
      <w:r>
        <w:rPr>
          <w:rFonts w:hint="eastAsia"/>
        </w:rPr>
        <w:t>）</w:t>
      </w:r>
      <w:r>
        <w:t>中5.3节工作等级的确定方法，</w:t>
      </w:r>
      <w:r>
        <w:rPr>
          <w:rFonts w:cs="宋体"/>
        </w:rPr>
        <w:t>对于</w:t>
      </w:r>
      <w:r>
        <w:rPr>
          <w:rFonts w:cs="宋体"/>
          <w:spacing w:val="-3"/>
        </w:rPr>
        <w:t>公路、铁路等项目，应分别按项目沿线主要集中式排放源（如服务区、车站区等大气污染源）排放的污染物计算其评价等级。本项目</w:t>
      </w:r>
      <w:r>
        <w:rPr>
          <w:rFonts w:hint="eastAsia" w:cs="宋体"/>
          <w:spacing w:val="-3"/>
        </w:rPr>
        <w:t>不设置服务区、车站等</w:t>
      </w:r>
      <w:r>
        <w:rPr>
          <w:rFonts w:cs="宋体"/>
        </w:rPr>
        <w:t>。因此，本次评价对大气环境进行</w:t>
      </w:r>
      <w:r>
        <w:rPr>
          <w:rFonts w:hint="eastAsia" w:cs="宋体"/>
        </w:rPr>
        <w:t>简单分析，不设置大气评价范围。</w:t>
      </w:r>
    </w:p>
    <w:p>
      <w:pPr>
        <w:pStyle w:val="190"/>
        <w:spacing w:beforeLines="0" w:afterLines="0"/>
      </w:pPr>
      <w:r>
        <w:t>2.</w:t>
      </w:r>
      <w:r>
        <w:rPr>
          <w:rFonts w:hint="eastAsia"/>
        </w:rPr>
        <w:t>4</w:t>
      </w:r>
      <w:r>
        <w:t>.1.2地表水环境影响评价工作等级确定</w:t>
      </w:r>
    </w:p>
    <w:p>
      <w:pPr>
        <w:ind w:firstLine="480"/>
      </w:pPr>
      <w:r>
        <w:rPr>
          <w:rFonts w:hint="eastAsia"/>
        </w:rPr>
        <w:t>本</w:t>
      </w:r>
      <w:r>
        <w:t>项目施工期生产废水经处理后回用，施工</w:t>
      </w:r>
      <w:r>
        <w:rPr>
          <w:rFonts w:hint="eastAsia"/>
        </w:rPr>
        <w:t>期租赁</w:t>
      </w:r>
      <w:r>
        <w:t>生活区</w:t>
      </w:r>
      <w:r>
        <w:rPr>
          <w:rFonts w:hint="eastAsia"/>
        </w:rPr>
        <w:t>房屋</w:t>
      </w:r>
      <w:r>
        <w:t>设置防渗旱厕，</w:t>
      </w:r>
      <w:r>
        <w:rPr>
          <w:rFonts w:hint="eastAsia"/>
        </w:rPr>
        <w:t>生活污水排入防渗旱厕，</w:t>
      </w:r>
      <w:r>
        <w:t>定期清掏；</w:t>
      </w:r>
      <w:r>
        <w:rPr>
          <w:rFonts w:hint="eastAsia"/>
        </w:rPr>
        <w:t>营运期无废水产生</w:t>
      </w:r>
      <w:r>
        <w:t>。项目施工期、营运期不外排废水，根据《环境影响评价技术导则地表水环境》（HJ2.3-2018），仅进行</w:t>
      </w:r>
      <w:r>
        <w:rPr>
          <w:rFonts w:hint="eastAsia"/>
        </w:rPr>
        <w:t>简单</w:t>
      </w:r>
      <w:r>
        <w:t>地表水环境影响分析</w:t>
      </w:r>
      <w:r>
        <w:rPr>
          <w:rFonts w:hint="eastAsia"/>
        </w:rPr>
        <w:t>。</w:t>
      </w:r>
    </w:p>
    <w:p>
      <w:pPr>
        <w:pStyle w:val="190"/>
        <w:spacing w:beforeLines="0" w:afterLines="0"/>
      </w:pPr>
      <w:r>
        <w:rPr>
          <w:rFonts w:hint="eastAsia"/>
        </w:rPr>
        <w:t>2.4.</w:t>
      </w:r>
      <w:r>
        <w:t>1.</w:t>
      </w:r>
      <w:r>
        <w:rPr>
          <w:rFonts w:hint="eastAsia"/>
        </w:rPr>
        <w:t>3地下水环境影响评价工作等级确定</w:t>
      </w:r>
    </w:p>
    <w:p>
      <w:pPr>
        <w:ind w:firstLine="480"/>
      </w:pPr>
      <w:r>
        <w:t>根据《环境影响评价技术导则地下水环境》（HJ610-2016），</w:t>
      </w:r>
      <w:r>
        <w:rPr>
          <w:rFonts w:hint="eastAsia"/>
        </w:rPr>
        <w:t>“P公路”中“123、公路”、“新建、扩建三级及以上等级公路；涉及环境敏感区的1公里及以上的独立隧道；涉及环境敏感区的主桥长度1公里及以上的独立桥梁（均不含公路维护）”要求，本项目属于公路项目，公路等级为一级，编制环境影响报告书。地下水环境影响评价项目类别判定过程中，加油站为</w:t>
      </w:r>
      <w:r>
        <w:rPr>
          <w:rFonts w:hint="eastAsia" w:ascii="宋体" w:hAnsi="宋体" w:cs="宋体"/>
        </w:rPr>
        <w:t>Ⅱ类，</w:t>
      </w:r>
      <w:r>
        <w:t>其余为</w:t>
      </w:r>
      <w:r>
        <w:rPr>
          <w:rFonts w:hint="eastAsia" w:ascii="宋体" w:hAnsi="宋体"/>
        </w:rPr>
        <w:t>Ⅳ</w:t>
      </w:r>
      <w:r>
        <w:t>类建设项目</w:t>
      </w:r>
      <w:r>
        <w:rPr>
          <w:rFonts w:hint="eastAsia"/>
        </w:rPr>
        <w:t>。</w:t>
      </w:r>
      <w:r>
        <w:t>本项目不设置加油站</w:t>
      </w:r>
      <w:r>
        <w:rPr>
          <w:rFonts w:hint="eastAsia"/>
        </w:rPr>
        <w:t>，地下水环境影响评价项目类别为</w:t>
      </w:r>
      <w:r>
        <w:rPr>
          <w:rFonts w:hint="eastAsia" w:ascii="宋体" w:hAnsi="宋体"/>
        </w:rPr>
        <w:t>Ⅳ</w:t>
      </w:r>
      <w:r>
        <w:t>类建设项目</w:t>
      </w:r>
      <w:r>
        <w:rPr>
          <w:rFonts w:hint="eastAsia"/>
        </w:rPr>
        <w:t>。地下水环境影响评价</w:t>
      </w:r>
      <w:r>
        <w:t>Ⅳ类建设项目不开展地下水环境影响评价。</w:t>
      </w:r>
    </w:p>
    <w:p>
      <w:pPr>
        <w:ind w:firstLine="480"/>
      </w:pPr>
      <w:r>
        <w:t>因此，本项目不开展地下水环境影响评价。</w:t>
      </w:r>
    </w:p>
    <w:p>
      <w:pPr>
        <w:pStyle w:val="190"/>
        <w:spacing w:beforeLines="0" w:afterLines="0"/>
      </w:pPr>
      <w:r>
        <w:rPr>
          <w:rFonts w:hint="eastAsia"/>
        </w:rPr>
        <w:t>2.4.</w:t>
      </w:r>
      <w:r>
        <w:t>1.</w:t>
      </w:r>
      <w:r>
        <w:rPr>
          <w:rFonts w:hint="eastAsia"/>
        </w:rPr>
        <w:t>4噪声环境影响评价工作等级确定</w:t>
      </w:r>
    </w:p>
    <w:p>
      <w:pPr>
        <w:ind w:firstLine="422" w:firstLineChars="176"/>
        <w:rPr>
          <w:szCs w:val="24"/>
        </w:rPr>
      </w:pPr>
      <w:r>
        <w:rPr>
          <w:szCs w:val="24"/>
        </w:rPr>
        <w:t>工程沿线主要环境敏感点为村庄、</w:t>
      </w:r>
      <w:r>
        <w:rPr>
          <w:rFonts w:hint="eastAsia"/>
          <w:szCs w:val="24"/>
        </w:rPr>
        <w:t>小区、</w:t>
      </w:r>
      <w:r>
        <w:rPr>
          <w:szCs w:val="24"/>
        </w:rPr>
        <w:t>学校，建设项目所在区域属于《声环境质量标准》（GB3096）中4a类、2类声环境功能区；根据项目噪声预测结果，项目建设前后评价范围内敏感目标噪声级增幅大于5dB（A）；项目建设后受噪声影响的人口数量</w:t>
      </w:r>
      <w:r>
        <w:rPr>
          <w:rFonts w:hint="eastAsia"/>
          <w:szCs w:val="24"/>
        </w:rPr>
        <w:t>增加较多</w:t>
      </w:r>
      <w:r>
        <w:rPr>
          <w:szCs w:val="24"/>
        </w:rPr>
        <w:t>。按照《环境影响评价技术导则声环境》（HJ2.4-20</w:t>
      </w:r>
      <w:r>
        <w:rPr>
          <w:rFonts w:hint="eastAsia"/>
          <w:szCs w:val="24"/>
        </w:rPr>
        <w:t>21</w:t>
      </w:r>
      <w:r>
        <w:rPr>
          <w:szCs w:val="24"/>
        </w:rPr>
        <w:t>）中声环境影响评价等级划分方法，确定本次声环境影响评价工</w:t>
      </w:r>
      <w:r>
        <w:rPr>
          <w:rFonts w:hint="eastAsia"/>
          <w:szCs w:val="24"/>
        </w:rPr>
        <w:t>作</w:t>
      </w:r>
      <w:r>
        <w:rPr>
          <w:szCs w:val="24"/>
        </w:rPr>
        <w:t>等级为一级。</w:t>
      </w:r>
    </w:p>
    <w:p>
      <w:pPr>
        <w:pStyle w:val="190"/>
        <w:spacing w:beforeLines="0" w:afterLines="0"/>
      </w:pPr>
      <w:r>
        <w:rPr>
          <w:rFonts w:hint="eastAsia"/>
        </w:rPr>
        <w:t>2.4.</w:t>
      </w:r>
      <w:r>
        <w:t>1.</w:t>
      </w:r>
      <w:r>
        <w:rPr>
          <w:rFonts w:hint="eastAsia"/>
        </w:rPr>
        <w:t>5生态环境影响评价工作等级确定</w:t>
      </w:r>
    </w:p>
    <w:p>
      <w:pPr>
        <w:ind w:firstLine="480"/>
      </w:pPr>
      <w:r>
        <w:t>按照《环境影响评价技术导则</w:t>
      </w:r>
      <w:r>
        <w:rPr>
          <w:rFonts w:hint="eastAsia"/>
        </w:rPr>
        <w:t xml:space="preserve"> </w:t>
      </w:r>
      <w:r>
        <w:t>生态影响》（HJ19-20</w:t>
      </w:r>
      <w:r>
        <w:rPr>
          <w:rFonts w:hint="eastAsia"/>
        </w:rPr>
        <w:t>22</w:t>
      </w:r>
      <w:r>
        <w:t>），</w:t>
      </w:r>
      <w:r>
        <w:rPr>
          <w:rFonts w:hint="eastAsia"/>
        </w:rPr>
        <w:t>评价等级判定情况见下表。</w:t>
      </w:r>
    </w:p>
    <w:p>
      <w:pPr>
        <w:pStyle w:val="185"/>
        <w:spacing w:line="480" w:lineRule="exact"/>
        <w:rPr>
          <w:sz w:val="21"/>
          <w:szCs w:val="21"/>
        </w:rPr>
      </w:pPr>
      <w:r>
        <w:rPr>
          <w:rFonts w:hint="eastAsia"/>
          <w:sz w:val="21"/>
          <w:szCs w:val="21"/>
        </w:rPr>
        <w:t>表2.4-1生态影响评价工作等级划分表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2"/>
        <w:gridCol w:w="260"/>
        <w:gridCol w:w="4137"/>
        <w:gridCol w:w="310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rFonts w:hAnsi="宋体"/>
                <w:kern w:val="2"/>
                <w:sz w:val="21"/>
              </w:rPr>
              <w:t>标号</w:t>
            </w:r>
          </w:p>
        </w:tc>
        <w:tc>
          <w:tcPr>
            <w:tcW w:w="2292"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z w:val="21"/>
                <w:szCs w:val="21"/>
                <w:lang w:val="zh-TW"/>
              </w:rPr>
              <w:t>定级依据</w:t>
            </w:r>
          </w:p>
        </w:tc>
        <w:tc>
          <w:tcPr>
            <w:tcW w:w="1719"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rPr>
              <w:t>项目情况</w:t>
            </w:r>
          </w:p>
        </w:tc>
        <w:tc>
          <w:tcPr>
            <w:tcW w:w="551"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rPr>
              <w:t>判定等级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restart"/>
            <w:vAlign w:val="center"/>
          </w:tcPr>
          <w:p>
            <w:pPr>
              <w:pStyle w:val="18"/>
              <w:spacing w:after="0" w:line="240" w:lineRule="auto"/>
              <w:ind w:firstLine="0" w:firstLineChars="0"/>
              <w:jc w:val="center"/>
              <w:rPr>
                <w:kern w:val="2"/>
                <w:sz w:val="21"/>
              </w:rPr>
            </w:pPr>
            <w:r>
              <w:rPr>
                <w:kern w:val="2"/>
                <w:sz w:val="21"/>
              </w:rPr>
              <w:t>6.1.2</w:t>
            </w:r>
          </w:p>
        </w:tc>
        <w:tc>
          <w:tcPr>
            <w:tcW w:w="144" w:type="pct"/>
            <w:vAlign w:val="center"/>
          </w:tcPr>
          <w:p>
            <w:pPr>
              <w:pStyle w:val="18"/>
              <w:spacing w:after="0" w:line="240" w:lineRule="auto"/>
              <w:ind w:firstLine="0" w:firstLineChars="0"/>
              <w:jc w:val="center"/>
              <w:rPr>
                <w:kern w:val="2"/>
                <w:sz w:val="21"/>
              </w:rPr>
            </w:pPr>
            <w:r>
              <w:rPr>
                <w:kern w:val="2"/>
                <w:sz w:val="21"/>
              </w:rPr>
              <w:t>a)</w:t>
            </w:r>
          </w:p>
        </w:tc>
        <w:tc>
          <w:tcPr>
            <w:tcW w:w="2292"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eastAsia="zh-TW"/>
              </w:rPr>
              <w:t>涉及国家公园、自然保护区、世界自然遗产、重要生境时，评价等级为一级</w:t>
            </w:r>
          </w:p>
        </w:tc>
        <w:tc>
          <w:tcPr>
            <w:tcW w:w="1719" w:type="pct"/>
            <w:vAlign w:val="center"/>
          </w:tcPr>
          <w:p>
            <w:pPr>
              <w:pStyle w:val="18"/>
              <w:spacing w:after="0" w:line="240" w:lineRule="auto"/>
              <w:ind w:firstLine="0" w:firstLineChars="0"/>
              <w:rPr>
                <w:kern w:val="2"/>
                <w:sz w:val="21"/>
              </w:rPr>
            </w:pPr>
            <w:r>
              <w:rPr>
                <w:rStyle w:val="576"/>
                <w:rFonts w:ascii="Times New Roman" w:hAnsi="宋体" w:eastAsia="宋体" w:cs="Times New Roman"/>
                <w:spacing w:val="0"/>
                <w:kern w:val="2"/>
                <w:sz w:val="21"/>
                <w:szCs w:val="21"/>
                <w:lang w:val="zh-TW" w:eastAsia="zh-TW"/>
              </w:rPr>
              <w:t>本项目占地不涉及国家公园、自然保护区、世界自然遗产、重要生境</w:t>
            </w:r>
          </w:p>
        </w:tc>
        <w:tc>
          <w:tcPr>
            <w:tcW w:w="551" w:type="pct"/>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b)</w:t>
            </w:r>
          </w:p>
        </w:tc>
        <w:tc>
          <w:tcPr>
            <w:tcW w:w="2292"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eastAsia="zh-TW"/>
              </w:rPr>
              <w:t>涉及自然公园时，评价等级为二级</w:t>
            </w:r>
          </w:p>
        </w:tc>
        <w:tc>
          <w:tcPr>
            <w:tcW w:w="1719"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eastAsia="zh-TW"/>
              </w:rPr>
              <w:t>本项目占地不涉及自然公园</w:t>
            </w:r>
          </w:p>
        </w:tc>
        <w:tc>
          <w:tcPr>
            <w:tcW w:w="551" w:type="pct"/>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c)</w:t>
            </w:r>
          </w:p>
        </w:tc>
        <w:tc>
          <w:tcPr>
            <w:tcW w:w="2292"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eastAsia="zh-TW"/>
              </w:rPr>
              <w:t>涉及生态保护红线时，评价等级不低于二级</w:t>
            </w:r>
          </w:p>
        </w:tc>
        <w:tc>
          <w:tcPr>
            <w:tcW w:w="1719" w:type="pct"/>
            <w:vAlign w:val="center"/>
          </w:tcPr>
          <w:p>
            <w:pPr>
              <w:pStyle w:val="18"/>
              <w:spacing w:after="0" w:line="240" w:lineRule="auto"/>
              <w:ind w:firstLine="0" w:firstLineChars="0"/>
              <w:jc w:val="center"/>
              <w:rPr>
                <w:kern w:val="2"/>
                <w:sz w:val="21"/>
              </w:rPr>
            </w:pPr>
            <w:r>
              <w:rPr>
                <w:rStyle w:val="576"/>
                <w:rFonts w:ascii="Times New Roman" w:hAnsi="宋体" w:eastAsia="宋体" w:cs="Times New Roman"/>
                <w:spacing w:val="0"/>
                <w:kern w:val="2"/>
                <w:sz w:val="21"/>
                <w:szCs w:val="21"/>
                <w:lang w:val="zh-TW" w:eastAsia="zh-TW"/>
              </w:rPr>
              <w:t>本项目占地不涉及</w:t>
            </w:r>
            <w:r>
              <w:rPr>
                <w:rStyle w:val="576"/>
                <w:rFonts w:ascii="Times New Roman" w:hAnsi="宋体" w:eastAsia="宋体" w:cs="Times New Roman"/>
                <w:spacing w:val="0"/>
                <w:kern w:val="2"/>
                <w:sz w:val="21"/>
                <w:szCs w:val="21"/>
                <w:lang w:val="zh-TW"/>
              </w:rPr>
              <w:t>生态保护红线占用</w:t>
            </w:r>
          </w:p>
        </w:tc>
        <w:tc>
          <w:tcPr>
            <w:tcW w:w="551" w:type="pct"/>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d)</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根据</w:t>
            </w:r>
            <w:r>
              <w:rPr>
                <w:rStyle w:val="576"/>
                <w:rFonts w:ascii="Times New Roman" w:eastAsia="宋体" w:cs="Times New Roman"/>
                <w:spacing w:val="0"/>
                <w:kern w:val="2"/>
                <w:sz w:val="21"/>
                <w:szCs w:val="21"/>
                <w:lang w:val="zh-TW" w:eastAsia="zh-TW"/>
              </w:rPr>
              <w:t xml:space="preserve"> HJ 2.3 </w:t>
            </w:r>
            <w:r>
              <w:rPr>
                <w:rStyle w:val="576"/>
                <w:rFonts w:ascii="Times New Roman" w:hAnsi="宋体" w:eastAsia="宋体" w:cs="Times New Roman"/>
                <w:spacing w:val="0"/>
                <w:kern w:val="2"/>
                <w:sz w:val="21"/>
                <w:szCs w:val="21"/>
                <w:lang w:val="zh-TW" w:eastAsia="zh-TW"/>
              </w:rPr>
              <w:t>判断属于水文要素影响型且地表水评价等级不低于二级的建设项目，生态影响评价等级不低于二级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本项目不属于水文要素影响型，地表水评价等级为简单分析</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e)</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根据</w:t>
            </w:r>
            <w:r>
              <w:rPr>
                <w:rStyle w:val="576"/>
                <w:rFonts w:ascii="Times New Roman" w:eastAsia="宋体" w:cs="Times New Roman"/>
                <w:spacing w:val="0"/>
                <w:kern w:val="2"/>
                <w:sz w:val="21"/>
                <w:szCs w:val="21"/>
                <w:lang w:val="zh-TW" w:eastAsia="zh-TW"/>
              </w:rPr>
              <w:t xml:space="preserve"> HJ 610</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 xml:space="preserve">HJ 964 </w:t>
            </w:r>
            <w:r>
              <w:rPr>
                <w:rStyle w:val="576"/>
                <w:rFonts w:ascii="Times New Roman" w:hAnsi="宋体" w:eastAsia="宋体" w:cs="Times New Roman"/>
                <w:spacing w:val="0"/>
                <w:kern w:val="2"/>
                <w:sz w:val="21"/>
                <w:szCs w:val="21"/>
                <w:lang w:val="zh-TW" w:eastAsia="zh-TW"/>
              </w:rPr>
              <w:t>判断地下水水位或土壤影响范围内分布有天然林、公益林、湿地等生态保护目标的建设项目，生态影响评价等级不低于二级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本项目不涉及地下水开采，土壤影响范围内无</w:t>
            </w:r>
            <w:r>
              <w:rPr>
                <w:rStyle w:val="576"/>
                <w:rFonts w:ascii="Times New Roman" w:hAnsi="宋体" w:eastAsia="宋体" w:cs="Times New Roman"/>
                <w:spacing w:val="0"/>
                <w:kern w:val="2"/>
                <w:sz w:val="21"/>
                <w:szCs w:val="21"/>
                <w:lang w:val="zh-TW" w:eastAsia="zh-TW"/>
              </w:rPr>
              <w:t>天然林、公益林、湿地等生态保护目标</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f)</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当工程占地规模大于</w:t>
            </w:r>
            <w:r>
              <w:rPr>
                <w:rStyle w:val="576"/>
                <w:rFonts w:ascii="Times New Roman" w:eastAsia="宋体" w:cs="Times New Roman"/>
                <w:spacing w:val="0"/>
                <w:kern w:val="2"/>
                <w:sz w:val="21"/>
                <w:szCs w:val="21"/>
                <w:lang w:val="zh-TW" w:eastAsia="zh-TW"/>
              </w:rPr>
              <w:t xml:space="preserve"> 20 km</w:t>
            </w:r>
            <w:r>
              <w:rPr>
                <w:rStyle w:val="576"/>
                <w:rFonts w:ascii="Times New Roman" w:eastAsia="宋体" w:cs="Times New Roman"/>
                <w:spacing w:val="0"/>
                <w:kern w:val="2"/>
                <w:sz w:val="21"/>
                <w:szCs w:val="21"/>
                <w:vertAlign w:val="superscript"/>
                <w:lang w:val="zh-TW" w:eastAsia="zh-TW"/>
              </w:rPr>
              <w:t>2</w:t>
            </w:r>
            <w:r>
              <w:rPr>
                <w:rStyle w:val="576"/>
                <w:rFonts w:ascii="Times New Roman" w:eastAsia="宋体" w:cs="Times New Roman"/>
                <w:spacing w:val="0"/>
                <w:kern w:val="2"/>
                <w:sz w:val="21"/>
                <w:szCs w:val="21"/>
                <w:lang w:val="zh-TW" w:eastAsia="zh-TW"/>
              </w:rPr>
              <w:t xml:space="preserve"> </w:t>
            </w:r>
            <w:r>
              <w:rPr>
                <w:rStyle w:val="576"/>
                <w:rFonts w:ascii="Times New Roman" w:hAnsi="宋体" w:eastAsia="宋体" w:cs="Times New Roman"/>
                <w:spacing w:val="0"/>
                <w:kern w:val="2"/>
                <w:sz w:val="21"/>
                <w:szCs w:val="21"/>
                <w:lang w:val="zh-TW" w:eastAsia="zh-TW"/>
              </w:rPr>
              <w:t>时（包括永久和临时占用陆域和水域），评价等级不低于二级；改扩建项目的占地范围以新增占地（包括陆域和水域）确定</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本项目新增占地</w:t>
            </w:r>
            <w:r>
              <w:rPr>
                <w:rStyle w:val="576"/>
                <w:rFonts w:ascii="Times New Roman" w:eastAsia="宋体" w:cs="Times New Roman"/>
                <w:spacing w:val="0"/>
                <w:kern w:val="2"/>
                <w:sz w:val="21"/>
                <w:szCs w:val="21"/>
                <w:lang w:val="zh-TW"/>
              </w:rPr>
              <w:t>648.746</w:t>
            </w:r>
            <w:r>
              <w:rPr>
                <w:rStyle w:val="576"/>
                <w:rFonts w:ascii="Times New Roman" w:hAnsi="宋体" w:eastAsia="宋体" w:cs="Times New Roman"/>
                <w:spacing w:val="0"/>
                <w:kern w:val="2"/>
                <w:sz w:val="21"/>
                <w:szCs w:val="21"/>
                <w:lang w:val="zh-TW"/>
              </w:rPr>
              <w:t>亩（折合</w:t>
            </w:r>
            <w:r>
              <w:rPr>
                <w:rStyle w:val="576"/>
                <w:rFonts w:ascii="Times New Roman" w:eastAsia="宋体" w:cs="Times New Roman"/>
                <w:spacing w:val="0"/>
                <w:kern w:val="2"/>
                <w:sz w:val="21"/>
                <w:szCs w:val="21"/>
                <w:lang w:val="zh-TW"/>
              </w:rPr>
              <w:t>0.43km</w:t>
            </w:r>
            <w:r>
              <w:rPr>
                <w:rStyle w:val="576"/>
                <w:rFonts w:ascii="Times New Roman" w:eastAsia="宋体" w:cs="Times New Roman"/>
                <w:spacing w:val="0"/>
                <w:kern w:val="2"/>
                <w:sz w:val="21"/>
                <w:szCs w:val="21"/>
                <w:vertAlign w:val="superscript"/>
                <w:lang w:val="zh-TW"/>
              </w:rPr>
              <w:t>2</w:t>
            </w:r>
            <w:r>
              <w:rPr>
                <w:rStyle w:val="576"/>
                <w:rFonts w:ascii="Times New Roman" w:hAnsi="宋体" w:eastAsia="宋体" w:cs="Times New Roman"/>
                <w:spacing w:val="0"/>
                <w:kern w:val="2"/>
                <w:sz w:val="21"/>
                <w:szCs w:val="21"/>
                <w:lang w:val="zh-TW"/>
              </w:rPr>
              <w:t>），小于</w:t>
            </w:r>
            <w:r>
              <w:rPr>
                <w:rStyle w:val="576"/>
                <w:rFonts w:ascii="Times New Roman" w:eastAsia="宋体" w:cs="Times New Roman"/>
                <w:spacing w:val="0"/>
                <w:kern w:val="2"/>
                <w:sz w:val="21"/>
                <w:szCs w:val="21"/>
                <w:lang w:val="zh-TW"/>
              </w:rPr>
              <w:t>20km</w:t>
            </w:r>
            <w:r>
              <w:rPr>
                <w:rStyle w:val="576"/>
                <w:rFonts w:ascii="Times New Roman" w:eastAsia="宋体" w:cs="Times New Roman"/>
                <w:spacing w:val="0"/>
                <w:kern w:val="2"/>
                <w:sz w:val="21"/>
                <w:szCs w:val="21"/>
                <w:vertAlign w:val="superscript"/>
                <w:lang w:val="zh-TW"/>
              </w:rPr>
              <w:t>2</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g)</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eastAsia="zh-TW"/>
              </w:rPr>
              <w:t>除本条</w:t>
            </w:r>
            <w:r>
              <w:rPr>
                <w:rStyle w:val="576"/>
                <w:rFonts w:ascii="Times New Roman" w:eastAsia="宋体" w:cs="Times New Roman"/>
                <w:spacing w:val="0"/>
                <w:kern w:val="2"/>
                <w:sz w:val="21"/>
                <w:szCs w:val="21"/>
                <w:lang w:val="zh-TW" w:eastAsia="zh-TW"/>
              </w:rPr>
              <w:t xml:space="preserve"> a</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b</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c</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d</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e</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f</w:t>
            </w:r>
            <w:r>
              <w:rPr>
                <w:rStyle w:val="576"/>
                <w:rFonts w:ascii="Times New Roman" w:hAnsi="宋体" w:eastAsia="宋体" w:cs="Times New Roman"/>
                <w:spacing w:val="0"/>
                <w:kern w:val="2"/>
                <w:sz w:val="21"/>
                <w:szCs w:val="21"/>
                <w:lang w:val="zh-TW" w:eastAsia="zh-TW"/>
              </w:rPr>
              <w:t>）以外的情况，评价等级为三级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本项目属于</w:t>
            </w:r>
            <w:r>
              <w:rPr>
                <w:rStyle w:val="576"/>
                <w:rFonts w:ascii="Times New Roman" w:eastAsia="宋体" w:cs="Times New Roman"/>
                <w:spacing w:val="0"/>
                <w:kern w:val="2"/>
                <w:sz w:val="21"/>
                <w:szCs w:val="21"/>
                <w:lang w:val="zh-TW" w:eastAsia="zh-TW"/>
              </w:rPr>
              <w:t>a</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b</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c</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d</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e</w:t>
            </w:r>
            <w:r>
              <w:rPr>
                <w:rStyle w:val="576"/>
                <w:rFonts w:ascii="Times New Roman" w:hAnsi="宋体" w:eastAsia="宋体" w:cs="Times New Roman"/>
                <w:spacing w:val="0"/>
                <w:kern w:val="2"/>
                <w:sz w:val="21"/>
                <w:szCs w:val="21"/>
                <w:lang w:val="zh-TW" w:eastAsia="zh-TW"/>
              </w:rPr>
              <w:t>）、</w:t>
            </w:r>
            <w:r>
              <w:rPr>
                <w:rStyle w:val="576"/>
                <w:rFonts w:ascii="Times New Roman" w:eastAsia="宋体" w:cs="Times New Roman"/>
                <w:spacing w:val="0"/>
                <w:kern w:val="2"/>
                <w:sz w:val="21"/>
                <w:szCs w:val="21"/>
                <w:lang w:val="zh-TW" w:eastAsia="zh-TW"/>
              </w:rPr>
              <w:t>f</w:t>
            </w:r>
            <w:r>
              <w:rPr>
                <w:rStyle w:val="576"/>
                <w:rFonts w:ascii="Times New Roman" w:hAnsi="宋体" w:eastAsia="宋体" w:cs="Times New Roman"/>
                <w:spacing w:val="0"/>
                <w:kern w:val="2"/>
                <w:sz w:val="21"/>
                <w:szCs w:val="21"/>
                <w:lang w:val="zh-TW" w:eastAsia="zh-TW"/>
              </w:rPr>
              <w:t>）以外的情况</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95" w:type="pct"/>
            <w:vMerge w:val="continue"/>
            <w:vAlign w:val="center"/>
          </w:tcPr>
          <w:p>
            <w:pPr>
              <w:pStyle w:val="18"/>
              <w:spacing w:after="0" w:line="240" w:lineRule="auto"/>
              <w:ind w:firstLine="0" w:firstLineChars="0"/>
              <w:jc w:val="center"/>
              <w:rPr>
                <w:kern w:val="2"/>
                <w:sz w:val="21"/>
              </w:rPr>
            </w:pPr>
          </w:p>
        </w:tc>
        <w:tc>
          <w:tcPr>
            <w:tcW w:w="144" w:type="pct"/>
            <w:vAlign w:val="center"/>
          </w:tcPr>
          <w:p>
            <w:pPr>
              <w:pStyle w:val="18"/>
              <w:spacing w:after="0" w:line="240" w:lineRule="auto"/>
              <w:ind w:firstLine="0" w:firstLineChars="0"/>
              <w:jc w:val="center"/>
              <w:rPr>
                <w:kern w:val="2"/>
                <w:sz w:val="21"/>
              </w:rPr>
            </w:pPr>
            <w:r>
              <w:rPr>
                <w:kern w:val="2"/>
                <w:sz w:val="21"/>
              </w:rPr>
              <w:t>h)</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rPr>
              <w:t>当评价等级判定同时符合上述多种情况时，应采用其中最高的评价等级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不涉及</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6.1.3</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建设项目涉及经论证对保护生物多样性具有重要意义的区域时，可适当上调评价等级。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本项目不涉及</w:t>
            </w:r>
            <w:r>
              <w:rPr>
                <w:rStyle w:val="576"/>
                <w:rFonts w:ascii="Times New Roman" w:hAnsi="宋体" w:eastAsia="宋体" w:cs="Times New Roman"/>
                <w:spacing w:val="0"/>
                <w:kern w:val="2"/>
                <w:sz w:val="21"/>
                <w:szCs w:val="21"/>
                <w:lang w:val="zh-TW" w:eastAsia="zh-TW"/>
              </w:rPr>
              <w:t>保护生物多样性具有重要意义的区域</w:t>
            </w:r>
            <w:r>
              <w:rPr>
                <w:rStyle w:val="576"/>
                <w:rFonts w:ascii="Times New Roman" w:hAnsi="宋体" w:eastAsia="宋体" w:cs="Times New Roman"/>
                <w:spacing w:val="0"/>
                <w:kern w:val="2"/>
                <w:sz w:val="21"/>
                <w:szCs w:val="21"/>
                <w:lang w:val="zh-TW"/>
              </w:rPr>
              <w:t>占用</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6.1.4</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建设项目同时涉及陆生、水生生态影响时，可针对陆生生态、水生生态分别判定评价等级。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本项目涉及陆地占用，河道跨越，分贝判定等级，均为三级</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6.1.5</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在矿山开采可能导致矿区土地利用类型明显改变，或拦河闸坝建设可能明显改变水文情势等情况下，评价等级应上调一级。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本项目不涉及</w:t>
            </w:r>
            <w:r>
              <w:rPr>
                <w:rStyle w:val="576"/>
                <w:rFonts w:ascii="Times New Roman" w:hAnsi="宋体" w:eastAsia="宋体" w:cs="Times New Roman"/>
                <w:spacing w:val="0"/>
                <w:kern w:val="2"/>
                <w:sz w:val="21"/>
                <w:szCs w:val="21"/>
                <w:lang w:val="zh-TW" w:eastAsia="zh-TW"/>
              </w:rPr>
              <w:t>矿山开采可能导致矿区土地利用类型明显改变，或拦河闸坝建设可能明显改变水文情势等情况</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6.1.6</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线性工程可分段确定评价等级。线性工程地下穿越或地表跨越生态敏感区，在生态敏感区范围内无永久、临时占地时，评价等级可下调一级。</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本项目不涉及生态敏感区的穿越或地表跨越</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6.1.7</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涉海工程评价等级判定参照</w:t>
            </w:r>
            <w:r>
              <w:rPr>
                <w:rStyle w:val="576"/>
                <w:rFonts w:ascii="Times New Roman" w:eastAsia="宋体" w:cs="Times New Roman"/>
                <w:spacing w:val="0"/>
                <w:kern w:val="2"/>
                <w:sz w:val="21"/>
                <w:szCs w:val="21"/>
                <w:lang w:val="zh-TW" w:eastAsia="zh-TW"/>
              </w:rPr>
              <w:t xml:space="preserve"> GB/T 19485</w:t>
            </w:r>
            <w:r>
              <w:rPr>
                <w:rStyle w:val="576"/>
                <w:rFonts w:ascii="Times New Roman" w:hAnsi="宋体" w:eastAsia="宋体" w:cs="Times New Roman"/>
                <w:spacing w:val="0"/>
                <w:kern w:val="2"/>
                <w:sz w:val="21"/>
                <w:szCs w:val="21"/>
                <w:lang w:val="zh-TW" w:eastAsia="zh-TW"/>
              </w:rPr>
              <w:t>。</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不涉及</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8" w:type="pct"/>
            <w:gridSpan w:val="2"/>
            <w:vAlign w:val="center"/>
          </w:tcPr>
          <w:p>
            <w:pPr>
              <w:pStyle w:val="18"/>
              <w:spacing w:after="0" w:line="240" w:lineRule="auto"/>
              <w:ind w:firstLine="0" w:firstLineChars="0"/>
              <w:jc w:val="center"/>
              <w:rPr>
                <w:kern w:val="2"/>
                <w:sz w:val="21"/>
              </w:rPr>
            </w:pPr>
            <w:r>
              <w:rPr>
                <w:kern w:val="2"/>
                <w:sz w:val="21"/>
              </w:rPr>
              <w:t>6.1.8</w:t>
            </w:r>
          </w:p>
        </w:tc>
        <w:tc>
          <w:tcPr>
            <w:tcW w:w="2292"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tc>
        <w:tc>
          <w:tcPr>
            <w:tcW w:w="1719"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hAnsi="宋体" w:eastAsia="宋体" w:cs="Times New Roman"/>
                <w:spacing w:val="0"/>
                <w:kern w:val="2"/>
                <w:sz w:val="21"/>
                <w:szCs w:val="21"/>
                <w:lang w:val="zh-TW"/>
              </w:rPr>
              <w:t>不涉及</w:t>
            </w:r>
          </w:p>
        </w:tc>
        <w:tc>
          <w:tcPr>
            <w:tcW w:w="551" w:type="pct"/>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ascii="Times New Roman" w:eastAsia="宋体" w:cs="Times New Roman"/>
                <w:spacing w:val="0"/>
                <w:kern w:val="2"/>
                <w:sz w:val="21"/>
                <w:szCs w:val="21"/>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5"/>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eastAsia="zh-TW"/>
              </w:rPr>
            </w:pPr>
            <w:r>
              <w:rPr>
                <w:rStyle w:val="576"/>
                <w:rFonts w:ascii="Times New Roman" w:hAnsi="宋体" w:eastAsia="宋体" w:cs="Times New Roman"/>
                <w:spacing w:val="0"/>
                <w:kern w:val="2"/>
                <w:sz w:val="21"/>
                <w:szCs w:val="21"/>
                <w:lang w:val="zh-TW" w:eastAsia="zh-TW"/>
              </w:rPr>
              <w:t>生态敏感区</w:t>
            </w:r>
            <w:r>
              <w:rPr>
                <w:rStyle w:val="576"/>
                <w:rFonts w:ascii="Times New Roman" w:hAnsi="宋体" w:eastAsia="宋体" w:cs="Times New Roman"/>
                <w:spacing w:val="0"/>
                <w:kern w:val="2"/>
                <w:sz w:val="21"/>
                <w:szCs w:val="21"/>
                <w:lang w:val="zh-TW"/>
              </w:rPr>
              <w:t>：</w:t>
            </w:r>
            <w:r>
              <w:rPr>
                <w:rStyle w:val="576"/>
                <w:rFonts w:ascii="Times New Roman" w:hAnsi="宋体" w:eastAsia="宋体" w:cs="Times New Roman"/>
                <w:spacing w:val="0"/>
                <w:kern w:val="2"/>
                <w:sz w:val="21"/>
                <w:szCs w:val="21"/>
                <w:lang w:val="zh-TW" w:eastAsia="zh-TW"/>
              </w:rPr>
              <w:t>包括法定生态保护区域、重要生境以及其他具有重要生态功能、对保护生物多样性具有重要意义的区域。其中，法定生态保护区域包括：依据法律法规、政策等规范性文件划定或确认的国家公园、自然保护区、自然公园等自然保护地、世界自然遗产、生态保护红线等区域；重要生境包括：重要物种的天然集中分布区、栖息地，重要水生生物的产卵场、索饵场、越冬场和洄游通道，迁徙鸟类的重要繁殖地、停歇地、越冬地以及野生动物迁徙通道等</w:t>
            </w:r>
          </w:p>
        </w:tc>
      </w:tr>
    </w:tbl>
    <w:p>
      <w:pPr>
        <w:ind w:firstLine="422" w:firstLineChars="176"/>
        <w:rPr>
          <w:szCs w:val="24"/>
        </w:rPr>
      </w:pPr>
      <w:r>
        <w:rPr>
          <w:rFonts w:hint="eastAsia"/>
          <w:szCs w:val="24"/>
        </w:rPr>
        <w:t>由表2.4-1可知，本项目生态影响评价工作等级为三级。</w:t>
      </w:r>
    </w:p>
    <w:p>
      <w:pPr>
        <w:pStyle w:val="190"/>
        <w:spacing w:beforeLines="0" w:afterLines="0"/>
      </w:pPr>
      <w:r>
        <w:rPr>
          <w:rFonts w:hint="eastAsia"/>
        </w:rPr>
        <w:t>2.4.</w:t>
      </w:r>
      <w:r>
        <w:t>1.</w:t>
      </w:r>
      <w:r>
        <w:rPr>
          <w:rFonts w:hint="eastAsia"/>
        </w:rPr>
        <w:t>6环境风险评价等级确定</w:t>
      </w:r>
    </w:p>
    <w:p>
      <w:pPr>
        <w:ind w:firstLine="422" w:firstLineChars="176"/>
        <w:rPr>
          <w:szCs w:val="24"/>
        </w:rPr>
      </w:pPr>
      <w:r>
        <w:rPr>
          <w:rFonts w:hint="eastAsia"/>
          <w:szCs w:val="24"/>
        </w:rPr>
        <w:t>（1）危险性等级P的确定</w:t>
      </w:r>
    </w:p>
    <w:p>
      <w:pPr>
        <w:ind w:firstLine="480"/>
        <w:rPr>
          <w:szCs w:val="24"/>
        </w:rPr>
      </w:pPr>
      <w:r>
        <w:rPr>
          <w:szCs w:val="24"/>
        </w:rPr>
        <w:t>按照《建设项目环境风险评价技术导则》</w:t>
      </w:r>
      <w:r>
        <w:rPr>
          <w:rFonts w:hint="eastAsia"/>
          <w:szCs w:val="24"/>
        </w:rPr>
        <w:t>（</w:t>
      </w:r>
      <w:r>
        <w:rPr>
          <w:szCs w:val="24"/>
        </w:rPr>
        <w:t>HJ169-2018</w:t>
      </w:r>
      <w:r>
        <w:rPr>
          <w:rFonts w:hint="eastAsia"/>
          <w:szCs w:val="24"/>
        </w:rPr>
        <w:t>）</w:t>
      </w:r>
      <w:r>
        <w:rPr>
          <w:szCs w:val="24"/>
        </w:rPr>
        <w:t>要求，分析建设项目生产、使用、储存过程中涉及的有毒有害、易燃易爆物质，根据附录B确定危险物质的临界量。定量分析危险物质数量与临界量的比值（Q）和所属行业及生产工艺特点（M）</w:t>
      </w:r>
      <w:r>
        <w:rPr>
          <w:rFonts w:hint="eastAsia"/>
          <w:szCs w:val="24"/>
        </w:rPr>
        <w:t>，</w:t>
      </w:r>
      <w:r>
        <w:rPr>
          <w:szCs w:val="24"/>
        </w:rPr>
        <w:t>按照附录C对危险物质及工艺系统危险性（P）等级进行判断。</w:t>
      </w:r>
    </w:p>
    <w:p>
      <w:pPr>
        <w:ind w:firstLine="422" w:firstLineChars="176"/>
        <w:rPr>
          <w:szCs w:val="24"/>
        </w:rPr>
      </w:pPr>
      <w:r>
        <w:rPr>
          <w:rFonts w:hint="eastAsia"/>
          <w:szCs w:val="24"/>
        </w:rPr>
        <w:t>1）危险性物质数量与临界量比值Q的确定</w:t>
      </w:r>
    </w:p>
    <w:p>
      <w:pPr>
        <w:ind w:firstLine="480"/>
        <w:rPr>
          <w:szCs w:val="24"/>
        </w:rPr>
      </w:pPr>
      <w:r>
        <w:rPr>
          <w:rFonts w:hint="eastAsia"/>
          <w:szCs w:val="24"/>
        </w:rPr>
        <w:t>①</w:t>
      </w:r>
      <w:r>
        <w:rPr>
          <w:szCs w:val="24"/>
        </w:rPr>
        <w:t>Q值计算方法</w:t>
      </w:r>
    </w:p>
    <w:p>
      <w:pPr>
        <w:ind w:firstLine="480"/>
        <w:rPr>
          <w:szCs w:val="24"/>
        </w:rPr>
      </w:pPr>
      <w:r>
        <w:rPr>
          <w:szCs w:val="24"/>
        </w:rPr>
        <w:t>计算所涉及的每种危险物质在厂界内的最大存在总量与其在《建设项目环境风险评价技术导则》（HJ169-2018）附录B中对应临界量的比值Q。在不同厂区的每一种物质，按其在厂界内的最大存在量计算。</w:t>
      </w:r>
    </w:p>
    <w:p>
      <w:pPr>
        <w:ind w:firstLine="480"/>
        <w:rPr>
          <w:szCs w:val="24"/>
        </w:rPr>
      </w:pPr>
      <w:r>
        <w:rPr>
          <w:szCs w:val="24"/>
        </w:rPr>
        <w:t>当只涉及一种危险物质时，计算该物质的总量与其临界量比值，即为Q；</w:t>
      </w:r>
    </w:p>
    <w:p>
      <w:pPr>
        <w:ind w:firstLine="480"/>
        <w:rPr>
          <w:szCs w:val="24"/>
        </w:rPr>
      </w:pPr>
      <w:r>
        <w:rPr>
          <w:szCs w:val="24"/>
        </w:rPr>
        <w:t>当存在多种危险物质时，则按下式计算物质总量与其临界量比值（Q）：</w:t>
      </w:r>
    </w:p>
    <w:p>
      <w:pPr>
        <w:spacing w:line="480" w:lineRule="atLeast"/>
        <w:ind w:firstLine="0" w:firstLineChars="0"/>
        <w:jc w:val="center"/>
        <w:rPr>
          <w:szCs w:val="24"/>
          <w:highlight w:val="yellow"/>
        </w:rPr>
      </w:pPr>
      <w:r>
        <w:rPr>
          <w:szCs w:val="24"/>
        </w:rPr>
        <w:drawing>
          <wp:inline distT="0" distB="0" distL="0" distR="0">
            <wp:extent cx="2981960" cy="421640"/>
            <wp:effectExtent l="1905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2" cstate="print"/>
                    <a:srcRect/>
                    <a:stretch>
                      <a:fillRect/>
                    </a:stretch>
                  </pic:blipFill>
                  <pic:spPr>
                    <a:xfrm>
                      <a:off x="0" y="0"/>
                      <a:ext cx="2981960" cy="421640"/>
                    </a:xfrm>
                    <a:prstGeom prst="rect">
                      <a:avLst/>
                    </a:prstGeom>
                    <a:noFill/>
                    <a:ln w="9525">
                      <a:noFill/>
                      <a:miter lim="800000"/>
                      <a:headEnd/>
                      <a:tailEnd/>
                    </a:ln>
                  </pic:spPr>
                </pic:pic>
              </a:graphicData>
            </a:graphic>
          </wp:inline>
        </w:drawing>
      </w:r>
    </w:p>
    <w:p>
      <w:pPr>
        <w:ind w:firstLine="422" w:firstLineChars="176"/>
        <w:rPr>
          <w:szCs w:val="24"/>
        </w:rPr>
      </w:pPr>
      <w:r>
        <w:rPr>
          <w:szCs w:val="24"/>
        </w:rPr>
        <w:t>式中：</w:t>
      </w:r>
    </w:p>
    <w:p>
      <w:pPr>
        <w:ind w:firstLine="422" w:firstLineChars="176"/>
        <w:rPr>
          <w:szCs w:val="24"/>
        </w:rPr>
      </w:pPr>
      <m:oMath>
        <m:sSub>
          <m:sSubPr>
            <m:ctrlPr>
              <w:rPr>
                <w:rFonts w:ascii="Cambria Math" w:hAnsi="Cambria Math"/>
                <w:szCs w:val="24"/>
              </w:rPr>
            </m:ctrlPr>
          </m:sSubPr>
          <m:e>
            <m:r>
              <m:rPr>
                <m:sty m:val="p"/>
              </m:rPr>
              <w:rPr>
                <w:rFonts w:hint="eastAsia" w:ascii="Cambria Math" w:hAnsi="Cambria Math"/>
                <w:szCs w:val="24"/>
              </w:rPr>
              <m:t>q</m:t>
            </m:r>
            <m:ctrlPr>
              <w:rPr>
                <w:rFonts w:ascii="Cambria Math" w:hAnsi="Cambria Math"/>
                <w:szCs w:val="24"/>
              </w:rPr>
            </m:ctrlPr>
          </m:e>
          <m:sub>
            <m:r>
              <w:rPr>
                <w:rFonts w:ascii="Cambria Math" w:hAnsi="Cambria Math"/>
                <w:szCs w:val="24"/>
              </w:rPr>
              <m:t>1</m:t>
            </m:r>
            <m:ctrlPr>
              <w:rPr>
                <w:rFonts w:ascii="Cambria Math" w:hAnsi="Cambria Math"/>
                <w:szCs w:val="24"/>
              </w:rPr>
            </m:ctrlPr>
          </m:sub>
        </m:sSub>
      </m:oMath>
      <w:r>
        <w:rPr>
          <w:rFonts w:hint="eastAsia"/>
          <w:szCs w:val="24"/>
        </w:rPr>
        <w:t>，</w:t>
      </w:r>
      <m:oMath>
        <m:sSub>
          <m:sSubPr>
            <m:ctrlPr>
              <w:rPr>
                <w:rFonts w:ascii="Cambria Math" w:hAnsi="Cambria Math"/>
                <w:szCs w:val="24"/>
              </w:rPr>
            </m:ctrlPr>
          </m:sSubPr>
          <m:e>
            <m:r>
              <m:rPr>
                <m:sty m:val="p"/>
              </m:rPr>
              <w:rPr>
                <w:rFonts w:hint="eastAsia" w:ascii="Cambria Math" w:hAnsi="Cambria Math"/>
                <w:szCs w:val="24"/>
              </w:rPr>
              <m:t>q</m:t>
            </m:r>
            <m:ctrlPr>
              <w:rPr>
                <w:rFonts w:ascii="Cambria Math" w:hAnsi="Cambria Math"/>
                <w:szCs w:val="24"/>
              </w:rPr>
            </m:ctrlPr>
          </m:e>
          <m:sub>
            <m:r>
              <w:rPr>
                <w:rFonts w:ascii="Cambria Math" w:hAnsi="Cambria Math"/>
                <w:szCs w:val="24"/>
              </w:rPr>
              <m:t>2</m:t>
            </m:r>
            <m:ctrlPr>
              <w:rPr>
                <w:rFonts w:ascii="Cambria Math" w:hAnsi="Cambria Math"/>
                <w:szCs w:val="24"/>
              </w:rPr>
            </m:ctrlPr>
          </m:sub>
        </m:sSub>
        <m:r>
          <w:rPr>
            <w:rFonts w:ascii="Cambria Math" w:hAnsi="Cambria Math"/>
            <w:szCs w:val="24"/>
          </w:rPr>
          <m:t>…</m:t>
        </m:r>
        <m:sSub>
          <m:sSubPr>
            <m:ctrlPr>
              <w:rPr>
                <w:rFonts w:ascii="Cambria Math" w:hAnsi="Cambria Math"/>
                <w:szCs w:val="24"/>
              </w:rPr>
            </m:ctrlPr>
          </m:sSubPr>
          <m:e>
            <m:r>
              <m:rPr>
                <m:sty m:val="p"/>
              </m:rPr>
              <w:rPr>
                <w:rFonts w:hint="eastAsia" w:ascii="Cambria Math" w:hAnsi="Cambria Math"/>
                <w:szCs w:val="24"/>
              </w:rPr>
              <m:t>q</m:t>
            </m:r>
            <m:ctrlPr>
              <w:rPr>
                <w:rFonts w:ascii="Cambria Math" w:hAnsi="Cambria Math"/>
                <w:szCs w:val="24"/>
              </w:rPr>
            </m:ctrlPr>
          </m:e>
          <m:sub>
            <m:r>
              <w:rPr>
                <w:rFonts w:ascii="Cambria Math" w:hAnsi="Cambria Math"/>
                <w:szCs w:val="24"/>
              </w:rPr>
              <m:t>n</m:t>
            </m:r>
            <m:ctrlPr>
              <w:rPr>
                <w:rFonts w:ascii="Cambria Math" w:hAnsi="Cambria Math"/>
                <w:szCs w:val="24"/>
              </w:rPr>
            </m:ctrlPr>
          </m:sub>
        </m:sSub>
      </m:oMath>
      <w:r>
        <w:rPr>
          <w:szCs w:val="24"/>
        </w:rPr>
        <w:t>——每种危险物质的最大存在总量，t；</w:t>
      </w:r>
    </w:p>
    <w:p>
      <w:pPr>
        <w:ind w:firstLine="422" w:firstLineChars="176"/>
        <w:rPr>
          <w:szCs w:val="24"/>
        </w:rPr>
      </w:pPr>
      <m:oMath>
        <m:sSub>
          <m:sSubPr>
            <m:ctrlPr>
              <w:rPr>
                <w:rFonts w:ascii="Cambria Math" w:hAnsi="Cambria Math"/>
                <w:szCs w:val="24"/>
              </w:rPr>
            </m:ctrlPr>
          </m:sSubPr>
          <m:e>
            <m:r>
              <w:rPr>
                <w:rFonts w:ascii="Cambria Math" w:hAnsi="Cambria Math"/>
                <w:szCs w:val="24"/>
              </w:rPr>
              <m:t>Q</m:t>
            </m:r>
            <m:ctrlPr>
              <w:rPr>
                <w:rFonts w:ascii="Cambria Math" w:hAnsi="Cambria Math"/>
                <w:szCs w:val="24"/>
              </w:rPr>
            </m:ctrlPr>
          </m:e>
          <m:sub>
            <m:r>
              <w:rPr>
                <w:rFonts w:ascii="Cambria Math" w:hAnsi="Cambria Math"/>
                <w:szCs w:val="24"/>
              </w:rPr>
              <m:t>1</m:t>
            </m:r>
            <m:ctrlPr>
              <w:rPr>
                <w:rFonts w:ascii="Cambria Math" w:hAnsi="Cambria Math"/>
                <w:szCs w:val="24"/>
              </w:rPr>
            </m:ctrlPr>
          </m:sub>
        </m:sSub>
      </m:oMath>
      <w:r>
        <w:rPr>
          <w:rFonts w:hint="eastAsia"/>
          <w:szCs w:val="24"/>
        </w:rPr>
        <w:t>，</w:t>
      </w:r>
      <m:oMath>
        <m:sSub>
          <m:sSubPr>
            <m:ctrlPr>
              <w:rPr>
                <w:rFonts w:ascii="Cambria Math" w:hAnsi="Cambria Math"/>
                <w:szCs w:val="24"/>
              </w:rPr>
            </m:ctrlPr>
          </m:sSubPr>
          <m:e>
            <m:r>
              <w:rPr>
                <w:rFonts w:ascii="Cambria Math" w:hAnsi="Cambria Math"/>
                <w:szCs w:val="24"/>
              </w:rPr>
              <m:t>Q</m:t>
            </m:r>
            <m:ctrlPr>
              <w:rPr>
                <w:rFonts w:ascii="Cambria Math" w:hAnsi="Cambria Math"/>
                <w:szCs w:val="24"/>
              </w:rPr>
            </m:ctrlPr>
          </m:e>
          <m:sub>
            <m:r>
              <w:rPr>
                <w:rFonts w:ascii="Cambria Math" w:hAnsi="Cambria Math"/>
                <w:szCs w:val="24"/>
              </w:rPr>
              <m:t>2</m:t>
            </m:r>
            <m:ctrlPr>
              <w:rPr>
                <w:rFonts w:ascii="Cambria Math" w:hAnsi="Cambria Math"/>
                <w:szCs w:val="24"/>
              </w:rPr>
            </m:ctrlPr>
          </m:sub>
        </m:sSub>
        <m:r>
          <w:rPr>
            <w:rFonts w:ascii="Cambria Math" w:hAnsi="Cambria Math"/>
            <w:szCs w:val="24"/>
          </w:rPr>
          <m:t>…</m:t>
        </m:r>
        <m:sSub>
          <m:sSubPr>
            <m:ctrlPr>
              <w:rPr>
                <w:rFonts w:ascii="Cambria Math" w:hAnsi="Cambria Math"/>
                <w:szCs w:val="24"/>
              </w:rPr>
            </m:ctrlPr>
          </m:sSubPr>
          <m:e>
            <m:r>
              <w:rPr>
                <w:rFonts w:ascii="Cambria Math" w:hAnsi="Cambria Math"/>
                <w:szCs w:val="24"/>
              </w:rPr>
              <m:t>Q</m:t>
            </m:r>
            <m:ctrlPr>
              <w:rPr>
                <w:rFonts w:ascii="Cambria Math" w:hAnsi="Cambria Math"/>
                <w:szCs w:val="24"/>
              </w:rPr>
            </m:ctrlPr>
          </m:e>
          <m:sub>
            <m:r>
              <w:rPr>
                <w:rFonts w:ascii="Cambria Math" w:hAnsi="Cambria Math"/>
                <w:szCs w:val="24"/>
              </w:rPr>
              <m:t>n</m:t>
            </m:r>
            <m:ctrlPr>
              <w:rPr>
                <w:rFonts w:ascii="Cambria Math" w:hAnsi="Cambria Math"/>
                <w:szCs w:val="24"/>
              </w:rPr>
            </m:ctrlPr>
          </m:sub>
        </m:sSub>
      </m:oMath>
      <w:r>
        <w:rPr>
          <w:szCs w:val="24"/>
        </w:rPr>
        <w:t>——每种危险物质的的临界量，t。</w:t>
      </w:r>
    </w:p>
    <w:p>
      <w:pPr>
        <w:ind w:firstLine="422" w:firstLineChars="176"/>
        <w:rPr>
          <w:szCs w:val="24"/>
        </w:rPr>
      </w:pPr>
      <w:r>
        <w:rPr>
          <w:szCs w:val="24"/>
        </w:rPr>
        <w:t>当Q＜1时，该项目环境风险潜势为</w:t>
      </w:r>
      <w:r>
        <w:rPr>
          <w:rFonts w:hint="eastAsia"/>
          <w:szCs w:val="24"/>
        </w:rPr>
        <w:t>Ⅰ</w:t>
      </w:r>
      <w:r>
        <w:rPr>
          <w:szCs w:val="24"/>
        </w:rPr>
        <w:t>。</w:t>
      </w:r>
    </w:p>
    <w:p>
      <w:pPr>
        <w:ind w:firstLine="480"/>
        <w:rPr>
          <w:szCs w:val="24"/>
        </w:rPr>
      </w:pPr>
      <w:r>
        <w:rPr>
          <w:szCs w:val="24"/>
        </w:rPr>
        <w:t>当Q≥1时，将Q值划分为：（1）1≤Q＜10；（2）10≤Q＜100；（3）Q≥100。</w:t>
      </w:r>
    </w:p>
    <w:p>
      <w:pPr>
        <w:ind w:firstLine="480"/>
        <w:rPr>
          <w:szCs w:val="24"/>
        </w:rPr>
      </w:pPr>
      <w:r>
        <w:rPr>
          <w:rFonts w:hint="eastAsia"/>
          <w:szCs w:val="24"/>
        </w:rPr>
        <w:t>本项目属于公路项目，未涉及危险物质的储存，根据上式计算可知，其Q值为0＜1，</w:t>
      </w:r>
      <w:r>
        <w:rPr>
          <w:szCs w:val="24"/>
        </w:rPr>
        <w:t>该项目环境风险潜势为</w:t>
      </w:r>
      <w:r>
        <w:rPr>
          <w:rFonts w:hint="eastAsia"/>
          <w:szCs w:val="24"/>
        </w:rPr>
        <w:t>Ⅰ。</w:t>
      </w:r>
    </w:p>
    <w:p>
      <w:pPr>
        <w:pStyle w:val="185"/>
        <w:spacing w:line="480" w:lineRule="exact"/>
        <w:rPr>
          <w:sz w:val="21"/>
          <w:szCs w:val="21"/>
        </w:rPr>
      </w:pPr>
      <w:r>
        <w:rPr>
          <w:rFonts w:hint="eastAsia"/>
          <w:sz w:val="21"/>
          <w:szCs w:val="21"/>
        </w:rPr>
        <w:t>表2.4-2 建设项目评价工作等级划分</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2"/>
        <w:gridCol w:w="2127"/>
        <w:gridCol w:w="1842"/>
        <w:gridCol w:w="1839"/>
        <w:gridCol w:w="1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3" w:type="pct"/>
            <w:vAlign w:val="center"/>
          </w:tcPr>
          <w:p>
            <w:pPr>
              <w:pStyle w:val="18"/>
              <w:spacing w:after="0" w:line="240" w:lineRule="auto"/>
              <w:ind w:firstLine="0" w:firstLineChars="0"/>
              <w:jc w:val="center"/>
              <w:rPr>
                <w:rStyle w:val="575"/>
                <w:rFonts w:ascii="Times New Roman" w:eastAsia="宋体" w:cs="Times New Roman"/>
                <w:b w:val="0"/>
                <w:kern w:val="2"/>
                <w:sz w:val="21"/>
                <w:szCs w:val="21"/>
                <w:lang w:eastAsia="zh-CN"/>
              </w:rPr>
            </w:pPr>
            <w:r>
              <w:rPr>
                <w:kern w:val="2"/>
                <w:sz w:val="21"/>
              </w:rPr>
              <w:t>环境风险潜势</w:t>
            </w:r>
          </w:p>
        </w:tc>
        <w:tc>
          <w:tcPr>
            <w:tcW w:w="1152" w:type="pct"/>
            <w:vAlign w:val="center"/>
          </w:tcPr>
          <w:p>
            <w:pPr>
              <w:widowControl/>
              <w:spacing w:line="240" w:lineRule="auto"/>
              <w:ind w:firstLine="0" w:firstLineChars="0"/>
              <w:jc w:val="center"/>
              <w:rPr>
                <w:kern w:val="0"/>
                <w:sz w:val="21"/>
              </w:rPr>
            </w:pPr>
            <w:r>
              <w:rPr>
                <w:rFonts w:hAnsi="宋体"/>
                <w:kern w:val="0"/>
                <w:sz w:val="21"/>
              </w:rPr>
              <w:t>Ⅳ、Ⅳ</w:t>
            </w:r>
            <w:r>
              <w:rPr>
                <w:kern w:val="0"/>
                <w:sz w:val="21"/>
                <w:vertAlign w:val="superscript"/>
              </w:rPr>
              <w:t>+</w:t>
            </w:r>
          </w:p>
        </w:tc>
        <w:tc>
          <w:tcPr>
            <w:tcW w:w="998" w:type="pct"/>
            <w:vAlign w:val="center"/>
          </w:tcPr>
          <w:p>
            <w:pPr>
              <w:widowControl/>
              <w:spacing w:line="240" w:lineRule="auto"/>
              <w:ind w:firstLine="0" w:firstLineChars="0"/>
              <w:jc w:val="center"/>
              <w:rPr>
                <w:kern w:val="0"/>
                <w:sz w:val="21"/>
              </w:rPr>
            </w:pPr>
            <w:r>
              <w:rPr>
                <w:rFonts w:hAnsi="宋体"/>
                <w:kern w:val="0"/>
                <w:sz w:val="21"/>
              </w:rPr>
              <w:t>Ⅲ</w:t>
            </w:r>
          </w:p>
        </w:tc>
        <w:tc>
          <w:tcPr>
            <w:tcW w:w="996" w:type="pct"/>
            <w:vAlign w:val="center"/>
          </w:tcPr>
          <w:p>
            <w:pPr>
              <w:widowControl/>
              <w:spacing w:line="240" w:lineRule="auto"/>
              <w:ind w:firstLine="0" w:firstLineChars="0"/>
              <w:jc w:val="center"/>
              <w:rPr>
                <w:kern w:val="0"/>
                <w:sz w:val="21"/>
              </w:rPr>
            </w:pPr>
            <w:r>
              <w:rPr>
                <w:rFonts w:hAnsi="宋体"/>
                <w:kern w:val="0"/>
                <w:sz w:val="21"/>
              </w:rPr>
              <w:t>Ⅱ</w:t>
            </w:r>
          </w:p>
        </w:tc>
        <w:tc>
          <w:tcPr>
            <w:tcW w:w="918" w:type="pct"/>
            <w:vAlign w:val="center"/>
          </w:tcPr>
          <w:p>
            <w:pPr>
              <w:widowControl/>
              <w:spacing w:line="240" w:lineRule="auto"/>
              <w:ind w:firstLine="0" w:firstLineChars="0"/>
              <w:jc w:val="center"/>
              <w:rPr>
                <w:kern w:val="0"/>
                <w:sz w:val="21"/>
              </w:rPr>
            </w:pPr>
            <w:r>
              <w:rPr>
                <w:rFonts w:hAnsi="宋体"/>
                <w:kern w:val="0"/>
                <w:sz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3" w:type="pct"/>
            <w:vAlign w:val="center"/>
          </w:tcPr>
          <w:p>
            <w:pPr>
              <w:widowControl/>
              <w:spacing w:line="240" w:lineRule="auto"/>
              <w:ind w:firstLine="0" w:firstLineChars="0"/>
              <w:jc w:val="center"/>
              <w:rPr>
                <w:kern w:val="0"/>
                <w:sz w:val="21"/>
              </w:rPr>
            </w:pPr>
            <w:r>
              <w:rPr>
                <w:kern w:val="0"/>
                <w:sz w:val="21"/>
              </w:rPr>
              <w:t>评价工作等级</w:t>
            </w:r>
          </w:p>
        </w:tc>
        <w:tc>
          <w:tcPr>
            <w:tcW w:w="1152" w:type="pct"/>
            <w:vAlign w:val="center"/>
          </w:tcPr>
          <w:p>
            <w:pPr>
              <w:widowControl/>
              <w:spacing w:line="240" w:lineRule="auto"/>
              <w:ind w:firstLine="0" w:firstLineChars="0"/>
              <w:jc w:val="center"/>
              <w:rPr>
                <w:kern w:val="0"/>
                <w:sz w:val="21"/>
              </w:rPr>
            </w:pPr>
            <w:r>
              <w:rPr>
                <w:rFonts w:hAnsi="宋体"/>
                <w:kern w:val="0"/>
                <w:sz w:val="21"/>
              </w:rPr>
              <w:t>一</w:t>
            </w:r>
          </w:p>
        </w:tc>
        <w:tc>
          <w:tcPr>
            <w:tcW w:w="998" w:type="pct"/>
            <w:vAlign w:val="center"/>
          </w:tcPr>
          <w:p>
            <w:pPr>
              <w:widowControl/>
              <w:spacing w:line="240" w:lineRule="auto"/>
              <w:ind w:firstLine="0" w:firstLineChars="0"/>
              <w:jc w:val="center"/>
              <w:rPr>
                <w:kern w:val="0"/>
                <w:sz w:val="21"/>
              </w:rPr>
            </w:pPr>
            <w:r>
              <w:rPr>
                <w:kern w:val="0"/>
                <w:sz w:val="21"/>
              </w:rPr>
              <w:t>二</w:t>
            </w:r>
          </w:p>
        </w:tc>
        <w:tc>
          <w:tcPr>
            <w:tcW w:w="996" w:type="pct"/>
            <w:vAlign w:val="center"/>
          </w:tcPr>
          <w:p>
            <w:pPr>
              <w:widowControl/>
              <w:spacing w:line="240" w:lineRule="auto"/>
              <w:ind w:firstLine="0" w:firstLineChars="0"/>
              <w:jc w:val="center"/>
              <w:rPr>
                <w:kern w:val="0"/>
                <w:sz w:val="21"/>
              </w:rPr>
            </w:pPr>
            <w:r>
              <w:rPr>
                <w:kern w:val="0"/>
                <w:sz w:val="21"/>
              </w:rPr>
              <w:t>三</w:t>
            </w:r>
          </w:p>
        </w:tc>
        <w:tc>
          <w:tcPr>
            <w:tcW w:w="918" w:type="pct"/>
            <w:vAlign w:val="center"/>
          </w:tcPr>
          <w:p>
            <w:pPr>
              <w:widowControl/>
              <w:spacing w:line="240" w:lineRule="auto"/>
              <w:ind w:firstLine="0" w:firstLineChars="0"/>
              <w:jc w:val="center"/>
              <w:rPr>
                <w:kern w:val="0"/>
                <w:sz w:val="21"/>
              </w:rPr>
            </w:pPr>
            <w:r>
              <w:rPr>
                <w:kern w:val="0"/>
                <w:sz w:val="21"/>
              </w:rPr>
              <w:t>简单分析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vAlign w:val="center"/>
          </w:tcPr>
          <w:p>
            <w:pPr>
              <w:widowControl/>
              <w:spacing w:line="240" w:lineRule="auto"/>
              <w:ind w:firstLine="0" w:firstLineChars="0"/>
              <w:jc w:val="left"/>
              <w:rPr>
                <w:kern w:val="0"/>
                <w:sz w:val="21"/>
              </w:rPr>
            </w:pPr>
            <w:r>
              <w:rPr>
                <w:kern w:val="0"/>
                <w:sz w:val="21"/>
              </w:rPr>
              <w:t>注：“简单分析”是相对于详细工作内容而言，在描述危险物质、环境影响途径、环境危害后果、风险防范措施等方面给出定性的说明。见附录A。</w:t>
            </w:r>
          </w:p>
        </w:tc>
      </w:tr>
    </w:tbl>
    <w:p>
      <w:pPr>
        <w:ind w:firstLine="480"/>
        <w:rPr>
          <w:szCs w:val="24"/>
        </w:rPr>
      </w:pPr>
      <w:r>
        <w:rPr>
          <w:rFonts w:hint="eastAsia"/>
          <w:szCs w:val="24"/>
        </w:rPr>
        <w:t>根据表2.4-2可知，本项目风险评价为简单分析。</w:t>
      </w:r>
    </w:p>
    <w:p>
      <w:pPr>
        <w:pStyle w:val="190"/>
        <w:spacing w:beforeLines="0" w:afterLines="0"/>
      </w:pPr>
      <w:r>
        <w:rPr>
          <w:rFonts w:hint="eastAsia"/>
        </w:rPr>
        <w:t>2.4.</w:t>
      </w:r>
      <w:r>
        <w:t>1.</w:t>
      </w:r>
      <w:r>
        <w:rPr>
          <w:rFonts w:hint="eastAsia"/>
        </w:rPr>
        <w:t>7土壤环境影响评价工作等级确定</w:t>
      </w:r>
    </w:p>
    <w:p>
      <w:pPr>
        <w:ind w:firstLine="480"/>
        <w:rPr>
          <w:szCs w:val="24"/>
        </w:rPr>
      </w:pPr>
      <w:r>
        <w:rPr>
          <w:szCs w:val="24"/>
        </w:rPr>
        <w:t>根据新发布的《环境影响评价技术导则土壤环境</w:t>
      </w:r>
      <w:r>
        <w:rPr>
          <w:rFonts w:hint="eastAsia"/>
          <w:szCs w:val="24"/>
        </w:rPr>
        <w:t>（试行）</w:t>
      </w:r>
      <w:r>
        <w:rPr>
          <w:szCs w:val="24"/>
        </w:rPr>
        <w:t>》（</w:t>
      </w:r>
      <w:r>
        <w:t>HJ964-2018</w:t>
      </w:r>
      <w:r>
        <w:rPr>
          <w:szCs w:val="24"/>
        </w:rPr>
        <w:t>）规定</w:t>
      </w:r>
      <w:r>
        <w:rPr>
          <w:rFonts w:cs="宋体"/>
          <w:spacing w:val="-3"/>
        </w:rPr>
        <w:t>线性工程重点针对主要站场位置（如输油站、泵站、阀室、加油站、维修场所等）参</w:t>
      </w:r>
      <w:r>
        <w:rPr>
          <w:rFonts w:cs="宋体"/>
        </w:rPr>
        <w:t>照</w:t>
      </w:r>
      <w:r>
        <w:rPr>
          <w:rFonts w:eastAsia="Times New Roman"/>
        </w:rPr>
        <w:t>6.2.2</w:t>
      </w:r>
      <w:r>
        <w:rPr>
          <w:rFonts w:cs="宋体"/>
        </w:rPr>
        <w:t>分段判定评价等级，并按相应等级分别开展评价工作</w:t>
      </w:r>
      <w:r>
        <w:rPr>
          <w:szCs w:val="24"/>
        </w:rPr>
        <w:t>。</w:t>
      </w:r>
    </w:p>
    <w:p>
      <w:pPr>
        <w:ind w:firstLine="480"/>
        <w:rPr>
          <w:szCs w:val="24"/>
        </w:rPr>
      </w:pPr>
      <w:r>
        <w:rPr>
          <w:rFonts w:cs="宋体"/>
        </w:rPr>
        <w:t>本项目</w:t>
      </w:r>
      <w:r>
        <w:rPr>
          <w:rFonts w:cs="宋体"/>
          <w:spacing w:val="-3"/>
        </w:rPr>
        <w:t>不设置加油站、维修场所</w:t>
      </w:r>
      <w:r>
        <w:rPr>
          <w:rFonts w:cs="宋体"/>
          <w:spacing w:val="-4"/>
        </w:rPr>
        <w:t>等。对照《环境影响评价技术导则</w:t>
      </w:r>
      <w:r>
        <w:rPr>
          <w:rFonts w:cs="宋体"/>
          <w:spacing w:val="-4"/>
        </w:rPr>
        <w:tab/>
      </w:r>
      <w:r>
        <w:rPr>
          <w:rFonts w:cs="宋体"/>
          <w:spacing w:val="-7"/>
        </w:rPr>
        <w:t>土壤环境（试行）》（</w:t>
      </w:r>
      <w:r>
        <w:rPr>
          <w:rFonts w:eastAsia="Times New Roman"/>
          <w:spacing w:val="-7"/>
        </w:rPr>
        <w:t>HJ964-2018</w:t>
      </w:r>
      <w:r>
        <w:rPr>
          <w:rFonts w:cs="宋体"/>
          <w:spacing w:val="-7"/>
        </w:rPr>
        <w:t>）附录</w:t>
      </w:r>
      <w:r>
        <w:rPr>
          <w:rFonts w:eastAsia="Times New Roman"/>
        </w:rPr>
        <w:t>A</w:t>
      </w:r>
      <w:r>
        <w:rPr>
          <w:rFonts w:cs="宋体"/>
        </w:rPr>
        <w:t>，本项目属于</w:t>
      </w:r>
      <w:r>
        <w:rPr>
          <w:rFonts w:hint="eastAsia" w:cs="宋体"/>
        </w:rPr>
        <w:t>“</w:t>
      </w:r>
      <w:r>
        <w:rPr>
          <w:rFonts w:cs="宋体"/>
        </w:rPr>
        <w:t>其他</w:t>
      </w:r>
      <w:r>
        <w:rPr>
          <w:rFonts w:hint="eastAsia" w:cs="宋体"/>
        </w:rPr>
        <w:t>”</w:t>
      </w:r>
      <w:r>
        <w:rPr>
          <w:rFonts w:cs="宋体"/>
        </w:rPr>
        <w:t>Ⅳ类建设项目，不开展土壤环境影响评价</w:t>
      </w:r>
      <w:r>
        <w:rPr>
          <w:rFonts w:hint="eastAsia" w:cs="宋体"/>
        </w:rPr>
        <w:t>。</w:t>
      </w:r>
    </w:p>
    <w:p>
      <w:pPr>
        <w:pStyle w:val="6"/>
        <w:spacing w:before="120" w:after="120"/>
        <w:rPr>
          <w:bCs w:val="0"/>
          <w:szCs w:val="28"/>
        </w:rPr>
      </w:pPr>
      <w:r>
        <w:rPr>
          <w:rFonts w:hint="eastAsia"/>
          <w:bCs w:val="0"/>
          <w:szCs w:val="28"/>
        </w:rPr>
        <w:t>2</w:t>
      </w:r>
      <w:r>
        <w:rPr>
          <w:bCs w:val="0"/>
          <w:szCs w:val="28"/>
        </w:rPr>
        <w:t>.</w:t>
      </w:r>
      <w:r>
        <w:rPr>
          <w:rFonts w:hint="eastAsia"/>
          <w:bCs w:val="0"/>
          <w:szCs w:val="28"/>
        </w:rPr>
        <w:t>4</w:t>
      </w:r>
      <w:r>
        <w:rPr>
          <w:bCs w:val="0"/>
          <w:szCs w:val="28"/>
        </w:rPr>
        <w:t>.</w:t>
      </w:r>
      <w:r>
        <w:rPr>
          <w:rFonts w:hint="eastAsia"/>
          <w:bCs w:val="0"/>
          <w:szCs w:val="28"/>
        </w:rPr>
        <w:t>2评价范围</w:t>
      </w:r>
    </w:p>
    <w:p>
      <w:pPr>
        <w:ind w:firstLine="480"/>
        <w:jc w:val="left"/>
        <w:rPr>
          <w:szCs w:val="24"/>
        </w:rPr>
      </w:pPr>
      <w:r>
        <w:rPr>
          <w:rFonts w:hint="eastAsia"/>
          <w:szCs w:val="24"/>
        </w:rPr>
        <w:t>根据本项目各环境要素确定的评价等级，结合区域环境特征，按</w:t>
      </w:r>
      <w:r>
        <w:rPr>
          <w:rFonts w:hint="eastAsia"/>
          <w:bCs/>
          <w:szCs w:val="24"/>
        </w:rPr>
        <w:t>“</w:t>
      </w:r>
      <w:r>
        <w:rPr>
          <w:rFonts w:hint="eastAsia"/>
          <w:szCs w:val="24"/>
        </w:rPr>
        <w:t>导则</w:t>
      </w:r>
      <w:r>
        <w:rPr>
          <w:rFonts w:hint="eastAsia"/>
          <w:bCs/>
          <w:szCs w:val="24"/>
        </w:rPr>
        <w:t>”</w:t>
      </w:r>
      <w:r>
        <w:rPr>
          <w:rFonts w:hint="eastAsia"/>
          <w:szCs w:val="24"/>
        </w:rPr>
        <w:t>中评价范围确定的相关规定，并综合本项目污染源排放特征，确定本评价各环境要素评价范围见表</w:t>
      </w:r>
      <w:r>
        <w:rPr>
          <w:rFonts w:hint="eastAsia"/>
          <w:bCs/>
          <w:szCs w:val="24"/>
        </w:rPr>
        <w:t>2.4</w:t>
      </w:r>
      <w:r>
        <w:rPr>
          <w:bCs/>
          <w:szCs w:val="24"/>
        </w:rPr>
        <w:t>-</w:t>
      </w:r>
      <w:r>
        <w:rPr>
          <w:rFonts w:hint="eastAsia"/>
          <w:bCs/>
          <w:szCs w:val="24"/>
        </w:rPr>
        <w:t>3</w:t>
      </w:r>
      <w:r>
        <w:rPr>
          <w:rFonts w:hint="eastAsia"/>
          <w:szCs w:val="24"/>
        </w:rPr>
        <w:t>。</w:t>
      </w:r>
    </w:p>
    <w:p>
      <w:pPr>
        <w:pStyle w:val="185"/>
        <w:spacing w:line="480" w:lineRule="exact"/>
        <w:rPr>
          <w:sz w:val="21"/>
          <w:szCs w:val="21"/>
        </w:rPr>
      </w:pPr>
      <w:r>
        <w:rPr>
          <w:rFonts w:hint="eastAsia"/>
          <w:sz w:val="21"/>
          <w:szCs w:val="21"/>
        </w:rPr>
        <w:t>表2.4</w:t>
      </w:r>
      <w:r>
        <w:rPr>
          <w:sz w:val="21"/>
          <w:szCs w:val="21"/>
        </w:rPr>
        <w:t>-</w:t>
      </w:r>
      <w:r>
        <w:rPr>
          <w:rFonts w:hint="eastAsia"/>
          <w:sz w:val="21"/>
          <w:szCs w:val="21"/>
        </w:rPr>
        <w:t>3 各环境要素评价范围一览表</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14"/>
        <w:gridCol w:w="901"/>
        <w:gridCol w:w="5748"/>
        <w:gridCol w:w="13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61" w:type="pct"/>
            <w:gridSpan w:val="2"/>
            <w:vAlign w:val="center"/>
          </w:tcPr>
          <w:p>
            <w:pPr>
              <w:pStyle w:val="675"/>
              <w:jc w:val="center"/>
              <w:rPr>
                <w:rFonts w:ascii="Times New Roman" w:hAnsi="Times New Roman" w:cs="Times New Roman"/>
                <w:sz w:val="21"/>
                <w:szCs w:val="21"/>
              </w:rPr>
            </w:pPr>
            <w:r>
              <w:rPr>
                <w:rFonts w:ascii="Times New Roman" w:hAnsi="Times New Roman" w:cs="Times New Roman"/>
                <w:b/>
                <w:bCs/>
                <w:sz w:val="21"/>
                <w:szCs w:val="21"/>
              </w:rPr>
              <w:t>评价内容</w:t>
            </w:r>
          </w:p>
        </w:tc>
        <w:tc>
          <w:tcPr>
            <w:tcW w:w="3185" w:type="pct"/>
            <w:vAlign w:val="center"/>
          </w:tcPr>
          <w:p>
            <w:pPr>
              <w:pStyle w:val="675"/>
              <w:jc w:val="center"/>
              <w:rPr>
                <w:rFonts w:ascii="Times New Roman" w:hAnsi="Times New Roman" w:cs="Times New Roman"/>
                <w:sz w:val="21"/>
                <w:szCs w:val="21"/>
              </w:rPr>
            </w:pPr>
            <w:r>
              <w:rPr>
                <w:rFonts w:ascii="Times New Roman" w:hAnsi="Times New Roman" w:cs="Times New Roman"/>
                <w:b/>
                <w:bCs/>
                <w:sz w:val="21"/>
                <w:szCs w:val="21"/>
              </w:rPr>
              <w:t>评价范围</w:t>
            </w:r>
          </w:p>
        </w:tc>
        <w:tc>
          <w:tcPr>
            <w:tcW w:w="754" w:type="pct"/>
            <w:vAlign w:val="center"/>
          </w:tcPr>
          <w:p>
            <w:pPr>
              <w:pStyle w:val="675"/>
              <w:jc w:val="center"/>
              <w:rPr>
                <w:rFonts w:ascii="Times New Roman" w:hAnsi="Times New Roman" w:cs="Times New Roman"/>
                <w:sz w:val="21"/>
                <w:szCs w:val="21"/>
              </w:rPr>
            </w:pPr>
            <w:r>
              <w:rPr>
                <w:rFonts w:ascii="Times New Roman" w:hAnsi="Times New Roman" w:cs="Times New Roman"/>
                <w:b/>
                <w:bCs/>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环境空气</w:t>
            </w: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施工期</w:t>
            </w:r>
          </w:p>
        </w:tc>
        <w:tc>
          <w:tcPr>
            <w:tcW w:w="318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754"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w w:val="99"/>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continue"/>
            <w:vAlign w:val="center"/>
          </w:tcPr>
          <w:p>
            <w:pPr>
              <w:spacing w:line="240" w:lineRule="auto"/>
              <w:ind w:firstLine="0" w:firstLineChars="0"/>
              <w:jc w:val="center"/>
              <w:rPr>
                <w:kern w:val="0"/>
                <w:sz w:val="21"/>
                <w:szCs w:val="22"/>
                <w:highlight w:val="yellow"/>
                <w:lang w:eastAsia="en-US"/>
              </w:rPr>
            </w:pP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运营期</w:t>
            </w:r>
          </w:p>
        </w:tc>
        <w:tc>
          <w:tcPr>
            <w:tcW w:w="318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754" w:type="pct"/>
            <w:vMerge w:val="continue"/>
            <w:vAlign w:val="center"/>
          </w:tcPr>
          <w:p>
            <w:pPr>
              <w:spacing w:line="240" w:lineRule="auto"/>
              <w:ind w:firstLine="0" w:firstLineChars="0"/>
              <w:jc w:val="center"/>
              <w:rPr>
                <w:kern w:val="0"/>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声环境</w:t>
            </w: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施工期</w:t>
            </w:r>
          </w:p>
        </w:tc>
        <w:tc>
          <w:tcPr>
            <w:tcW w:w="31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路中心线两侧各200m范围内</w:t>
            </w:r>
          </w:p>
        </w:tc>
        <w:tc>
          <w:tcPr>
            <w:tcW w:w="754" w:type="pct"/>
            <w:vMerge w:val="restart"/>
            <w:vAlign w:val="center"/>
          </w:tcPr>
          <w:p>
            <w:pPr>
              <w:pStyle w:val="675"/>
              <w:jc w:val="center"/>
              <w:rPr>
                <w:rFonts w:ascii="Times New Roman" w:hAnsi="Times New Roman" w:cs="Times New Roman"/>
                <w:sz w:val="21"/>
                <w:szCs w:val="21"/>
                <w:highlight w:val="yellow"/>
              </w:rPr>
            </w:pPr>
            <w:r>
              <w:rPr>
                <w:rFonts w:ascii="Times New Roman" w:hAnsi="Times New Roman" w:cs="Times New Roman"/>
                <w:w w:val="99"/>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continue"/>
            <w:vAlign w:val="center"/>
          </w:tcPr>
          <w:p>
            <w:pPr>
              <w:spacing w:line="240" w:lineRule="auto"/>
              <w:ind w:firstLine="0" w:firstLineChars="0"/>
              <w:jc w:val="center"/>
              <w:rPr>
                <w:kern w:val="0"/>
                <w:sz w:val="21"/>
                <w:szCs w:val="22"/>
                <w:lang w:eastAsia="en-US"/>
              </w:rPr>
            </w:pP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运营期</w:t>
            </w:r>
          </w:p>
        </w:tc>
        <w:tc>
          <w:tcPr>
            <w:tcW w:w="31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路中心线两侧各200m范围内</w:t>
            </w:r>
          </w:p>
        </w:tc>
        <w:tc>
          <w:tcPr>
            <w:tcW w:w="754" w:type="pct"/>
            <w:vMerge w:val="continue"/>
            <w:vAlign w:val="center"/>
          </w:tcPr>
          <w:p>
            <w:pPr>
              <w:spacing w:line="240" w:lineRule="auto"/>
              <w:ind w:firstLine="0" w:firstLineChars="0"/>
              <w:jc w:val="center"/>
              <w:rPr>
                <w:kern w:val="0"/>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restart"/>
            <w:vAlign w:val="center"/>
          </w:tcPr>
          <w:p>
            <w:pPr>
              <w:spacing w:line="240" w:lineRule="auto"/>
              <w:ind w:firstLine="0" w:firstLineChars="0"/>
              <w:jc w:val="center"/>
              <w:rPr>
                <w:kern w:val="0"/>
                <w:sz w:val="21"/>
                <w:szCs w:val="22"/>
              </w:rPr>
            </w:pPr>
            <w:r>
              <w:rPr>
                <w:rFonts w:hint="eastAsia"/>
                <w:kern w:val="0"/>
                <w:sz w:val="21"/>
                <w:szCs w:val="22"/>
              </w:rPr>
              <w:t>地表水</w:t>
            </w: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施工期</w:t>
            </w:r>
          </w:p>
        </w:tc>
        <w:tc>
          <w:tcPr>
            <w:tcW w:w="3185"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清水河、沙河、黎河桥梁段，冷咀头河并行段</w:t>
            </w:r>
          </w:p>
        </w:tc>
        <w:tc>
          <w:tcPr>
            <w:tcW w:w="754" w:type="pct"/>
            <w:vMerge w:val="restart"/>
            <w:vAlign w:val="center"/>
          </w:tcPr>
          <w:p>
            <w:pPr>
              <w:spacing w:line="240" w:lineRule="auto"/>
              <w:ind w:firstLine="0" w:firstLineChars="0"/>
              <w:jc w:val="center"/>
              <w:rPr>
                <w:kern w:val="0"/>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continue"/>
            <w:vAlign w:val="center"/>
          </w:tcPr>
          <w:p>
            <w:pPr>
              <w:spacing w:line="240" w:lineRule="auto"/>
              <w:ind w:firstLine="0" w:firstLineChars="0"/>
              <w:jc w:val="center"/>
              <w:rPr>
                <w:kern w:val="0"/>
                <w:sz w:val="21"/>
                <w:szCs w:val="22"/>
              </w:rPr>
            </w:pP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运营期</w:t>
            </w:r>
          </w:p>
        </w:tc>
        <w:tc>
          <w:tcPr>
            <w:tcW w:w="3185" w:type="pct"/>
            <w:vMerge w:val="continue"/>
            <w:vAlign w:val="center"/>
          </w:tcPr>
          <w:p>
            <w:pPr>
              <w:pStyle w:val="675"/>
              <w:jc w:val="center"/>
              <w:rPr>
                <w:rFonts w:ascii="Times New Roman" w:hAnsi="Times New Roman" w:cs="Times New Roman"/>
                <w:sz w:val="21"/>
                <w:szCs w:val="21"/>
                <w:lang w:eastAsia="zh-CN"/>
              </w:rPr>
            </w:pPr>
          </w:p>
        </w:tc>
        <w:tc>
          <w:tcPr>
            <w:tcW w:w="754" w:type="pct"/>
            <w:vMerge w:val="continue"/>
            <w:vAlign w:val="center"/>
          </w:tcPr>
          <w:p>
            <w:pPr>
              <w:spacing w:line="240" w:lineRule="auto"/>
              <w:ind w:firstLine="0" w:firstLineChars="0"/>
              <w:jc w:val="center"/>
              <w:rPr>
                <w:kern w:val="0"/>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生态环境</w:t>
            </w: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施工期</w:t>
            </w:r>
          </w:p>
        </w:tc>
        <w:tc>
          <w:tcPr>
            <w:tcW w:w="31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路中心线两侧各300m范围、临时施工用地等范围；项目</w:t>
            </w:r>
            <w:r>
              <w:rPr>
                <w:rFonts w:hint="eastAsia" w:ascii="Times New Roman" w:hAnsi="Times New Roman" w:cs="Times New Roman"/>
                <w:sz w:val="21"/>
                <w:szCs w:val="21"/>
                <w:lang w:eastAsia="zh-CN"/>
              </w:rPr>
              <w:t>跨越河道</w:t>
            </w:r>
          </w:p>
        </w:tc>
        <w:tc>
          <w:tcPr>
            <w:tcW w:w="754" w:type="pct"/>
            <w:vMerge w:val="restart"/>
            <w:vAlign w:val="center"/>
          </w:tcPr>
          <w:p>
            <w:pPr>
              <w:pStyle w:val="675"/>
              <w:jc w:val="center"/>
              <w:rPr>
                <w:rFonts w:ascii="Times New Roman" w:hAnsi="Times New Roman" w:cs="Times New Roman"/>
                <w:sz w:val="21"/>
                <w:szCs w:val="21"/>
                <w:highlight w:val="yellow"/>
                <w:lang w:eastAsia="zh-CN"/>
              </w:rPr>
            </w:pPr>
            <w:r>
              <w:rPr>
                <w:rFonts w:hint="eastAsia" w:ascii="Times New Roman" w:hAnsi="Times New Roman" w:cs="Times New Roman"/>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Merge w:val="continue"/>
            <w:vAlign w:val="center"/>
          </w:tcPr>
          <w:p>
            <w:pPr>
              <w:spacing w:line="240" w:lineRule="auto"/>
              <w:ind w:firstLine="0" w:firstLineChars="0"/>
              <w:jc w:val="center"/>
              <w:rPr>
                <w:kern w:val="0"/>
                <w:sz w:val="21"/>
                <w:szCs w:val="22"/>
              </w:rPr>
            </w:pP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运营期</w:t>
            </w:r>
          </w:p>
        </w:tc>
        <w:tc>
          <w:tcPr>
            <w:tcW w:w="31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路中心线两侧各300m范围</w:t>
            </w:r>
          </w:p>
        </w:tc>
        <w:tc>
          <w:tcPr>
            <w:tcW w:w="754" w:type="pct"/>
            <w:vMerge w:val="continue"/>
            <w:vAlign w:val="center"/>
          </w:tcPr>
          <w:p>
            <w:pPr>
              <w:spacing w:line="240" w:lineRule="auto"/>
              <w:ind w:firstLine="0" w:firstLineChars="0"/>
              <w:jc w:val="center"/>
              <w:rPr>
                <w:kern w:val="0"/>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环境风险</w:t>
            </w:r>
          </w:p>
        </w:tc>
        <w:tc>
          <w:tcPr>
            <w:tcW w:w="49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运营期</w:t>
            </w:r>
          </w:p>
        </w:tc>
        <w:tc>
          <w:tcPr>
            <w:tcW w:w="318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754" w:type="pct"/>
            <w:vAlign w:val="center"/>
          </w:tcPr>
          <w:p>
            <w:pPr>
              <w:pStyle w:val="675"/>
              <w:jc w:val="center"/>
              <w:rPr>
                <w:rFonts w:ascii="Times New Roman" w:hAnsi="Times New Roman" w:cs="Times New Roman"/>
                <w:sz w:val="21"/>
                <w:szCs w:val="21"/>
              </w:rPr>
            </w:pPr>
            <w:r>
              <w:rPr>
                <w:rFonts w:ascii="Times New Roman" w:hAnsi="Times New Roman" w:cs="Times New Roman"/>
                <w:w w:val="99"/>
                <w:sz w:val="21"/>
                <w:szCs w:val="21"/>
              </w:rPr>
              <w:t>/</w:t>
            </w:r>
          </w:p>
        </w:tc>
      </w:tr>
    </w:tbl>
    <w:p>
      <w:pPr>
        <w:pStyle w:val="5"/>
        <w:spacing w:beforeLines="0" w:afterLines="0"/>
      </w:pPr>
      <w:bookmarkStart w:id="60" w:name="_Toc141284052"/>
      <w:r>
        <w:rPr>
          <w:rFonts w:hint="eastAsia"/>
        </w:rPr>
        <w:t>2</w:t>
      </w:r>
      <w:r>
        <w:t>.</w:t>
      </w:r>
      <w:r>
        <w:rPr>
          <w:rFonts w:hint="eastAsia"/>
        </w:rPr>
        <w:t>5评价内容和评价重点</w:t>
      </w:r>
      <w:bookmarkEnd w:id="60"/>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5</w:t>
      </w:r>
      <w:r>
        <w:rPr>
          <w:b/>
          <w:sz w:val="28"/>
          <w:szCs w:val="28"/>
        </w:rPr>
        <w:t>.</w:t>
      </w:r>
      <w:r>
        <w:rPr>
          <w:rFonts w:hint="eastAsia"/>
          <w:b/>
          <w:sz w:val="28"/>
          <w:szCs w:val="28"/>
        </w:rPr>
        <w:t>1评价内容</w:t>
      </w:r>
    </w:p>
    <w:p>
      <w:pPr>
        <w:ind w:firstLine="468"/>
        <w:jc w:val="left"/>
        <w:rPr>
          <w:szCs w:val="24"/>
        </w:rPr>
      </w:pPr>
      <w:r>
        <w:rPr>
          <w:rFonts w:cs="宋体"/>
          <w:spacing w:val="-3"/>
        </w:rPr>
        <w:t>根据拟建项目的工程特点及现场踏勘、调研成果，确定本项目环境影响评价</w:t>
      </w:r>
      <w:r>
        <w:rPr>
          <w:rFonts w:hint="eastAsia" w:cs="宋体"/>
          <w:spacing w:val="-3"/>
        </w:rPr>
        <w:t>，</w:t>
      </w:r>
      <w:r>
        <w:rPr>
          <w:rFonts w:cs="宋体"/>
        </w:rPr>
        <w:t>工作的主要内容如下</w:t>
      </w:r>
      <w:r>
        <w:rPr>
          <w:rFonts w:hint="eastAsia" w:cs="宋体"/>
        </w:rPr>
        <w:t>：</w:t>
      </w:r>
    </w:p>
    <w:p>
      <w:pPr>
        <w:pStyle w:val="185"/>
        <w:spacing w:line="480" w:lineRule="exact"/>
        <w:rPr>
          <w:sz w:val="21"/>
          <w:szCs w:val="21"/>
        </w:rPr>
      </w:pPr>
      <w:r>
        <w:rPr>
          <w:rFonts w:hint="eastAsia"/>
          <w:sz w:val="21"/>
          <w:szCs w:val="21"/>
        </w:rPr>
        <w:t>表2.5-1评价内容一览表</w:t>
      </w:r>
    </w:p>
    <w:tbl>
      <w:tblPr>
        <w:tblStyle w:val="52"/>
        <w:tblW w:w="90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2"/>
        <w:gridCol w:w="2015"/>
        <w:gridCol w:w="6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8"/>
                <w:rFonts w:ascii="Times New Roman" w:eastAsia="宋体" w:cs="Times New Roman"/>
                <w:spacing w:val="0"/>
                <w:kern w:val="2"/>
                <w:sz w:val="21"/>
                <w:szCs w:val="21"/>
                <w:lang w:val="zh-TW" w:eastAsia="zh-TW"/>
              </w:rPr>
              <w:t>序号</w:t>
            </w:r>
          </w:p>
        </w:tc>
        <w:tc>
          <w:tcPr>
            <w:tcW w:w="2015" w:type="dxa"/>
            <w:vAlign w:val="center"/>
          </w:tcPr>
          <w:p>
            <w:pPr>
              <w:pStyle w:val="18"/>
              <w:spacing w:after="0" w:line="240" w:lineRule="auto"/>
              <w:ind w:firstLine="0" w:firstLineChars="0"/>
              <w:jc w:val="center"/>
              <w:rPr>
                <w:kern w:val="2"/>
                <w:sz w:val="21"/>
              </w:rPr>
            </w:pPr>
            <w:r>
              <w:rPr>
                <w:rStyle w:val="578"/>
                <w:rFonts w:ascii="Times New Roman" w:eastAsia="宋体" w:cs="Times New Roman"/>
                <w:spacing w:val="0"/>
                <w:kern w:val="2"/>
                <w:sz w:val="21"/>
                <w:szCs w:val="21"/>
                <w:lang w:val="zh-TW" w:eastAsia="zh-TW"/>
              </w:rPr>
              <w:t>项目</w:t>
            </w:r>
          </w:p>
        </w:tc>
        <w:tc>
          <w:tcPr>
            <w:tcW w:w="6466" w:type="dxa"/>
            <w:vAlign w:val="center"/>
          </w:tcPr>
          <w:p>
            <w:pPr>
              <w:pStyle w:val="18"/>
              <w:spacing w:after="0" w:line="240" w:lineRule="auto"/>
              <w:ind w:firstLine="0" w:firstLineChars="0"/>
              <w:jc w:val="center"/>
              <w:rPr>
                <w:kern w:val="2"/>
                <w:sz w:val="21"/>
              </w:rPr>
            </w:pPr>
            <w:r>
              <w:rPr>
                <w:rStyle w:val="578"/>
                <w:rFonts w:ascii="Times New Roman" w:eastAsia="宋体" w:cs="Times New Roman"/>
                <w:spacing w:val="0"/>
                <w:kern w:val="2"/>
                <w:sz w:val="21"/>
                <w:szCs w:val="21"/>
                <w:lang w:val="zh-TW" w:eastAsia="zh-TW"/>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rStyle w:val="575"/>
                <w:rFonts w:ascii="Times New Roman" w:eastAsia="宋体" w:cs="Times New Roman"/>
                <w:b w:val="0"/>
                <w:kern w:val="2"/>
                <w:sz w:val="21"/>
                <w:szCs w:val="21"/>
                <w:lang w:val="zh-TW" w:eastAsia="zh-CN"/>
              </w:rPr>
            </w:pPr>
            <w:r>
              <w:rPr>
                <w:rStyle w:val="575"/>
                <w:rFonts w:hint="eastAsia" w:ascii="Times New Roman" w:eastAsia="宋体" w:cs="Times New Roman"/>
                <w:b w:val="0"/>
                <w:kern w:val="2"/>
                <w:sz w:val="21"/>
                <w:szCs w:val="21"/>
                <w:lang w:val="zh-TW" w:eastAsia="zh-CN"/>
              </w:rPr>
              <w:t>1</w:t>
            </w:r>
          </w:p>
        </w:tc>
        <w:tc>
          <w:tcPr>
            <w:tcW w:w="2015" w:type="dxa"/>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概述</w:t>
            </w:r>
          </w:p>
        </w:tc>
        <w:tc>
          <w:tcPr>
            <w:tcW w:w="6466" w:type="dxa"/>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项目概况、工作过程、分析判定相关情况、关注的主要环境问题及环境影响、环境影响评价主要结论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rStyle w:val="575"/>
                <w:rFonts w:ascii="Times New Roman" w:eastAsia="宋体" w:cs="Times New Roman"/>
                <w:b w:val="0"/>
                <w:kern w:val="2"/>
                <w:sz w:val="21"/>
                <w:szCs w:val="21"/>
                <w:lang w:val="zh-TW" w:eastAsia="zh-CN"/>
              </w:rPr>
            </w:pPr>
            <w:r>
              <w:rPr>
                <w:rStyle w:val="575"/>
                <w:rFonts w:hint="eastAsia" w:ascii="Times New Roman" w:eastAsia="宋体" w:cs="Times New Roman"/>
                <w:b w:val="0"/>
                <w:kern w:val="2"/>
                <w:sz w:val="21"/>
                <w:szCs w:val="21"/>
                <w:lang w:val="zh-TW" w:eastAsia="zh-CN"/>
              </w:rPr>
              <w:t>2</w:t>
            </w:r>
          </w:p>
        </w:tc>
        <w:tc>
          <w:tcPr>
            <w:tcW w:w="2015" w:type="dxa"/>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总则</w:t>
            </w:r>
          </w:p>
        </w:tc>
        <w:tc>
          <w:tcPr>
            <w:tcW w:w="6466" w:type="dxa"/>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eastAsia="zh-TW"/>
              </w:rPr>
            </w:pPr>
            <w:r>
              <w:rPr>
                <w:rStyle w:val="576"/>
                <w:rFonts w:hint="eastAsia" w:ascii="Times New Roman" w:eastAsia="宋体" w:cs="Times New Roman"/>
                <w:spacing w:val="0"/>
                <w:kern w:val="2"/>
                <w:sz w:val="21"/>
                <w:szCs w:val="21"/>
                <w:lang w:val="zh-TW" w:eastAsia="zh-TW"/>
              </w:rPr>
              <w:t>编制依据</w:t>
            </w:r>
            <w:r>
              <w:rPr>
                <w:rStyle w:val="576"/>
                <w:rFonts w:hint="eastAsia" w:ascii="Times New Roman" w:eastAsia="宋体" w:cs="Times New Roman"/>
                <w:spacing w:val="0"/>
                <w:kern w:val="2"/>
                <w:sz w:val="21"/>
                <w:szCs w:val="21"/>
                <w:lang w:val="zh-TW"/>
              </w:rPr>
              <w:t>、评价目的及原则、</w:t>
            </w:r>
            <w:r>
              <w:rPr>
                <w:rStyle w:val="576"/>
                <w:rFonts w:hint="eastAsia" w:ascii="Times New Roman" w:eastAsia="宋体" w:cs="Times New Roman"/>
                <w:spacing w:val="0"/>
                <w:kern w:val="2"/>
                <w:sz w:val="21"/>
                <w:szCs w:val="21"/>
                <w:lang w:val="zh-TW" w:eastAsia="zh-TW"/>
              </w:rPr>
              <w:t>环境影响因素识别与评价因子</w:t>
            </w:r>
            <w:r>
              <w:rPr>
                <w:rStyle w:val="576"/>
                <w:rFonts w:hint="eastAsia" w:ascii="Times New Roman" w:eastAsia="宋体" w:cs="Times New Roman"/>
                <w:spacing w:val="0"/>
                <w:kern w:val="2"/>
                <w:sz w:val="21"/>
                <w:szCs w:val="21"/>
                <w:lang w:val="zh-TW"/>
              </w:rPr>
              <w:t>、</w:t>
            </w:r>
            <w:r>
              <w:rPr>
                <w:rStyle w:val="576"/>
                <w:rFonts w:hint="eastAsia" w:ascii="Times New Roman" w:eastAsia="宋体" w:cs="Times New Roman"/>
                <w:spacing w:val="0"/>
                <w:kern w:val="2"/>
                <w:sz w:val="21"/>
                <w:szCs w:val="21"/>
                <w:lang w:val="zh-TW" w:eastAsia="zh-TW"/>
              </w:rPr>
              <w:t>评价级别和评价范围</w:t>
            </w:r>
            <w:r>
              <w:rPr>
                <w:rStyle w:val="576"/>
                <w:rFonts w:hint="eastAsia" w:ascii="Times New Roman" w:eastAsia="宋体" w:cs="Times New Roman"/>
                <w:spacing w:val="0"/>
                <w:kern w:val="2"/>
                <w:sz w:val="21"/>
                <w:szCs w:val="21"/>
                <w:lang w:val="zh-TW"/>
              </w:rPr>
              <w:t>、</w:t>
            </w:r>
            <w:r>
              <w:rPr>
                <w:rStyle w:val="576"/>
                <w:rFonts w:hint="eastAsia" w:ascii="Times New Roman" w:eastAsia="宋体" w:cs="Times New Roman"/>
                <w:spacing w:val="0"/>
                <w:kern w:val="2"/>
                <w:sz w:val="21"/>
                <w:szCs w:val="21"/>
                <w:lang w:val="zh-TW" w:eastAsia="zh-TW"/>
              </w:rPr>
              <w:t>评价内容和评价重点</w:t>
            </w:r>
            <w:r>
              <w:rPr>
                <w:rStyle w:val="576"/>
                <w:rFonts w:hint="eastAsia" w:ascii="Times New Roman" w:eastAsia="宋体" w:cs="Times New Roman"/>
                <w:spacing w:val="0"/>
                <w:kern w:val="2"/>
                <w:sz w:val="21"/>
                <w:szCs w:val="21"/>
                <w:lang w:val="zh-TW"/>
              </w:rPr>
              <w:t>、环境功能区划、评价时段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3</w:t>
            </w:r>
          </w:p>
        </w:tc>
        <w:tc>
          <w:tcPr>
            <w:tcW w:w="2015" w:type="dxa"/>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工程分析</w:t>
            </w:r>
          </w:p>
        </w:tc>
        <w:tc>
          <w:tcPr>
            <w:tcW w:w="6466" w:type="dxa"/>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Fonts w:hint="eastAsia"/>
                <w:kern w:val="2"/>
                <w:sz w:val="21"/>
              </w:rPr>
              <w:t>既有道路基本情况、拟建</w:t>
            </w:r>
            <w:r>
              <w:fldChar w:fldCharType="begin"/>
            </w:r>
            <w:r>
              <w:instrText xml:space="preserve"> HYPERLINK \l "_Toc5748" </w:instrText>
            </w:r>
            <w:r>
              <w:fldChar w:fldCharType="separate"/>
            </w:r>
            <w:r>
              <w:rPr>
                <w:rStyle w:val="576"/>
                <w:rFonts w:ascii="Times New Roman" w:eastAsia="宋体" w:cs="Times New Roman"/>
                <w:spacing w:val="0"/>
                <w:kern w:val="2"/>
                <w:sz w:val="21"/>
                <w:szCs w:val="21"/>
                <w:lang w:val="zh-TW" w:eastAsia="zh-TW"/>
              </w:rPr>
              <w:t>工程概况</w:t>
            </w:r>
            <w:r>
              <w:rPr>
                <w:rStyle w:val="576"/>
                <w:rFonts w:hint="eastAsia" w:ascii="Times New Roman" w:eastAsia="宋体" w:cs="Times New Roman"/>
                <w:spacing w:val="0"/>
                <w:kern w:val="2"/>
                <w:sz w:val="21"/>
                <w:szCs w:val="21"/>
                <w:lang w:val="zh-TW"/>
              </w:rPr>
              <w:t>、</w:t>
            </w:r>
            <w:r>
              <w:rPr>
                <w:rStyle w:val="576"/>
                <w:rFonts w:ascii="Times New Roman" w:eastAsia="宋体" w:cs="Times New Roman"/>
                <w:spacing w:val="0"/>
                <w:kern w:val="2"/>
                <w:sz w:val="21"/>
                <w:szCs w:val="21"/>
                <w:lang w:val="zh-TW"/>
              </w:rPr>
              <w:fldChar w:fldCharType="end"/>
            </w:r>
            <w:r>
              <w:rPr>
                <w:rFonts w:hint="eastAsia"/>
                <w:kern w:val="2"/>
                <w:sz w:val="21"/>
              </w:rPr>
              <w:t>主要工程概况、临时工程、土石方平衡、征地及拆迁、沿线筑路材料及运输条件、施工组织及施工工艺、估算投资及工期安排、工程污染源分析及污染防治措施、总量控制分析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4</w:t>
            </w:r>
          </w:p>
        </w:tc>
        <w:tc>
          <w:tcPr>
            <w:tcW w:w="2015" w:type="dxa"/>
            <w:vAlign w:val="center"/>
          </w:tcPr>
          <w:p>
            <w:pPr>
              <w:pStyle w:val="18"/>
              <w:spacing w:after="0" w:line="240" w:lineRule="auto"/>
              <w:ind w:firstLine="0" w:firstLineChars="0"/>
              <w:jc w:val="center"/>
              <w:rPr>
                <w:kern w:val="2"/>
                <w:sz w:val="21"/>
              </w:rPr>
            </w:pPr>
            <w:r>
              <w:rPr>
                <w:rStyle w:val="576"/>
                <w:rFonts w:ascii="Times New Roman" w:eastAsia="宋体" w:cs="Times New Roman"/>
                <w:spacing w:val="0"/>
                <w:kern w:val="2"/>
                <w:sz w:val="21"/>
                <w:szCs w:val="21"/>
                <w:lang w:val="zh-TW" w:eastAsia="zh-TW"/>
              </w:rPr>
              <w:t>环境现状调查与</w:t>
            </w:r>
            <w:r>
              <w:rPr>
                <w:rStyle w:val="576"/>
                <w:rFonts w:hint="eastAsia" w:ascii="Times New Roman" w:eastAsia="宋体" w:cs="Times New Roman"/>
                <w:spacing w:val="0"/>
                <w:kern w:val="2"/>
                <w:sz w:val="21"/>
                <w:szCs w:val="21"/>
                <w:lang w:val="zh-TW"/>
              </w:rPr>
              <w:t>评价</w:t>
            </w:r>
          </w:p>
        </w:tc>
        <w:tc>
          <w:tcPr>
            <w:tcW w:w="6466" w:type="dxa"/>
            <w:vAlign w:val="center"/>
          </w:tcPr>
          <w:p>
            <w:pPr>
              <w:pStyle w:val="18"/>
              <w:spacing w:after="0" w:line="240" w:lineRule="auto"/>
              <w:ind w:firstLine="0" w:firstLineChars="0"/>
              <w:jc w:val="left"/>
              <w:rPr>
                <w:kern w:val="2"/>
                <w:sz w:val="21"/>
              </w:rPr>
            </w:pPr>
            <w:r>
              <w:rPr>
                <w:rStyle w:val="576"/>
                <w:rFonts w:ascii="Times New Roman" w:eastAsia="宋体" w:cs="Times New Roman"/>
                <w:spacing w:val="0"/>
                <w:kern w:val="2"/>
                <w:sz w:val="21"/>
                <w:szCs w:val="21"/>
                <w:lang w:val="zh-TW" w:eastAsia="zh-TW"/>
              </w:rPr>
              <w:t>自然环境现状</w:t>
            </w:r>
            <w:r>
              <w:rPr>
                <w:rStyle w:val="576"/>
                <w:rFonts w:hint="eastAsia" w:ascii="Times New Roman" w:eastAsia="宋体" w:cs="Times New Roman"/>
                <w:spacing w:val="0"/>
                <w:kern w:val="2"/>
                <w:sz w:val="21"/>
                <w:szCs w:val="21"/>
                <w:lang w:val="zh-TW"/>
              </w:rPr>
              <w:t>调查</w:t>
            </w:r>
            <w:r>
              <w:rPr>
                <w:rStyle w:val="576"/>
                <w:rFonts w:ascii="Times New Roman" w:eastAsia="宋体" w:cs="Times New Roman"/>
                <w:spacing w:val="0"/>
                <w:kern w:val="2"/>
                <w:sz w:val="21"/>
                <w:szCs w:val="21"/>
                <w:lang w:val="zh-TW" w:eastAsia="zh-TW"/>
              </w:rPr>
              <w:t>与评价</w:t>
            </w:r>
            <w:r>
              <w:rPr>
                <w:rStyle w:val="576"/>
                <w:rFonts w:hint="eastAsia" w:ascii="Times New Roman" w:eastAsia="宋体" w:cs="Times New Roman"/>
                <w:spacing w:val="0"/>
                <w:kern w:val="2"/>
                <w:sz w:val="21"/>
                <w:szCs w:val="21"/>
                <w:lang w:val="zh-TW"/>
              </w:rPr>
              <w:t>、生态环境调查</w:t>
            </w:r>
            <w:r>
              <w:rPr>
                <w:rStyle w:val="576"/>
                <w:rFonts w:ascii="Times New Roman" w:eastAsia="宋体" w:cs="Times New Roman"/>
                <w:spacing w:val="0"/>
                <w:kern w:val="2"/>
                <w:sz w:val="21"/>
                <w:szCs w:val="21"/>
                <w:lang w:val="zh-TW" w:eastAsia="zh-TW"/>
              </w:rPr>
              <w:t>与评价</w:t>
            </w:r>
            <w:r>
              <w:rPr>
                <w:rStyle w:val="576"/>
                <w:rFonts w:hint="eastAsia" w:ascii="Times New Roman" w:eastAsia="宋体" w:cs="Times New Roman"/>
                <w:spacing w:val="0"/>
                <w:kern w:val="2"/>
                <w:sz w:val="21"/>
                <w:szCs w:val="21"/>
                <w:lang w:val="zh-TW"/>
              </w:rPr>
              <w:t>、环境质量</w:t>
            </w:r>
            <w:r>
              <w:rPr>
                <w:rStyle w:val="576"/>
                <w:rFonts w:ascii="Times New Roman" w:eastAsia="宋体" w:cs="Times New Roman"/>
                <w:spacing w:val="0"/>
                <w:kern w:val="2"/>
                <w:sz w:val="21"/>
                <w:szCs w:val="21"/>
                <w:lang w:val="zh-TW" w:eastAsia="zh-TW"/>
              </w:rPr>
              <w:t>现状与</w:t>
            </w:r>
            <w:r>
              <w:rPr>
                <w:rStyle w:val="575"/>
                <w:rFonts w:hint="eastAsia" w:ascii="Times New Roman" w:eastAsia="宋体" w:cs="Times New Roman"/>
                <w:b w:val="0"/>
                <w:kern w:val="2"/>
                <w:sz w:val="21"/>
                <w:szCs w:val="21"/>
                <w:lang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5</w:t>
            </w:r>
          </w:p>
        </w:tc>
        <w:tc>
          <w:tcPr>
            <w:tcW w:w="2015" w:type="dxa"/>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rPr>
              <w:t>环境影响预测与评价</w:t>
            </w:r>
          </w:p>
        </w:tc>
        <w:tc>
          <w:tcPr>
            <w:tcW w:w="6466" w:type="dxa"/>
            <w:vAlign w:val="center"/>
          </w:tcPr>
          <w:p>
            <w:pPr>
              <w:pStyle w:val="18"/>
              <w:spacing w:after="0" w:line="240" w:lineRule="auto"/>
              <w:ind w:firstLine="0" w:firstLineChars="0"/>
              <w:jc w:val="left"/>
              <w:rPr>
                <w:kern w:val="2"/>
                <w:sz w:val="21"/>
              </w:rPr>
            </w:pPr>
            <w:r>
              <w:rPr>
                <w:rStyle w:val="576"/>
                <w:rFonts w:hint="eastAsia" w:ascii="Times New Roman" w:eastAsia="宋体" w:cs="Times New Roman"/>
                <w:spacing w:val="0"/>
                <w:kern w:val="2"/>
                <w:sz w:val="21"/>
                <w:szCs w:val="21"/>
                <w:lang w:val="zh-TW" w:eastAsia="zh-TW"/>
              </w:rPr>
              <w:t>施工期环境</w:t>
            </w:r>
            <w:r>
              <w:rPr>
                <w:rStyle w:val="576"/>
                <w:rFonts w:hint="eastAsia" w:ascii="Times New Roman" w:eastAsia="宋体" w:cs="Times New Roman"/>
                <w:spacing w:val="0"/>
                <w:kern w:val="2"/>
                <w:sz w:val="21"/>
                <w:szCs w:val="21"/>
                <w:lang w:val="zh-TW"/>
              </w:rPr>
              <w:t>影响分析、运营期环境影响分析、对遵化市堡子店水源地的影响分析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6</w:t>
            </w:r>
          </w:p>
        </w:tc>
        <w:tc>
          <w:tcPr>
            <w:tcW w:w="2015" w:type="dxa"/>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rPr>
              <w:t>环境风险评价</w:t>
            </w:r>
          </w:p>
        </w:tc>
        <w:tc>
          <w:tcPr>
            <w:tcW w:w="6466" w:type="dxa"/>
            <w:vAlign w:val="center"/>
          </w:tcPr>
          <w:p>
            <w:pPr>
              <w:pStyle w:val="18"/>
              <w:spacing w:after="0" w:line="240" w:lineRule="auto"/>
              <w:ind w:firstLine="0" w:firstLineChars="0"/>
              <w:jc w:val="left"/>
              <w:rPr>
                <w:kern w:val="2"/>
                <w:sz w:val="21"/>
              </w:rPr>
            </w:pPr>
            <w:r>
              <w:rPr>
                <w:rStyle w:val="576"/>
                <w:rFonts w:hint="eastAsia" w:ascii="Times New Roman" w:eastAsia="宋体" w:cs="Times New Roman"/>
                <w:spacing w:val="0"/>
                <w:kern w:val="2"/>
                <w:sz w:val="21"/>
                <w:szCs w:val="21"/>
                <w:lang w:val="zh-TW"/>
              </w:rPr>
              <w:t>环境风险因素调查</w:t>
            </w:r>
            <w:r>
              <w:rPr>
                <w:rStyle w:val="576"/>
                <w:rFonts w:ascii="Times New Roman" w:eastAsia="宋体" w:cs="Times New Roman"/>
                <w:spacing w:val="0"/>
                <w:kern w:val="2"/>
                <w:sz w:val="21"/>
                <w:szCs w:val="21"/>
                <w:lang w:val="zh-TW" w:eastAsia="zh-TW"/>
              </w:rPr>
              <w:t>、</w:t>
            </w:r>
            <w:r>
              <w:rPr>
                <w:rStyle w:val="576"/>
                <w:rFonts w:hint="eastAsia" w:ascii="Times New Roman" w:eastAsia="宋体" w:cs="Times New Roman"/>
                <w:spacing w:val="0"/>
                <w:kern w:val="2"/>
                <w:sz w:val="21"/>
                <w:szCs w:val="21"/>
                <w:lang w:val="zh-TW"/>
              </w:rPr>
              <w:t>危险品运输风险分析</w:t>
            </w:r>
            <w:r>
              <w:rPr>
                <w:rStyle w:val="576"/>
                <w:rFonts w:ascii="Times New Roman" w:eastAsia="宋体" w:cs="Times New Roman"/>
                <w:spacing w:val="0"/>
                <w:kern w:val="2"/>
                <w:sz w:val="21"/>
                <w:szCs w:val="21"/>
                <w:lang w:val="zh-TW" w:eastAsia="zh-TW"/>
              </w:rPr>
              <w:t>、</w:t>
            </w:r>
            <w:r>
              <w:rPr>
                <w:rStyle w:val="576"/>
                <w:rFonts w:hint="eastAsia" w:ascii="Times New Roman" w:eastAsia="宋体" w:cs="Times New Roman"/>
                <w:spacing w:val="0"/>
                <w:kern w:val="2"/>
                <w:sz w:val="21"/>
                <w:szCs w:val="21"/>
                <w:lang w:val="zh-TW"/>
              </w:rPr>
              <w:t>危险品运输预防措施及应急预案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7</w:t>
            </w:r>
          </w:p>
        </w:tc>
        <w:tc>
          <w:tcPr>
            <w:tcW w:w="2015" w:type="dxa"/>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rPr>
              <w:t>环境保护措施可行性论证</w:t>
            </w:r>
          </w:p>
        </w:tc>
        <w:tc>
          <w:tcPr>
            <w:tcW w:w="6466" w:type="dxa"/>
            <w:vAlign w:val="center"/>
          </w:tcPr>
          <w:p>
            <w:pPr>
              <w:pStyle w:val="18"/>
              <w:spacing w:after="0" w:line="240" w:lineRule="auto"/>
              <w:ind w:firstLine="0" w:firstLineChars="0"/>
              <w:jc w:val="left"/>
              <w:rPr>
                <w:kern w:val="2"/>
                <w:sz w:val="21"/>
              </w:rPr>
            </w:pPr>
            <w:r>
              <w:rPr>
                <w:rStyle w:val="576"/>
                <w:rFonts w:hint="eastAsia" w:ascii="Times New Roman" w:eastAsia="宋体" w:cs="Times New Roman"/>
                <w:spacing w:val="0"/>
                <w:kern w:val="2"/>
                <w:sz w:val="21"/>
                <w:szCs w:val="21"/>
                <w:lang w:val="zh-TW"/>
              </w:rPr>
              <w:t>一般区域生态环境保护措施、声环境保护措施、水环境保护措施、环境空气保护措施、固体废物防止措施、遵化市堡子店水源地保护措施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8</w:t>
            </w:r>
          </w:p>
        </w:tc>
        <w:tc>
          <w:tcPr>
            <w:tcW w:w="2015" w:type="dxa"/>
            <w:vAlign w:val="center"/>
          </w:tcPr>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环境影响经济损益</w:t>
            </w:r>
          </w:p>
          <w:p>
            <w:pPr>
              <w:pStyle w:val="18"/>
              <w:spacing w:after="0" w:line="240" w:lineRule="auto"/>
              <w:ind w:firstLine="0" w:firstLineChars="0"/>
              <w:jc w:val="center"/>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分析</w:t>
            </w:r>
          </w:p>
        </w:tc>
        <w:tc>
          <w:tcPr>
            <w:tcW w:w="6466" w:type="dxa"/>
            <w:vAlign w:val="center"/>
          </w:tcPr>
          <w:p>
            <w:pPr>
              <w:pStyle w:val="18"/>
              <w:spacing w:after="0" w:line="240" w:lineRule="auto"/>
              <w:ind w:firstLine="0" w:firstLineChars="0"/>
              <w:jc w:val="left"/>
              <w:rPr>
                <w:rStyle w:val="576"/>
                <w:rFonts w:ascii="Times New Roman" w:eastAsia="宋体" w:cs="Times New Roman"/>
                <w:spacing w:val="0"/>
                <w:kern w:val="2"/>
                <w:sz w:val="21"/>
                <w:szCs w:val="21"/>
                <w:lang w:val="zh-TW"/>
              </w:rPr>
            </w:pPr>
            <w:r>
              <w:rPr>
                <w:rStyle w:val="576"/>
                <w:rFonts w:hint="eastAsia" w:ascii="Times New Roman" w:eastAsia="宋体" w:cs="Times New Roman"/>
                <w:spacing w:val="0"/>
                <w:kern w:val="2"/>
                <w:sz w:val="21"/>
                <w:szCs w:val="21"/>
                <w:lang w:val="zh-TW"/>
              </w:rPr>
              <w:t>环保投资估算、环境影响分析、环境经济损益分析、结论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9</w:t>
            </w:r>
          </w:p>
        </w:tc>
        <w:tc>
          <w:tcPr>
            <w:tcW w:w="2015" w:type="dxa"/>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rPr>
              <w:t>环境管理及监测计划</w:t>
            </w:r>
          </w:p>
        </w:tc>
        <w:tc>
          <w:tcPr>
            <w:tcW w:w="6466" w:type="dxa"/>
            <w:vAlign w:val="center"/>
          </w:tcPr>
          <w:p>
            <w:pPr>
              <w:pStyle w:val="18"/>
              <w:spacing w:after="0" w:line="240" w:lineRule="auto"/>
              <w:ind w:firstLine="0" w:firstLineChars="0"/>
              <w:jc w:val="left"/>
              <w:rPr>
                <w:kern w:val="2"/>
                <w:sz w:val="21"/>
              </w:rPr>
            </w:pPr>
            <w:r>
              <w:rPr>
                <w:rStyle w:val="576"/>
                <w:rFonts w:ascii="Times New Roman" w:eastAsia="宋体" w:cs="Times New Roman"/>
                <w:spacing w:val="0"/>
                <w:kern w:val="2"/>
                <w:sz w:val="21"/>
                <w:szCs w:val="21"/>
                <w:lang w:val="zh-TW" w:eastAsia="zh-TW"/>
              </w:rPr>
              <w:t>环境</w:t>
            </w:r>
            <w:r>
              <w:rPr>
                <w:rStyle w:val="576"/>
                <w:rFonts w:hint="eastAsia" w:ascii="Times New Roman" w:eastAsia="宋体" w:cs="Times New Roman"/>
                <w:spacing w:val="0"/>
                <w:kern w:val="2"/>
                <w:sz w:val="21"/>
                <w:szCs w:val="21"/>
                <w:lang w:val="zh-TW"/>
              </w:rPr>
              <w:t>保护</w:t>
            </w:r>
            <w:r>
              <w:rPr>
                <w:rStyle w:val="576"/>
                <w:rFonts w:ascii="Times New Roman" w:eastAsia="宋体" w:cs="Times New Roman"/>
                <w:spacing w:val="0"/>
                <w:kern w:val="2"/>
                <w:sz w:val="21"/>
                <w:szCs w:val="21"/>
                <w:lang w:val="zh-TW" w:eastAsia="zh-TW"/>
              </w:rPr>
              <w:t>管理</w:t>
            </w:r>
            <w:r>
              <w:rPr>
                <w:rStyle w:val="576"/>
                <w:rFonts w:hint="eastAsia" w:ascii="Times New Roman" w:eastAsia="宋体" w:cs="Times New Roman"/>
                <w:spacing w:val="0"/>
                <w:kern w:val="2"/>
                <w:sz w:val="21"/>
                <w:szCs w:val="21"/>
                <w:lang w:val="zh-TW"/>
              </w:rPr>
              <w:t>计划</w:t>
            </w:r>
            <w:r>
              <w:rPr>
                <w:rStyle w:val="576"/>
                <w:rFonts w:ascii="Times New Roman" w:eastAsia="宋体" w:cs="Times New Roman"/>
                <w:spacing w:val="0"/>
                <w:kern w:val="2"/>
                <w:sz w:val="21"/>
                <w:szCs w:val="21"/>
                <w:lang w:val="zh-TW" w:eastAsia="zh-TW"/>
              </w:rPr>
              <w:t>、环境监测计划</w:t>
            </w:r>
            <w:r>
              <w:rPr>
                <w:rStyle w:val="576"/>
                <w:rFonts w:hint="eastAsia" w:ascii="Times New Roman" w:eastAsia="宋体" w:cs="Times New Roman"/>
                <w:spacing w:val="0"/>
                <w:kern w:val="2"/>
                <w:sz w:val="21"/>
                <w:szCs w:val="21"/>
                <w:lang w:val="zh-TW"/>
              </w:rPr>
              <w:t>、环境监理计划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42" w:type="dxa"/>
            <w:vAlign w:val="center"/>
          </w:tcPr>
          <w:p>
            <w:pPr>
              <w:pStyle w:val="18"/>
              <w:spacing w:after="0" w:line="240" w:lineRule="auto"/>
              <w:ind w:firstLine="0" w:firstLineChars="0"/>
              <w:jc w:val="center"/>
              <w:rPr>
                <w:kern w:val="2"/>
                <w:sz w:val="21"/>
              </w:rPr>
            </w:pPr>
            <w:r>
              <w:rPr>
                <w:rStyle w:val="575"/>
                <w:rFonts w:hint="eastAsia" w:ascii="Times New Roman" w:eastAsia="宋体" w:cs="Times New Roman"/>
                <w:b w:val="0"/>
                <w:kern w:val="2"/>
                <w:sz w:val="21"/>
                <w:szCs w:val="21"/>
                <w:lang w:val="zh-TW" w:eastAsia="zh-CN"/>
              </w:rPr>
              <w:t>10</w:t>
            </w:r>
          </w:p>
        </w:tc>
        <w:tc>
          <w:tcPr>
            <w:tcW w:w="2015" w:type="dxa"/>
            <w:vAlign w:val="center"/>
          </w:tcPr>
          <w:p>
            <w:pPr>
              <w:pStyle w:val="18"/>
              <w:spacing w:after="0" w:line="240" w:lineRule="auto"/>
              <w:ind w:firstLine="0" w:firstLineChars="0"/>
              <w:jc w:val="center"/>
              <w:rPr>
                <w:kern w:val="2"/>
                <w:sz w:val="21"/>
              </w:rPr>
            </w:pPr>
            <w:r>
              <w:rPr>
                <w:rStyle w:val="576"/>
                <w:rFonts w:hint="eastAsia" w:ascii="Times New Roman" w:eastAsia="宋体" w:cs="Times New Roman"/>
                <w:spacing w:val="0"/>
                <w:kern w:val="2"/>
                <w:sz w:val="21"/>
                <w:szCs w:val="21"/>
                <w:lang w:val="zh-TW"/>
              </w:rPr>
              <w:t>环境影响评价结论及建议</w:t>
            </w:r>
          </w:p>
        </w:tc>
        <w:tc>
          <w:tcPr>
            <w:tcW w:w="6466" w:type="dxa"/>
            <w:vAlign w:val="center"/>
          </w:tcPr>
          <w:p>
            <w:pPr>
              <w:pStyle w:val="18"/>
              <w:spacing w:after="0" w:line="240" w:lineRule="auto"/>
              <w:ind w:firstLine="0" w:firstLineChars="0"/>
              <w:jc w:val="left"/>
              <w:rPr>
                <w:kern w:val="2"/>
                <w:sz w:val="21"/>
              </w:rPr>
            </w:pPr>
            <w:r>
              <w:rPr>
                <w:rStyle w:val="576"/>
                <w:rFonts w:hint="eastAsia" w:ascii="Times New Roman" w:eastAsia="宋体" w:cs="Times New Roman"/>
                <w:spacing w:val="0"/>
                <w:kern w:val="2"/>
                <w:sz w:val="21"/>
                <w:szCs w:val="21"/>
                <w:lang w:val="zh-TW" w:eastAsia="zh-TW"/>
              </w:rPr>
              <w:t>项目建设情况、环境质量现状评价结论、环境影响预测结论及防治措施、公众参与调查结论、工程选线可行性分析结论、评价总结论、建议</w:t>
            </w:r>
          </w:p>
        </w:tc>
      </w:tr>
    </w:tbl>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5</w:t>
      </w:r>
      <w:r>
        <w:rPr>
          <w:b/>
          <w:sz w:val="28"/>
          <w:szCs w:val="28"/>
        </w:rPr>
        <w:t>.</w:t>
      </w:r>
      <w:r>
        <w:rPr>
          <w:rFonts w:hint="eastAsia"/>
          <w:b/>
          <w:sz w:val="28"/>
          <w:szCs w:val="28"/>
        </w:rPr>
        <w:t>2评价重点</w:t>
      </w:r>
    </w:p>
    <w:p>
      <w:pPr>
        <w:ind w:firstLine="468"/>
        <w:rPr>
          <w:szCs w:val="24"/>
        </w:rPr>
      </w:pPr>
      <w:bookmarkStart w:id="61" w:name="bookmark11"/>
      <w:r>
        <w:rPr>
          <w:rFonts w:cs="宋体"/>
          <w:spacing w:val="-3"/>
        </w:rPr>
        <w:t>本次评价重点为工程分析、声环境影响预测与评价、</w:t>
      </w:r>
      <w:r>
        <w:rPr>
          <w:rFonts w:hint="eastAsia" w:cs="宋体"/>
          <w:spacing w:val="-3"/>
        </w:rPr>
        <w:t>对地下水水源地的影响分析</w:t>
      </w:r>
      <w:r>
        <w:rPr>
          <w:rFonts w:cs="宋体"/>
          <w:spacing w:val="-3"/>
        </w:rPr>
        <w:t>、环</w:t>
      </w:r>
      <w:r>
        <w:rPr>
          <w:rFonts w:cs="宋体"/>
        </w:rPr>
        <w:t>境保护措施及技术经济论证等相关内容</w:t>
      </w:r>
      <w:r>
        <w:rPr>
          <w:rFonts w:hint="eastAsia"/>
          <w:szCs w:val="24"/>
        </w:rPr>
        <w:t>。</w:t>
      </w:r>
      <w:bookmarkEnd w:id="61"/>
    </w:p>
    <w:p>
      <w:pPr>
        <w:pStyle w:val="5"/>
        <w:spacing w:beforeLines="0" w:afterLines="0"/>
      </w:pPr>
      <w:bookmarkStart w:id="62" w:name="_Toc141284053"/>
      <w:r>
        <w:rPr>
          <w:rFonts w:hint="eastAsia"/>
        </w:rPr>
        <w:t>2</w:t>
      </w:r>
      <w:r>
        <w:t>.</w:t>
      </w:r>
      <w:r>
        <w:rPr>
          <w:rFonts w:hint="eastAsia"/>
        </w:rPr>
        <w:t>6环境功能区划</w:t>
      </w:r>
      <w:bookmarkEnd w:id="62"/>
    </w:p>
    <w:p>
      <w:pPr>
        <w:pStyle w:val="204"/>
        <w:spacing w:line="480" w:lineRule="exact"/>
        <w:ind w:firstLine="0" w:firstLineChars="0"/>
        <w:outlineLvl w:val="2"/>
        <w:rPr>
          <w:b/>
          <w:sz w:val="28"/>
          <w:szCs w:val="28"/>
        </w:rPr>
      </w:pPr>
      <w:bookmarkStart w:id="63" w:name="bookmark12"/>
      <w:r>
        <w:rPr>
          <w:rFonts w:hint="eastAsia"/>
          <w:b/>
          <w:sz w:val="28"/>
          <w:szCs w:val="28"/>
        </w:rPr>
        <w:t>2.6.1环境功能区划</w:t>
      </w:r>
    </w:p>
    <w:p>
      <w:pPr>
        <w:pStyle w:val="18"/>
        <w:spacing w:after="0"/>
        <w:ind w:firstLine="480"/>
        <w:rPr>
          <w:rFonts w:hAnsi="宋体"/>
          <w:szCs w:val="24"/>
        </w:rPr>
      </w:pPr>
      <w:r>
        <w:rPr>
          <w:rFonts w:hint="eastAsia" w:hAnsi="宋体"/>
          <w:szCs w:val="24"/>
        </w:rPr>
        <w:t>根据项目所在区域环境功能区划分原则，项目所在区域环境空气质量属《环境空气质量标准》（</w:t>
      </w:r>
      <w:r>
        <w:rPr>
          <w:rFonts w:hAnsi="宋体"/>
          <w:szCs w:val="24"/>
        </w:rPr>
        <w:t>GB3095-2012</w:t>
      </w:r>
      <w:r>
        <w:rPr>
          <w:rFonts w:hint="eastAsia" w:hAnsi="宋体"/>
          <w:szCs w:val="24"/>
        </w:rPr>
        <w:t>及2018修改单）中二类区；拟建项目道路红线3</w:t>
      </w:r>
      <w:r>
        <w:rPr>
          <w:rFonts w:hAnsi="宋体"/>
          <w:szCs w:val="24"/>
        </w:rPr>
        <w:t>5</w:t>
      </w:r>
      <w:r>
        <w:rPr>
          <w:rFonts w:hint="eastAsia" w:hAnsi="宋体"/>
          <w:szCs w:val="24"/>
        </w:rPr>
        <w:t>m范围内声环境属《声环境质量标准》（</w:t>
      </w:r>
      <w:r>
        <w:rPr>
          <w:rFonts w:hAnsi="宋体"/>
          <w:szCs w:val="24"/>
        </w:rPr>
        <w:t>GB3096-2008</w:t>
      </w:r>
      <w:r>
        <w:rPr>
          <w:rFonts w:hint="eastAsia" w:hAnsi="宋体"/>
          <w:szCs w:val="24"/>
        </w:rPr>
        <w:t>）4a类区；拟建项目道路红线3</w:t>
      </w:r>
      <w:r>
        <w:rPr>
          <w:rFonts w:hAnsi="宋体"/>
          <w:szCs w:val="24"/>
        </w:rPr>
        <w:t>5</w:t>
      </w:r>
      <w:r>
        <w:rPr>
          <w:rFonts w:hint="eastAsia" w:hAnsi="宋体"/>
          <w:szCs w:val="24"/>
        </w:rPr>
        <w:t>m以外声环境属《声环境质量标准》（</w:t>
      </w:r>
      <w:r>
        <w:rPr>
          <w:rFonts w:hAnsi="宋体"/>
          <w:szCs w:val="24"/>
        </w:rPr>
        <w:t>GB3096-2008</w:t>
      </w:r>
      <w:r>
        <w:rPr>
          <w:rFonts w:hint="eastAsia" w:hAnsi="宋体"/>
          <w:szCs w:val="24"/>
        </w:rPr>
        <w:t>）</w:t>
      </w:r>
      <w:r>
        <w:rPr>
          <w:rFonts w:hAnsi="宋体"/>
          <w:szCs w:val="24"/>
        </w:rPr>
        <w:t>2</w:t>
      </w:r>
      <w:r>
        <w:rPr>
          <w:rFonts w:hint="eastAsia" w:hAnsi="宋体"/>
          <w:szCs w:val="24"/>
        </w:rPr>
        <w:t>类区；</w:t>
      </w:r>
      <w:r>
        <w:rPr>
          <w:rFonts w:cs="宋体"/>
          <w:spacing w:val="-4"/>
        </w:rPr>
        <w:t>地下水环境质量执行《地下</w:t>
      </w:r>
      <w:r>
        <w:rPr>
          <w:rFonts w:cs="宋体"/>
        </w:rPr>
        <w:t>水质量标准》（</w:t>
      </w:r>
      <w:r>
        <w:rPr>
          <w:rFonts w:eastAsia="Times New Roman"/>
        </w:rPr>
        <w:t>GB/T14848-2017</w:t>
      </w:r>
      <w:r>
        <w:rPr>
          <w:rFonts w:cs="宋体"/>
        </w:rPr>
        <w:t>）中</w:t>
      </w:r>
      <w:r>
        <w:rPr>
          <w:rFonts w:hAnsi="宋体"/>
          <w:szCs w:val="24"/>
        </w:rPr>
        <w:t>Ⅲ类</w:t>
      </w:r>
      <w:r>
        <w:rPr>
          <w:rFonts w:cs="宋体"/>
        </w:rPr>
        <w:t>标准要求</w:t>
      </w:r>
      <w:r>
        <w:rPr>
          <w:rFonts w:hint="eastAsia" w:hAnsi="宋体"/>
          <w:szCs w:val="24"/>
        </w:rPr>
        <w:t>。根据河北省水利厅、河北省环境保护厅关于调整公布《河北省水功能区划》的通知，黎河的“引滦隧洞出口-于桥水库入库口段”划分为</w:t>
      </w:r>
      <w:r>
        <w:rPr>
          <w:rFonts w:hAnsi="宋体"/>
          <w:szCs w:val="24"/>
        </w:rPr>
        <w:fldChar w:fldCharType="begin"/>
      </w:r>
      <w:r>
        <w:rPr>
          <w:rFonts w:hAnsi="宋体"/>
          <w:szCs w:val="24"/>
        </w:rPr>
        <w:instrText xml:space="preserve"> </w:instrText>
      </w:r>
      <w:r>
        <w:rPr>
          <w:rFonts w:hint="eastAsia" w:hAnsi="宋体"/>
          <w:szCs w:val="24"/>
        </w:rPr>
        <w:instrText xml:space="preserve">= 2 \* ROMAN</w:instrText>
      </w:r>
      <w:r>
        <w:rPr>
          <w:rFonts w:hAnsi="宋体"/>
          <w:szCs w:val="24"/>
        </w:rPr>
        <w:instrText xml:space="preserve"> </w:instrText>
      </w:r>
      <w:r>
        <w:rPr>
          <w:rFonts w:hAnsi="宋体"/>
          <w:szCs w:val="24"/>
        </w:rPr>
        <w:fldChar w:fldCharType="separate"/>
      </w:r>
      <w:r>
        <w:rPr>
          <w:rFonts w:hAnsi="宋体"/>
          <w:szCs w:val="24"/>
        </w:rPr>
        <w:t>II</w:t>
      </w:r>
      <w:r>
        <w:rPr>
          <w:rFonts w:hAnsi="宋体"/>
          <w:szCs w:val="24"/>
        </w:rPr>
        <w:fldChar w:fldCharType="end"/>
      </w:r>
      <w:r>
        <w:rPr>
          <w:rFonts w:hint="eastAsia" w:hAnsi="宋体"/>
          <w:szCs w:val="24"/>
        </w:rPr>
        <w:t>类水功能区。</w:t>
      </w:r>
    </w:p>
    <w:p>
      <w:pPr>
        <w:pStyle w:val="18"/>
        <w:spacing w:after="0"/>
        <w:ind w:firstLine="480"/>
        <w:rPr>
          <w:rFonts w:hAnsi="宋体"/>
          <w:szCs w:val="24"/>
        </w:rPr>
      </w:pPr>
      <w:r>
        <w:rPr>
          <w:rFonts w:hAnsi="宋体"/>
          <w:szCs w:val="24"/>
        </w:rPr>
        <w:t>（1）环境空气</w:t>
      </w:r>
    </w:p>
    <w:p>
      <w:pPr>
        <w:pStyle w:val="18"/>
        <w:spacing w:after="0"/>
        <w:ind w:firstLine="480"/>
        <w:rPr>
          <w:rFonts w:hAnsi="宋体"/>
          <w:szCs w:val="24"/>
        </w:rPr>
      </w:pPr>
      <w:r>
        <w:rPr>
          <w:rFonts w:hAnsi="宋体"/>
          <w:szCs w:val="24"/>
        </w:rPr>
        <w:t>TSP、PM</w:t>
      </w:r>
      <w:r>
        <w:rPr>
          <w:rFonts w:hAnsi="宋体"/>
          <w:szCs w:val="24"/>
          <w:vertAlign w:val="subscript"/>
        </w:rPr>
        <w:t>10</w:t>
      </w:r>
      <w:r>
        <w:rPr>
          <w:rFonts w:hAnsi="宋体"/>
          <w:szCs w:val="24"/>
        </w:rPr>
        <w:t>、SO</w:t>
      </w:r>
      <w:r>
        <w:rPr>
          <w:rFonts w:hAnsi="宋体"/>
          <w:szCs w:val="24"/>
          <w:vertAlign w:val="subscript"/>
        </w:rPr>
        <w:t>2</w:t>
      </w:r>
      <w:r>
        <w:rPr>
          <w:rFonts w:hAnsi="宋体"/>
          <w:szCs w:val="24"/>
        </w:rPr>
        <w:t>、NO</w:t>
      </w:r>
      <w:r>
        <w:rPr>
          <w:rFonts w:hAnsi="宋体"/>
          <w:szCs w:val="24"/>
          <w:vertAlign w:val="subscript"/>
        </w:rPr>
        <w:t>2</w:t>
      </w:r>
      <w:r>
        <w:rPr>
          <w:rFonts w:hAnsi="宋体"/>
          <w:szCs w:val="24"/>
        </w:rPr>
        <w:t>、PM</w:t>
      </w:r>
      <w:r>
        <w:rPr>
          <w:rFonts w:hAnsi="宋体"/>
          <w:szCs w:val="24"/>
          <w:vertAlign w:val="subscript"/>
        </w:rPr>
        <w:t>2.5</w:t>
      </w:r>
      <w:r>
        <w:rPr>
          <w:rFonts w:hAnsi="宋体"/>
          <w:szCs w:val="24"/>
        </w:rPr>
        <w:t>、CO、O</w:t>
      </w:r>
      <w:r>
        <w:rPr>
          <w:rFonts w:hAnsi="宋体"/>
          <w:szCs w:val="24"/>
          <w:vertAlign w:val="subscript"/>
        </w:rPr>
        <w:t>3</w:t>
      </w:r>
      <w:r>
        <w:rPr>
          <w:rFonts w:hAnsi="宋体"/>
          <w:szCs w:val="24"/>
        </w:rPr>
        <w:t>执行《环境空气质量标准》（GB3095-2012）中二级标准</w:t>
      </w:r>
      <w:r>
        <w:rPr>
          <w:rStyle w:val="576"/>
          <w:rFonts w:hint="eastAsia" w:ascii="Times New Roman" w:hAnsi="宋体" w:eastAsia="宋体" w:cs="Times New Roman"/>
          <w:spacing w:val="0"/>
          <w:sz w:val="24"/>
          <w:szCs w:val="24"/>
          <w:lang w:val="zh-TW"/>
        </w:rPr>
        <w:t>。</w:t>
      </w:r>
    </w:p>
    <w:p>
      <w:pPr>
        <w:pStyle w:val="18"/>
        <w:spacing w:after="0"/>
        <w:ind w:firstLine="480"/>
        <w:rPr>
          <w:rFonts w:hAnsi="宋体"/>
          <w:szCs w:val="24"/>
        </w:rPr>
      </w:pPr>
      <w:r>
        <w:rPr>
          <w:rFonts w:hAnsi="宋体"/>
          <w:szCs w:val="24"/>
        </w:rPr>
        <w:t>（</w:t>
      </w:r>
      <w:r>
        <w:rPr>
          <w:rFonts w:hint="eastAsia" w:hAnsi="宋体"/>
          <w:szCs w:val="24"/>
        </w:rPr>
        <w:t>2</w:t>
      </w:r>
      <w:r>
        <w:rPr>
          <w:rFonts w:hAnsi="宋体"/>
          <w:szCs w:val="24"/>
        </w:rPr>
        <w:t>）地下水环境</w:t>
      </w:r>
    </w:p>
    <w:p>
      <w:pPr>
        <w:pStyle w:val="18"/>
        <w:spacing w:after="0"/>
        <w:ind w:firstLine="480"/>
        <w:rPr>
          <w:rFonts w:hAnsi="宋体"/>
          <w:szCs w:val="24"/>
        </w:rPr>
      </w:pPr>
      <w:r>
        <w:rPr>
          <w:rFonts w:hint="eastAsia" w:hAnsi="宋体"/>
          <w:szCs w:val="24"/>
        </w:rPr>
        <w:t>地下水环境</w:t>
      </w:r>
      <w:r>
        <w:rPr>
          <w:rFonts w:hAnsi="宋体"/>
          <w:szCs w:val="24"/>
        </w:rPr>
        <w:t>执行《地下水质量标准》</w:t>
      </w:r>
      <w:r>
        <w:rPr>
          <w:rFonts w:hint="eastAsia" w:hAnsi="宋体"/>
          <w:szCs w:val="24"/>
        </w:rPr>
        <w:t>（</w:t>
      </w:r>
      <w:r>
        <w:rPr>
          <w:rFonts w:hAnsi="宋体"/>
          <w:szCs w:val="24"/>
        </w:rPr>
        <w:t>GB/T14848-</w:t>
      </w:r>
      <w:r>
        <w:rPr>
          <w:rFonts w:hint="eastAsia" w:hAnsi="宋体"/>
          <w:szCs w:val="24"/>
        </w:rPr>
        <w:t>2017）</w:t>
      </w:r>
      <w:r>
        <w:rPr>
          <w:rFonts w:hAnsi="宋体"/>
          <w:szCs w:val="24"/>
        </w:rPr>
        <w:t>表1中</w:t>
      </w:r>
      <w:r>
        <w:rPr>
          <w:rFonts w:hint="eastAsia" w:hAnsi="宋体"/>
          <w:szCs w:val="24"/>
        </w:rPr>
        <w:t>Ⅲ</w:t>
      </w:r>
      <w:r>
        <w:rPr>
          <w:rFonts w:hAnsi="宋体"/>
          <w:szCs w:val="24"/>
        </w:rPr>
        <w:t>类标准。</w:t>
      </w:r>
    </w:p>
    <w:p>
      <w:pPr>
        <w:pStyle w:val="18"/>
        <w:spacing w:after="0"/>
        <w:ind w:firstLine="480"/>
        <w:rPr>
          <w:rFonts w:hAnsi="宋体"/>
          <w:szCs w:val="24"/>
        </w:rPr>
      </w:pPr>
      <w:r>
        <w:rPr>
          <w:rFonts w:hAnsi="宋体"/>
          <w:szCs w:val="24"/>
        </w:rPr>
        <w:t>（</w:t>
      </w:r>
      <w:r>
        <w:rPr>
          <w:rFonts w:hint="eastAsia" w:hAnsi="宋体"/>
          <w:szCs w:val="24"/>
        </w:rPr>
        <w:t>3</w:t>
      </w:r>
      <w:r>
        <w:rPr>
          <w:rFonts w:hAnsi="宋体"/>
          <w:szCs w:val="24"/>
        </w:rPr>
        <w:t>）声环境</w:t>
      </w:r>
    </w:p>
    <w:p>
      <w:pPr>
        <w:pStyle w:val="18"/>
        <w:spacing w:after="0"/>
        <w:ind w:firstLine="480"/>
        <w:rPr>
          <w:rFonts w:hAnsi="宋体"/>
          <w:szCs w:val="24"/>
        </w:rPr>
      </w:pPr>
      <w:r>
        <w:rPr>
          <w:rFonts w:hAnsi="宋体"/>
          <w:szCs w:val="24"/>
        </w:rPr>
        <w:t>区域声环境质量执行《声环境质量标准》（GB3096-2008）</w:t>
      </w:r>
      <w:r>
        <w:rPr>
          <w:rFonts w:hint="eastAsia" w:hAnsi="宋体"/>
          <w:szCs w:val="24"/>
        </w:rPr>
        <w:t>2</w:t>
      </w:r>
      <w:r>
        <w:rPr>
          <w:rFonts w:hAnsi="宋体"/>
          <w:szCs w:val="24"/>
        </w:rPr>
        <w:t>类</w:t>
      </w:r>
      <w:r>
        <w:rPr>
          <w:rFonts w:hint="eastAsia" w:hAnsi="宋体"/>
          <w:szCs w:val="24"/>
        </w:rPr>
        <w:t>或4a类</w:t>
      </w:r>
      <w:r>
        <w:rPr>
          <w:rFonts w:hAnsi="宋体"/>
          <w:szCs w:val="24"/>
        </w:rPr>
        <w:t>标准。</w:t>
      </w:r>
      <w:r>
        <w:rPr>
          <w:rFonts w:hint="eastAsia"/>
        </w:rPr>
        <w:t>根据《关于公路、铁路（含轻轨）等建设项目环境影响评价中环境噪声有关问题的通知》（环发[2003]94号</w:t>
      </w:r>
      <w:r>
        <w:t>）</w:t>
      </w:r>
      <w:r>
        <w:rPr>
          <w:rFonts w:hint="eastAsia"/>
        </w:rPr>
        <w:t>评价范围内的学校、医院（疗养院、敬老院）等特殊敏感建筑物，其室外昼间按60dB（A）、夜间按50dB（A）执行。</w:t>
      </w:r>
    </w:p>
    <w:p>
      <w:pPr>
        <w:pStyle w:val="18"/>
        <w:spacing w:after="0"/>
        <w:ind w:firstLine="480"/>
        <w:rPr>
          <w:rFonts w:hAnsi="宋体"/>
          <w:szCs w:val="24"/>
        </w:rPr>
      </w:pPr>
      <w:r>
        <w:rPr>
          <w:rFonts w:hint="eastAsia" w:hAnsi="宋体"/>
          <w:szCs w:val="24"/>
        </w:rPr>
        <w:t>（4）地表水环境</w:t>
      </w:r>
    </w:p>
    <w:p>
      <w:pPr>
        <w:pStyle w:val="18"/>
        <w:spacing w:after="0"/>
        <w:ind w:firstLine="480"/>
        <w:rPr>
          <w:rFonts w:hAnsi="宋体"/>
          <w:szCs w:val="24"/>
        </w:rPr>
      </w:pPr>
      <w:r>
        <w:rPr>
          <w:rFonts w:hint="eastAsia" w:hAnsi="宋体"/>
          <w:szCs w:val="24"/>
        </w:rPr>
        <w:t>黎河执行</w:t>
      </w:r>
      <w:r>
        <w:rPr>
          <w:rFonts w:hAnsi="宋体"/>
          <w:szCs w:val="24"/>
        </w:rPr>
        <w:t>《地表水环境质量标准》（GB3838-2002）表1中的</w:t>
      </w:r>
      <w:r>
        <w:rPr>
          <w:rFonts w:hAnsi="宋体"/>
          <w:szCs w:val="24"/>
        </w:rPr>
        <w:fldChar w:fldCharType="begin"/>
      </w:r>
      <w:r>
        <w:rPr>
          <w:rFonts w:hAnsi="宋体"/>
          <w:szCs w:val="24"/>
        </w:rPr>
        <w:instrText xml:space="preserve"> </w:instrText>
      </w:r>
      <w:r>
        <w:rPr>
          <w:rFonts w:hint="eastAsia" w:hAnsi="宋体"/>
          <w:szCs w:val="24"/>
        </w:rPr>
        <w:instrText xml:space="preserve">= 2 \* ROMAN</w:instrText>
      </w:r>
      <w:r>
        <w:rPr>
          <w:rFonts w:hAnsi="宋体"/>
          <w:szCs w:val="24"/>
        </w:rPr>
        <w:instrText xml:space="preserve"> </w:instrText>
      </w:r>
      <w:r>
        <w:rPr>
          <w:rFonts w:hAnsi="宋体"/>
          <w:szCs w:val="24"/>
        </w:rPr>
        <w:fldChar w:fldCharType="separate"/>
      </w:r>
      <w:r>
        <w:rPr>
          <w:rFonts w:hAnsi="宋体"/>
          <w:szCs w:val="24"/>
        </w:rPr>
        <w:t>II</w:t>
      </w:r>
      <w:r>
        <w:rPr>
          <w:rFonts w:hAnsi="宋体"/>
          <w:szCs w:val="24"/>
        </w:rPr>
        <w:fldChar w:fldCharType="end"/>
      </w:r>
      <w:r>
        <w:rPr>
          <w:rFonts w:hAnsi="宋体"/>
          <w:szCs w:val="24"/>
        </w:rPr>
        <w:t>类标准。</w:t>
      </w:r>
    </w:p>
    <w:p>
      <w:pPr>
        <w:pStyle w:val="185"/>
        <w:spacing w:line="480" w:lineRule="exact"/>
        <w:rPr>
          <w:sz w:val="21"/>
          <w:szCs w:val="21"/>
        </w:rPr>
      </w:pPr>
      <w:r>
        <w:rPr>
          <w:rFonts w:hint="eastAsia"/>
          <w:sz w:val="21"/>
          <w:szCs w:val="21"/>
        </w:rPr>
        <w:t>表2.6</w:t>
      </w:r>
      <w:r>
        <w:rPr>
          <w:sz w:val="21"/>
          <w:szCs w:val="21"/>
        </w:rPr>
        <w:t>-1</w:t>
      </w:r>
      <w:r>
        <w:rPr>
          <w:rFonts w:hint="eastAsia"/>
          <w:sz w:val="21"/>
          <w:szCs w:val="21"/>
        </w:rPr>
        <w:t>环境质量标准一览表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9"/>
        <w:gridCol w:w="864"/>
        <w:gridCol w:w="2068"/>
        <w:gridCol w:w="1300"/>
        <w:gridCol w:w="986"/>
        <w:gridCol w:w="3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3" w:type="pct"/>
            <w:vAlign w:val="center"/>
          </w:tcPr>
          <w:p>
            <w:pPr>
              <w:spacing w:line="240" w:lineRule="auto"/>
              <w:ind w:firstLine="0" w:firstLineChars="0"/>
              <w:jc w:val="center"/>
              <w:rPr>
                <w:sz w:val="21"/>
              </w:rPr>
            </w:pPr>
            <w:r>
              <w:rPr>
                <w:sz w:val="21"/>
              </w:rPr>
              <w:t>环境</w:t>
            </w:r>
          </w:p>
          <w:p>
            <w:pPr>
              <w:spacing w:line="240" w:lineRule="auto"/>
              <w:ind w:firstLine="0" w:firstLineChars="0"/>
              <w:jc w:val="center"/>
              <w:rPr>
                <w:sz w:val="21"/>
              </w:rPr>
            </w:pPr>
            <w:r>
              <w:rPr>
                <w:sz w:val="21"/>
              </w:rPr>
              <w:t>要素</w:t>
            </w:r>
          </w:p>
        </w:tc>
        <w:tc>
          <w:tcPr>
            <w:tcW w:w="1588" w:type="pct"/>
            <w:gridSpan w:val="2"/>
            <w:vAlign w:val="center"/>
          </w:tcPr>
          <w:p>
            <w:pPr>
              <w:spacing w:line="240" w:lineRule="auto"/>
              <w:ind w:firstLine="0" w:firstLineChars="0"/>
              <w:jc w:val="center"/>
              <w:rPr>
                <w:sz w:val="21"/>
              </w:rPr>
            </w:pPr>
            <w:r>
              <w:rPr>
                <w:sz w:val="21"/>
              </w:rPr>
              <w:t>评价因子</w:t>
            </w:r>
          </w:p>
        </w:tc>
        <w:tc>
          <w:tcPr>
            <w:tcW w:w="704" w:type="pct"/>
            <w:vAlign w:val="center"/>
          </w:tcPr>
          <w:p>
            <w:pPr>
              <w:spacing w:line="240" w:lineRule="auto"/>
              <w:ind w:firstLine="0" w:firstLineChars="0"/>
              <w:jc w:val="center"/>
              <w:rPr>
                <w:sz w:val="21"/>
              </w:rPr>
            </w:pPr>
            <w:r>
              <w:rPr>
                <w:sz w:val="21"/>
              </w:rPr>
              <w:t>标准数值</w:t>
            </w:r>
          </w:p>
        </w:tc>
        <w:tc>
          <w:tcPr>
            <w:tcW w:w="534" w:type="pct"/>
            <w:vAlign w:val="center"/>
          </w:tcPr>
          <w:p>
            <w:pPr>
              <w:spacing w:line="240" w:lineRule="auto"/>
              <w:ind w:firstLine="0" w:firstLineChars="0"/>
              <w:jc w:val="center"/>
              <w:rPr>
                <w:sz w:val="21"/>
              </w:rPr>
            </w:pPr>
            <w:r>
              <w:rPr>
                <w:sz w:val="21"/>
              </w:rPr>
              <w:t>单位</w:t>
            </w:r>
          </w:p>
        </w:tc>
        <w:tc>
          <w:tcPr>
            <w:tcW w:w="1670" w:type="pct"/>
            <w:vAlign w:val="center"/>
          </w:tcPr>
          <w:p>
            <w:pPr>
              <w:spacing w:line="240" w:lineRule="auto"/>
              <w:ind w:firstLine="0" w:firstLineChars="0"/>
              <w:jc w:val="center"/>
              <w:rPr>
                <w:sz w:val="21"/>
              </w:rPr>
            </w:pPr>
            <w:r>
              <w:rPr>
                <w:sz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restart"/>
            <w:vAlign w:val="center"/>
          </w:tcPr>
          <w:p>
            <w:pPr>
              <w:spacing w:line="240" w:lineRule="auto"/>
              <w:ind w:firstLine="0" w:firstLineChars="0"/>
              <w:jc w:val="center"/>
              <w:rPr>
                <w:sz w:val="21"/>
              </w:rPr>
            </w:pPr>
            <w:r>
              <w:rPr>
                <w:sz w:val="21"/>
              </w:rPr>
              <w:t>环境</w:t>
            </w:r>
          </w:p>
          <w:p>
            <w:pPr>
              <w:spacing w:line="240" w:lineRule="auto"/>
              <w:ind w:firstLine="0" w:firstLineChars="0"/>
              <w:jc w:val="center"/>
              <w:rPr>
                <w:sz w:val="21"/>
              </w:rPr>
            </w:pPr>
            <w:r>
              <w:rPr>
                <w:sz w:val="21"/>
              </w:rPr>
              <w:t>空气</w:t>
            </w:r>
          </w:p>
        </w:tc>
        <w:tc>
          <w:tcPr>
            <w:tcW w:w="468" w:type="pct"/>
            <w:vMerge w:val="restart"/>
            <w:vAlign w:val="center"/>
          </w:tcPr>
          <w:p>
            <w:pPr>
              <w:pStyle w:val="586"/>
              <w:spacing w:line="240" w:lineRule="auto"/>
              <w:jc w:val="center"/>
              <w:outlineLvl w:val="9"/>
              <w:rPr>
                <w:b w:val="0"/>
                <w:spacing w:val="-10"/>
                <w:kern w:val="2"/>
                <w:sz w:val="21"/>
                <w:szCs w:val="21"/>
              </w:rPr>
            </w:pPr>
            <w:r>
              <w:rPr>
                <w:b w:val="0"/>
                <w:spacing w:val="-10"/>
                <w:kern w:val="2"/>
                <w:sz w:val="21"/>
                <w:szCs w:val="21"/>
              </w:rPr>
              <w:t>SO</w:t>
            </w:r>
            <w:r>
              <w:rPr>
                <w:b w:val="0"/>
                <w:spacing w:val="-10"/>
                <w:kern w:val="2"/>
                <w:sz w:val="21"/>
                <w:szCs w:val="21"/>
                <w:vertAlign w:val="subscript"/>
              </w:rPr>
              <w:t>2</w:t>
            </w: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150</w:t>
            </w:r>
          </w:p>
        </w:tc>
        <w:tc>
          <w:tcPr>
            <w:tcW w:w="534" w:type="pct"/>
            <w:vMerge w:val="restart"/>
            <w:vAlign w:val="center"/>
          </w:tcPr>
          <w:p>
            <w:pPr>
              <w:spacing w:line="240" w:lineRule="auto"/>
              <w:ind w:firstLine="0" w:firstLineChars="0"/>
              <w:jc w:val="center"/>
              <w:rPr>
                <w:sz w:val="21"/>
              </w:rPr>
            </w:pPr>
            <w:r>
              <w:rPr>
                <w:sz w:val="21"/>
              </w:rPr>
              <w:t>μg/m</w:t>
            </w:r>
            <w:r>
              <w:rPr>
                <w:sz w:val="21"/>
                <w:vertAlign w:val="superscript"/>
              </w:rPr>
              <w:t>3</w:t>
            </w:r>
          </w:p>
        </w:tc>
        <w:tc>
          <w:tcPr>
            <w:tcW w:w="1670" w:type="pct"/>
            <w:vMerge w:val="restart"/>
            <w:vAlign w:val="center"/>
          </w:tcPr>
          <w:p>
            <w:pPr>
              <w:spacing w:line="240" w:lineRule="auto"/>
              <w:ind w:firstLine="0" w:firstLineChars="0"/>
              <w:jc w:val="center"/>
              <w:rPr>
                <w:sz w:val="21"/>
              </w:rPr>
            </w:pPr>
            <w:r>
              <w:rPr>
                <w:sz w:val="21"/>
              </w:rPr>
              <w:t>《环境空气质量标准》（GB3095-2012）中二级标准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spacing w:line="240" w:lineRule="auto"/>
              <w:ind w:firstLine="0" w:firstLineChars="0"/>
              <w:jc w:val="center"/>
              <w:rPr>
                <w:sz w:val="21"/>
              </w:rPr>
            </w:pPr>
          </w:p>
        </w:tc>
        <w:tc>
          <w:tcPr>
            <w:tcW w:w="1120" w:type="pct"/>
            <w:vAlign w:val="center"/>
          </w:tcPr>
          <w:p>
            <w:pPr>
              <w:spacing w:line="240" w:lineRule="auto"/>
              <w:ind w:firstLine="0" w:firstLineChars="0"/>
              <w:jc w:val="center"/>
              <w:rPr>
                <w:sz w:val="21"/>
              </w:rPr>
            </w:pPr>
            <w:r>
              <w:rPr>
                <w:sz w:val="21"/>
              </w:rPr>
              <w:t>1小时平均</w:t>
            </w:r>
          </w:p>
        </w:tc>
        <w:tc>
          <w:tcPr>
            <w:tcW w:w="704" w:type="pct"/>
            <w:vAlign w:val="center"/>
          </w:tcPr>
          <w:p>
            <w:pPr>
              <w:widowControl/>
              <w:spacing w:line="240" w:lineRule="auto"/>
              <w:ind w:firstLine="0" w:firstLineChars="0"/>
              <w:jc w:val="center"/>
              <w:rPr>
                <w:spacing w:val="-10"/>
                <w:sz w:val="21"/>
              </w:rPr>
            </w:pPr>
            <w:r>
              <w:rPr>
                <w:spacing w:val="-10"/>
                <w:sz w:val="21"/>
              </w:rPr>
              <w:t>500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restart"/>
            <w:vAlign w:val="center"/>
          </w:tcPr>
          <w:p>
            <w:pPr>
              <w:pStyle w:val="586"/>
              <w:spacing w:line="240" w:lineRule="auto"/>
              <w:jc w:val="center"/>
              <w:outlineLvl w:val="9"/>
              <w:rPr>
                <w:b w:val="0"/>
                <w:spacing w:val="-10"/>
                <w:kern w:val="2"/>
                <w:sz w:val="21"/>
                <w:szCs w:val="21"/>
              </w:rPr>
            </w:pPr>
            <w:r>
              <w:rPr>
                <w:b w:val="0"/>
                <w:spacing w:val="-10"/>
                <w:kern w:val="2"/>
                <w:sz w:val="21"/>
                <w:szCs w:val="21"/>
              </w:rPr>
              <w:t>NO</w:t>
            </w:r>
            <w:r>
              <w:rPr>
                <w:b w:val="0"/>
                <w:spacing w:val="-10"/>
                <w:kern w:val="2"/>
                <w:sz w:val="21"/>
                <w:szCs w:val="21"/>
                <w:vertAlign w:val="subscript"/>
              </w:rPr>
              <w:t>2</w:t>
            </w: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80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spacing w:line="240" w:lineRule="auto"/>
              <w:ind w:firstLine="0" w:firstLineChars="0"/>
              <w:jc w:val="center"/>
              <w:rPr>
                <w:sz w:val="21"/>
              </w:rPr>
            </w:pPr>
          </w:p>
        </w:tc>
        <w:tc>
          <w:tcPr>
            <w:tcW w:w="1120" w:type="pct"/>
            <w:vAlign w:val="center"/>
          </w:tcPr>
          <w:p>
            <w:pPr>
              <w:spacing w:line="240" w:lineRule="auto"/>
              <w:ind w:firstLine="0" w:firstLineChars="0"/>
              <w:jc w:val="center"/>
              <w:rPr>
                <w:sz w:val="21"/>
              </w:rPr>
            </w:pPr>
            <w:r>
              <w:rPr>
                <w:sz w:val="21"/>
              </w:rPr>
              <w:t>1小时平均</w:t>
            </w:r>
          </w:p>
        </w:tc>
        <w:tc>
          <w:tcPr>
            <w:tcW w:w="704" w:type="pct"/>
            <w:vAlign w:val="center"/>
          </w:tcPr>
          <w:p>
            <w:pPr>
              <w:widowControl/>
              <w:spacing w:line="240" w:lineRule="auto"/>
              <w:ind w:firstLine="0" w:firstLineChars="0"/>
              <w:jc w:val="center"/>
              <w:rPr>
                <w:spacing w:val="-10"/>
                <w:sz w:val="21"/>
              </w:rPr>
            </w:pPr>
            <w:r>
              <w:rPr>
                <w:spacing w:val="-10"/>
                <w:sz w:val="21"/>
              </w:rPr>
              <w:t>200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restart"/>
            <w:vAlign w:val="center"/>
          </w:tcPr>
          <w:p>
            <w:pPr>
              <w:spacing w:line="240" w:lineRule="auto"/>
              <w:ind w:firstLine="0" w:firstLineChars="0"/>
              <w:jc w:val="center"/>
              <w:rPr>
                <w:sz w:val="21"/>
              </w:rPr>
            </w:pPr>
            <w:r>
              <w:rPr>
                <w:sz w:val="21"/>
              </w:rPr>
              <w:t>O</w:t>
            </w:r>
            <w:r>
              <w:rPr>
                <w:sz w:val="21"/>
                <w:vertAlign w:val="subscript"/>
              </w:rPr>
              <w:t>3</w:t>
            </w:r>
          </w:p>
        </w:tc>
        <w:tc>
          <w:tcPr>
            <w:tcW w:w="1120" w:type="pct"/>
            <w:vAlign w:val="center"/>
          </w:tcPr>
          <w:p>
            <w:pPr>
              <w:spacing w:line="240" w:lineRule="auto"/>
              <w:ind w:firstLine="0" w:firstLineChars="0"/>
              <w:jc w:val="center"/>
              <w:rPr>
                <w:sz w:val="21"/>
              </w:rPr>
            </w:pPr>
            <w:r>
              <w:rPr>
                <w:sz w:val="21"/>
              </w:rPr>
              <w:t>日最大8小时平均</w:t>
            </w:r>
          </w:p>
        </w:tc>
        <w:tc>
          <w:tcPr>
            <w:tcW w:w="704" w:type="pct"/>
            <w:vAlign w:val="center"/>
          </w:tcPr>
          <w:p>
            <w:pPr>
              <w:widowControl/>
              <w:spacing w:line="240" w:lineRule="auto"/>
              <w:ind w:firstLine="0" w:firstLineChars="0"/>
              <w:jc w:val="center"/>
              <w:rPr>
                <w:spacing w:val="-10"/>
                <w:sz w:val="21"/>
              </w:rPr>
            </w:pPr>
            <w:r>
              <w:rPr>
                <w:spacing w:val="-10"/>
                <w:sz w:val="21"/>
              </w:rPr>
              <w:t>160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spacing w:line="240" w:lineRule="auto"/>
              <w:ind w:firstLine="0" w:firstLineChars="0"/>
              <w:jc w:val="center"/>
              <w:rPr>
                <w:sz w:val="21"/>
              </w:rPr>
            </w:pPr>
          </w:p>
        </w:tc>
        <w:tc>
          <w:tcPr>
            <w:tcW w:w="1120" w:type="pct"/>
            <w:vAlign w:val="center"/>
          </w:tcPr>
          <w:p>
            <w:pPr>
              <w:spacing w:line="240" w:lineRule="auto"/>
              <w:ind w:firstLine="0" w:firstLineChars="0"/>
              <w:jc w:val="center"/>
              <w:rPr>
                <w:sz w:val="21"/>
              </w:rPr>
            </w:pPr>
            <w:r>
              <w:rPr>
                <w:sz w:val="21"/>
              </w:rPr>
              <w:t>1小时平均</w:t>
            </w:r>
          </w:p>
        </w:tc>
        <w:tc>
          <w:tcPr>
            <w:tcW w:w="704" w:type="pct"/>
            <w:vAlign w:val="center"/>
          </w:tcPr>
          <w:p>
            <w:pPr>
              <w:widowControl/>
              <w:spacing w:line="240" w:lineRule="auto"/>
              <w:ind w:firstLine="0" w:firstLineChars="0"/>
              <w:jc w:val="center"/>
              <w:rPr>
                <w:spacing w:val="-10"/>
                <w:sz w:val="21"/>
              </w:rPr>
            </w:pPr>
            <w:r>
              <w:rPr>
                <w:spacing w:val="-10"/>
                <w:sz w:val="21"/>
              </w:rPr>
              <w:t>200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Align w:val="center"/>
          </w:tcPr>
          <w:p>
            <w:pPr>
              <w:pStyle w:val="586"/>
              <w:spacing w:line="240" w:lineRule="auto"/>
              <w:jc w:val="center"/>
              <w:outlineLvl w:val="9"/>
              <w:rPr>
                <w:b w:val="0"/>
                <w:spacing w:val="-10"/>
                <w:kern w:val="2"/>
                <w:sz w:val="21"/>
                <w:szCs w:val="21"/>
              </w:rPr>
            </w:pPr>
            <w:r>
              <w:rPr>
                <w:b w:val="0"/>
                <w:spacing w:val="-10"/>
                <w:kern w:val="2"/>
                <w:sz w:val="21"/>
                <w:szCs w:val="21"/>
              </w:rPr>
              <w:t>TSP</w:t>
            </w: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300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restart"/>
            <w:vAlign w:val="center"/>
          </w:tcPr>
          <w:p>
            <w:pPr>
              <w:pStyle w:val="586"/>
              <w:spacing w:line="240" w:lineRule="auto"/>
              <w:jc w:val="center"/>
              <w:outlineLvl w:val="9"/>
              <w:rPr>
                <w:b w:val="0"/>
                <w:spacing w:val="-10"/>
                <w:kern w:val="2"/>
                <w:sz w:val="21"/>
                <w:szCs w:val="21"/>
              </w:rPr>
            </w:pPr>
            <w:r>
              <w:rPr>
                <w:b w:val="0"/>
                <w:spacing w:val="-10"/>
                <w:kern w:val="2"/>
                <w:sz w:val="21"/>
                <w:szCs w:val="21"/>
              </w:rPr>
              <w:t>PM</w:t>
            </w:r>
            <w:r>
              <w:rPr>
                <w:b w:val="0"/>
                <w:spacing w:val="-10"/>
                <w:kern w:val="2"/>
                <w:sz w:val="21"/>
                <w:szCs w:val="21"/>
                <w:vertAlign w:val="subscript"/>
              </w:rPr>
              <w:t>10</w:t>
            </w:r>
          </w:p>
        </w:tc>
        <w:tc>
          <w:tcPr>
            <w:tcW w:w="1120" w:type="pct"/>
            <w:vAlign w:val="center"/>
          </w:tcPr>
          <w:p>
            <w:pPr>
              <w:spacing w:line="240" w:lineRule="auto"/>
              <w:ind w:firstLine="0" w:firstLineChars="0"/>
              <w:jc w:val="center"/>
              <w:rPr>
                <w:sz w:val="21"/>
              </w:rPr>
            </w:pPr>
            <w:r>
              <w:rPr>
                <w:sz w:val="21"/>
              </w:rPr>
              <w:t>年平均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70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pStyle w:val="586"/>
              <w:spacing w:line="240" w:lineRule="auto"/>
              <w:jc w:val="center"/>
              <w:outlineLvl w:val="9"/>
              <w:rPr>
                <w:b w:val="0"/>
                <w:spacing w:val="-10"/>
                <w:kern w:val="2"/>
                <w:sz w:val="21"/>
                <w:szCs w:val="21"/>
              </w:rPr>
            </w:pP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150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restart"/>
            <w:vAlign w:val="center"/>
          </w:tcPr>
          <w:p>
            <w:pPr>
              <w:pStyle w:val="586"/>
              <w:spacing w:line="240" w:lineRule="auto"/>
              <w:jc w:val="center"/>
              <w:outlineLvl w:val="9"/>
              <w:rPr>
                <w:b w:val="0"/>
                <w:spacing w:val="-10"/>
                <w:kern w:val="2"/>
                <w:sz w:val="21"/>
                <w:szCs w:val="21"/>
              </w:rPr>
            </w:pPr>
            <w:r>
              <w:rPr>
                <w:b w:val="0"/>
                <w:spacing w:val="-10"/>
                <w:kern w:val="2"/>
                <w:sz w:val="21"/>
                <w:szCs w:val="21"/>
              </w:rPr>
              <w:t>PM</w:t>
            </w:r>
            <w:r>
              <w:rPr>
                <w:b w:val="0"/>
                <w:spacing w:val="-10"/>
                <w:kern w:val="2"/>
                <w:sz w:val="21"/>
                <w:szCs w:val="21"/>
                <w:vertAlign w:val="subscript"/>
              </w:rPr>
              <w:t>2.5</w:t>
            </w:r>
          </w:p>
        </w:tc>
        <w:tc>
          <w:tcPr>
            <w:tcW w:w="1120" w:type="pct"/>
            <w:vAlign w:val="center"/>
          </w:tcPr>
          <w:p>
            <w:pPr>
              <w:spacing w:line="240" w:lineRule="auto"/>
              <w:ind w:firstLine="0" w:firstLineChars="0"/>
              <w:jc w:val="center"/>
              <w:rPr>
                <w:sz w:val="21"/>
              </w:rPr>
            </w:pPr>
            <w:r>
              <w:rPr>
                <w:sz w:val="21"/>
              </w:rPr>
              <w:t>年平均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35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pStyle w:val="586"/>
              <w:spacing w:line="240" w:lineRule="auto"/>
              <w:jc w:val="center"/>
              <w:outlineLvl w:val="9"/>
              <w:rPr>
                <w:b w:val="0"/>
                <w:spacing w:val="-10"/>
                <w:kern w:val="2"/>
                <w:sz w:val="21"/>
                <w:szCs w:val="21"/>
              </w:rPr>
            </w:pP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75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restart"/>
            <w:vAlign w:val="center"/>
          </w:tcPr>
          <w:p>
            <w:pPr>
              <w:pStyle w:val="586"/>
              <w:spacing w:line="240" w:lineRule="auto"/>
              <w:jc w:val="center"/>
              <w:outlineLvl w:val="9"/>
              <w:rPr>
                <w:b w:val="0"/>
                <w:spacing w:val="-10"/>
                <w:kern w:val="2"/>
                <w:sz w:val="21"/>
                <w:szCs w:val="21"/>
              </w:rPr>
            </w:pPr>
            <w:r>
              <w:rPr>
                <w:b w:val="0"/>
                <w:spacing w:val="-10"/>
                <w:kern w:val="2"/>
                <w:sz w:val="21"/>
                <w:szCs w:val="21"/>
              </w:rPr>
              <w:t>CO</w:t>
            </w:r>
          </w:p>
        </w:tc>
        <w:tc>
          <w:tcPr>
            <w:tcW w:w="1120" w:type="pct"/>
            <w:vAlign w:val="center"/>
          </w:tcPr>
          <w:p>
            <w:pPr>
              <w:spacing w:line="240" w:lineRule="auto"/>
              <w:ind w:firstLine="0" w:firstLineChars="0"/>
              <w:jc w:val="center"/>
              <w:rPr>
                <w:sz w:val="21"/>
              </w:rPr>
            </w:pPr>
            <w:r>
              <w:rPr>
                <w:sz w:val="21"/>
              </w:rPr>
              <w:t>24小时平均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4</w:t>
            </w:r>
          </w:p>
        </w:tc>
        <w:tc>
          <w:tcPr>
            <w:tcW w:w="534" w:type="pct"/>
            <w:vMerge w:val="restart"/>
            <w:vAlign w:val="center"/>
          </w:tcPr>
          <w:p>
            <w:pPr>
              <w:spacing w:line="240" w:lineRule="auto"/>
              <w:ind w:firstLine="0" w:firstLineChars="0"/>
              <w:jc w:val="center"/>
              <w:rPr>
                <w:sz w:val="21"/>
              </w:rPr>
            </w:pPr>
            <w:r>
              <w:rPr>
                <w:rFonts w:hint="eastAsia"/>
                <w:sz w:val="21"/>
              </w:rPr>
              <w:t>m</w:t>
            </w:r>
            <w:r>
              <w:rPr>
                <w:sz w:val="21"/>
              </w:rPr>
              <w:t>g/m</w:t>
            </w:r>
            <w:r>
              <w:rPr>
                <w:sz w:val="21"/>
                <w:vertAlign w:val="superscript"/>
              </w:rPr>
              <w:t>3</w:t>
            </w: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468" w:type="pct"/>
            <w:vMerge w:val="continue"/>
            <w:vAlign w:val="center"/>
          </w:tcPr>
          <w:p>
            <w:pPr>
              <w:pStyle w:val="586"/>
              <w:spacing w:line="240" w:lineRule="auto"/>
              <w:jc w:val="center"/>
              <w:outlineLvl w:val="9"/>
              <w:rPr>
                <w:b w:val="0"/>
                <w:spacing w:val="-10"/>
                <w:kern w:val="2"/>
                <w:sz w:val="21"/>
                <w:szCs w:val="21"/>
              </w:rPr>
            </w:pPr>
          </w:p>
        </w:tc>
        <w:tc>
          <w:tcPr>
            <w:tcW w:w="1120" w:type="pct"/>
            <w:vAlign w:val="center"/>
          </w:tcPr>
          <w:p>
            <w:pPr>
              <w:spacing w:line="240" w:lineRule="auto"/>
              <w:ind w:firstLine="0" w:firstLineChars="0"/>
              <w:jc w:val="center"/>
              <w:rPr>
                <w:sz w:val="21"/>
              </w:rPr>
            </w:pPr>
            <w:r>
              <w:rPr>
                <w:sz w:val="21"/>
              </w:rPr>
              <w:t>1小时平均</w:t>
            </w:r>
          </w:p>
        </w:tc>
        <w:tc>
          <w:tcPr>
            <w:tcW w:w="704" w:type="pct"/>
            <w:vAlign w:val="center"/>
          </w:tcPr>
          <w:p>
            <w:pPr>
              <w:pStyle w:val="586"/>
              <w:spacing w:line="240" w:lineRule="auto"/>
              <w:jc w:val="center"/>
              <w:outlineLvl w:val="9"/>
              <w:rPr>
                <w:b w:val="0"/>
                <w:spacing w:val="-10"/>
                <w:kern w:val="2"/>
                <w:sz w:val="21"/>
                <w:szCs w:val="21"/>
              </w:rPr>
            </w:pPr>
            <w:r>
              <w:rPr>
                <w:b w:val="0"/>
                <w:spacing w:val="-10"/>
                <w:kern w:val="2"/>
                <w:sz w:val="21"/>
                <w:szCs w:val="21"/>
              </w:rPr>
              <w:t>10</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restart"/>
            <w:vAlign w:val="center"/>
          </w:tcPr>
          <w:p>
            <w:pPr>
              <w:kinsoku w:val="0"/>
              <w:overflowPunct w:val="0"/>
              <w:autoSpaceDE w:val="0"/>
              <w:autoSpaceDN w:val="0"/>
              <w:spacing w:line="240" w:lineRule="auto"/>
              <w:ind w:firstLine="0" w:firstLineChars="0"/>
              <w:jc w:val="center"/>
              <w:rPr>
                <w:sz w:val="21"/>
              </w:rPr>
            </w:pPr>
            <w:r>
              <w:rPr>
                <w:sz w:val="21"/>
              </w:rPr>
              <w:t>地下水</w:t>
            </w:r>
          </w:p>
        </w:tc>
        <w:tc>
          <w:tcPr>
            <w:tcW w:w="1588" w:type="pct"/>
            <w:gridSpan w:val="2"/>
            <w:vAlign w:val="center"/>
          </w:tcPr>
          <w:p>
            <w:pPr>
              <w:kinsoku w:val="0"/>
              <w:overflowPunct w:val="0"/>
              <w:autoSpaceDE w:val="0"/>
              <w:autoSpaceDN w:val="0"/>
              <w:spacing w:line="240" w:lineRule="auto"/>
              <w:ind w:firstLine="0" w:firstLineChars="0"/>
              <w:jc w:val="center"/>
              <w:rPr>
                <w:sz w:val="21"/>
              </w:rPr>
            </w:pPr>
            <w:r>
              <w:rPr>
                <w:sz w:val="21"/>
              </w:rPr>
              <w:t>pH</w:t>
            </w:r>
          </w:p>
        </w:tc>
        <w:tc>
          <w:tcPr>
            <w:tcW w:w="704" w:type="pct"/>
            <w:vAlign w:val="center"/>
          </w:tcPr>
          <w:p>
            <w:pPr>
              <w:kinsoku w:val="0"/>
              <w:overflowPunct w:val="0"/>
              <w:autoSpaceDE w:val="0"/>
              <w:autoSpaceDN w:val="0"/>
              <w:spacing w:line="240" w:lineRule="auto"/>
              <w:ind w:firstLine="0" w:firstLineChars="0"/>
              <w:jc w:val="center"/>
              <w:rPr>
                <w:sz w:val="21"/>
              </w:rPr>
            </w:pPr>
            <w:r>
              <w:rPr>
                <w:sz w:val="21"/>
              </w:rPr>
              <w:t>6.5～8.5</w:t>
            </w:r>
          </w:p>
        </w:tc>
        <w:tc>
          <w:tcPr>
            <w:tcW w:w="534" w:type="pct"/>
            <w:vAlign w:val="center"/>
          </w:tcPr>
          <w:p>
            <w:pPr>
              <w:spacing w:line="240" w:lineRule="auto"/>
              <w:ind w:firstLine="0" w:firstLineChars="0"/>
              <w:jc w:val="center"/>
              <w:rPr>
                <w:sz w:val="21"/>
              </w:rPr>
            </w:pPr>
            <w:r>
              <w:rPr>
                <w:sz w:val="21"/>
              </w:rPr>
              <w:t>无量纲</w:t>
            </w:r>
          </w:p>
        </w:tc>
        <w:tc>
          <w:tcPr>
            <w:tcW w:w="1670" w:type="pct"/>
            <w:vMerge w:val="restart"/>
            <w:vAlign w:val="center"/>
          </w:tcPr>
          <w:p>
            <w:pPr>
              <w:spacing w:line="240" w:lineRule="auto"/>
              <w:ind w:firstLine="0" w:firstLineChars="0"/>
              <w:jc w:val="center"/>
              <w:rPr>
                <w:sz w:val="21"/>
              </w:rPr>
            </w:pPr>
            <w:r>
              <w:rPr>
                <w:sz w:val="21"/>
              </w:rPr>
              <w:t>《地下水质量标准》（GB/T14848-</w:t>
            </w:r>
            <w:r>
              <w:rPr>
                <w:rFonts w:hint="eastAsia"/>
                <w:sz w:val="21"/>
              </w:rPr>
              <w:t>2017</w:t>
            </w:r>
            <w:r>
              <w:rPr>
                <w:sz w:val="21"/>
              </w:rPr>
              <w:t>）</w:t>
            </w:r>
            <w:r>
              <w:rPr>
                <w:rFonts w:hint="eastAsia" w:ascii="宋体" w:hAnsi="宋体" w:cs="宋体"/>
                <w:sz w:val="21"/>
              </w:rPr>
              <w:t>Ⅲ</w:t>
            </w:r>
            <w:r>
              <w:rPr>
                <w:sz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总硬度</w:t>
            </w:r>
          </w:p>
        </w:tc>
        <w:tc>
          <w:tcPr>
            <w:tcW w:w="704" w:type="pct"/>
            <w:vAlign w:val="center"/>
          </w:tcPr>
          <w:p>
            <w:pPr>
              <w:spacing w:line="240" w:lineRule="auto"/>
              <w:ind w:firstLine="0" w:firstLineChars="0"/>
              <w:jc w:val="center"/>
              <w:rPr>
                <w:sz w:val="21"/>
              </w:rPr>
            </w:pPr>
            <w:r>
              <w:rPr>
                <w:sz w:val="21"/>
              </w:rPr>
              <w:t>450</w:t>
            </w:r>
          </w:p>
        </w:tc>
        <w:tc>
          <w:tcPr>
            <w:tcW w:w="534" w:type="pct"/>
            <w:vMerge w:val="restart"/>
            <w:vAlign w:val="center"/>
          </w:tcPr>
          <w:p>
            <w:pPr>
              <w:spacing w:line="240" w:lineRule="auto"/>
              <w:ind w:firstLine="0" w:firstLineChars="0"/>
              <w:jc w:val="center"/>
              <w:rPr>
                <w:sz w:val="21"/>
              </w:rPr>
            </w:pPr>
            <w:r>
              <w:rPr>
                <w:sz w:val="21"/>
              </w:rPr>
              <w:t>mg/L</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溶解性总固体</w:t>
            </w:r>
          </w:p>
        </w:tc>
        <w:tc>
          <w:tcPr>
            <w:tcW w:w="704" w:type="pct"/>
            <w:vAlign w:val="center"/>
          </w:tcPr>
          <w:p>
            <w:pPr>
              <w:spacing w:line="240" w:lineRule="auto"/>
              <w:ind w:firstLine="0" w:firstLineChars="0"/>
              <w:jc w:val="center"/>
              <w:rPr>
                <w:sz w:val="21"/>
              </w:rPr>
            </w:pPr>
            <w:r>
              <w:rPr>
                <w:sz w:val="21"/>
              </w:rPr>
              <w:t>1000</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硝酸盐</w:t>
            </w:r>
          </w:p>
        </w:tc>
        <w:tc>
          <w:tcPr>
            <w:tcW w:w="704" w:type="pct"/>
            <w:vAlign w:val="center"/>
          </w:tcPr>
          <w:p>
            <w:pPr>
              <w:spacing w:line="240" w:lineRule="auto"/>
              <w:ind w:firstLine="0" w:firstLineChars="0"/>
              <w:jc w:val="center"/>
              <w:rPr>
                <w:sz w:val="21"/>
              </w:rPr>
            </w:pPr>
            <w:r>
              <w:rPr>
                <w:sz w:val="21"/>
              </w:rPr>
              <w:t>20</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耗氧量</w:t>
            </w:r>
          </w:p>
        </w:tc>
        <w:tc>
          <w:tcPr>
            <w:tcW w:w="704" w:type="pct"/>
            <w:vAlign w:val="center"/>
          </w:tcPr>
          <w:p>
            <w:pPr>
              <w:spacing w:line="240" w:lineRule="auto"/>
              <w:ind w:firstLine="0" w:firstLineChars="0"/>
              <w:jc w:val="center"/>
              <w:rPr>
                <w:sz w:val="21"/>
              </w:rPr>
            </w:pPr>
            <w:r>
              <w:rPr>
                <w:sz w:val="21"/>
              </w:rPr>
              <w:t>3.0</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氨氮</w:t>
            </w:r>
          </w:p>
        </w:tc>
        <w:tc>
          <w:tcPr>
            <w:tcW w:w="704" w:type="pct"/>
            <w:vAlign w:val="center"/>
          </w:tcPr>
          <w:p>
            <w:pPr>
              <w:spacing w:line="240" w:lineRule="auto"/>
              <w:ind w:firstLine="0" w:firstLineChars="0"/>
              <w:jc w:val="center"/>
              <w:rPr>
                <w:sz w:val="21"/>
              </w:rPr>
            </w:pPr>
            <w:r>
              <w:rPr>
                <w:rFonts w:hint="eastAsia"/>
                <w:sz w:val="21"/>
              </w:rPr>
              <w:t>0.5</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挥发</w:t>
            </w:r>
            <w:r>
              <w:rPr>
                <w:rFonts w:hint="eastAsia"/>
                <w:sz w:val="21"/>
              </w:rPr>
              <w:t>性</w:t>
            </w:r>
            <w:r>
              <w:rPr>
                <w:sz w:val="21"/>
              </w:rPr>
              <w:t>酚</w:t>
            </w:r>
            <w:r>
              <w:rPr>
                <w:rFonts w:hint="eastAsia"/>
                <w:sz w:val="21"/>
              </w:rPr>
              <w:t>类</w:t>
            </w:r>
          </w:p>
        </w:tc>
        <w:tc>
          <w:tcPr>
            <w:tcW w:w="704" w:type="pct"/>
            <w:vAlign w:val="center"/>
          </w:tcPr>
          <w:p>
            <w:pPr>
              <w:spacing w:line="240" w:lineRule="auto"/>
              <w:ind w:firstLine="0" w:firstLineChars="0"/>
              <w:jc w:val="center"/>
              <w:rPr>
                <w:sz w:val="21"/>
              </w:rPr>
            </w:pPr>
            <w:r>
              <w:rPr>
                <w:sz w:val="21"/>
              </w:rPr>
              <w:t>0.002</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亚硝酸盐</w:t>
            </w:r>
          </w:p>
        </w:tc>
        <w:tc>
          <w:tcPr>
            <w:tcW w:w="704" w:type="pct"/>
            <w:vAlign w:val="center"/>
          </w:tcPr>
          <w:p>
            <w:pPr>
              <w:spacing w:line="240" w:lineRule="auto"/>
              <w:ind w:firstLine="0" w:firstLineChars="0"/>
              <w:jc w:val="center"/>
              <w:rPr>
                <w:sz w:val="21"/>
              </w:rPr>
            </w:pPr>
            <w:r>
              <w:rPr>
                <w:rFonts w:hint="eastAsia"/>
                <w:sz w:val="21"/>
              </w:rPr>
              <w:t>1.0</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氰化物</w:t>
            </w:r>
          </w:p>
        </w:tc>
        <w:tc>
          <w:tcPr>
            <w:tcW w:w="704" w:type="pct"/>
            <w:vAlign w:val="center"/>
          </w:tcPr>
          <w:p>
            <w:pPr>
              <w:spacing w:line="240" w:lineRule="auto"/>
              <w:ind w:firstLine="0" w:firstLineChars="0"/>
              <w:jc w:val="center"/>
              <w:rPr>
                <w:sz w:val="21"/>
              </w:rPr>
            </w:pPr>
            <w:r>
              <w:rPr>
                <w:sz w:val="21"/>
              </w:rPr>
              <w:t>0.05</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砷</w:t>
            </w:r>
          </w:p>
        </w:tc>
        <w:tc>
          <w:tcPr>
            <w:tcW w:w="704" w:type="pct"/>
            <w:vAlign w:val="center"/>
          </w:tcPr>
          <w:p>
            <w:pPr>
              <w:spacing w:line="240" w:lineRule="auto"/>
              <w:ind w:firstLine="0" w:firstLineChars="0"/>
              <w:jc w:val="center"/>
              <w:rPr>
                <w:sz w:val="21"/>
              </w:rPr>
            </w:pPr>
            <w:r>
              <w:rPr>
                <w:rFonts w:hint="eastAsia"/>
                <w:sz w:val="21"/>
              </w:rPr>
              <w:t>0.01</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汞</w:t>
            </w:r>
          </w:p>
        </w:tc>
        <w:tc>
          <w:tcPr>
            <w:tcW w:w="704" w:type="pct"/>
            <w:vAlign w:val="center"/>
          </w:tcPr>
          <w:p>
            <w:pPr>
              <w:spacing w:line="240" w:lineRule="auto"/>
              <w:ind w:firstLine="0" w:firstLineChars="0"/>
              <w:jc w:val="center"/>
              <w:rPr>
                <w:sz w:val="21"/>
              </w:rPr>
            </w:pPr>
            <w:r>
              <w:rPr>
                <w:sz w:val="21"/>
              </w:rPr>
              <w:t>0.001</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铬（六价）</w:t>
            </w:r>
          </w:p>
        </w:tc>
        <w:tc>
          <w:tcPr>
            <w:tcW w:w="704" w:type="pct"/>
            <w:vAlign w:val="center"/>
          </w:tcPr>
          <w:p>
            <w:pPr>
              <w:spacing w:line="240" w:lineRule="auto"/>
              <w:ind w:firstLine="0" w:firstLineChars="0"/>
              <w:jc w:val="center"/>
              <w:rPr>
                <w:sz w:val="21"/>
              </w:rPr>
            </w:pPr>
            <w:r>
              <w:rPr>
                <w:sz w:val="21"/>
              </w:rPr>
              <w:t>0.05</w:t>
            </w:r>
          </w:p>
        </w:tc>
        <w:tc>
          <w:tcPr>
            <w:tcW w:w="534" w:type="pct"/>
            <w:vMerge w:val="continue"/>
            <w:vAlign w:val="center"/>
          </w:tcPr>
          <w:p>
            <w:pPr>
              <w:spacing w:line="240" w:lineRule="auto"/>
              <w:ind w:firstLine="0" w:firstLineChars="0"/>
              <w:jc w:val="center"/>
              <w:rPr>
                <w:sz w:val="21"/>
                <w:highlight w:val="yellow"/>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铅</w:t>
            </w:r>
          </w:p>
        </w:tc>
        <w:tc>
          <w:tcPr>
            <w:tcW w:w="704" w:type="pct"/>
            <w:vAlign w:val="center"/>
          </w:tcPr>
          <w:p>
            <w:pPr>
              <w:spacing w:line="240" w:lineRule="auto"/>
              <w:ind w:firstLine="0" w:firstLineChars="0"/>
              <w:jc w:val="center"/>
              <w:rPr>
                <w:sz w:val="21"/>
              </w:rPr>
            </w:pPr>
            <w:r>
              <w:rPr>
                <w:rFonts w:hint="eastAsia"/>
                <w:sz w:val="21"/>
              </w:rPr>
              <w:t>0.01</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氟化物</w:t>
            </w:r>
          </w:p>
        </w:tc>
        <w:tc>
          <w:tcPr>
            <w:tcW w:w="704" w:type="pct"/>
            <w:vAlign w:val="center"/>
          </w:tcPr>
          <w:p>
            <w:pPr>
              <w:spacing w:line="240" w:lineRule="auto"/>
              <w:ind w:firstLine="0" w:firstLineChars="0"/>
              <w:jc w:val="center"/>
              <w:rPr>
                <w:sz w:val="21"/>
              </w:rPr>
            </w:pPr>
            <w:r>
              <w:rPr>
                <w:sz w:val="21"/>
              </w:rPr>
              <w:t>1.0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镉</w:t>
            </w:r>
          </w:p>
        </w:tc>
        <w:tc>
          <w:tcPr>
            <w:tcW w:w="704" w:type="pct"/>
            <w:vAlign w:val="center"/>
          </w:tcPr>
          <w:p>
            <w:pPr>
              <w:spacing w:line="240" w:lineRule="auto"/>
              <w:ind w:firstLine="0" w:firstLineChars="0"/>
              <w:jc w:val="center"/>
              <w:rPr>
                <w:sz w:val="21"/>
              </w:rPr>
            </w:pPr>
            <w:r>
              <w:rPr>
                <w:rFonts w:hint="eastAsia"/>
                <w:sz w:val="21"/>
              </w:rPr>
              <w:t>0.005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铁</w:t>
            </w:r>
          </w:p>
        </w:tc>
        <w:tc>
          <w:tcPr>
            <w:tcW w:w="704" w:type="pct"/>
            <w:vAlign w:val="center"/>
          </w:tcPr>
          <w:p>
            <w:pPr>
              <w:spacing w:line="240" w:lineRule="auto"/>
              <w:ind w:firstLine="0" w:firstLineChars="0"/>
              <w:jc w:val="center"/>
              <w:rPr>
                <w:sz w:val="21"/>
              </w:rPr>
            </w:pPr>
            <w:r>
              <w:rPr>
                <w:sz w:val="21"/>
              </w:rPr>
              <w:t>0.3</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锰</w:t>
            </w:r>
          </w:p>
        </w:tc>
        <w:tc>
          <w:tcPr>
            <w:tcW w:w="704" w:type="pct"/>
            <w:vAlign w:val="center"/>
          </w:tcPr>
          <w:p>
            <w:pPr>
              <w:spacing w:line="240" w:lineRule="auto"/>
              <w:ind w:firstLine="0" w:firstLineChars="0"/>
              <w:jc w:val="center"/>
              <w:rPr>
                <w:sz w:val="21"/>
              </w:rPr>
            </w:pPr>
            <w:r>
              <w:rPr>
                <w:sz w:val="21"/>
              </w:rPr>
              <w:t>0.1</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硫酸盐</w:t>
            </w:r>
          </w:p>
        </w:tc>
        <w:tc>
          <w:tcPr>
            <w:tcW w:w="704" w:type="pct"/>
            <w:vAlign w:val="center"/>
          </w:tcPr>
          <w:p>
            <w:pPr>
              <w:spacing w:line="240" w:lineRule="auto"/>
              <w:ind w:firstLine="0" w:firstLineChars="0"/>
              <w:jc w:val="center"/>
              <w:rPr>
                <w:sz w:val="21"/>
              </w:rPr>
            </w:pPr>
            <w:r>
              <w:rPr>
                <w:sz w:val="21"/>
              </w:rPr>
              <w:t>250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氯化物</w:t>
            </w:r>
          </w:p>
        </w:tc>
        <w:tc>
          <w:tcPr>
            <w:tcW w:w="704" w:type="pct"/>
            <w:vAlign w:val="center"/>
          </w:tcPr>
          <w:p>
            <w:pPr>
              <w:spacing w:line="240" w:lineRule="auto"/>
              <w:ind w:firstLine="0" w:firstLineChars="0"/>
              <w:jc w:val="center"/>
              <w:rPr>
                <w:sz w:val="21"/>
              </w:rPr>
            </w:pPr>
            <w:r>
              <w:rPr>
                <w:sz w:val="21"/>
              </w:rPr>
              <w:t>250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铜</w:t>
            </w:r>
          </w:p>
        </w:tc>
        <w:tc>
          <w:tcPr>
            <w:tcW w:w="704" w:type="pct"/>
            <w:vAlign w:val="center"/>
          </w:tcPr>
          <w:p>
            <w:pPr>
              <w:spacing w:line="240" w:lineRule="auto"/>
              <w:ind w:firstLine="0" w:firstLineChars="0"/>
              <w:jc w:val="center"/>
              <w:rPr>
                <w:sz w:val="21"/>
              </w:rPr>
            </w:pPr>
            <w:r>
              <w:rPr>
                <w:rFonts w:hint="eastAsia"/>
                <w:sz w:val="21"/>
              </w:rPr>
              <w:t>1.0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锌</w:t>
            </w:r>
          </w:p>
        </w:tc>
        <w:tc>
          <w:tcPr>
            <w:tcW w:w="704" w:type="pct"/>
            <w:vAlign w:val="center"/>
          </w:tcPr>
          <w:p>
            <w:pPr>
              <w:spacing w:line="240" w:lineRule="auto"/>
              <w:ind w:firstLine="0" w:firstLineChars="0"/>
              <w:jc w:val="center"/>
              <w:rPr>
                <w:sz w:val="21"/>
              </w:rPr>
            </w:pPr>
            <w:r>
              <w:rPr>
                <w:rFonts w:hint="eastAsia"/>
                <w:sz w:val="21"/>
              </w:rPr>
              <w:t>1.0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阴离子表面活性剂</w:t>
            </w:r>
          </w:p>
        </w:tc>
        <w:tc>
          <w:tcPr>
            <w:tcW w:w="704" w:type="pct"/>
            <w:vAlign w:val="center"/>
          </w:tcPr>
          <w:p>
            <w:pPr>
              <w:spacing w:line="240" w:lineRule="auto"/>
              <w:ind w:firstLine="0" w:firstLineChars="0"/>
              <w:jc w:val="center"/>
              <w:rPr>
                <w:sz w:val="21"/>
              </w:rPr>
            </w:pPr>
            <w:r>
              <w:rPr>
                <w:rFonts w:hint="eastAsia"/>
                <w:sz w:val="21"/>
              </w:rPr>
              <w:t>0.3</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硫化物</w:t>
            </w:r>
          </w:p>
        </w:tc>
        <w:tc>
          <w:tcPr>
            <w:tcW w:w="704" w:type="pct"/>
            <w:vAlign w:val="center"/>
          </w:tcPr>
          <w:p>
            <w:pPr>
              <w:spacing w:line="240" w:lineRule="auto"/>
              <w:ind w:firstLine="0" w:firstLineChars="0"/>
              <w:jc w:val="center"/>
              <w:rPr>
                <w:sz w:val="21"/>
              </w:rPr>
            </w:pPr>
            <w:r>
              <w:rPr>
                <w:rFonts w:hint="eastAsia"/>
                <w:sz w:val="21"/>
              </w:rPr>
              <w:t>0.02</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硒</w:t>
            </w:r>
          </w:p>
        </w:tc>
        <w:tc>
          <w:tcPr>
            <w:tcW w:w="704" w:type="pct"/>
            <w:vAlign w:val="center"/>
          </w:tcPr>
          <w:p>
            <w:pPr>
              <w:spacing w:line="240" w:lineRule="auto"/>
              <w:ind w:firstLine="0" w:firstLineChars="0"/>
              <w:jc w:val="center"/>
              <w:rPr>
                <w:sz w:val="21"/>
              </w:rPr>
            </w:pPr>
            <w:r>
              <w:rPr>
                <w:rFonts w:hint="eastAsia"/>
                <w:sz w:val="21"/>
              </w:rPr>
              <w:t>0.01</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钠</w:t>
            </w:r>
          </w:p>
        </w:tc>
        <w:tc>
          <w:tcPr>
            <w:tcW w:w="704" w:type="pct"/>
            <w:vAlign w:val="center"/>
          </w:tcPr>
          <w:p>
            <w:pPr>
              <w:spacing w:line="240" w:lineRule="auto"/>
              <w:ind w:firstLine="0" w:firstLineChars="0"/>
              <w:jc w:val="center"/>
              <w:rPr>
                <w:sz w:val="21"/>
              </w:rPr>
            </w:pPr>
            <w:r>
              <w:rPr>
                <w:rFonts w:hint="eastAsia"/>
                <w:sz w:val="21"/>
              </w:rPr>
              <w:t>200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铝</w:t>
            </w:r>
          </w:p>
        </w:tc>
        <w:tc>
          <w:tcPr>
            <w:tcW w:w="704" w:type="pct"/>
            <w:vAlign w:val="center"/>
          </w:tcPr>
          <w:p>
            <w:pPr>
              <w:spacing w:line="240" w:lineRule="auto"/>
              <w:ind w:firstLine="0" w:firstLineChars="0"/>
              <w:jc w:val="center"/>
              <w:rPr>
                <w:sz w:val="21"/>
              </w:rPr>
            </w:pPr>
            <w:r>
              <w:rPr>
                <w:rFonts w:hint="eastAsia"/>
                <w:sz w:val="21"/>
              </w:rPr>
              <w:t>0.2</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sz w:val="21"/>
              </w:rPr>
              <w:t>总大肠杆菌</w:t>
            </w:r>
          </w:p>
        </w:tc>
        <w:tc>
          <w:tcPr>
            <w:tcW w:w="704" w:type="pct"/>
            <w:vAlign w:val="center"/>
          </w:tcPr>
          <w:p>
            <w:pPr>
              <w:spacing w:line="240" w:lineRule="auto"/>
              <w:ind w:firstLine="0" w:firstLineChars="0"/>
              <w:jc w:val="center"/>
              <w:rPr>
                <w:sz w:val="21"/>
              </w:rPr>
            </w:pPr>
            <w:r>
              <w:rPr>
                <w:sz w:val="21"/>
              </w:rPr>
              <w:t>3.0</w:t>
            </w:r>
          </w:p>
        </w:tc>
        <w:tc>
          <w:tcPr>
            <w:tcW w:w="534" w:type="pct"/>
            <w:vAlign w:val="center"/>
          </w:tcPr>
          <w:p>
            <w:pPr>
              <w:spacing w:line="240" w:lineRule="auto"/>
              <w:ind w:firstLine="0" w:firstLineChars="0"/>
              <w:jc w:val="center"/>
              <w:rPr>
                <w:sz w:val="21"/>
              </w:rPr>
            </w:pPr>
            <w:r>
              <w:rPr>
                <w:kern w:val="0"/>
                <w:sz w:val="21"/>
              </w:rPr>
              <w:t>CFU</w:t>
            </w:r>
            <w:r>
              <w:rPr>
                <w:kern w:val="0"/>
                <w:sz w:val="21"/>
                <w:vertAlign w:val="superscript"/>
              </w:rPr>
              <w:t xml:space="preserve"> </w:t>
            </w:r>
            <w:r>
              <w:rPr>
                <w:rFonts w:asciiTheme="minorEastAsia" w:hAnsiTheme="minorEastAsia" w:eastAsiaTheme="minorEastAsia"/>
                <w:kern w:val="0"/>
                <w:sz w:val="21"/>
              </w:rPr>
              <w:t>/</w:t>
            </w:r>
            <w:r>
              <w:rPr>
                <w:kern w:val="0"/>
                <w:sz w:val="21"/>
              </w:rPr>
              <w:t>100mL</w:t>
            </w: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菌落</w:t>
            </w:r>
            <w:r>
              <w:rPr>
                <w:sz w:val="21"/>
              </w:rPr>
              <w:t>总数</w:t>
            </w:r>
          </w:p>
        </w:tc>
        <w:tc>
          <w:tcPr>
            <w:tcW w:w="704" w:type="pct"/>
            <w:vAlign w:val="center"/>
          </w:tcPr>
          <w:p>
            <w:pPr>
              <w:spacing w:line="240" w:lineRule="auto"/>
              <w:ind w:firstLine="0" w:firstLineChars="0"/>
              <w:jc w:val="center"/>
              <w:rPr>
                <w:sz w:val="21"/>
              </w:rPr>
            </w:pPr>
            <w:r>
              <w:rPr>
                <w:sz w:val="21"/>
              </w:rPr>
              <w:t>100</w:t>
            </w:r>
          </w:p>
        </w:tc>
        <w:tc>
          <w:tcPr>
            <w:tcW w:w="534" w:type="pct"/>
            <w:vAlign w:val="center"/>
          </w:tcPr>
          <w:p>
            <w:pPr>
              <w:spacing w:line="240" w:lineRule="auto"/>
              <w:ind w:firstLine="0" w:firstLineChars="0"/>
              <w:jc w:val="center"/>
              <w:rPr>
                <w:sz w:val="21"/>
              </w:rPr>
            </w:pPr>
            <w:r>
              <w:rPr>
                <w:sz w:val="21"/>
              </w:rPr>
              <w:t>个/mL</w:t>
            </w:r>
          </w:p>
        </w:tc>
        <w:tc>
          <w:tcPr>
            <w:tcW w:w="1670" w:type="pct"/>
            <w:vMerge w:val="continue"/>
            <w:vAlign w:val="center"/>
          </w:tcPr>
          <w:p>
            <w:pPr>
              <w:spacing w:line="240" w:lineRule="auto"/>
              <w:ind w:firstLine="0" w:firstLineChars="0"/>
              <w:jc w:val="center"/>
              <w:rPr>
                <w:sz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色</w:t>
            </w:r>
          </w:p>
        </w:tc>
        <w:tc>
          <w:tcPr>
            <w:tcW w:w="704" w:type="pct"/>
            <w:vAlign w:val="center"/>
          </w:tcPr>
          <w:p>
            <w:pPr>
              <w:spacing w:line="240" w:lineRule="auto"/>
              <w:ind w:firstLine="0" w:firstLineChars="0"/>
              <w:jc w:val="center"/>
              <w:rPr>
                <w:sz w:val="21"/>
              </w:rPr>
            </w:pPr>
            <w:r>
              <w:rPr>
                <w:rFonts w:hint="eastAsia"/>
                <w:sz w:val="21"/>
              </w:rPr>
              <w:t>15</w:t>
            </w:r>
          </w:p>
        </w:tc>
        <w:tc>
          <w:tcPr>
            <w:tcW w:w="534" w:type="pct"/>
            <w:vAlign w:val="center"/>
          </w:tcPr>
          <w:p>
            <w:pPr>
              <w:spacing w:line="240" w:lineRule="auto"/>
              <w:ind w:firstLine="0" w:firstLineChars="0"/>
              <w:jc w:val="center"/>
              <w:rPr>
                <w:sz w:val="21"/>
              </w:rPr>
            </w:pPr>
            <w:r>
              <w:rPr>
                <w:rFonts w:hint="eastAsia"/>
                <w:sz w:val="21"/>
              </w:rPr>
              <w:t>/</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嗅和味</w:t>
            </w:r>
          </w:p>
        </w:tc>
        <w:tc>
          <w:tcPr>
            <w:tcW w:w="704" w:type="pct"/>
            <w:vAlign w:val="center"/>
          </w:tcPr>
          <w:p>
            <w:pPr>
              <w:spacing w:line="240" w:lineRule="auto"/>
              <w:ind w:firstLine="0" w:firstLineChars="0"/>
              <w:jc w:val="center"/>
              <w:rPr>
                <w:sz w:val="21"/>
              </w:rPr>
            </w:pPr>
            <w:r>
              <w:rPr>
                <w:rFonts w:hint="eastAsia"/>
                <w:sz w:val="21"/>
              </w:rPr>
              <w:t>无</w:t>
            </w:r>
          </w:p>
        </w:tc>
        <w:tc>
          <w:tcPr>
            <w:tcW w:w="534" w:type="pct"/>
            <w:vAlign w:val="center"/>
          </w:tcPr>
          <w:p>
            <w:pPr>
              <w:spacing w:line="240" w:lineRule="auto"/>
              <w:ind w:firstLine="0" w:firstLineChars="0"/>
              <w:jc w:val="center"/>
              <w:rPr>
                <w:sz w:val="21"/>
              </w:rPr>
            </w:pPr>
            <w:r>
              <w:rPr>
                <w:rFonts w:hint="eastAsia"/>
                <w:sz w:val="21"/>
              </w:rPr>
              <w:t>/</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浑浊度</w:t>
            </w:r>
          </w:p>
        </w:tc>
        <w:tc>
          <w:tcPr>
            <w:tcW w:w="704" w:type="pct"/>
            <w:vAlign w:val="center"/>
          </w:tcPr>
          <w:p>
            <w:pPr>
              <w:spacing w:line="240" w:lineRule="auto"/>
              <w:ind w:firstLine="0" w:firstLineChars="0"/>
              <w:jc w:val="center"/>
              <w:rPr>
                <w:sz w:val="21"/>
              </w:rPr>
            </w:pPr>
            <w:r>
              <w:rPr>
                <w:rFonts w:hint="eastAsia"/>
                <w:sz w:val="21"/>
              </w:rPr>
              <w:t>3</w:t>
            </w:r>
          </w:p>
        </w:tc>
        <w:tc>
          <w:tcPr>
            <w:tcW w:w="534" w:type="pct"/>
            <w:vAlign w:val="center"/>
          </w:tcPr>
          <w:p>
            <w:pPr>
              <w:spacing w:line="240" w:lineRule="auto"/>
              <w:ind w:firstLine="0" w:firstLineChars="0"/>
              <w:jc w:val="center"/>
              <w:rPr>
                <w:sz w:val="21"/>
              </w:rPr>
            </w:pPr>
            <w:r>
              <w:rPr>
                <w:rFonts w:hint="eastAsia"/>
                <w:sz w:val="21"/>
              </w:rPr>
              <w:t>/</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肉眼可见物</w:t>
            </w:r>
          </w:p>
        </w:tc>
        <w:tc>
          <w:tcPr>
            <w:tcW w:w="704" w:type="pct"/>
            <w:vAlign w:val="center"/>
          </w:tcPr>
          <w:p>
            <w:pPr>
              <w:spacing w:line="240" w:lineRule="auto"/>
              <w:ind w:firstLine="0" w:firstLineChars="0"/>
              <w:jc w:val="center"/>
              <w:rPr>
                <w:sz w:val="21"/>
              </w:rPr>
            </w:pPr>
            <w:r>
              <w:rPr>
                <w:rFonts w:hint="eastAsia"/>
                <w:sz w:val="21"/>
              </w:rPr>
              <w:t>无</w:t>
            </w:r>
          </w:p>
        </w:tc>
        <w:tc>
          <w:tcPr>
            <w:tcW w:w="534" w:type="pct"/>
            <w:vAlign w:val="center"/>
          </w:tcPr>
          <w:p>
            <w:pPr>
              <w:spacing w:line="240" w:lineRule="auto"/>
              <w:ind w:firstLine="0" w:firstLineChars="0"/>
              <w:jc w:val="center"/>
              <w:rPr>
                <w:sz w:val="21"/>
              </w:rPr>
            </w:pPr>
            <w:r>
              <w:rPr>
                <w:rFonts w:hint="eastAsia"/>
                <w:sz w:val="21"/>
              </w:rPr>
              <w:t>/</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三氯甲烷</w:t>
            </w:r>
          </w:p>
        </w:tc>
        <w:tc>
          <w:tcPr>
            <w:tcW w:w="704" w:type="pct"/>
            <w:vAlign w:val="center"/>
          </w:tcPr>
          <w:p>
            <w:pPr>
              <w:spacing w:line="240" w:lineRule="auto"/>
              <w:ind w:firstLine="0" w:firstLineChars="0"/>
              <w:jc w:val="center"/>
              <w:rPr>
                <w:sz w:val="21"/>
              </w:rPr>
            </w:pPr>
            <w:r>
              <w:rPr>
                <w:rFonts w:hint="eastAsia"/>
                <w:sz w:val="21"/>
              </w:rPr>
              <w:t>60</w:t>
            </w:r>
          </w:p>
        </w:tc>
        <w:tc>
          <w:tcPr>
            <w:tcW w:w="534" w:type="pct"/>
            <w:vMerge w:val="restart"/>
            <w:vAlign w:val="center"/>
          </w:tcPr>
          <w:p>
            <w:pPr>
              <w:spacing w:line="240" w:lineRule="auto"/>
              <w:ind w:firstLine="0" w:firstLineChars="0"/>
              <w:jc w:val="center"/>
              <w:rPr>
                <w:sz w:val="21"/>
              </w:rPr>
            </w:pPr>
            <w:r>
              <w:rPr>
                <w:sz w:val="21"/>
              </w:rPr>
              <w:t>μg/L</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四氯化碳</w:t>
            </w:r>
          </w:p>
        </w:tc>
        <w:tc>
          <w:tcPr>
            <w:tcW w:w="704" w:type="pct"/>
            <w:vAlign w:val="center"/>
          </w:tcPr>
          <w:p>
            <w:pPr>
              <w:spacing w:line="240" w:lineRule="auto"/>
              <w:ind w:firstLine="0" w:firstLineChars="0"/>
              <w:jc w:val="center"/>
              <w:rPr>
                <w:sz w:val="21"/>
              </w:rPr>
            </w:pPr>
            <w:r>
              <w:rPr>
                <w:rFonts w:hint="eastAsia"/>
                <w:sz w:val="21"/>
              </w:rPr>
              <w:t>2</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苯</w:t>
            </w:r>
          </w:p>
        </w:tc>
        <w:tc>
          <w:tcPr>
            <w:tcW w:w="704" w:type="pct"/>
            <w:vAlign w:val="center"/>
          </w:tcPr>
          <w:p>
            <w:pPr>
              <w:spacing w:line="240" w:lineRule="auto"/>
              <w:ind w:firstLine="0" w:firstLineChars="0"/>
              <w:jc w:val="center"/>
              <w:rPr>
                <w:sz w:val="21"/>
              </w:rPr>
            </w:pPr>
            <w:r>
              <w:rPr>
                <w:rFonts w:hint="eastAsia"/>
                <w:sz w:val="21"/>
              </w:rPr>
              <w:t>10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甲苯</w:t>
            </w:r>
          </w:p>
        </w:tc>
        <w:tc>
          <w:tcPr>
            <w:tcW w:w="704" w:type="pct"/>
            <w:vAlign w:val="center"/>
          </w:tcPr>
          <w:p>
            <w:pPr>
              <w:spacing w:line="240" w:lineRule="auto"/>
              <w:ind w:firstLine="0" w:firstLineChars="0"/>
              <w:jc w:val="center"/>
              <w:rPr>
                <w:sz w:val="21"/>
              </w:rPr>
            </w:pPr>
            <w:r>
              <w:rPr>
                <w:rFonts w:hint="eastAsia"/>
                <w:sz w:val="21"/>
              </w:rPr>
              <w:t>700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highlight w:val="yellow"/>
              </w:rPr>
            </w:pPr>
          </w:p>
        </w:tc>
        <w:tc>
          <w:tcPr>
            <w:tcW w:w="1588" w:type="pct"/>
            <w:gridSpan w:val="2"/>
            <w:vAlign w:val="center"/>
          </w:tcPr>
          <w:p>
            <w:pPr>
              <w:spacing w:line="240" w:lineRule="auto"/>
              <w:ind w:firstLine="0" w:firstLineChars="0"/>
              <w:jc w:val="center"/>
              <w:rPr>
                <w:sz w:val="21"/>
              </w:rPr>
            </w:pPr>
            <w:r>
              <w:rPr>
                <w:rFonts w:hint="eastAsia"/>
                <w:sz w:val="21"/>
              </w:rPr>
              <w:t>石油类</w:t>
            </w:r>
          </w:p>
        </w:tc>
        <w:tc>
          <w:tcPr>
            <w:tcW w:w="704" w:type="pct"/>
            <w:vAlign w:val="center"/>
          </w:tcPr>
          <w:p>
            <w:pPr>
              <w:spacing w:line="240" w:lineRule="auto"/>
              <w:ind w:firstLine="0" w:firstLineChars="0"/>
              <w:jc w:val="center"/>
              <w:rPr>
                <w:sz w:val="21"/>
              </w:rPr>
            </w:pPr>
            <w:r>
              <w:rPr>
                <w:rFonts w:hint="eastAsia"/>
                <w:sz w:val="21"/>
              </w:rPr>
              <w:t>0.05</w:t>
            </w:r>
          </w:p>
        </w:tc>
        <w:tc>
          <w:tcPr>
            <w:tcW w:w="534" w:type="pct"/>
            <w:vAlign w:val="center"/>
          </w:tcPr>
          <w:p>
            <w:pPr>
              <w:spacing w:line="240" w:lineRule="auto"/>
              <w:ind w:firstLine="0" w:firstLineChars="0"/>
              <w:jc w:val="center"/>
              <w:rPr>
                <w:sz w:val="21"/>
              </w:rPr>
            </w:pPr>
            <w:r>
              <w:rPr>
                <w:sz w:val="21"/>
              </w:rPr>
              <w:t>mg/L</w:t>
            </w:r>
          </w:p>
        </w:tc>
        <w:tc>
          <w:tcPr>
            <w:tcW w:w="1670" w:type="pct"/>
            <w:vAlign w:val="center"/>
          </w:tcPr>
          <w:p>
            <w:pPr>
              <w:spacing w:line="240" w:lineRule="auto"/>
              <w:ind w:firstLine="0" w:firstLineChars="0"/>
              <w:jc w:val="center"/>
              <w:rPr>
                <w:sz w:val="21"/>
              </w:rPr>
            </w:pPr>
            <w:r>
              <w:rPr>
                <w:sz w:val="21"/>
              </w:rPr>
              <w:t>《</w:t>
            </w:r>
            <w:r>
              <w:rPr>
                <w:rFonts w:hint="eastAsia"/>
                <w:spacing w:val="5"/>
                <w:kern w:val="0"/>
                <w:sz w:val="21"/>
              </w:rPr>
              <w:t>地表水环境质量标准</w:t>
            </w:r>
            <w:r>
              <w:rPr>
                <w:sz w:val="21"/>
              </w:rPr>
              <w:t>》（GB</w:t>
            </w:r>
            <w:r>
              <w:rPr>
                <w:rFonts w:hint="eastAsia"/>
                <w:sz w:val="21"/>
              </w:rPr>
              <w:t>3838</w:t>
            </w:r>
            <w:r>
              <w:rPr>
                <w:sz w:val="21"/>
              </w:rPr>
              <w:t>-</w:t>
            </w:r>
            <w:r>
              <w:rPr>
                <w:rFonts w:hint="eastAsia"/>
                <w:sz w:val="21"/>
              </w:rPr>
              <w:t>2002</w:t>
            </w:r>
            <w:r>
              <w:rPr>
                <w:sz w:val="21"/>
              </w:rPr>
              <w:t>）</w:t>
            </w:r>
            <w:r>
              <w:rPr>
                <w:rFonts w:hint="eastAsia" w:ascii="宋体" w:hAnsi="宋体" w:cs="宋体"/>
                <w:sz w:val="21"/>
              </w:rPr>
              <w:t>Ⅲ</w:t>
            </w:r>
            <w:r>
              <w:rPr>
                <w:sz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restart"/>
            <w:vAlign w:val="center"/>
          </w:tcPr>
          <w:p>
            <w:pPr>
              <w:spacing w:line="240" w:lineRule="auto"/>
              <w:ind w:firstLine="0" w:firstLineChars="0"/>
              <w:jc w:val="center"/>
              <w:rPr>
                <w:sz w:val="21"/>
              </w:rPr>
            </w:pPr>
            <w:r>
              <w:rPr>
                <w:rFonts w:hint="eastAsia"/>
                <w:sz w:val="21"/>
              </w:rPr>
              <w:t>地表水</w:t>
            </w:r>
          </w:p>
        </w:tc>
        <w:tc>
          <w:tcPr>
            <w:tcW w:w="1588" w:type="pct"/>
            <w:gridSpan w:val="2"/>
            <w:vAlign w:val="center"/>
          </w:tcPr>
          <w:p>
            <w:pPr>
              <w:topLinePunct/>
              <w:spacing w:line="240" w:lineRule="auto"/>
              <w:ind w:firstLine="0" w:firstLineChars="0"/>
              <w:jc w:val="center"/>
              <w:rPr>
                <w:sz w:val="21"/>
              </w:rPr>
            </w:pPr>
            <w:r>
              <w:rPr>
                <w:sz w:val="21"/>
              </w:rPr>
              <w:t>pH</w:t>
            </w:r>
          </w:p>
        </w:tc>
        <w:tc>
          <w:tcPr>
            <w:tcW w:w="704" w:type="pct"/>
            <w:vAlign w:val="center"/>
          </w:tcPr>
          <w:p>
            <w:pPr>
              <w:topLinePunct/>
              <w:spacing w:line="240" w:lineRule="auto"/>
              <w:ind w:firstLine="0" w:firstLineChars="0"/>
              <w:jc w:val="center"/>
              <w:rPr>
                <w:sz w:val="21"/>
              </w:rPr>
            </w:pPr>
            <w:r>
              <w:rPr>
                <w:sz w:val="21"/>
              </w:rPr>
              <w:t>6～9</w:t>
            </w:r>
          </w:p>
        </w:tc>
        <w:tc>
          <w:tcPr>
            <w:tcW w:w="534" w:type="pct"/>
            <w:vAlign w:val="center"/>
          </w:tcPr>
          <w:p>
            <w:pPr>
              <w:spacing w:line="240" w:lineRule="auto"/>
              <w:ind w:firstLine="0" w:firstLineChars="0"/>
              <w:jc w:val="center"/>
              <w:rPr>
                <w:sz w:val="21"/>
              </w:rPr>
            </w:pPr>
            <w:r>
              <w:rPr>
                <w:rFonts w:hint="eastAsia"/>
                <w:sz w:val="21"/>
              </w:rPr>
              <w:t>无量纲</w:t>
            </w:r>
          </w:p>
        </w:tc>
        <w:tc>
          <w:tcPr>
            <w:tcW w:w="1670" w:type="pct"/>
            <w:vMerge w:val="restart"/>
            <w:vAlign w:val="center"/>
          </w:tcPr>
          <w:p>
            <w:pPr>
              <w:spacing w:line="240" w:lineRule="auto"/>
              <w:ind w:firstLine="0" w:firstLineChars="0"/>
              <w:jc w:val="center"/>
              <w:rPr>
                <w:sz w:val="21"/>
              </w:rPr>
            </w:pPr>
            <w:r>
              <w:rPr>
                <w:sz w:val="21"/>
              </w:rPr>
              <w:t>《地表水环境质量标准》（GB3838-2002）</w:t>
            </w:r>
            <w:r>
              <w:rPr>
                <w:sz w:val="21"/>
              </w:rPr>
              <w:fldChar w:fldCharType="begin"/>
            </w:r>
            <w:r>
              <w:rPr>
                <w:sz w:val="21"/>
              </w:rPr>
              <w:instrText xml:space="preserve"> </w:instrText>
            </w:r>
            <w:r>
              <w:rPr>
                <w:rFonts w:hint="eastAsia"/>
                <w:sz w:val="21"/>
              </w:rPr>
              <w:instrText xml:space="preserve">= 2 \* ROMAN</w:instrText>
            </w:r>
            <w:r>
              <w:rPr>
                <w:sz w:val="21"/>
              </w:rPr>
              <w:instrText xml:space="preserve"> </w:instrText>
            </w:r>
            <w:r>
              <w:rPr>
                <w:sz w:val="21"/>
              </w:rPr>
              <w:fldChar w:fldCharType="separate"/>
            </w:r>
            <w:r>
              <w:rPr>
                <w:sz w:val="21"/>
              </w:rPr>
              <w:t>II</w:t>
            </w:r>
            <w:r>
              <w:rPr>
                <w:sz w:val="21"/>
              </w:rPr>
              <w:fldChar w:fldCharType="end"/>
            </w:r>
            <w:r>
              <w:rPr>
                <w:sz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COD</w:t>
            </w:r>
          </w:p>
        </w:tc>
        <w:tc>
          <w:tcPr>
            <w:tcW w:w="704" w:type="pct"/>
            <w:vAlign w:val="center"/>
          </w:tcPr>
          <w:p>
            <w:pPr>
              <w:topLinePunct/>
              <w:spacing w:line="240" w:lineRule="auto"/>
              <w:ind w:firstLine="0" w:firstLineChars="0"/>
              <w:jc w:val="center"/>
              <w:rPr>
                <w:sz w:val="21"/>
              </w:rPr>
            </w:pPr>
            <w:r>
              <w:rPr>
                <w:sz w:val="21"/>
              </w:rPr>
              <w:t>≤15</w:t>
            </w:r>
          </w:p>
        </w:tc>
        <w:tc>
          <w:tcPr>
            <w:tcW w:w="534" w:type="pct"/>
            <w:vMerge w:val="restart"/>
            <w:vAlign w:val="center"/>
          </w:tcPr>
          <w:p>
            <w:pPr>
              <w:spacing w:line="240" w:lineRule="auto"/>
              <w:ind w:firstLine="0" w:firstLineChars="0"/>
              <w:jc w:val="center"/>
              <w:rPr>
                <w:sz w:val="21"/>
              </w:rPr>
            </w:pPr>
            <w:r>
              <w:rPr>
                <w:sz w:val="21"/>
              </w:rPr>
              <w:t>mg/L</w:t>
            </w: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BOD</w:t>
            </w:r>
            <w:r>
              <w:rPr>
                <w:sz w:val="21"/>
                <w:vertAlign w:val="subscript"/>
              </w:rPr>
              <w:t>5</w:t>
            </w:r>
          </w:p>
        </w:tc>
        <w:tc>
          <w:tcPr>
            <w:tcW w:w="704" w:type="pct"/>
            <w:vAlign w:val="center"/>
          </w:tcPr>
          <w:p>
            <w:pPr>
              <w:topLinePunct/>
              <w:spacing w:line="240" w:lineRule="auto"/>
              <w:ind w:firstLine="0" w:firstLineChars="0"/>
              <w:jc w:val="center"/>
              <w:rPr>
                <w:sz w:val="21"/>
              </w:rPr>
            </w:pPr>
            <w:r>
              <w:rPr>
                <w:sz w:val="21"/>
              </w:rPr>
              <w:t>≤3</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氨氮</w:t>
            </w:r>
          </w:p>
        </w:tc>
        <w:tc>
          <w:tcPr>
            <w:tcW w:w="704" w:type="pct"/>
            <w:vAlign w:val="center"/>
          </w:tcPr>
          <w:p>
            <w:pPr>
              <w:topLinePunct/>
              <w:spacing w:line="240" w:lineRule="auto"/>
              <w:ind w:firstLine="0" w:firstLineChars="0"/>
              <w:jc w:val="center"/>
              <w:rPr>
                <w:sz w:val="21"/>
              </w:rPr>
            </w:pPr>
            <w:r>
              <w:rPr>
                <w:sz w:val="21"/>
              </w:rPr>
              <w:t>≤0.5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总磷</w:t>
            </w:r>
          </w:p>
        </w:tc>
        <w:tc>
          <w:tcPr>
            <w:tcW w:w="704" w:type="pct"/>
            <w:vAlign w:val="center"/>
          </w:tcPr>
          <w:p>
            <w:pPr>
              <w:topLinePunct/>
              <w:spacing w:line="240" w:lineRule="auto"/>
              <w:ind w:firstLine="0" w:firstLineChars="0"/>
              <w:jc w:val="center"/>
              <w:rPr>
                <w:sz w:val="21"/>
              </w:rPr>
            </w:pPr>
            <w:r>
              <w:rPr>
                <w:sz w:val="21"/>
              </w:rPr>
              <w:t>≤0.1</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石油类</w:t>
            </w:r>
          </w:p>
        </w:tc>
        <w:tc>
          <w:tcPr>
            <w:tcW w:w="704" w:type="pct"/>
            <w:vAlign w:val="center"/>
          </w:tcPr>
          <w:p>
            <w:pPr>
              <w:topLinePunct/>
              <w:spacing w:line="240" w:lineRule="auto"/>
              <w:ind w:firstLine="0" w:firstLineChars="0"/>
              <w:jc w:val="center"/>
              <w:rPr>
                <w:sz w:val="21"/>
              </w:rPr>
            </w:pPr>
            <w:r>
              <w:rPr>
                <w:sz w:val="21"/>
              </w:rPr>
              <w:t>≤0.</w:t>
            </w:r>
            <w:r>
              <w:rPr>
                <w:rFonts w:hint="eastAsia"/>
                <w:sz w:val="21"/>
              </w:rPr>
              <w:t>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挥发酚</w:t>
            </w:r>
          </w:p>
        </w:tc>
        <w:tc>
          <w:tcPr>
            <w:tcW w:w="704" w:type="pct"/>
            <w:vAlign w:val="center"/>
          </w:tcPr>
          <w:p>
            <w:pPr>
              <w:spacing w:line="240" w:lineRule="auto"/>
              <w:ind w:firstLine="0" w:firstLineChars="0"/>
              <w:jc w:val="center"/>
              <w:rPr>
                <w:sz w:val="21"/>
              </w:rPr>
            </w:pPr>
            <w:r>
              <w:rPr>
                <w:sz w:val="21"/>
              </w:rPr>
              <w:t>≤0.0</w:t>
            </w:r>
            <w:r>
              <w:rPr>
                <w:rFonts w:hint="eastAsia"/>
                <w:sz w:val="21"/>
              </w:rPr>
              <w:t>0</w:t>
            </w:r>
            <w:r>
              <w:rPr>
                <w:sz w:val="21"/>
              </w:rPr>
              <w:t>2</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镉</w:t>
            </w:r>
          </w:p>
        </w:tc>
        <w:tc>
          <w:tcPr>
            <w:tcW w:w="704" w:type="pct"/>
            <w:vAlign w:val="center"/>
          </w:tcPr>
          <w:p>
            <w:pPr>
              <w:spacing w:line="240" w:lineRule="auto"/>
              <w:ind w:firstLine="0" w:firstLineChars="0"/>
              <w:jc w:val="center"/>
              <w:rPr>
                <w:sz w:val="21"/>
              </w:rPr>
            </w:pPr>
            <w:r>
              <w:rPr>
                <w:sz w:val="21"/>
              </w:rPr>
              <w:t>≤0.005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砷</w:t>
            </w:r>
          </w:p>
        </w:tc>
        <w:tc>
          <w:tcPr>
            <w:tcW w:w="704" w:type="pct"/>
            <w:vAlign w:val="center"/>
          </w:tcPr>
          <w:p>
            <w:pPr>
              <w:spacing w:line="240" w:lineRule="auto"/>
              <w:ind w:firstLine="0" w:firstLineChars="0"/>
              <w:jc w:val="center"/>
              <w:rPr>
                <w:sz w:val="21"/>
              </w:rPr>
            </w:pPr>
            <w:r>
              <w:rPr>
                <w:sz w:val="21"/>
              </w:rPr>
              <w:t>≤0.</w:t>
            </w:r>
            <w:r>
              <w:rPr>
                <w:rFonts w:hint="eastAsia"/>
                <w:sz w:val="21"/>
              </w:rPr>
              <w:t>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汞</w:t>
            </w:r>
          </w:p>
        </w:tc>
        <w:tc>
          <w:tcPr>
            <w:tcW w:w="704" w:type="pct"/>
            <w:vAlign w:val="center"/>
          </w:tcPr>
          <w:p>
            <w:pPr>
              <w:spacing w:line="240" w:lineRule="auto"/>
              <w:ind w:firstLine="0" w:firstLineChars="0"/>
              <w:jc w:val="center"/>
              <w:rPr>
                <w:sz w:val="21"/>
              </w:rPr>
            </w:pPr>
            <w:r>
              <w:rPr>
                <w:sz w:val="21"/>
              </w:rPr>
              <w:t>≤0.00</w:t>
            </w:r>
            <w:r>
              <w:rPr>
                <w:rFonts w:hint="eastAsia"/>
                <w:sz w:val="21"/>
              </w:rPr>
              <w:t>0</w:t>
            </w:r>
            <w:r>
              <w:rPr>
                <w:sz w:val="21"/>
              </w:rPr>
              <w:t>05</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Align w:val="center"/>
          </w:tcPr>
          <w:p>
            <w:pPr>
              <w:topLinePunct/>
              <w:spacing w:line="240" w:lineRule="auto"/>
              <w:ind w:firstLine="0" w:firstLineChars="0"/>
              <w:jc w:val="center"/>
              <w:rPr>
                <w:sz w:val="21"/>
              </w:rPr>
            </w:pPr>
            <w:r>
              <w:rPr>
                <w:sz w:val="21"/>
              </w:rPr>
              <w:t>粪大肠菌群</w:t>
            </w:r>
          </w:p>
        </w:tc>
        <w:tc>
          <w:tcPr>
            <w:tcW w:w="704" w:type="pct"/>
            <w:vAlign w:val="center"/>
          </w:tcPr>
          <w:p>
            <w:pPr>
              <w:spacing w:line="240" w:lineRule="auto"/>
              <w:ind w:firstLine="0" w:firstLineChars="0"/>
              <w:jc w:val="center"/>
              <w:rPr>
                <w:sz w:val="21"/>
              </w:rPr>
            </w:pPr>
            <w:r>
              <w:rPr>
                <w:sz w:val="21"/>
              </w:rPr>
              <w:t>≤2000</w:t>
            </w:r>
          </w:p>
        </w:tc>
        <w:tc>
          <w:tcPr>
            <w:tcW w:w="534" w:type="pct"/>
            <w:vMerge w:val="continue"/>
            <w:vAlign w:val="center"/>
          </w:tcPr>
          <w:p>
            <w:pPr>
              <w:spacing w:line="240" w:lineRule="auto"/>
              <w:ind w:firstLine="0" w:firstLineChars="0"/>
              <w:jc w:val="center"/>
              <w:rPr>
                <w:sz w:val="21"/>
              </w:rPr>
            </w:pPr>
          </w:p>
        </w:tc>
        <w:tc>
          <w:tcPr>
            <w:tcW w:w="1670" w:type="pct"/>
            <w:vMerge w:val="continue"/>
            <w:vAlign w:val="center"/>
          </w:tcPr>
          <w:p>
            <w:pPr>
              <w:spacing w:line="240" w:lineRule="auto"/>
              <w:ind w:firstLine="0" w:firstLineChars="0"/>
              <w:jc w:val="center"/>
              <w:rPr>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restart"/>
            <w:vAlign w:val="center"/>
          </w:tcPr>
          <w:p>
            <w:pPr>
              <w:spacing w:line="240" w:lineRule="auto"/>
              <w:ind w:firstLine="0" w:firstLineChars="0"/>
              <w:jc w:val="center"/>
              <w:rPr>
                <w:sz w:val="21"/>
              </w:rPr>
            </w:pPr>
            <w:r>
              <w:rPr>
                <w:sz w:val="21"/>
              </w:rPr>
              <w:t>声环境</w:t>
            </w:r>
          </w:p>
        </w:tc>
        <w:tc>
          <w:tcPr>
            <w:tcW w:w="1588" w:type="pct"/>
            <w:gridSpan w:val="2"/>
            <w:vMerge w:val="restart"/>
            <w:vAlign w:val="center"/>
          </w:tcPr>
          <w:p>
            <w:pPr>
              <w:spacing w:line="240" w:lineRule="auto"/>
              <w:ind w:firstLine="0" w:firstLineChars="0"/>
              <w:jc w:val="center"/>
              <w:rPr>
                <w:sz w:val="21"/>
              </w:rPr>
            </w:pPr>
            <w:r>
              <w:rPr>
                <w:sz w:val="21"/>
              </w:rPr>
              <w:t>等效连续A声级</w:t>
            </w:r>
          </w:p>
        </w:tc>
        <w:tc>
          <w:tcPr>
            <w:tcW w:w="704" w:type="pct"/>
            <w:vAlign w:val="center"/>
          </w:tcPr>
          <w:p>
            <w:pPr>
              <w:spacing w:line="240" w:lineRule="auto"/>
              <w:ind w:firstLine="0" w:firstLineChars="0"/>
              <w:jc w:val="center"/>
              <w:rPr>
                <w:sz w:val="21"/>
              </w:rPr>
            </w:pPr>
            <w:r>
              <w:rPr>
                <w:sz w:val="21"/>
              </w:rPr>
              <w:t>昼间：6</w:t>
            </w:r>
            <w:r>
              <w:rPr>
                <w:rFonts w:hint="eastAsia"/>
                <w:sz w:val="21"/>
              </w:rPr>
              <w:t>0</w:t>
            </w:r>
          </w:p>
          <w:p>
            <w:pPr>
              <w:spacing w:line="240" w:lineRule="auto"/>
              <w:ind w:firstLine="0" w:firstLineChars="0"/>
              <w:jc w:val="center"/>
              <w:rPr>
                <w:sz w:val="21"/>
              </w:rPr>
            </w:pPr>
            <w:r>
              <w:rPr>
                <w:sz w:val="21"/>
              </w:rPr>
              <w:t>夜间：5</w:t>
            </w:r>
            <w:r>
              <w:rPr>
                <w:rFonts w:hint="eastAsia"/>
                <w:sz w:val="21"/>
              </w:rPr>
              <w:t>0</w:t>
            </w:r>
          </w:p>
        </w:tc>
        <w:tc>
          <w:tcPr>
            <w:tcW w:w="534" w:type="pct"/>
            <w:vAlign w:val="center"/>
          </w:tcPr>
          <w:p>
            <w:pPr>
              <w:spacing w:line="240" w:lineRule="auto"/>
              <w:ind w:firstLine="0" w:firstLineChars="0"/>
              <w:jc w:val="center"/>
              <w:rPr>
                <w:sz w:val="21"/>
              </w:rPr>
            </w:pPr>
            <w:r>
              <w:rPr>
                <w:kern w:val="0"/>
                <w:sz w:val="21"/>
              </w:rPr>
              <w:t>dB</w:t>
            </w:r>
            <w:r>
              <w:rPr>
                <w:rFonts w:hint="eastAsia"/>
                <w:kern w:val="0"/>
                <w:sz w:val="21"/>
              </w:rPr>
              <w:t>（</w:t>
            </w:r>
            <w:r>
              <w:rPr>
                <w:kern w:val="0"/>
                <w:sz w:val="21"/>
              </w:rPr>
              <w:t>A</w:t>
            </w:r>
            <w:r>
              <w:rPr>
                <w:rFonts w:hint="eastAsia"/>
                <w:kern w:val="0"/>
                <w:sz w:val="21"/>
              </w:rPr>
              <w:t>）</w:t>
            </w:r>
          </w:p>
        </w:tc>
        <w:tc>
          <w:tcPr>
            <w:tcW w:w="1670" w:type="pct"/>
            <w:vAlign w:val="center"/>
          </w:tcPr>
          <w:p>
            <w:pPr>
              <w:autoSpaceDE w:val="0"/>
              <w:autoSpaceDN w:val="0"/>
              <w:spacing w:line="240" w:lineRule="auto"/>
              <w:ind w:firstLine="0" w:firstLineChars="0"/>
              <w:jc w:val="center"/>
              <w:rPr>
                <w:kern w:val="0"/>
                <w:sz w:val="21"/>
              </w:rPr>
            </w:pPr>
            <w:r>
              <w:rPr>
                <w:rFonts w:hint="eastAsia"/>
                <w:kern w:val="0"/>
                <w:sz w:val="21"/>
              </w:rPr>
              <w:t>拟建项目道路红线3</w:t>
            </w:r>
            <w:r>
              <w:rPr>
                <w:kern w:val="0"/>
                <w:sz w:val="21"/>
              </w:rPr>
              <w:t>5</w:t>
            </w:r>
            <w:r>
              <w:rPr>
                <w:rFonts w:hint="eastAsia"/>
                <w:kern w:val="0"/>
                <w:sz w:val="21"/>
              </w:rPr>
              <w:t>m以外执行</w:t>
            </w:r>
            <w:r>
              <w:rPr>
                <w:kern w:val="0"/>
                <w:sz w:val="21"/>
              </w:rPr>
              <w:t>《声环境质量标准》（GB3096-2008）中</w:t>
            </w:r>
            <w:r>
              <w:rPr>
                <w:rFonts w:hint="eastAsia"/>
                <w:kern w:val="0"/>
                <w:sz w:val="21"/>
              </w:rPr>
              <w:t>2</w:t>
            </w:r>
            <w:r>
              <w:rPr>
                <w:kern w:val="0"/>
                <w:sz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Merge w:val="continue"/>
            <w:vAlign w:val="center"/>
          </w:tcPr>
          <w:p>
            <w:pPr>
              <w:spacing w:line="240" w:lineRule="auto"/>
              <w:ind w:firstLine="0" w:firstLineChars="0"/>
              <w:jc w:val="center"/>
              <w:rPr>
                <w:sz w:val="21"/>
              </w:rPr>
            </w:pPr>
          </w:p>
        </w:tc>
        <w:tc>
          <w:tcPr>
            <w:tcW w:w="704" w:type="pct"/>
            <w:vAlign w:val="center"/>
          </w:tcPr>
          <w:p>
            <w:pPr>
              <w:spacing w:line="240" w:lineRule="auto"/>
              <w:ind w:firstLine="0" w:firstLineChars="0"/>
              <w:jc w:val="center"/>
              <w:rPr>
                <w:sz w:val="21"/>
              </w:rPr>
            </w:pPr>
            <w:r>
              <w:rPr>
                <w:sz w:val="21"/>
              </w:rPr>
              <w:t>昼间：</w:t>
            </w:r>
            <w:r>
              <w:rPr>
                <w:rFonts w:hint="eastAsia"/>
                <w:sz w:val="21"/>
              </w:rPr>
              <w:t>70</w:t>
            </w:r>
          </w:p>
          <w:p>
            <w:pPr>
              <w:spacing w:line="240" w:lineRule="auto"/>
              <w:ind w:firstLine="0" w:firstLineChars="0"/>
              <w:jc w:val="center"/>
              <w:rPr>
                <w:sz w:val="21"/>
              </w:rPr>
            </w:pPr>
            <w:r>
              <w:rPr>
                <w:sz w:val="21"/>
              </w:rPr>
              <w:t>夜间：5</w:t>
            </w:r>
            <w:r>
              <w:rPr>
                <w:rFonts w:hint="eastAsia"/>
                <w:sz w:val="21"/>
              </w:rPr>
              <w:t>5</w:t>
            </w:r>
          </w:p>
        </w:tc>
        <w:tc>
          <w:tcPr>
            <w:tcW w:w="534" w:type="pct"/>
            <w:vAlign w:val="center"/>
          </w:tcPr>
          <w:p>
            <w:pPr>
              <w:spacing w:line="240" w:lineRule="auto"/>
              <w:ind w:firstLine="0" w:firstLineChars="0"/>
              <w:jc w:val="center"/>
              <w:rPr>
                <w:kern w:val="0"/>
                <w:sz w:val="21"/>
              </w:rPr>
            </w:pPr>
            <w:r>
              <w:rPr>
                <w:kern w:val="0"/>
                <w:sz w:val="21"/>
              </w:rPr>
              <w:t>dB</w:t>
            </w:r>
            <w:r>
              <w:rPr>
                <w:rFonts w:hint="eastAsia"/>
                <w:kern w:val="0"/>
                <w:sz w:val="21"/>
              </w:rPr>
              <w:t>（</w:t>
            </w:r>
            <w:r>
              <w:rPr>
                <w:kern w:val="0"/>
                <w:sz w:val="21"/>
              </w:rPr>
              <w:t>A</w:t>
            </w:r>
            <w:r>
              <w:rPr>
                <w:rFonts w:hint="eastAsia"/>
                <w:kern w:val="0"/>
                <w:sz w:val="21"/>
              </w:rPr>
              <w:t>）</w:t>
            </w:r>
          </w:p>
        </w:tc>
        <w:tc>
          <w:tcPr>
            <w:tcW w:w="1670" w:type="pct"/>
            <w:vAlign w:val="center"/>
          </w:tcPr>
          <w:p>
            <w:pPr>
              <w:autoSpaceDE w:val="0"/>
              <w:autoSpaceDN w:val="0"/>
              <w:spacing w:line="240" w:lineRule="auto"/>
              <w:ind w:firstLine="0" w:firstLineChars="0"/>
              <w:jc w:val="center"/>
              <w:rPr>
                <w:kern w:val="0"/>
                <w:sz w:val="21"/>
              </w:rPr>
            </w:pPr>
            <w:r>
              <w:rPr>
                <w:rFonts w:hint="eastAsia"/>
                <w:kern w:val="0"/>
                <w:sz w:val="21"/>
              </w:rPr>
              <w:t>拟建项目道路红线3</w:t>
            </w:r>
            <w:r>
              <w:rPr>
                <w:kern w:val="0"/>
                <w:sz w:val="21"/>
              </w:rPr>
              <w:t>5</w:t>
            </w:r>
            <w:r>
              <w:rPr>
                <w:rFonts w:hint="eastAsia"/>
                <w:kern w:val="0"/>
                <w:sz w:val="21"/>
              </w:rPr>
              <w:t>m以内执行</w:t>
            </w:r>
            <w:r>
              <w:rPr>
                <w:kern w:val="0"/>
                <w:sz w:val="21"/>
              </w:rPr>
              <w:t>《声环境质量标准》（GB3096-2008）中</w:t>
            </w:r>
            <w:r>
              <w:rPr>
                <w:rFonts w:hint="eastAsia"/>
                <w:kern w:val="0"/>
                <w:sz w:val="21"/>
              </w:rPr>
              <w:t>4a</w:t>
            </w:r>
            <w:r>
              <w:rPr>
                <w:kern w:val="0"/>
                <w:sz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3" w:type="pct"/>
            <w:vMerge w:val="continue"/>
            <w:vAlign w:val="center"/>
          </w:tcPr>
          <w:p>
            <w:pPr>
              <w:spacing w:line="240" w:lineRule="auto"/>
              <w:ind w:firstLine="0" w:firstLineChars="0"/>
              <w:jc w:val="center"/>
              <w:rPr>
                <w:sz w:val="21"/>
              </w:rPr>
            </w:pPr>
          </w:p>
        </w:tc>
        <w:tc>
          <w:tcPr>
            <w:tcW w:w="1588" w:type="pct"/>
            <w:gridSpan w:val="2"/>
            <w:vMerge w:val="continue"/>
            <w:vAlign w:val="center"/>
          </w:tcPr>
          <w:p>
            <w:pPr>
              <w:spacing w:line="240" w:lineRule="auto"/>
              <w:ind w:firstLine="0" w:firstLineChars="0"/>
              <w:jc w:val="center"/>
              <w:rPr>
                <w:sz w:val="21"/>
              </w:rPr>
            </w:pPr>
          </w:p>
        </w:tc>
        <w:tc>
          <w:tcPr>
            <w:tcW w:w="704" w:type="pct"/>
            <w:vAlign w:val="center"/>
          </w:tcPr>
          <w:p>
            <w:pPr>
              <w:spacing w:line="240" w:lineRule="auto"/>
              <w:ind w:firstLine="0" w:firstLineChars="0"/>
              <w:jc w:val="center"/>
              <w:rPr>
                <w:sz w:val="21"/>
              </w:rPr>
            </w:pPr>
            <w:r>
              <w:rPr>
                <w:sz w:val="21"/>
              </w:rPr>
              <w:t>昼间：6</w:t>
            </w:r>
            <w:r>
              <w:rPr>
                <w:rFonts w:hint="eastAsia"/>
                <w:sz w:val="21"/>
              </w:rPr>
              <w:t>0</w:t>
            </w:r>
          </w:p>
          <w:p>
            <w:pPr>
              <w:spacing w:line="240" w:lineRule="auto"/>
              <w:ind w:firstLine="0" w:firstLineChars="0"/>
              <w:jc w:val="center"/>
              <w:rPr>
                <w:sz w:val="21"/>
              </w:rPr>
            </w:pPr>
            <w:r>
              <w:rPr>
                <w:sz w:val="21"/>
              </w:rPr>
              <w:t>夜间：5</w:t>
            </w:r>
            <w:r>
              <w:rPr>
                <w:rFonts w:hint="eastAsia"/>
                <w:sz w:val="21"/>
              </w:rPr>
              <w:t>0</w:t>
            </w:r>
          </w:p>
        </w:tc>
        <w:tc>
          <w:tcPr>
            <w:tcW w:w="534" w:type="pct"/>
            <w:vAlign w:val="center"/>
          </w:tcPr>
          <w:p>
            <w:pPr>
              <w:spacing w:line="240" w:lineRule="auto"/>
              <w:ind w:firstLine="0" w:firstLineChars="0"/>
              <w:jc w:val="center"/>
              <w:rPr>
                <w:kern w:val="0"/>
                <w:sz w:val="21"/>
              </w:rPr>
            </w:pPr>
            <w:r>
              <w:rPr>
                <w:kern w:val="0"/>
                <w:sz w:val="21"/>
              </w:rPr>
              <w:t>dB</w:t>
            </w:r>
            <w:r>
              <w:rPr>
                <w:rFonts w:hint="eastAsia"/>
                <w:kern w:val="0"/>
                <w:sz w:val="21"/>
              </w:rPr>
              <w:t>（</w:t>
            </w:r>
            <w:r>
              <w:rPr>
                <w:kern w:val="0"/>
                <w:sz w:val="21"/>
              </w:rPr>
              <w:t>A</w:t>
            </w:r>
            <w:r>
              <w:rPr>
                <w:rFonts w:hint="eastAsia"/>
                <w:kern w:val="0"/>
                <w:sz w:val="21"/>
              </w:rPr>
              <w:t>）</w:t>
            </w:r>
          </w:p>
        </w:tc>
        <w:tc>
          <w:tcPr>
            <w:tcW w:w="1670" w:type="pct"/>
            <w:vAlign w:val="center"/>
          </w:tcPr>
          <w:p>
            <w:pPr>
              <w:autoSpaceDE w:val="0"/>
              <w:autoSpaceDN w:val="0"/>
              <w:spacing w:line="240" w:lineRule="auto"/>
              <w:ind w:firstLine="0" w:firstLineChars="0"/>
              <w:jc w:val="center"/>
              <w:rPr>
                <w:kern w:val="0"/>
                <w:sz w:val="21"/>
              </w:rPr>
            </w:pPr>
            <w:r>
              <w:rPr>
                <w:rFonts w:hint="eastAsia"/>
                <w:sz w:val="21"/>
              </w:rPr>
              <w:t>遵化市第三中学路段执行《关于公路、铁路（含轻轨）等建设项目环境影响评价中环境噪声有关问题的通知》（环发[2003]94号</w:t>
            </w:r>
            <w:r>
              <w:rPr>
                <w:sz w:val="21"/>
              </w:rPr>
              <w:t>）</w:t>
            </w:r>
          </w:p>
        </w:tc>
      </w:tr>
      <w:bookmarkEnd w:id="63"/>
    </w:tbl>
    <w:p>
      <w:pPr>
        <w:pStyle w:val="204"/>
        <w:spacing w:line="480" w:lineRule="exact"/>
        <w:ind w:firstLine="0" w:firstLineChars="0"/>
        <w:outlineLvl w:val="2"/>
        <w:rPr>
          <w:b/>
          <w:sz w:val="28"/>
          <w:szCs w:val="28"/>
        </w:rPr>
      </w:pPr>
      <w:r>
        <w:rPr>
          <w:rFonts w:hint="eastAsia"/>
          <w:b/>
          <w:sz w:val="28"/>
          <w:szCs w:val="28"/>
        </w:rPr>
        <w:t>2.6.3污染物排放标准</w:t>
      </w:r>
    </w:p>
    <w:p>
      <w:pPr>
        <w:pStyle w:val="18"/>
        <w:spacing w:after="0"/>
        <w:ind w:firstLine="480"/>
        <w:rPr>
          <w:rFonts w:hAnsi="宋体"/>
          <w:szCs w:val="24"/>
        </w:rPr>
      </w:pPr>
      <w:r>
        <w:rPr>
          <w:rFonts w:hint="eastAsia" w:hAnsi="宋体"/>
          <w:szCs w:val="24"/>
        </w:rPr>
        <w:t>1、施工期污染物排放标准</w:t>
      </w:r>
    </w:p>
    <w:p>
      <w:pPr>
        <w:pStyle w:val="18"/>
        <w:spacing w:after="0"/>
        <w:ind w:firstLine="480"/>
        <w:rPr>
          <w:rFonts w:cs="宋体"/>
        </w:rPr>
      </w:pPr>
      <w:r>
        <w:rPr>
          <w:rFonts w:hint="eastAsia" w:hAnsi="宋体"/>
          <w:szCs w:val="24"/>
        </w:rPr>
        <w:t>（1）废气：</w:t>
      </w:r>
      <w:r>
        <w:t>施工扬尘无组织</w:t>
      </w:r>
      <w:r>
        <w:rPr>
          <w:szCs w:val="24"/>
        </w:rPr>
        <w:t>排放执行</w:t>
      </w:r>
      <w:r>
        <w:rPr>
          <w:rFonts w:hint="eastAsia"/>
          <w:szCs w:val="24"/>
        </w:rPr>
        <w:t>河北省</w:t>
      </w:r>
      <w:r>
        <w:rPr>
          <w:szCs w:val="24"/>
        </w:rPr>
        <w:t>《施工场地扬尘排放标准》</w:t>
      </w:r>
      <w:r>
        <w:rPr>
          <w:rFonts w:hint="eastAsia"/>
          <w:szCs w:val="24"/>
        </w:rPr>
        <w:t>（</w:t>
      </w:r>
      <w:r>
        <w:rPr>
          <w:szCs w:val="24"/>
        </w:rPr>
        <w:t>DB13/2934-2019</w:t>
      </w:r>
      <w:r>
        <w:rPr>
          <w:rFonts w:hint="eastAsia"/>
          <w:szCs w:val="24"/>
        </w:rPr>
        <w:t>）</w:t>
      </w:r>
      <w:r>
        <w:rPr>
          <w:szCs w:val="24"/>
        </w:rPr>
        <w:t>表</w:t>
      </w:r>
      <w:r>
        <w:rPr>
          <w:rFonts w:hint="eastAsia"/>
          <w:szCs w:val="24"/>
        </w:rPr>
        <w:t>1扬尘排放浓度限值；</w:t>
      </w:r>
      <w:r>
        <w:rPr>
          <w:rFonts w:hint="eastAsia" w:hAnsi="宋体"/>
          <w:szCs w:val="24"/>
        </w:rPr>
        <w:t>沥青烟排放执行《大气污染物综合排放标准》（GB16297-1996）表2无组织排放监控浓度限值</w:t>
      </w:r>
      <w:r>
        <w:rPr>
          <w:rFonts w:hint="eastAsia" w:cs="宋体"/>
        </w:rPr>
        <w:t>。</w:t>
      </w:r>
    </w:p>
    <w:p>
      <w:pPr>
        <w:pStyle w:val="18"/>
        <w:spacing w:after="0"/>
        <w:ind w:firstLine="480"/>
        <w:rPr>
          <w:rFonts w:cs="宋体"/>
        </w:rPr>
      </w:pPr>
      <w:r>
        <w:rPr>
          <w:rFonts w:hint="eastAsia"/>
          <w:szCs w:val="24"/>
        </w:rPr>
        <w:t>（2）噪声：</w:t>
      </w:r>
      <w:r>
        <w:t>施工期噪声执行《建筑施工场界环境噪声排放标准》（GB12523-2011）限值</w:t>
      </w:r>
      <w:r>
        <w:rPr>
          <w:rFonts w:hint="eastAsia" w:cs="宋体"/>
        </w:rPr>
        <w:t>。</w:t>
      </w:r>
    </w:p>
    <w:p>
      <w:pPr>
        <w:pStyle w:val="18"/>
        <w:spacing w:after="0"/>
        <w:ind w:firstLine="480"/>
        <w:rPr>
          <w:rFonts w:hAnsi="宋体"/>
          <w:szCs w:val="24"/>
        </w:rPr>
      </w:pPr>
      <w:r>
        <w:rPr>
          <w:rFonts w:hint="eastAsia" w:hAnsi="宋体"/>
          <w:szCs w:val="24"/>
        </w:rPr>
        <w:t>2、运营期污染物排放标准</w:t>
      </w:r>
    </w:p>
    <w:p>
      <w:pPr>
        <w:pStyle w:val="18"/>
        <w:spacing w:after="0"/>
        <w:ind w:firstLine="480"/>
        <w:rPr>
          <w:rFonts w:cs="宋体"/>
        </w:rPr>
      </w:pPr>
      <w:r>
        <w:rPr>
          <w:rFonts w:hint="eastAsia" w:hAnsi="宋体"/>
          <w:szCs w:val="24"/>
        </w:rPr>
        <w:t>运行期无废气、废水等污染物排放</w:t>
      </w:r>
      <w:r>
        <w:rPr>
          <w:rFonts w:hint="eastAsia" w:cs="宋体"/>
        </w:rPr>
        <w:t>。</w:t>
      </w:r>
    </w:p>
    <w:p>
      <w:pPr>
        <w:pStyle w:val="185"/>
        <w:spacing w:line="480" w:lineRule="exact"/>
        <w:rPr>
          <w:sz w:val="21"/>
          <w:szCs w:val="21"/>
        </w:rPr>
      </w:pPr>
      <w:r>
        <w:rPr>
          <w:sz w:val="21"/>
          <w:szCs w:val="21"/>
        </w:rPr>
        <w:t>表</w:t>
      </w:r>
      <w:r>
        <w:rPr>
          <w:rFonts w:hint="eastAsia"/>
          <w:sz w:val="21"/>
          <w:szCs w:val="21"/>
        </w:rPr>
        <w:t xml:space="preserve">2.6-2 </w:t>
      </w:r>
      <w:r>
        <w:rPr>
          <w:sz w:val="21"/>
          <w:szCs w:val="21"/>
        </w:rPr>
        <w:t>污染物排放</w:t>
      </w:r>
      <w:r>
        <w:rPr>
          <w:rFonts w:hint="eastAsia"/>
          <w:sz w:val="21"/>
          <w:szCs w:val="21"/>
        </w:rPr>
        <w:t>限值</w:t>
      </w:r>
      <w:r>
        <w:rPr>
          <w:sz w:val="21"/>
          <w:szCs w:val="21"/>
        </w:rPr>
        <w:t>标准</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55"/>
        <w:gridCol w:w="565"/>
        <w:gridCol w:w="1419"/>
        <w:gridCol w:w="3263"/>
        <w:gridCol w:w="29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74" w:type="pct"/>
            <w:vAlign w:val="center"/>
          </w:tcPr>
          <w:p>
            <w:pPr>
              <w:pStyle w:val="675"/>
              <w:jc w:val="center"/>
              <w:rPr>
                <w:rFonts w:ascii="Times New Roman" w:hAnsi="Times New Roman" w:cs="Times New Roman"/>
                <w:kern w:val="21"/>
                <w:sz w:val="21"/>
                <w:szCs w:val="21"/>
              </w:rPr>
            </w:pPr>
            <w:r>
              <w:rPr>
                <w:rFonts w:hint="eastAsia" w:ascii="Times New Roman" w:hAnsi="Times New Roman" w:cs="Times New Roman"/>
                <w:kern w:val="21"/>
                <w:sz w:val="21"/>
                <w:szCs w:val="21"/>
                <w:lang w:eastAsia="zh-CN"/>
              </w:rPr>
              <w:t>时期</w:t>
            </w:r>
          </w:p>
        </w:tc>
        <w:tc>
          <w:tcPr>
            <w:tcW w:w="313" w:type="pct"/>
            <w:vAlign w:val="center"/>
          </w:tcPr>
          <w:p>
            <w:pPr>
              <w:pStyle w:val="675"/>
              <w:jc w:val="center"/>
              <w:rPr>
                <w:rFonts w:ascii="Times New Roman" w:hAnsi="Times New Roman" w:cs="Times New Roman"/>
                <w:kern w:val="21"/>
                <w:sz w:val="21"/>
                <w:szCs w:val="21"/>
              </w:rPr>
            </w:pPr>
            <w:r>
              <w:rPr>
                <w:rFonts w:hint="eastAsia" w:ascii="Times New Roman" w:hAnsi="Times New Roman" w:cs="Times New Roman"/>
                <w:kern w:val="21"/>
                <w:sz w:val="21"/>
                <w:szCs w:val="21"/>
                <w:lang w:eastAsia="zh-CN"/>
              </w:rPr>
              <w:t>类别</w:t>
            </w:r>
          </w:p>
        </w:tc>
        <w:tc>
          <w:tcPr>
            <w:tcW w:w="786" w:type="pct"/>
            <w:vAlign w:val="center"/>
          </w:tcPr>
          <w:p>
            <w:pPr>
              <w:pStyle w:val="675"/>
              <w:jc w:val="center"/>
              <w:rPr>
                <w:rFonts w:ascii="Times New Roman" w:hAnsi="Times New Roman" w:cs="Times New Roman"/>
                <w:kern w:val="21"/>
                <w:sz w:val="21"/>
                <w:szCs w:val="21"/>
              </w:rPr>
            </w:pPr>
            <w:r>
              <w:rPr>
                <w:rFonts w:hint="eastAsia" w:ascii="Times New Roman" w:hAnsi="Times New Roman" w:cs="Times New Roman"/>
                <w:kern w:val="21"/>
                <w:sz w:val="21"/>
                <w:szCs w:val="21"/>
                <w:lang w:eastAsia="zh-CN"/>
              </w:rPr>
              <w:t>污染物</w:t>
            </w:r>
          </w:p>
        </w:tc>
        <w:tc>
          <w:tcPr>
            <w:tcW w:w="1808" w:type="pct"/>
            <w:vAlign w:val="center"/>
          </w:tcPr>
          <w:p>
            <w:pPr>
              <w:pStyle w:val="675"/>
              <w:jc w:val="center"/>
              <w:rPr>
                <w:rFonts w:ascii="Times New Roman" w:hAnsi="Times New Roman" w:cs="Times New Roman"/>
                <w:kern w:val="21"/>
                <w:sz w:val="21"/>
                <w:szCs w:val="21"/>
                <w:lang w:eastAsia="zh-CN"/>
              </w:rPr>
            </w:pPr>
            <w:r>
              <w:rPr>
                <w:rFonts w:hint="eastAsia" w:ascii="Times New Roman" w:hAnsi="Times New Roman" w:cs="Times New Roman"/>
                <w:kern w:val="21"/>
                <w:sz w:val="21"/>
                <w:szCs w:val="21"/>
                <w:lang w:eastAsia="zh-CN"/>
              </w:rPr>
              <w:t>污染物排放限值</w:t>
            </w:r>
          </w:p>
        </w:tc>
        <w:tc>
          <w:tcPr>
            <w:tcW w:w="1619" w:type="pct"/>
            <w:vAlign w:val="center"/>
          </w:tcPr>
          <w:p>
            <w:pPr>
              <w:pStyle w:val="675"/>
              <w:jc w:val="center"/>
              <w:rPr>
                <w:rFonts w:ascii="Times New Roman" w:hAnsi="Times New Roman" w:cs="Times New Roman"/>
                <w:kern w:val="21"/>
                <w:sz w:val="21"/>
                <w:szCs w:val="21"/>
                <w:lang w:eastAsia="zh-CN"/>
              </w:rPr>
            </w:pPr>
            <w:r>
              <w:rPr>
                <w:rFonts w:hint="eastAsia" w:ascii="Times New Roman" w:hAnsi="Times New Roman" w:cs="Times New Roman"/>
                <w:kern w:val="21"/>
                <w:sz w:val="21"/>
                <w:szCs w:val="21"/>
                <w:lang w:eastAsia="zh-CN"/>
              </w:rPr>
              <w:t>污染物</w:t>
            </w:r>
            <w:r>
              <w:rPr>
                <w:rFonts w:ascii="Times New Roman" w:hAnsi="Times New Roman" w:cs="Times New Roman"/>
                <w:kern w:val="21"/>
                <w:sz w:val="21"/>
                <w:szCs w:val="21"/>
                <w:lang w:eastAsia="zh-CN"/>
              </w:rPr>
              <w:t>排放标准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74" w:type="pct"/>
            <w:vMerge w:val="restart"/>
            <w:vAlign w:val="center"/>
          </w:tcPr>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施工期</w:t>
            </w:r>
          </w:p>
        </w:tc>
        <w:tc>
          <w:tcPr>
            <w:tcW w:w="313" w:type="pct"/>
            <w:vAlign w:val="center"/>
          </w:tcPr>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噪声</w:t>
            </w:r>
          </w:p>
        </w:tc>
        <w:tc>
          <w:tcPr>
            <w:tcW w:w="786" w:type="pct"/>
            <w:vAlign w:val="center"/>
          </w:tcPr>
          <w:p>
            <w:pPr>
              <w:pStyle w:val="675"/>
              <w:jc w:val="center"/>
              <w:rPr>
                <w:rFonts w:ascii="Times New Roman" w:hAnsi="Times New Roman" w:eastAsia="Times New Roman" w:cs="Times New Roman"/>
                <w:kern w:val="21"/>
                <w:sz w:val="21"/>
                <w:szCs w:val="21"/>
              </w:rPr>
            </w:pPr>
            <w:r>
              <w:rPr>
                <w:rFonts w:ascii="Times New Roman" w:hAnsi="Times New Roman" w:cs="Times New Roman"/>
                <w:kern w:val="21"/>
                <w:sz w:val="21"/>
                <w:szCs w:val="21"/>
              </w:rPr>
              <w:t>LeqdB(A)</w:t>
            </w:r>
          </w:p>
        </w:tc>
        <w:tc>
          <w:tcPr>
            <w:tcW w:w="1808" w:type="pct"/>
            <w:vAlign w:val="center"/>
          </w:tcPr>
          <w:p>
            <w:pPr>
              <w:pStyle w:val="675"/>
              <w:jc w:val="center"/>
              <w:rPr>
                <w:rFonts w:ascii="Times New Roman" w:hAnsi="Times New Roman" w:eastAsia="Times New Roman" w:cs="Times New Roman"/>
                <w:kern w:val="21"/>
                <w:sz w:val="21"/>
                <w:szCs w:val="21"/>
              </w:rPr>
            </w:pPr>
            <w:r>
              <w:rPr>
                <w:rFonts w:ascii="Times New Roman" w:hAnsi="Times New Roman" w:cs="Times New Roman"/>
                <w:kern w:val="21"/>
                <w:sz w:val="21"/>
                <w:szCs w:val="21"/>
              </w:rPr>
              <w:t>昼间</w:t>
            </w:r>
            <w:r>
              <w:rPr>
                <w:rFonts w:ascii="Times New Roman" w:hAnsi="Times New Roman" w:eastAsia="Times New Roman" w:cs="Times New Roman"/>
                <w:kern w:val="21"/>
                <w:sz w:val="21"/>
                <w:szCs w:val="21"/>
              </w:rPr>
              <w:t>70dB(A)</w:t>
            </w:r>
            <w:r>
              <w:rPr>
                <w:rFonts w:ascii="Times New Roman" w:hAnsi="Times New Roman" w:cs="Times New Roman"/>
                <w:kern w:val="21"/>
                <w:sz w:val="21"/>
                <w:szCs w:val="21"/>
              </w:rPr>
              <w:t>、夜间</w:t>
            </w:r>
            <w:r>
              <w:rPr>
                <w:rFonts w:ascii="Times New Roman" w:hAnsi="Times New Roman" w:eastAsia="Times New Roman" w:cs="Times New Roman"/>
                <w:kern w:val="21"/>
                <w:sz w:val="21"/>
                <w:szCs w:val="21"/>
              </w:rPr>
              <w:t>55dB(A)</w:t>
            </w:r>
          </w:p>
        </w:tc>
        <w:tc>
          <w:tcPr>
            <w:tcW w:w="1619" w:type="pct"/>
            <w:vAlign w:val="center"/>
          </w:tcPr>
          <w:p>
            <w:pPr>
              <w:pStyle w:val="675"/>
              <w:jc w:val="center"/>
              <w:rPr>
                <w:rFonts w:ascii="Times New Roman" w:hAnsi="Times New Roman" w:cs="Times New Roman"/>
                <w:kern w:val="21"/>
                <w:sz w:val="21"/>
                <w:szCs w:val="21"/>
                <w:lang w:eastAsia="zh-CN"/>
              </w:rPr>
            </w:pPr>
            <w:r>
              <w:rPr>
                <w:rFonts w:ascii="Times New Roman" w:hAnsi="Times New Roman" w:cs="Times New Roman"/>
                <w:kern w:val="21"/>
                <w:sz w:val="21"/>
                <w:szCs w:val="21"/>
                <w:lang w:eastAsia="zh-CN"/>
              </w:rPr>
              <w:t>《建筑施工场界环境噪声排放标准》（</w:t>
            </w:r>
            <w:r>
              <w:rPr>
                <w:rFonts w:ascii="Times New Roman" w:hAnsi="Times New Roman" w:eastAsia="Times New Roman" w:cs="Times New Roman"/>
                <w:kern w:val="21"/>
                <w:sz w:val="21"/>
                <w:szCs w:val="21"/>
                <w:lang w:eastAsia="zh-CN"/>
              </w:rPr>
              <w:t>GB12523-2011</w:t>
            </w:r>
            <w:r>
              <w:rPr>
                <w:rFonts w:ascii="Times New Roman" w:hAnsi="Times New Roman" w:cs="Times New Roman"/>
                <w:kern w:val="21"/>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74" w:type="pct"/>
            <w:vMerge w:val="continue"/>
            <w:vAlign w:val="center"/>
          </w:tcPr>
          <w:p>
            <w:pPr>
              <w:spacing w:line="240" w:lineRule="auto"/>
              <w:ind w:firstLine="0" w:firstLineChars="0"/>
              <w:jc w:val="center"/>
              <w:rPr>
                <w:kern w:val="21"/>
                <w:sz w:val="21"/>
              </w:rPr>
            </w:pPr>
          </w:p>
        </w:tc>
        <w:tc>
          <w:tcPr>
            <w:tcW w:w="313" w:type="pct"/>
            <w:vMerge w:val="restart"/>
            <w:vAlign w:val="center"/>
          </w:tcPr>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废气</w:t>
            </w:r>
          </w:p>
        </w:tc>
        <w:tc>
          <w:tcPr>
            <w:tcW w:w="786" w:type="pct"/>
            <w:vAlign w:val="center"/>
          </w:tcPr>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扬尘（</w:t>
            </w:r>
            <w:r>
              <w:rPr>
                <w:rFonts w:ascii="Times New Roman" w:hAnsi="Times New Roman" w:eastAsia="Times New Roman" w:cs="Times New Roman"/>
                <w:kern w:val="21"/>
                <w:sz w:val="21"/>
                <w:szCs w:val="21"/>
              </w:rPr>
              <w:t>PM10</w:t>
            </w:r>
            <w:r>
              <w:rPr>
                <w:rFonts w:ascii="Times New Roman" w:hAnsi="Times New Roman" w:cs="Times New Roman"/>
                <w:kern w:val="21"/>
                <w:sz w:val="21"/>
                <w:szCs w:val="21"/>
              </w:rPr>
              <w:t>）</w:t>
            </w:r>
          </w:p>
        </w:tc>
        <w:tc>
          <w:tcPr>
            <w:tcW w:w="1808" w:type="pct"/>
            <w:vAlign w:val="center"/>
          </w:tcPr>
          <w:p>
            <w:pPr>
              <w:pStyle w:val="675"/>
              <w:jc w:val="center"/>
              <w:rPr>
                <w:rFonts w:ascii="Times New Roman" w:hAnsi="Times New Roman" w:cs="Times New Roman"/>
                <w:kern w:val="21"/>
                <w:sz w:val="21"/>
                <w:szCs w:val="21"/>
                <w:lang w:eastAsia="zh-CN"/>
              </w:rPr>
            </w:pPr>
            <w:r>
              <w:rPr>
                <w:rFonts w:ascii="Times New Roman" w:hAnsi="Times New Roman" w:cs="Times New Roman"/>
                <w:kern w:val="21"/>
                <w:sz w:val="21"/>
                <w:szCs w:val="21"/>
                <w:lang w:eastAsia="zh-CN"/>
              </w:rPr>
              <w:t>监测点浓度限值</w:t>
            </w:r>
            <w:r>
              <w:rPr>
                <w:rFonts w:ascii="Times New Roman" w:hAnsi="Times New Roman" w:eastAsia="Times New Roman" w:cs="Times New Roman"/>
                <w:kern w:val="21"/>
                <w:sz w:val="21"/>
                <w:szCs w:val="21"/>
                <w:lang w:eastAsia="zh-CN"/>
              </w:rPr>
              <w:t>80</w:t>
            </w:r>
            <w:r>
              <w:rPr>
                <w:rFonts w:ascii="Times New Roman" w:hAnsi="Times New Roman" w:cs="Times New Roman"/>
                <w:kern w:val="21"/>
                <w:sz w:val="21"/>
                <w:szCs w:val="21"/>
                <w:lang w:eastAsia="zh-CN"/>
              </w:rPr>
              <w:t>ug/m</w:t>
            </w:r>
            <w:r>
              <w:rPr>
                <w:rFonts w:ascii="Times New Roman" w:hAnsi="Times New Roman" w:cs="Times New Roman"/>
                <w:kern w:val="21"/>
                <w:sz w:val="21"/>
                <w:szCs w:val="21"/>
                <w:vertAlign w:val="superscript"/>
                <w:lang w:eastAsia="zh-CN"/>
              </w:rPr>
              <w:t>3</w:t>
            </w:r>
            <w:r>
              <w:rPr>
                <w:rFonts w:ascii="Times New Roman" w:hAnsi="Times New Roman" w:cs="Times New Roman"/>
                <w:kern w:val="21"/>
                <w:sz w:val="21"/>
                <w:szCs w:val="21"/>
                <w:lang w:eastAsia="zh-CN"/>
              </w:rPr>
              <w:t>，≤</w:t>
            </w:r>
            <w:r>
              <w:rPr>
                <w:rFonts w:ascii="Times New Roman" w:hAnsi="Times New Roman" w:eastAsia="Times New Roman" w:cs="Times New Roman"/>
                <w:kern w:val="21"/>
                <w:sz w:val="21"/>
                <w:szCs w:val="21"/>
                <w:lang w:eastAsia="zh-CN"/>
              </w:rPr>
              <w:t>2</w:t>
            </w:r>
            <w:r>
              <w:rPr>
                <w:rFonts w:ascii="Times New Roman" w:hAnsi="Times New Roman" w:cs="Times New Roman"/>
                <w:kern w:val="21"/>
                <w:sz w:val="21"/>
                <w:szCs w:val="21"/>
                <w:lang w:eastAsia="zh-CN"/>
              </w:rPr>
              <w:t>次</w:t>
            </w:r>
            <w:r>
              <w:rPr>
                <w:rFonts w:ascii="Times New Roman" w:hAnsi="Times New Roman" w:eastAsia="Times New Roman" w:cs="Times New Roman"/>
                <w:kern w:val="21"/>
                <w:sz w:val="21"/>
                <w:szCs w:val="21"/>
                <w:lang w:eastAsia="zh-CN"/>
              </w:rPr>
              <w:t>/</w:t>
            </w:r>
            <w:r>
              <w:rPr>
                <w:rFonts w:ascii="Times New Roman" w:hAnsi="Times New Roman" w:cs="Times New Roman"/>
                <w:kern w:val="21"/>
                <w:sz w:val="21"/>
                <w:szCs w:val="21"/>
                <w:lang w:eastAsia="zh-CN"/>
              </w:rPr>
              <w:t>天</w:t>
            </w:r>
          </w:p>
        </w:tc>
        <w:tc>
          <w:tcPr>
            <w:tcW w:w="1619" w:type="pct"/>
            <w:vAlign w:val="center"/>
          </w:tcPr>
          <w:p>
            <w:pPr>
              <w:pStyle w:val="675"/>
              <w:jc w:val="center"/>
              <w:rPr>
                <w:rFonts w:ascii="Times New Roman" w:hAnsi="Times New Roman" w:cs="Times New Roman"/>
                <w:kern w:val="21"/>
                <w:sz w:val="21"/>
                <w:szCs w:val="21"/>
                <w:lang w:eastAsia="zh-CN"/>
              </w:rPr>
            </w:pPr>
            <w:r>
              <w:rPr>
                <w:rFonts w:ascii="Times New Roman" w:hAnsi="Times New Roman" w:cs="Times New Roman"/>
                <w:kern w:val="21"/>
                <w:sz w:val="21"/>
                <w:szCs w:val="21"/>
                <w:lang w:eastAsia="zh-CN"/>
              </w:rPr>
              <w:t>《施工场地扬尘排放准》</w:t>
            </w:r>
          </w:p>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w:t>
            </w:r>
            <w:r>
              <w:rPr>
                <w:rFonts w:ascii="Times New Roman" w:hAnsi="Times New Roman" w:eastAsia="Times New Roman" w:cs="Times New Roman"/>
                <w:kern w:val="21"/>
                <w:sz w:val="21"/>
                <w:szCs w:val="21"/>
              </w:rPr>
              <w:t>DB13/2934-2019</w:t>
            </w:r>
            <w:r>
              <w:rPr>
                <w:rFonts w:ascii="Times New Roman" w:hAnsi="Times New Roman" w:cs="Times New Roman"/>
                <w:kern w:val="21"/>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74" w:type="pct"/>
            <w:vMerge w:val="continue"/>
            <w:vAlign w:val="center"/>
          </w:tcPr>
          <w:p>
            <w:pPr>
              <w:spacing w:line="240" w:lineRule="auto"/>
              <w:ind w:firstLine="0" w:firstLineChars="0"/>
              <w:jc w:val="center"/>
              <w:rPr>
                <w:kern w:val="21"/>
                <w:sz w:val="21"/>
                <w:lang w:eastAsia="en-US"/>
              </w:rPr>
            </w:pPr>
          </w:p>
        </w:tc>
        <w:tc>
          <w:tcPr>
            <w:tcW w:w="313" w:type="pct"/>
            <w:vMerge w:val="continue"/>
            <w:vAlign w:val="center"/>
          </w:tcPr>
          <w:p>
            <w:pPr>
              <w:spacing w:line="240" w:lineRule="auto"/>
              <w:ind w:firstLine="0" w:firstLineChars="0"/>
              <w:jc w:val="center"/>
              <w:rPr>
                <w:kern w:val="21"/>
                <w:sz w:val="21"/>
                <w:lang w:eastAsia="en-US"/>
              </w:rPr>
            </w:pPr>
          </w:p>
        </w:tc>
        <w:tc>
          <w:tcPr>
            <w:tcW w:w="786" w:type="pct"/>
            <w:vAlign w:val="center"/>
          </w:tcPr>
          <w:p>
            <w:pPr>
              <w:pStyle w:val="675"/>
              <w:jc w:val="center"/>
              <w:rPr>
                <w:rFonts w:ascii="Times New Roman" w:hAnsi="Times New Roman" w:cs="Times New Roman"/>
                <w:kern w:val="21"/>
                <w:sz w:val="21"/>
                <w:szCs w:val="21"/>
              </w:rPr>
            </w:pPr>
            <w:r>
              <w:rPr>
                <w:rFonts w:ascii="Times New Roman" w:hAnsi="Times New Roman" w:cs="Times New Roman"/>
                <w:kern w:val="21"/>
                <w:sz w:val="21"/>
                <w:szCs w:val="21"/>
              </w:rPr>
              <w:t>沥青烟</w:t>
            </w:r>
          </w:p>
        </w:tc>
        <w:tc>
          <w:tcPr>
            <w:tcW w:w="1808" w:type="pct"/>
            <w:vAlign w:val="center"/>
          </w:tcPr>
          <w:p>
            <w:pPr>
              <w:pStyle w:val="675"/>
              <w:jc w:val="center"/>
              <w:rPr>
                <w:rFonts w:ascii="Times New Roman" w:hAnsi="Times New Roman" w:cs="Times New Roman"/>
                <w:kern w:val="21"/>
                <w:sz w:val="21"/>
                <w:szCs w:val="21"/>
                <w:lang w:eastAsia="zh-CN"/>
              </w:rPr>
            </w:pPr>
            <w:r>
              <w:rPr>
                <w:rFonts w:ascii="Times New Roman" w:hAnsi="Times New Roman" w:cs="Times New Roman"/>
                <w:kern w:val="21"/>
                <w:sz w:val="21"/>
                <w:szCs w:val="21"/>
                <w:lang w:eastAsia="zh-CN"/>
              </w:rPr>
              <w:t>生产设备不得有明显的无组织排放存在</w:t>
            </w:r>
          </w:p>
        </w:tc>
        <w:tc>
          <w:tcPr>
            <w:tcW w:w="1619" w:type="pct"/>
            <w:vAlign w:val="center"/>
          </w:tcPr>
          <w:p>
            <w:pPr>
              <w:pStyle w:val="675"/>
              <w:jc w:val="center"/>
              <w:rPr>
                <w:rFonts w:ascii="Times New Roman" w:hAnsi="Times New Roman" w:cs="Times New Roman"/>
                <w:kern w:val="21"/>
                <w:sz w:val="21"/>
                <w:szCs w:val="21"/>
                <w:lang w:eastAsia="zh-CN"/>
              </w:rPr>
            </w:pPr>
            <w:r>
              <w:rPr>
                <w:rFonts w:ascii="Times New Roman" w:hAnsi="Times New Roman" w:cs="Times New Roman"/>
                <w:kern w:val="21"/>
                <w:sz w:val="21"/>
                <w:szCs w:val="21"/>
                <w:lang w:eastAsia="zh-CN"/>
              </w:rPr>
              <w:t>《大气污染物综合排放标准》（</w:t>
            </w:r>
            <w:r>
              <w:rPr>
                <w:rFonts w:ascii="Times New Roman" w:hAnsi="Times New Roman" w:eastAsia="Times New Roman" w:cs="Times New Roman"/>
                <w:kern w:val="21"/>
                <w:sz w:val="21"/>
                <w:szCs w:val="21"/>
                <w:lang w:eastAsia="zh-CN"/>
              </w:rPr>
              <w:t>GB16297-1996</w:t>
            </w:r>
            <w:r>
              <w:rPr>
                <w:rFonts w:hint="eastAsia" w:ascii="Times New Roman" w:hAnsi="Times New Roman" w:cs="Times New Roman"/>
                <w:kern w:val="21"/>
                <w:sz w:val="21"/>
                <w:szCs w:val="21"/>
                <w:lang w:eastAsia="zh-CN"/>
              </w:rPr>
              <w:t>）</w:t>
            </w:r>
            <w:r>
              <w:rPr>
                <w:rFonts w:ascii="Times New Roman" w:hAnsi="Times New Roman" w:cs="Times New Roman"/>
                <w:kern w:val="21"/>
                <w:sz w:val="21"/>
                <w:szCs w:val="21"/>
                <w:lang w:eastAsia="zh-CN"/>
              </w:rPr>
              <w:t>表</w:t>
            </w:r>
            <w:r>
              <w:rPr>
                <w:rFonts w:ascii="Times New Roman" w:hAnsi="Times New Roman" w:eastAsia="Times New Roman" w:cs="Times New Roman"/>
                <w:kern w:val="21"/>
                <w:sz w:val="21"/>
                <w:szCs w:val="21"/>
                <w:lang w:eastAsia="zh-CN"/>
              </w:rPr>
              <w:t>2</w:t>
            </w:r>
            <w:r>
              <w:rPr>
                <w:rFonts w:ascii="Times New Roman" w:hAnsi="Times New Roman" w:cs="Times New Roman"/>
                <w:kern w:val="21"/>
                <w:sz w:val="21"/>
                <w:szCs w:val="21"/>
                <w:lang w:eastAsia="zh-CN"/>
              </w:rPr>
              <w:t>无组织排放监控浓度限值</w:t>
            </w:r>
          </w:p>
        </w:tc>
      </w:tr>
    </w:tbl>
    <w:p>
      <w:pPr>
        <w:pStyle w:val="204"/>
        <w:spacing w:line="480" w:lineRule="exact"/>
        <w:ind w:firstLine="0" w:firstLineChars="0"/>
        <w:outlineLvl w:val="2"/>
        <w:rPr>
          <w:b/>
          <w:sz w:val="28"/>
          <w:szCs w:val="28"/>
        </w:rPr>
      </w:pPr>
      <w:r>
        <w:rPr>
          <w:rFonts w:hint="eastAsia"/>
          <w:b/>
          <w:sz w:val="28"/>
          <w:szCs w:val="28"/>
        </w:rPr>
        <w:t>2.6.4污染物控制标准</w:t>
      </w:r>
    </w:p>
    <w:p>
      <w:pPr>
        <w:pStyle w:val="18"/>
        <w:spacing w:after="0"/>
        <w:ind w:firstLine="480"/>
        <w:rPr>
          <w:rFonts w:hAnsi="宋体"/>
          <w:szCs w:val="24"/>
          <w:highlight w:val="yellow"/>
        </w:rPr>
      </w:pPr>
      <w:r>
        <w:rPr>
          <w:rFonts w:hAnsi="宋体"/>
          <w:szCs w:val="24"/>
        </w:rPr>
        <w:t>一般固体废物处置执行《一般工业固体废物贮存、处置场污染控制标准》（GB18599-2001）和2013年修改单中的标准要求。危险废物</w:t>
      </w:r>
      <w:r>
        <w:rPr>
          <w:rFonts w:hint="eastAsia" w:hAnsi="宋体"/>
          <w:szCs w:val="24"/>
        </w:rPr>
        <w:t>《危险废物</w:t>
      </w:r>
      <w:r>
        <w:rPr>
          <w:rFonts w:hAnsi="宋体"/>
          <w:szCs w:val="24"/>
        </w:rPr>
        <w:t>贮存污染物控制标准</w:t>
      </w:r>
      <w:r>
        <w:rPr>
          <w:rFonts w:hint="eastAsia" w:hAnsi="宋体"/>
          <w:szCs w:val="24"/>
        </w:rPr>
        <w:t>》（GB18597-2001）</w:t>
      </w:r>
      <w:r>
        <w:rPr>
          <w:rFonts w:hAnsi="宋体"/>
          <w:szCs w:val="24"/>
        </w:rPr>
        <w:t>和2013年修改单中的标准要求</w:t>
      </w:r>
      <w:r>
        <w:rPr>
          <w:rFonts w:hint="eastAsia" w:hAnsi="宋体"/>
          <w:szCs w:val="24"/>
        </w:rPr>
        <w:t>。</w:t>
      </w:r>
    </w:p>
    <w:p>
      <w:pPr>
        <w:pStyle w:val="204"/>
        <w:spacing w:line="480" w:lineRule="exact"/>
        <w:ind w:firstLine="0" w:firstLineChars="0"/>
        <w:outlineLvl w:val="2"/>
        <w:rPr>
          <w:b/>
          <w:sz w:val="28"/>
          <w:szCs w:val="28"/>
        </w:rPr>
      </w:pPr>
      <w:r>
        <w:rPr>
          <w:rFonts w:hint="eastAsia"/>
          <w:b/>
          <w:sz w:val="28"/>
          <w:szCs w:val="28"/>
        </w:rPr>
        <w:t>2</w:t>
      </w:r>
      <w:r>
        <w:rPr>
          <w:b/>
          <w:sz w:val="28"/>
          <w:szCs w:val="28"/>
        </w:rPr>
        <w:t>.</w:t>
      </w:r>
      <w:r>
        <w:rPr>
          <w:rFonts w:hint="eastAsia"/>
          <w:b/>
          <w:sz w:val="28"/>
          <w:szCs w:val="28"/>
        </w:rPr>
        <w:t>6</w:t>
      </w:r>
      <w:r>
        <w:rPr>
          <w:b/>
          <w:sz w:val="28"/>
          <w:szCs w:val="28"/>
        </w:rPr>
        <w:t>.</w:t>
      </w:r>
      <w:r>
        <w:rPr>
          <w:rFonts w:hint="eastAsia"/>
          <w:b/>
          <w:sz w:val="28"/>
          <w:szCs w:val="28"/>
        </w:rPr>
        <w:t>5环境保护目标</w:t>
      </w:r>
    </w:p>
    <w:p>
      <w:pPr>
        <w:pStyle w:val="190"/>
        <w:spacing w:beforeLines="0" w:afterLines="0"/>
      </w:pPr>
      <w:r>
        <w:rPr>
          <w:rFonts w:hint="eastAsia"/>
        </w:rPr>
        <w:t>2.6.5</w:t>
      </w:r>
      <w:r>
        <w:t>.</w:t>
      </w:r>
      <w:r>
        <w:rPr>
          <w:rFonts w:hint="eastAsia"/>
        </w:rPr>
        <w:t>1地表水环境保护目标</w:t>
      </w:r>
    </w:p>
    <w:p>
      <w:pPr>
        <w:pStyle w:val="18"/>
        <w:spacing w:after="0"/>
        <w:ind w:firstLine="480"/>
        <w:rPr>
          <w:rFonts w:hAnsi="宋体"/>
          <w:szCs w:val="24"/>
        </w:rPr>
      </w:pPr>
      <w:r>
        <w:rPr>
          <w:rFonts w:hAnsi="宋体"/>
          <w:szCs w:val="24"/>
        </w:rPr>
        <w:t>本项目新建路段涉及河流为</w:t>
      </w:r>
      <w:r>
        <w:rPr>
          <w:rFonts w:hint="eastAsia"/>
          <w:szCs w:val="24"/>
        </w:rPr>
        <w:t>冷咀头河、</w:t>
      </w:r>
      <w:r>
        <w:rPr>
          <w:rFonts w:hint="eastAsia" w:hAnsi="宋体"/>
          <w:szCs w:val="24"/>
        </w:rPr>
        <w:t>清水河、沙河、黎河</w:t>
      </w:r>
      <w:r>
        <w:rPr>
          <w:rFonts w:hAnsi="宋体"/>
          <w:szCs w:val="24"/>
        </w:rPr>
        <w:t>，将其列为本项目水环境保护目标，见表</w:t>
      </w:r>
      <w:r>
        <w:rPr>
          <w:rFonts w:hint="eastAsia" w:hAnsi="宋体"/>
          <w:szCs w:val="24"/>
        </w:rPr>
        <w:t>2.6-3。</w:t>
      </w:r>
    </w:p>
    <w:p>
      <w:pPr>
        <w:pStyle w:val="185"/>
        <w:spacing w:line="480" w:lineRule="exact"/>
        <w:rPr>
          <w:sz w:val="21"/>
          <w:szCs w:val="21"/>
        </w:rPr>
      </w:pPr>
      <w:r>
        <w:rPr>
          <w:sz w:val="21"/>
          <w:szCs w:val="21"/>
        </w:rPr>
        <w:t>表</w:t>
      </w:r>
      <w:r>
        <w:rPr>
          <w:rFonts w:hint="eastAsia"/>
          <w:sz w:val="21"/>
          <w:szCs w:val="21"/>
        </w:rPr>
        <w:t>2.6-3</w:t>
      </w:r>
      <w:r>
        <w:rPr>
          <w:sz w:val="21"/>
          <w:szCs w:val="21"/>
        </w:rPr>
        <w:tab/>
      </w:r>
      <w:r>
        <w:rPr>
          <w:rFonts w:hint="eastAsia"/>
          <w:sz w:val="21"/>
          <w:szCs w:val="21"/>
        </w:rPr>
        <w:t>地表水环境保护目标</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532"/>
        <w:gridCol w:w="836"/>
        <w:gridCol w:w="1828"/>
        <w:gridCol w:w="18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1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bCs/>
                <w:sz w:val="21"/>
                <w:szCs w:val="21"/>
                <w:lang w:eastAsia="zh-CN"/>
              </w:rPr>
              <w:t>桥梁</w:t>
            </w:r>
            <w:r>
              <w:rPr>
                <w:rFonts w:ascii="Times New Roman" w:hAnsi="Times New Roman" w:cs="Times New Roman"/>
                <w:bCs/>
                <w:sz w:val="21"/>
                <w:szCs w:val="21"/>
                <w:lang w:eastAsia="zh-CN"/>
              </w:rPr>
              <w:t>中心桩号</w:t>
            </w:r>
          </w:p>
        </w:tc>
        <w:tc>
          <w:tcPr>
            <w:tcW w:w="463"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河流名称</w:t>
            </w:r>
          </w:p>
        </w:tc>
        <w:tc>
          <w:tcPr>
            <w:tcW w:w="1013"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水体与工程关系</w:t>
            </w:r>
          </w:p>
        </w:tc>
        <w:tc>
          <w:tcPr>
            <w:tcW w:w="1013" w:type="pct"/>
            <w:vAlign w:val="center"/>
          </w:tcPr>
          <w:p>
            <w:pPr>
              <w:pStyle w:val="675"/>
              <w:jc w:val="center"/>
              <w:rPr>
                <w:rFonts w:ascii="Times New Roman" w:hAnsi="Times New Roman" w:cs="Times New Roman"/>
                <w:bCs/>
                <w:sz w:val="21"/>
                <w:szCs w:val="21"/>
              </w:rPr>
            </w:pPr>
            <w:r>
              <w:rPr>
                <w:rFonts w:hint="eastAsia" w:ascii="Times New Roman" w:hAnsi="Times New Roman" w:cs="Times New Roman"/>
                <w:bCs/>
                <w:sz w:val="21"/>
                <w:szCs w:val="21"/>
                <w:lang w:eastAsia="zh-CN"/>
              </w:rPr>
              <w:t>保护级别</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11" w:type="pct"/>
            <w:vAlign w:val="center"/>
          </w:tcPr>
          <w:p>
            <w:pPr>
              <w:pStyle w:val="675"/>
              <w:jc w:val="center"/>
              <w:rPr>
                <w:rStyle w:val="688"/>
                <w:rFonts w:ascii="Times New Roman" w:hAnsi="Times New Roman" w:eastAsia="宋体" w:cs="Times New Roman"/>
                <w:color w:val="auto"/>
                <w:sz w:val="21"/>
                <w:szCs w:val="21"/>
                <w:lang w:eastAsia="zh-CN"/>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10</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305</w:t>
            </w:r>
            <w:r>
              <w:rPr>
                <w:rStyle w:val="688"/>
                <w:rFonts w:hint="eastAsia" w:ascii="Times New Roman" w:hAnsi="Times New Roman" w:eastAsia="宋体" w:cs="Times New Roman"/>
                <w:color w:val="auto"/>
                <w:sz w:val="21"/>
                <w:szCs w:val="21"/>
                <w:lang w:eastAsia="zh-CN"/>
              </w:rPr>
              <w:t>（清水河大桥）</w:t>
            </w:r>
          </w:p>
        </w:tc>
        <w:tc>
          <w:tcPr>
            <w:tcW w:w="4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清水河</w:t>
            </w:r>
          </w:p>
        </w:tc>
        <w:tc>
          <w:tcPr>
            <w:tcW w:w="1013"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以桥梁形式跨越</w:t>
            </w:r>
          </w:p>
        </w:tc>
        <w:tc>
          <w:tcPr>
            <w:tcW w:w="101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11" w:type="pct"/>
            <w:vAlign w:val="center"/>
          </w:tcPr>
          <w:p>
            <w:pPr>
              <w:pStyle w:val="675"/>
              <w:jc w:val="center"/>
              <w:rPr>
                <w:rFonts w:ascii="Times New Roman" w:hAnsi="Times New Roman" w:cs="Times New Roman"/>
                <w:sz w:val="21"/>
                <w:szCs w:val="21"/>
                <w:lang w:eastAsia="zh-CN"/>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11</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325</w:t>
            </w:r>
            <w:r>
              <w:rPr>
                <w:rStyle w:val="688"/>
                <w:rFonts w:hint="eastAsia" w:ascii="Times New Roman" w:hAnsi="Times New Roman" w:eastAsia="宋体" w:cs="Times New Roman"/>
                <w:color w:val="auto"/>
                <w:sz w:val="21"/>
                <w:szCs w:val="21"/>
                <w:lang w:eastAsia="zh-CN"/>
              </w:rPr>
              <w:t>（</w:t>
            </w:r>
            <w:r>
              <w:rPr>
                <w:rStyle w:val="689"/>
                <w:rFonts w:hint="eastAsia" w:ascii="Times New Roman" w:hAnsi="Times New Roman" w:eastAsia="宋体" w:cs="Times New Roman"/>
                <w:color w:val="auto"/>
              </w:rPr>
              <w:t>沙河大桥</w:t>
            </w:r>
            <w:r>
              <w:rPr>
                <w:rStyle w:val="688"/>
                <w:rFonts w:hint="eastAsia" w:ascii="Times New Roman" w:hAnsi="Times New Roman" w:eastAsia="宋体" w:cs="Times New Roman"/>
                <w:color w:val="auto"/>
                <w:sz w:val="21"/>
                <w:szCs w:val="21"/>
                <w:lang w:eastAsia="zh-CN"/>
              </w:rPr>
              <w:t>）</w:t>
            </w:r>
          </w:p>
        </w:tc>
        <w:tc>
          <w:tcPr>
            <w:tcW w:w="4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沙河</w:t>
            </w:r>
          </w:p>
        </w:tc>
        <w:tc>
          <w:tcPr>
            <w:tcW w:w="1013"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以桥梁形式跨越</w:t>
            </w:r>
          </w:p>
        </w:tc>
        <w:tc>
          <w:tcPr>
            <w:tcW w:w="101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11" w:type="pct"/>
            <w:vAlign w:val="center"/>
          </w:tcPr>
          <w:p>
            <w:pPr>
              <w:pStyle w:val="675"/>
              <w:jc w:val="center"/>
              <w:rPr>
                <w:rFonts w:ascii="Times New Roman" w:hAnsi="Times New Roman" w:cs="Times New Roman"/>
                <w:sz w:val="21"/>
                <w:szCs w:val="21"/>
                <w:lang w:eastAsia="zh-CN"/>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16</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850</w:t>
            </w:r>
            <w:r>
              <w:rPr>
                <w:rFonts w:hint="eastAsia" w:ascii="Times New Roman" w:hAnsi="Times New Roman" w:cs="Times New Roman"/>
                <w:lang w:eastAsia="zh-CN"/>
              </w:rPr>
              <w:t>（</w:t>
            </w:r>
            <w:r>
              <w:rPr>
                <w:rStyle w:val="689"/>
                <w:rFonts w:hint="eastAsia" w:ascii="Times New Roman" w:hAnsi="Times New Roman" w:eastAsia="宋体" w:cs="Times New Roman"/>
                <w:color w:val="auto"/>
              </w:rPr>
              <w:t>黎河大桥</w:t>
            </w:r>
            <w:r>
              <w:rPr>
                <w:rFonts w:hint="eastAsia" w:ascii="Times New Roman" w:hAnsi="Times New Roman" w:cs="Times New Roman"/>
                <w:lang w:eastAsia="zh-CN"/>
              </w:rPr>
              <w:t>）</w:t>
            </w:r>
          </w:p>
        </w:tc>
        <w:tc>
          <w:tcPr>
            <w:tcW w:w="4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黎河</w:t>
            </w:r>
          </w:p>
        </w:tc>
        <w:tc>
          <w:tcPr>
            <w:tcW w:w="1013"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以桥梁形式跨越</w:t>
            </w:r>
          </w:p>
        </w:tc>
        <w:tc>
          <w:tcPr>
            <w:tcW w:w="1013" w:type="pct"/>
            <w:vAlign w:val="center"/>
          </w:tcPr>
          <w:p>
            <w:pPr>
              <w:pStyle w:val="675"/>
              <w:jc w:val="center"/>
              <w:rPr>
                <w:rFonts w:ascii="Times New Roman" w:hAnsi="Times New Roman" w:cs="Times New Roman"/>
                <w:sz w:val="21"/>
                <w:szCs w:val="21"/>
                <w:lang w:eastAsia="zh-CN"/>
              </w:rPr>
            </w:pPr>
            <w:r>
              <w:rPr>
                <w:sz w:val="21"/>
                <w:lang w:eastAsia="zh-CN"/>
              </w:rPr>
              <w:t>《地表水环境质量标准》（GB3838-2002）</w:t>
            </w:r>
            <w:r>
              <w:rPr>
                <w:sz w:val="21"/>
              </w:rPr>
              <w:fldChar w:fldCharType="begin"/>
            </w:r>
            <w:r>
              <w:rPr>
                <w:sz w:val="21"/>
                <w:lang w:eastAsia="zh-CN"/>
              </w:rPr>
              <w:instrText xml:space="preserve"> </w:instrText>
            </w:r>
            <w:r>
              <w:rPr>
                <w:rFonts w:hint="eastAsia"/>
                <w:sz w:val="21"/>
                <w:lang w:eastAsia="zh-CN"/>
              </w:rPr>
              <w:instrText xml:space="preserve">= 2 \* ROMAN</w:instrText>
            </w:r>
            <w:r>
              <w:rPr>
                <w:sz w:val="21"/>
                <w:lang w:eastAsia="zh-CN"/>
              </w:rPr>
              <w:instrText xml:space="preserve"> </w:instrText>
            </w:r>
            <w:r>
              <w:rPr>
                <w:sz w:val="21"/>
              </w:rPr>
              <w:fldChar w:fldCharType="separate"/>
            </w:r>
            <w:r>
              <w:rPr>
                <w:sz w:val="21"/>
                <w:lang w:eastAsia="zh-CN"/>
              </w:rPr>
              <w:t>II</w:t>
            </w:r>
            <w:r>
              <w:rPr>
                <w:sz w:val="21"/>
              </w:rPr>
              <w:fldChar w:fldCharType="end"/>
            </w:r>
            <w:r>
              <w:rPr>
                <w:sz w:val="21"/>
                <w:lang w:eastAsia="zh-CN"/>
              </w:rPr>
              <w:t>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1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K8+780~K10+000</w:t>
            </w:r>
            <w:r>
              <w:rPr>
                <w:rFonts w:ascii="Times New Roman" w:hAnsi="Times New Roman" w:cs="Times New Roman"/>
                <w:sz w:val="21"/>
                <w:szCs w:val="21"/>
                <w:lang w:eastAsia="zh-CN"/>
              </w:rPr>
              <w:t>路段右侧</w:t>
            </w:r>
          </w:p>
        </w:tc>
        <w:tc>
          <w:tcPr>
            <w:tcW w:w="463" w:type="pct"/>
            <w:vAlign w:val="center"/>
          </w:tcPr>
          <w:p>
            <w:pPr>
              <w:pStyle w:val="675"/>
              <w:jc w:val="center"/>
              <w:rPr>
                <w:rFonts w:ascii="Times New Roman" w:hAnsi="Times New Roman" w:cs="Times New Roman"/>
                <w:sz w:val="21"/>
                <w:szCs w:val="21"/>
                <w:lang w:eastAsia="zh-CN"/>
              </w:rPr>
            </w:pPr>
            <w:r>
              <w:rPr>
                <w:rFonts w:hint="eastAsia"/>
                <w:szCs w:val="24"/>
              </w:rPr>
              <w:t>冷咀头河</w:t>
            </w:r>
          </w:p>
        </w:tc>
        <w:tc>
          <w:tcPr>
            <w:tcW w:w="1013" w:type="pc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并行</w:t>
            </w:r>
          </w:p>
        </w:tc>
        <w:tc>
          <w:tcPr>
            <w:tcW w:w="101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r>
    </w:tbl>
    <w:p>
      <w:pPr>
        <w:pStyle w:val="190"/>
        <w:spacing w:beforeLines="0" w:afterLines="0"/>
      </w:pPr>
      <w:r>
        <w:rPr>
          <w:rFonts w:hint="eastAsia"/>
        </w:rPr>
        <w:t>2.6.5</w:t>
      </w:r>
      <w:r>
        <w:t>.</w:t>
      </w:r>
      <w:r>
        <w:rPr>
          <w:rFonts w:hint="eastAsia"/>
        </w:rPr>
        <w:t>2生态环境保护目标</w:t>
      </w:r>
    </w:p>
    <w:p>
      <w:pPr>
        <w:pStyle w:val="185"/>
        <w:spacing w:line="480" w:lineRule="exact"/>
        <w:rPr>
          <w:sz w:val="21"/>
          <w:szCs w:val="21"/>
        </w:rPr>
      </w:pPr>
      <w:r>
        <w:rPr>
          <w:sz w:val="21"/>
          <w:szCs w:val="21"/>
        </w:rPr>
        <w:t>表</w:t>
      </w:r>
      <w:r>
        <w:rPr>
          <w:rFonts w:hint="eastAsia"/>
          <w:sz w:val="21"/>
          <w:szCs w:val="21"/>
        </w:rPr>
        <w:t xml:space="preserve">2.6-4 </w:t>
      </w:r>
      <w:r>
        <w:rPr>
          <w:sz w:val="21"/>
          <w:szCs w:val="21"/>
        </w:rPr>
        <w:t>生态环境保护目标</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28"/>
        <w:gridCol w:w="1133"/>
        <w:gridCol w:w="2321"/>
        <w:gridCol w:w="2929"/>
        <w:gridCol w:w="22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5" w:type="pct"/>
            <w:gridSpan w:val="2"/>
            <w:vAlign w:val="center"/>
          </w:tcPr>
          <w:p>
            <w:pPr>
              <w:pStyle w:val="675"/>
              <w:jc w:val="center"/>
              <w:rPr>
                <w:sz w:val="21"/>
                <w:szCs w:val="21"/>
                <w:lang w:eastAsia="zh-CN"/>
              </w:rPr>
            </w:pPr>
            <w:r>
              <w:rPr>
                <w:rFonts w:hint="eastAsia"/>
                <w:sz w:val="21"/>
                <w:szCs w:val="21"/>
                <w:lang w:eastAsia="zh-CN"/>
              </w:rPr>
              <w:t>环境要素</w:t>
            </w:r>
          </w:p>
        </w:tc>
        <w:tc>
          <w:tcPr>
            <w:tcW w:w="12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位置关系</w:t>
            </w:r>
          </w:p>
        </w:tc>
        <w:tc>
          <w:tcPr>
            <w:tcW w:w="1623" w:type="pct"/>
            <w:vAlign w:val="center"/>
          </w:tcPr>
          <w:p>
            <w:pPr>
              <w:pStyle w:val="675"/>
              <w:jc w:val="center"/>
              <w:rPr>
                <w:sz w:val="21"/>
                <w:szCs w:val="21"/>
                <w:lang w:eastAsia="zh-CN"/>
              </w:rPr>
            </w:pPr>
            <w:r>
              <w:rPr>
                <w:rFonts w:hint="eastAsia"/>
                <w:sz w:val="21"/>
                <w:szCs w:val="21"/>
                <w:lang w:eastAsia="zh-CN"/>
              </w:rPr>
              <w:t>保护对象</w:t>
            </w:r>
          </w:p>
        </w:tc>
        <w:tc>
          <w:tcPr>
            <w:tcW w:w="1226" w:type="pct"/>
            <w:vAlign w:val="center"/>
          </w:tcPr>
          <w:p>
            <w:pPr>
              <w:pStyle w:val="675"/>
              <w:jc w:val="center"/>
              <w:rPr>
                <w:sz w:val="21"/>
                <w:szCs w:val="21"/>
              </w:rPr>
            </w:pPr>
            <w:r>
              <w:rPr>
                <w:rFonts w:hint="eastAsia"/>
                <w:sz w:val="21"/>
                <w:szCs w:val="21"/>
                <w:lang w:eastAsia="zh-CN"/>
              </w:rPr>
              <w:t>功能要求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7" w:type="pct"/>
            <w:vMerge w:val="restart"/>
            <w:vAlign w:val="center"/>
          </w:tcPr>
          <w:p>
            <w:pPr>
              <w:pStyle w:val="675"/>
              <w:jc w:val="center"/>
              <w:rPr>
                <w:sz w:val="21"/>
                <w:szCs w:val="21"/>
              </w:rPr>
            </w:pPr>
            <w:r>
              <w:rPr>
                <w:rFonts w:hint="eastAsia"/>
                <w:sz w:val="21"/>
                <w:szCs w:val="21"/>
                <w:lang w:eastAsia="zh-CN"/>
              </w:rPr>
              <w:t>生态环境</w:t>
            </w:r>
          </w:p>
        </w:tc>
        <w:tc>
          <w:tcPr>
            <w:tcW w:w="628" w:type="pct"/>
            <w:vMerge w:val="restart"/>
            <w:vAlign w:val="center"/>
          </w:tcPr>
          <w:p>
            <w:pPr>
              <w:pStyle w:val="675"/>
              <w:jc w:val="center"/>
              <w:rPr>
                <w:sz w:val="21"/>
                <w:szCs w:val="21"/>
                <w:lang w:eastAsia="zh-CN"/>
              </w:rPr>
            </w:pPr>
            <w:r>
              <w:rPr>
                <w:rFonts w:hint="eastAsia"/>
                <w:sz w:val="21"/>
                <w:szCs w:val="21"/>
                <w:lang w:eastAsia="zh-CN"/>
              </w:rPr>
              <w:t>一般生态</w:t>
            </w:r>
          </w:p>
          <w:p>
            <w:pPr>
              <w:pStyle w:val="675"/>
              <w:jc w:val="center"/>
              <w:rPr>
                <w:sz w:val="21"/>
                <w:szCs w:val="21"/>
              </w:rPr>
            </w:pPr>
            <w:r>
              <w:rPr>
                <w:rFonts w:hint="eastAsia"/>
                <w:sz w:val="21"/>
                <w:szCs w:val="21"/>
                <w:lang w:eastAsia="zh-CN"/>
              </w:rPr>
              <w:t>区域</w:t>
            </w:r>
          </w:p>
        </w:tc>
        <w:tc>
          <w:tcPr>
            <w:tcW w:w="1286" w:type="pct"/>
            <w:vAlign w:val="center"/>
          </w:tcPr>
          <w:p>
            <w:pPr>
              <w:pStyle w:val="675"/>
              <w:jc w:val="center"/>
              <w:rPr>
                <w:sz w:val="21"/>
                <w:szCs w:val="21"/>
                <w:lang w:eastAsia="zh-CN"/>
              </w:rPr>
            </w:pPr>
            <w:r>
              <w:rPr>
                <w:sz w:val="21"/>
                <w:szCs w:val="21"/>
                <w:lang w:eastAsia="zh-CN"/>
              </w:rPr>
              <w:t>占地范围内</w:t>
            </w:r>
          </w:p>
        </w:tc>
        <w:tc>
          <w:tcPr>
            <w:tcW w:w="1623" w:type="pct"/>
            <w:vAlign w:val="center"/>
          </w:tcPr>
          <w:p>
            <w:pPr>
              <w:pStyle w:val="675"/>
              <w:jc w:val="center"/>
              <w:rPr>
                <w:sz w:val="21"/>
                <w:szCs w:val="21"/>
                <w:lang w:eastAsia="zh-CN"/>
              </w:rPr>
            </w:pPr>
            <w:r>
              <w:rPr>
                <w:sz w:val="21"/>
                <w:szCs w:val="21"/>
                <w:lang w:eastAsia="zh-CN"/>
              </w:rPr>
              <w:t>项目沿线</w:t>
            </w:r>
            <w:r>
              <w:rPr>
                <w:rFonts w:hint="eastAsia"/>
                <w:sz w:val="21"/>
                <w:szCs w:val="21"/>
                <w:lang w:eastAsia="zh-CN"/>
              </w:rPr>
              <w:t>占地区域</w:t>
            </w:r>
            <w:r>
              <w:rPr>
                <w:sz w:val="21"/>
                <w:szCs w:val="21"/>
                <w:lang w:eastAsia="zh-CN"/>
              </w:rPr>
              <w:t>的草本植物</w:t>
            </w:r>
            <w:r>
              <w:rPr>
                <w:rFonts w:hint="eastAsia"/>
                <w:sz w:val="21"/>
                <w:szCs w:val="21"/>
                <w:lang w:eastAsia="zh-CN"/>
              </w:rPr>
              <w:t>及</w:t>
            </w:r>
            <w:r>
              <w:rPr>
                <w:sz w:val="21"/>
                <w:szCs w:val="21"/>
                <w:lang w:eastAsia="zh-CN"/>
              </w:rPr>
              <w:t>玉米等粮食作物</w:t>
            </w:r>
          </w:p>
        </w:tc>
        <w:tc>
          <w:tcPr>
            <w:tcW w:w="1226" w:type="pct"/>
            <w:vAlign w:val="center"/>
          </w:tcPr>
          <w:p>
            <w:pPr>
              <w:pStyle w:val="675"/>
              <w:jc w:val="center"/>
              <w:rPr>
                <w:sz w:val="21"/>
                <w:szCs w:val="21"/>
                <w:lang w:eastAsia="zh-CN"/>
              </w:rPr>
            </w:pPr>
            <w:r>
              <w:rPr>
                <w:rFonts w:hint="eastAsia"/>
                <w:sz w:val="21"/>
                <w:szCs w:val="21"/>
                <w:lang w:eastAsia="zh-CN"/>
              </w:rPr>
              <w:t>建议公路两侧种植植被，补偿损失；补偿耕地，减少农作物损失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7" w:type="pct"/>
            <w:vMerge w:val="continue"/>
            <w:vAlign w:val="center"/>
          </w:tcPr>
          <w:p>
            <w:pPr>
              <w:pStyle w:val="675"/>
              <w:jc w:val="center"/>
              <w:rPr>
                <w:sz w:val="21"/>
                <w:szCs w:val="21"/>
                <w:lang w:eastAsia="zh-CN"/>
              </w:rPr>
            </w:pPr>
          </w:p>
        </w:tc>
        <w:tc>
          <w:tcPr>
            <w:tcW w:w="628" w:type="pct"/>
            <w:vMerge w:val="continue"/>
            <w:vAlign w:val="center"/>
          </w:tcPr>
          <w:p>
            <w:pPr>
              <w:pStyle w:val="675"/>
              <w:jc w:val="center"/>
              <w:rPr>
                <w:sz w:val="21"/>
                <w:szCs w:val="21"/>
                <w:lang w:eastAsia="zh-CN"/>
              </w:rPr>
            </w:pPr>
          </w:p>
        </w:tc>
        <w:tc>
          <w:tcPr>
            <w:tcW w:w="12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评价范围内</w:t>
            </w:r>
          </w:p>
        </w:tc>
        <w:tc>
          <w:tcPr>
            <w:tcW w:w="1623" w:type="pct"/>
            <w:vAlign w:val="center"/>
          </w:tcPr>
          <w:p>
            <w:pPr>
              <w:pStyle w:val="675"/>
              <w:jc w:val="center"/>
              <w:rPr>
                <w:sz w:val="21"/>
                <w:szCs w:val="21"/>
                <w:lang w:eastAsia="zh-CN"/>
              </w:rPr>
            </w:pPr>
            <w:r>
              <w:rPr>
                <w:rFonts w:hint="eastAsia"/>
                <w:sz w:val="21"/>
                <w:szCs w:val="21"/>
                <w:lang w:eastAsia="zh-CN"/>
              </w:rPr>
              <w:t>施工期</w:t>
            </w:r>
            <w:r>
              <w:rPr>
                <w:sz w:val="21"/>
                <w:szCs w:val="21"/>
                <w:lang w:eastAsia="zh-CN"/>
              </w:rPr>
              <w:t>评价区内</w:t>
            </w:r>
            <w:r>
              <w:rPr>
                <w:rFonts w:hint="eastAsia"/>
                <w:sz w:val="21"/>
                <w:szCs w:val="21"/>
                <w:lang w:eastAsia="zh-CN"/>
              </w:rPr>
              <w:t>动物</w:t>
            </w:r>
          </w:p>
        </w:tc>
        <w:tc>
          <w:tcPr>
            <w:tcW w:w="1226" w:type="pct"/>
            <w:vAlign w:val="center"/>
          </w:tcPr>
          <w:p>
            <w:pPr>
              <w:pStyle w:val="675"/>
              <w:jc w:val="center"/>
              <w:rPr>
                <w:sz w:val="21"/>
                <w:szCs w:val="21"/>
                <w:lang w:eastAsia="zh-CN"/>
              </w:rPr>
            </w:pPr>
            <w:r>
              <w:rPr>
                <w:rFonts w:hint="eastAsia"/>
                <w:sz w:val="21"/>
                <w:szCs w:val="21"/>
                <w:lang w:eastAsia="zh-CN"/>
              </w:rPr>
              <w:t>施工结束后，随着公路两侧植被恢复，评价区动物生存环境会逐渐恢复</w:t>
            </w:r>
          </w:p>
        </w:tc>
      </w:tr>
    </w:tbl>
    <w:p>
      <w:pPr>
        <w:pStyle w:val="190"/>
        <w:spacing w:beforeLines="0" w:afterLines="0"/>
      </w:pPr>
      <w:r>
        <w:rPr>
          <w:rFonts w:hint="eastAsia"/>
        </w:rPr>
        <w:t>2.6.5</w:t>
      </w:r>
      <w:r>
        <w:t>.</w:t>
      </w:r>
      <w:r>
        <w:rPr>
          <w:rFonts w:hint="eastAsia"/>
        </w:rPr>
        <w:t>3声环境保护目标</w:t>
      </w:r>
    </w:p>
    <w:p>
      <w:pPr>
        <w:ind w:firstLine="480"/>
        <w:rPr>
          <w:szCs w:val="24"/>
        </w:rPr>
      </w:pPr>
      <w:r>
        <w:rPr>
          <w:szCs w:val="24"/>
        </w:rPr>
        <w:t>经现场踏勘，声环境</w:t>
      </w:r>
      <w:r>
        <w:rPr>
          <w:rFonts w:hint="eastAsia"/>
          <w:szCs w:val="24"/>
        </w:rPr>
        <w:t>、环境空气</w:t>
      </w:r>
      <w:r>
        <w:rPr>
          <w:szCs w:val="24"/>
        </w:rPr>
        <w:t>保护目标</w:t>
      </w:r>
      <w:r>
        <w:rPr>
          <w:rFonts w:hint="eastAsia"/>
          <w:szCs w:val="24"/>
        </w:rPr>
        <w:t>分布</w:t>
      </w:r>
      <w:r>
        <w:rPr>
          <w:szCs w:val="24"/>
        </w:rPr>
        <w:t>情况详见表</w:t>
      </w:r>
      <w:r>
        <w:rPr>
          <w:rFonts w:hint="eastAsia"/>
          <w:szCs w:val="24"/>
        </w:rPr>
        <w:t>2.6-5。</w:t>
      </w:r>
    </w:p>
    <w:p>
      <w:pPr>
        <w:ind w:firstLine="480"/>
        <w:rPr>
          <w:szCs w:val="24"/>
          <w:highlight w:val="yellow"/>
        </w:rPr>
        <w:sectPr>
          <w:footerReference r:id="rId16" w:type="default"/>
          <w:footerReference r:id="rId17" w:type="even"/>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2.6-5</w:t>
      </w:r>
      <w:r>
        <w:rPr>
          <w:b/>
          <w:sz w:val="21"/>
        </w:rPr>
        <w:t>声环境保护目标</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0"/>
        <w:gridCol w:w="1074"/>
        <w:gridCol w:w="1825"/>
        <w:gridCol w:w="1019"/>
        <w:gridCol w:w="1128"/>
        <w:gridCol w:w="818"/>
        <w:gridCol w:w="520"/>
        <w:gridCol w:w="532"/>
        <w:gridCol w:w="3362"/>
        <w:gridCol w:w="5717"/>
        <w:gridCol w:w="47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Merge w:val="restart"/>
            <w:vAlign w:val="center"/>
          </w:tcPr>
          <w:p>
            <w:pPr>
              <w:pStyle w:val="675"/>
              <w:jc w:val="center"/>
              <w:rPr>
                <w:rFonts w:ascii="Times New Roman" w:hAnsi="Times New Roman" w:cs="Times New Roman"/>
                <w:sz w:val="21"/>
                <w:szCs w:val="21"/>
              </w:rPr>
            </w:pPr>
            <w:r>
              <w:rPr>
                <w:rFonts w:hint="eastAsia" w:ascii="Times New Roman" w:cs="Times New Roman"/>
                <w:bCs/>
                <w:sz w:val="21"/>
                <w:szCs w:val="21"/>
                <w:lang w:eastAsia="zh-CN"/>
              </w:rPr>
              <w:t>序</w:t>
            </w:r>
            <w:r>
              <w:rPr>
                <w:rFonts w:ascii="Times New Roman" w:cs="Times New Roman"/>
                <w:bCs/>
                <w:sz w:val="21"/>
                <w:szCs w:val="21"/>
              </w:rPr>
              <w:t>号</w:t>
            </w:r>
          </w:p>
        </w:tc>
        <w:tc>
          <w:tcPr>
            <w:tcW w:w="256"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rPr>
              <w:t>敏感</w:t>
            </w:r>
            <w:r>
              <w:rPr>
                <w:rFonts w:hint="eastAsia" w:ascii="Times New Roman" w:cs="Times New Roman"/>
                <w:bCs/>
                <w:sz w:val="21"/>
                <w:szCs w:val="21"/>
                <w:lang w:eastAsia="zh-CN"/>
              </w:rPr>
              <w:t>村庄</w:t>
            </w:r>
          </w:p>
        </w:tc>
        <w:tc>
          <w:tcPr>
            <w:tcW w:w="435" w:type="pct"/>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桩号</w:t>
            </w:r>
          </w:p>
        </w:tc>
        <w:tc>
          <w:tcPr>
            <w:tcW w:w="243"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lang w:eastAsia="zh-CN"/>
              </w:rPr>
              <w:t>距离道路中心线（</w:t>
            </w:r>
            <w:r>
              <w:rPr>
                <w:rFonts w:ascii="Times New Roman" w:hAnsi="Times New Roman" w:cs="Times New Roman"/>
                <w:bCs/>
                <w:sz w:val="21"/>
                <w:szCs w:val="21"/>
                <w:lang w:eastAsia="zh-CN"/>
              </w:rPr>
              <w:t>m</w:t>
            </w:r>
            <w:r>
              <w:rPr>
                <w:rFonts w:ascii="Times New Roman" w:cs="Times New Roman"/>
                <w:bCs/>
                <w:sz w:val="21"/>
                <w:szCs w:val="21"/>
                <w:lang w:eastAsia="zh-CN"/>
              </w:rPr>
              <w:t>）</w:t>
            </w:r>
          </w:p>
        </w:tc>
        <w:tc>
          <w:tcPr>
            <w:tcW w:w="269"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rPr>
              <w:t>距离道路</w:t>
            </w:r>
            <w:r>
              <w:rPr>
                <w:rFonts w:ascii="Times New Roman" w:cs="Times New Roman"/>
                <w:bCs/>
                <w:spacing w:val="-19"/>
                <w:sz w:val="21"/>
                <w:szCs w:val="21"/>
              </w:rPr>
              <w:t>红线</w:t>
            </w:r>
            <w:r>
              <w:rPr>
                <w:rFonts w:ascii="Times New Roman" w:cs="Times New Roman"/>
                <w:bCs/>
                <w:spacing w:val="-19"/>
                <w:sz w:val="21"/>
                <w:szCs w:val="21"/>
                <w:lang w:eastAsia="zh-CN"/>
              </w:rPr>
              <w:t>（</w:t>
            </w:r>
            <w:r>
              <w:rPr>
                <w:rFonts w:ascii="Times New Roman" w:hAnsi="Times New Roman" w:cs="Times New Roman"/>
                <w:bCs/>
                <w:spacing w:val="-19"/>
                <w:sz w:val="21"/>
                <w:szCs w:val="21"/>
                <w:lang w:eastAsia="zh-CN"/>
              </w:rPr>
              <w:t>m</w:t>
            </w:r>
            <w:r>
              <w:rPr>
                <w:rFonts w:ascii="Times New Roman" w:cs="Times New Roman"/>
                <w:bCs/>
                <w:spacing w:val="-19"/>
                <w:sz w:val="21"/>
                <w:szCs w:val="21"/>
                <w:lang w:eastAsia="zh-CN"/>
              </w:rPr>
              <w:t>）</w:t>
            </w:r>
          </w:p>
        </w:tc>
        <w:tc>
          <w:tcPr>
            <w:tcW w:w="195"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rPr>
              <w:t>工程形式高差</w:t>
            </w:r>
          </w:p>
        </w:tc>
        <w:tc>
          <w:tcPr>
            <w:tcW w:w="251" w:type="pct"/>
            <w:gridSpan w:val="2"/>
            <w:vAlign w:val="center"/>
          </w:tcPr>
          <w:p>
            <w:pPr>
              <w:pStyle w:val="675"/>
              <w:jc w:val="center"/>
              <w:rPr>
                <w:rFonts w:ascii="Times New Roman" w:hAnsi="Times New Roman" w:cs="Times New Roman"/>
                <w:sz w:val="21"/>
                <w:szCs w:val="21"/>
              </w:rPr>
            </w:pPr>
            <w:r>
              <w:rPr>
                <w:rFonts w:ascii="Times New Roman" w:cs="Times New Roman"/>
                <w:bCs/>
                <w:sz w:val="21"/>
                <w:szCs w:val="21"/>
              </w:rPr>
              <w:t>评价范围户数（户）</w:t>
            </w:r>
          </w:p>
        </w:tc>
        <w:tc>
          <w:tcPr>
            <w:tcW w:w="801" w:type="pct"/>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环境特征</w:t>
            </w:r>
          </w:p>
        </w:tc>
        <w:tc>
          <w:tcPr>
            <w:tcW w:w="1362"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lang w:eastAsia="zh-CN"/>
              </w:rPr>
              <w:t>公路与敏感点关系平面图</w:t>
            </w:r>
          </w:p>
        </w:tc>
        <w:tc>
          <w:tcPr>
            <w:tcW w:w="1137" w:type="pct"/>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照片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Merge w:val="continue"/>
            <w:vAlign w:val="center"/>
          </w:tcPr>
          <w:p>
            <w:pPr>
              <w:spacing w:line="240" w:lineRule="auto"/>
              <w:ind w:firstLine="0" w:firstLineChars="0"/>
              <w:jc w:val="center"/>
              <w:rPr>
                <w:kern w:val="0"/>
                <w:sz w:val="21"/>
                <w:szCs w:val="22"/>
                <w:highlight w:val="yellow"/>
                <w:lang w:eastAsia="en-US"/>
              </w:rPr>
            </w:pPr>
          </w:p>
        </w:tc>
        <w:tc>
          <w:tcPr>
            <w:tcW w:w="256" w:type="pct"/>
            <w:vMerge w:val="continue"/>
            <w:vAlign w:val="center"/>
          </w:tcPr>
          <w:p>
            <w:pPr>
              <w:spacing w:line="240" w:lineRule="auto"/>
              <w:ind w:firstLine="0" w:firstLineChars="0"/>
              <w:jc w:val="center"/>
              <w:rPr>
                <w:kern w:val="0"/>
                <w:sz w:val="21"/>
                <w:szCs w:val="22"/>
                <w:highlight w:val="yellow"/>
              </w:rPr>
            </w:pPr>
          </w:p>
        </w:tc>
        <w:tc>
          <w:tcPr>
            <w:tcW w:w="435" w:type="pct"/>
            <w:vMerge w:val="continue"/>
            <w:vAlign w:val="center"/>
          </w:tcPr>
          <w:p>
            <w:pPr>
              <w:spacing w:line="240" w:lineRule="auto"/>
              <w:ind w:firstLine="0" w:firstLineChars="0"/>
              <w:jc w:val="center"/>
              <w:rPr>
                <w:kern w:val="0"/>
                <w:sz w:val="21"/>
                <w:szCs w:val="22"/>
                <w:highlight w:val="yellow"/>
                <w:lang w:eastAsia="en-US"/>
              </w:rPr>
            </w:pPr>
          </w:p>
        </w:tc>
        <w:tc>
          <w:tcPr>
            <w:tcW w:w="243" w:type="pct"/>
            <w:vMerge w:val="continue"/>
            <w:vAlign w:val="center"/>
          </w:tcPr>
          <w:p>
            <w:pPr>
              <w:spacing w:line="240" w:lineRule="auto"/>
              <w:ind w:firstLine="0" w:firstLineChars="0"/>
              <w:jc w:val="center"/>
              <w:rPr>
                <w:kern w:val="0"/>
                <w:sz w:val="21"/>
                <w:szCs w:val="22"/>
                <w:highlight w:val="yellow"/>
                <w:lang w:eastAsia="en-US"/>
              </w:rPr>
            </w:pPr>
          </w:p>
        </w:tc>
        <w:tc>
          <w:tcPr>
            <w:tcW w:w="269" w:type="pct"/>
            <w:vMerge w:val="continue"/>
            <w:vAlign w:val="center"/>
          </w:tcPr>
          <w:p>
            <w:pPr>
              <w:spacing w:line="240" w:lineRule="auto"/>
              <w:ind w:firstLine="0" w:firstLineChars="0"/>
              <w:jc w:val="center"/>
              <w:rPr>
                <w:kern w:val="0"/>
                <w:sz w:val="21"/>
                <w:szCs w:val="22"/>
                <w:highlight w:val="yellow"/>
                <w:lang w:eastAsia="en-US"/>
              </w:rPr>
            </w:pPr>
          </w:p>
        </w:tc>
        <w:tc>
          <w:tcPr>
            <w:tcW w:w="195" w:type="pct"/>
            <w:vMerge w:val="continue"/>
            <w:vAlign w:val="center"/>
          </w:tcPr>
          <w:p>
            <w:pPr>
              <w:spacing w:line="240" w:lineRule="auto"/>
              <w:ind w:firstLine="0" w:firstLineChars="0"/>
              <w:jc w:val="center"/>
              <w:rPr>
                <w:kern w:val="0"/>
                <w:sz w:val="21"/>
                <w:szCs w:val="22"/>
                <w:highlight w:val="yellow"/>
                <w:lang w:eastAsia="en-US"/>
              </w:rPr>
            </w:pPr>
          </w:p>
        </w:tc>
        <w:tc>
          <w:tcPr>
            <w:tcW w:w="124"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w:t>
            </w:r>
            <w:r>
              <w:rPr>
                <w:rFonts w:ascii="Times New Roman" w:cs="Times New Roman"/>
                <w:bCs/>
                <w:sz w:val="21"/>
                <w:szCs w:val="21"/>
              </w:rPr>
              <w:t>类</w:t>
            </w:r>
          </w:p>
        </w:tc>
        <w:tc>
          <w:tcPr>
            <w:tcW w:w="127"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w:t>
            </w:r>
            <w:r>
              <w:rPr>
                <w:rFonts w:ascii="Times New Roman" w:cs="Times New Roman"/>
                <w:bCs/>
                <w:sz w:val="21"/>
                <w:szCs w:val="21"/>
              </w:rPr>
              <w:t>类</w:t>
            </w:r>
          </w:p>
        </w:tc>
        <w:tc>
          <w:tcPr>
            <w:tcW w:w="801" w:type="pct"/>
            <w:vMerge w:val="continue"/>
            <w:vAlign w:val="center"/>
          </w:tcPr>
          <w:p>
            <w:pPr>
              <w:spacing w:line="240" w:lineRule="auto"/>
              <w:ind w:firstLine="0" w:firstLineChars="0"/>
              <w:jc w:val="center"/>
              <w:rPr>
                <w:kern w:val="0"/>
                <w:sz w:val="21"/>
                <w:szCs w:val="22"/>
                <w:highlight w:val="yellow"/>
                <w:lang w:eastAsia="en-US"/>
              </w:rPr>
            </w:pPr>
          </w:p>
        </w:tc>
        <w:tc>
          <w:tcPr>
            <w:tcW w:w="1362" w:type="pct"/>
            <w:vMerge w:val="continue"/>
            <w:vAlign w:val="center"/>
          </w:tcPr>
          <w:p>
            <w:pPr>
              <w:spacing w:line="240" w:lineRule="auto"/>
              <w:ind w:firstLine="0" w:firstLineChars="0"/>
              <w:jc w:val="center"/>
              <w:rPr>
                <w:kern w:val="0"/>
                <w:sz w:val="21"/>
                <w:szCs w:val="22"/>
                <w:highlight w:val="yellow"/>
                <w:lang w:eastAsia="en-US"/>
              </w:rPr>
            </w:pPr>
          </w:p>
        </w:tc>
        <w:tc>
          <w:tcPr>
            <w:tcW w:w="1137" w:type="pct"/>
            <w:vMerge w:val="continue"/>
            <w:vAlign w:val="center"/>
          </w:tcPr>
          <w:p>
            <w:pPr>
              <w:spacing w:line="240" w:lineRule="auto"/>
              <w:ind w:firstLine="0" w:firstLineChars="0"/>
              <w:jc w:val="center"/>
              <w:rPr>
                <w:kern w:val="0"/>
                <w:sz w:val="21"/>
                <w:szCs w:val="22"/>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w:t>
            </w:r>
          </w:p>
        </w:tc>
        <w:tc>
          <w:tcPr>
            <w:tcW w:w="256"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北黄土坡村</w:t>
            </w:r>
          </w:p>
        </w:tc>
        <w:tc>
          <w:tcPr>
            <w:tcW w:w="435"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利旧路段</w:t>
            </w:r>
            <w:r>
              <w:rPr>
                <w:rFonts w:ascii="Times New Roman" w:hAnsi="Times New Roman" w:cs="Times New Roman"/>
                <w:sz w:val="21"/>
                <w:szCs w:val="21"/>
              </w:rPr>
              <w:t>K</w:t>
            </w:r>
            <w:r>
              <w:rPr>
                <w:rFonts w:ascii="Times New Roman" w:hAnsi="Times New Roman" w:cs="Times New Roman"/>
                <w:sz w:val="21"/>
                <w:szCs w:val="21"/>
                <w:lang w:eastAsia="zh-CN"/>
              </w:rPr>
              <w:t>0</w:t>
            </w:r>
            <w:r>
              <w:rPr>
                <w:rFonts w:ascii="Times New Roman" w:hAnsi="Times New Roman" w:cs="Times New Roman"/>
                <w:sz w:val="21"/>
                <w:szCs w:val="21"/>
              </w:rPr>
              <w:t>+</w:t>
            </w:r>
            <w:r>
              <w:rPr>
                <w:rFonts w:ascii="Times New Roman" w:hAnsi="Times New Roman" w:cs="Times New Roman"/>
                <w:sz w:val="21"/>
                <w:szCs w:val="21"/>
                <w:lang w:eastAsia="zh-CN"/>
              </w:rPr>
              <w:t>000</w:t>
            </w:r>
            <w:r>
              <w:rPr>
                <w:rFonts w:ascii="Times New Roman" w:hAnsi="Times New Roman" w:cs="Times New Roman"/>
                <w:sz w:val="21"/>
                <w:szCs w:val="21"/>
              </w:rPr>
              <w:t>~K</w:t>
            </w:r>
            <w:r>
              <w:rPr>
                <w:rFonts w:hint="eastAsia" w:ascii="Times New Roman" w:hAnsi="Times New Roman" w:cs="Times New Roman"/>
                <w:sz w:val="21"/>
                <w:szCs w:val="21"/>
                <w:lang w:eastAsia="zh-CN"/>
              </w:rPr>
              <w:t>0</w:t>
            </w:r>
            <w:r>
              <w:rPr>
                <w:rFonts w:ascii="Times New Roman" w:hAnsi="Times New Roman" w:cs="Times New Roman"/>
                <w:sz w:val="21"/>
                <w:szCs w:val="21"/>
              </w:rPr>
              <w:t>+</w:t>
            </w:r>
            <w:r>
              <w:rPr>
                <w:rFonts w:hint="eastAsia" w:ascii="Times New Roman" w:hAnsi="Times New Roman" w:cs="Times New Roman"/>
                <w:sz w:val="21"/>
                <w:szCs w:val="21"/>
                <w:lang w:eastAsia="zh-CN"/>
              </w:rPr>
              <w:t>900</w:t>
            </w:r>
          </w:p>
        </w:tc>
        <w:tc>
          <w:tcPr>
            <w:tcW w:w="24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18</w:t>
            </w:r>
          </w:p>
        </w:tc>
        <w:tc>
          <w:tcPr>
            <w:tcW w:w="26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6</w:t>
            </w:r>
          </w:p>
        </w:tc>
        <w:tc>
          <w:tcPr>
            <w:tcW w:w="19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-1m</w:t>
            </w:r>
          </w:p>
        </w:tc>
        <w:tc>
          <w:tcPr>
            <w:tcW w:w="12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150</w:t>
            </w:r>
          </w:p>
        </w:tc>
        <w:tc>
          <w:tcPr>
            <w:tcW w:w="127" w:type="pct"/>
            <w:vAlign w:val="center"/>
          </w:tcPr>
          <w:p>
            <w:pPr>
              <w:pStyle w:val="675"/>
              <w:jc w:val="center"/>
              <w:rPr>
                <w:rFonts w:ascii="Times New Roman" w:hAnsi="Times New Roman" w:cs="Times New Roman"/>
                <w:w w:val="99"/>
                <w:sz w:val="21"/>
                <w:szCs w:val="21"/>
                <w:lang w:eastAsia="zh-CN"/>
              </w:rPr>
            </w:pPr>
            <w:r>
              <w:rPr>
                <w:rFonts w:hint="eastAsia" w:ascii="Times New Roman" w:hAnsi="Times New Roman" w:cs="Times New Roman"/>
                <w:w w:val="99"/>
                <w:sz w:val="21"/>
                <w:szCs w:val="21"/>
                <w:lang w:eastAsia="zh-CN"/>
              </w:rPr>
              <w:t>19</w:t>
            </w:r>
          </w:p>
        </w:tc>
        <w:tc>
          <w:tcPr>
            <w:tcW w:w="801"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北黄土坡村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背向</w:t>
            </w:r>
            <w:r>
              <w:rPr>
                <w:rFonts w:ascii="Times New Roman" w:cs="Times New Roman"/>
                <w:sz w:val="21"/>
                <w:szCs w:val="21"/>
                <w:lang w:eastAsia="zh-CN"/>
              </w:rPr>
              <w:t>公路</w:t>
            </w:r>
            <w:r>
              <w:rPr>
                <w:rFonts w:hint="eastAsia" w:ascii="Times New Roman" w:cs="Times New Roman"/>
                <w:sz w:val="21"/>
                <w:szCs w:val="21"/>
                <w:lang w:eastAsia="zh-CN"/>
              </w:rPr>
              <w:t>。</w:t>
            </w:r>
            <w:r>
              <w:rPr>
                <w:rFonts w:ascii="Times New Roman" w:cs="Times New Roman"/>
                <w:sz w:val="21"/>
                <w:szCs w:val="21"/>
                <w:lang w:eastAsia="zh-CN"/>
              </w:rPr>
              <w:t>临路</w:t>
            </w:r>
            <w:r>
              <w:rPr>
                <w:rFonts w:hint="eastAsia" w:ascii="Times New Roman" w:hAnsi="Times New Roman" w:cs="Times New Roman"/>
                <w:sz w:val="21"/>
                <w:szCs w:val="21"/>
                <w:lang w:eastAsia="zh-CN"/>
              </w:rPr>
              <w:t>19</w:t>
            </w:r>
            <w:r>
              <w:rPr>
                <w:rFonts w:ascii="Times New Roman" w:cs="Times New Roman"/>
                <w:sz w:val="21"/>
                <w:szCs w:val="21"/>
                <w:lang w:eastAsia="zh-CN"/>
              </w:rPr>
              <w:t>户声环境执行</w:t>
            </w:r>
            <w:r>
              <w:rPr>
                <w:rFonts w:ascii="Times New Roman" w:hAnsi="Times New Roman" w:cs="Times New Roman"/>
                <w:sz w:val="21"/>
                <w:szCs w:val="21"/>
                <w:lang w:eastAsia="zh-CN"/>
              </w:rPr>
              <w:t>4a</w:t>
            </w:r>
            <w:r>
              <w:rPr>
                <w:rFonts w:ascii="Times New Roman" w:cs="Times New Roman"/>
                <w:sz w:val="21"/>
                <w:szCs w:val="21"/>
                <w:lang w:eastAsia="zh-CN"/>
              </w:rPr>
              <w:t>类标准；其余</w:t>
            </w:r>
            <w:r>
              <w:rPr>
                <w:rFonts w:hint="eastAsia" w:ascii="Times New Roman" w:hAnsi="Times New Roman" w:cs="Times New Roman"/>
                <w:sz w:val="21"/>
                <w:szCs w:val="21"/>
                <w:lang w:eastAsia="zh-CN"/>
              </w:rPr>
              <w:t>150</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Align w:val="center"/>
          </w:tcPr>
          <w:p>
            <w:pPr>
              <w:pStyle w:val="675"/>
              <w:jc w:val="center"/>
              <w:rPr>
                <w:rFonts w:ascii="Times New Roman" w:hAnsi="Times New Roman" w:cs="Times New Roman"/>
                <w:sz w:val="21"/>
                <w:szCs w:val="21"/>
                <w:highlight w:val="yellow"/>
                <w:lang w:eastAsia="zh-CN"/>
              </w:rPr>
            </w:pPr>
            <w:r>
              <w:rPr>
                <w:highlight w:val="yellow"/>
                <w:lang w:eastAsia="zh-CN"/>
              </w:rPr>
              <w:pict>
                <v:shape id="Text Box 236" o:spid="_x0000_s1441" o:spt="202" type="#_x0000_t202" style="position:absolute;left:0pt;margin-left:93.6pt;margin-top:200.45pt;height:20.75pt;width:78.2pt;z-index:25175449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北黄土坡村</w:t>
                        </w:r>
                      </w:p>
                    </w:txbxContent>
                  </v:textbox>
                </v:shape>
              </w:pict>
            </w:r>
            <w:r>
              <w:rPr>
                <w:lang w:eastAsia="zh-CN"/>
              </w:rPr>
              <w:pict>
                <v:shape id="文本框 1013" o:spid="_x0000_s1450" o:spt="202" type="#_x0000_t202" style="position:absolute;left:0pt;margin-left:150.6pt;margin-top:11.3pt;height:23.75pt;width:61.8pt;z-index:25175756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highlight w:val="yellow"/>
                <w:lang w:eastAsia="zh-CN"/>
              </w:rPr>
              <w:pict>
                <v:shape id="直接箭头连接符 89" o:spid="_x0000_s1442" o:spt="32" type="#_x0000_t32" style="position:absolute;left:0pt;margin-left:179.75pt;margin-top:8pt;height:0pt;width:47.05pt;rotation:11796480f;z-index:25175552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" adj="-377598,-1,-377598">
                  <v:path arrowok="t"/>
                  <v:fill on="f" focussize="0,0"/>
                  <v:stroke weight="1.5pt" color="#FF0000" endarrow="block"/>
                  <v:imagedata o:title=""/>
                  <o:lock v:ext="edit"/>
                </v:shape>
              </w:pict>
            </w:r>
            <w:r>
              <w:rPr>
                <w:highlight w:val="yellow"/>
                <w:lang w:eastAsia="zh-CN"/>
              </w:rPr>
              <w:pict>
                <v:shape id="文本框 1011" o:spid="_x0000_s1443" o:spt="202" type="#_x0000_t202" style="position:absolute;left:0pt;margin-left:159.4pt;margin-top:8pt;height:3.55pt;width:61.8pt;z-index:25175654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rFonts w:ascii="Times New Roman" w:hAnsi="Times New Roman" w:cs="Times New Roman"/>
                <w:sz w:val="21"/>
                <w:szCs w:val="21"/>
                <w:lang w:eastAsia="zh-CN"/>
              </w:rPr>
              <w:drawing>
                <wp:inline distT="0" distB="0" distL="0" distR="0">
                  <wp:extent cx="3602990" cy="3606165"/>
                  <wp:effectExtent l="19050" t="0" r="0" b="0"/>
                  <wp:docPr id="6" name="图片 2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3" descr="1#.jpg"/>
                          <pic:cNvPicPr>
                            <a:picLocks noChangeAspect="1" noChangeArrowheads="1"/>
                          </pic:cNvPicPr>
                        </pic:nvPicPr>
                        <pic:blipFill>
                          <a:blip r:embed="rId43" cstate="print"/>
                          <a:stretch>
                            <a:fillRect/>
                          </a:stretch>
                        </pic:blipFill>
                        <pic:spPr>
                          <a:xfrm>
                            <a:off x="0" y="0"/>
                            <a:ext cx="3603600" cy="3606332"/>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bCs/>
                <w:sz w:val="21"/>
                <w:szCs w:val="21"/>
                <w:lang w:eastAsia="zh-CN"/>
              </w:rPr>
              <w:drawing>
                <wp:inline distT="0" distB="0" distL="0" distR="0">
                  <wp:extent cx="2879725" cy="2159635"/>
                  <wp:effectExtent l="19050" t="0" r="0" b="0"/>
                  <wp:docPr id="2" name="图片 1" descr="北黄土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北黄土坡 (2).jpg"/>
                          <pic:cNvPicPr>
                            <a:picLocks noChangeAspect="1"/>
                          </pic:cNvPicPr>
                        </pic:nvPicPr>
                        <pic:blipFill>
                          <a:blip r:embed="rId44" cstate="print"/>
                          <a:stretch>
                            <a:fillRect/>
                          </a:stretch>
                        </pic:blipFill>
                        <pic:spPr>
                          <a:xfrm>
                            <a:off x="0" y="0"/>
                            <a:ext cx="2880000" cy="216000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w:t>
            </w:r>
          </w:p>
        </w:tc>
        <w:tc>
          <w:tcPr>
            <w:tcW w:w="25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龙凤书香苑小区</w:t>
            </w:r>
          </w:p>
        </w:tc>
        <w:tc>
          <w:tcPr>
            <w:tcW w:w="435"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利旧</w:t>
            </w:r>
            <w:r>
              <w:rPr>
                <w:rFonts w:ascii="Times New Roman" w:cs="Times New Roman"/>
                <w:sz w:val="21"/>
                <w:szCs w:val="21"/>
              </w:rPr>
              <w:t>路</w:t>
            </w:r>
            <w:r>
              <w:rPr>
                <w:rFonts w:ascii="Times New Roman" w:cs="Times New Roman"/>
                <w:sz w:val="21"/>
                <w:szCs w:val="21"/>
                <w:lang w:eastAsia="zh-CN"/>
              </w:rPr>
              <w:t>段</w:t>
            </w:r>
          </w:p>
          <w:p>
            <w:pPr>
              <w:pStyle w:val="675"/>
              <w:jc w:val="center"/>
              <w:rPr>
                <w:rFonts w:ascii="Times New Roman" w:hAnsi="Times New Roman" w:cs="Times New Roman"/>
                <w:sz w:val="21"/>
                <w:szCs w:val="21"/>
              </w:rPr>
            </w:pP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450</w:t>
            </w: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650</w:t>
            </w:r>
          </w:p>
        </w:tc>
        <w:tc>
          <w:tcPr>
            <w:tcW w:w="24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49</w:t>
            </w:r>
          </w:p>
        </w:tc>
        <w:tc>
          <w:tcPr>
            <w:tcW w:w="26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35</w:t>
            </w:r>
          </w:p>
        </w:tc>
        <w:tc>
          <w:tcPr>
            <w:tcW w:w="19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w:t>
            </w:r>
            <w:r>
              <w:rPr>
                <w:rFonts w:ascii="Times New Roman" w:hAnsi="Times New Roman" w:cs="Times New Roman"/>
                <w:sz w:val="21"/>
                <w:szCs w:val="21"/>
                <w:lang w:eastAsia="zh-CN"/>
              </w:rPr>
              <w:t>m</w:t>
            </w:r>
          </w:p>
        </w:tc>
        <w:tc>
          <w:tcPr>
            <w:tcW w:w="12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c>
          <w:tcPr>
            <w:tcW w:w="127"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hAnsi="Times New Roman" w:cs="Times New Roman"/>
                <w:sz w:val="21"/>
                <w:szCs w:val="21"/>
                <w:lang w:eastAsia="zh-CN"/>
              </w:rPr>
              <w:t>龙凤书香苑小区</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hint="eastAsia" w:ascii="Times New Roman" w:cs="Times New Roman"/>
                <w:sz w:val="21"/>
                <w:szCs w:val="21"/>
                <w:lang w:eastAsia="zh-CN"/>
              </w:rPr>
              <w:t>最高</w:t>
            </w:r>
            <w:r>
              <w:rPr>
                <w:rFonts w:hint="eastAsia" w:ascii="Times New Roman" w:hAnsi="Times New Roman" w:cs="Times New Roman"/>
                <w:sz w:val="21"/>
                <w:szCs w:val="21"/>
                <w:lang w:eastAsia="zh-CN"/>
              </w:rPr>
              <w:t>15</w:t>
            </w:r>
            <w:r>
              <w:rPr>
                <w:rFonts w:ascii="Times New Roman" w:cs="Times New Roman"/>
                <w:sz w:val="21"/>
                <w:szCs w:val="21"/>
                <w:lang w:eastAsia="zh-CN"/>
              </w:rPr>
              <w:t>层，</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背向</w:t>
            </w:r>
            <w:r>
              <w:rPr>
                <w:rFonts w:ascii="Times New Roman" w:cs="Times New Roman"/>
                <w:sz w:val="21"/>
                <w:szCs w:val="21"/>
                <w:lang w:eastAsia="zh-CN"/>
              </w:rPr>
              <w:t>公路</w:t>
            </w:r>
            <w:r>
              <w:rPr>
                <w:rFonts w:hint="eastAsia" w:ascii="Times New Roman" w:cs="Times New Roman"/>
                <w:sz w:val="21"/>
                <w:szCs w:val="21"/>
                <w:lang w:eastAsia="zh-CN"/>
              </w:rPr>
              <w:t>。该小区目前窗户均已设置隔声窗，</w:t>
            </w:r>
            <w:r>
              <w:rPr>
                <w:rFonts w:ascii="Times New Roman" w:cs="Times New Roman"/>
                <w:sz w:val="21"/>
                <w:szCs w:val="21"/>
                <w:lang w:eastAsia="zh-CN"/>
              </w:rPr>
              <w:t>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restart"/>
            <w:vAlign w:val="center"/>
          </w:tcPr>
          <w:p>
            <w:pPr>
              <w:pStyle w:val="675"/>
              <w:jc w:val="center"/>
              <w:rPr>
                <w:rFonts w:ascii="Times New Roman" w:hAnsi="Times New Roman" w:cs="Times New Roman"/>
                <w:sz w:val="21"/>
                <w:szCs w:val="21"/>
                <w:highlight w:val="yellow"/>
              </w:rPr>
            </w:pPr>
            <w:r>
              <w:rPr>
                <w:lang w:eastAsia="zh-CN"/>
              </w:rPr>
              <w:pict>
                <v:shape id="_x0000_s1456" o:spid="_x0000_s1456" o:spt="202" type="#_x0000_t202" style="position:absolute;left:0pt;margin-left:129.2pt;margin-top:219.7pt;height:35.75pt;width:58.1pt;z-index:25176268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遵化市第三中学</w:t>
                        </w:r>
                      </w:p>
                    </w:txbxContent>
                  </v:textbox>
                </v:shape>
              </w:pict>
            </w:r>
            <w:r>
              <w:rPr>
                <w:highlight w:val="yellow"/>
                <w:lang w:eastAsia="zh-CN"/>
              </w:rPr>
              <w:pict>
                <v:shape id="Text Box 237" o:spid="_x0000_s1452" o:spt="202" type="#_x0000_t202" style="position:absolute;left:0pt;margin-left:221.6pt;margin-top:193.45pt;height:35.75pt;width:58.1pt;z-index:25175859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龙凤书香苑小区</w:t>
                        </w:r>
                      </w:p>
                    </w:txbxContent>
                  </v:textbox>
                </v:shape>
              </w:pict>
            </w:r>
            <w:r>
              <w:rPr>
                <w:lang w:eastAsia="zh-CN"/>
              </w:rPr>
              <w:pict>
                <v:shape id="_x0000_s1455" o:spid="_x0000_s1455" o:spt="32" type="#_x0000_t32" style="position:absolute;left:0pt;margin-left:192.3pt;margin-top:8.7pt;height:0pt;width:47.05pt;rotation:11796480f;z-index:251761664;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" adj="-377598,-1,-377598">
                  <v:path arrowok="t"/>
                  <v:fill on="f" focussize="0,0"/>
                  <v:stroke weight="1.5pt" color="#FF0000" endarrow="block"/>
                  <v:imagedata o:title=""/>
                  <o:lock v:ext="edit"/>
                </v:shape>
              </w:pict>
            </w:r>
            <w:r>
              <w:rPr>
                <w:lang w:eastAsia="zh-CN"/>
              </w:rPr>
              <w:pict>
                <v:shape id="_x0000_s1454" o:spid="_x0000_s1454" o:spt="202" type="#_x0000_t202" style="position:absolute;left:0pt;margin-left:171.4pt;margin-top:-178.35pt;height:3.55pt;width:61.8pt;z-index:25176064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highlight w:val="yellow"/>
                <w:lang w:eastAsia="zh-CN"/>
              </w:rPr>
              <w:pict>
                <v:shape id="_x0000_s1453" o:spid="_x0000_s1453" o:spt="202" type="#_x0000_t202" style="position:absolute;left:0pt;margin-left:169.1pt;margin-top:8.6pt;height:23.75pt;width:61.8pt;z-index:25175961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rFonts w:ascii="Times New Roman" w:hAnsi="Times New Roman" w:cs="Times New Roman"/>
                <w:sz w:val="21"/>
                <w:szCs w:val="21"/>
                <w:lang w:eastAsia="zh-CN"/>
              </w:rPr>
              <w:drawing>
                <wp:inline distT="0" distB="0" distL="0" distR="0">
                  <wp:extent cx="3602990" cy="3606165"/>
                  <wp:effectExtent l="19050" t="0" r="0" b="0"/>
                  <wp:docPr id="12" name="图片 2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4" descr="2.jpg"/>
                          <pic:cNvPicPr>
                            <a:picLocks noChangeAspect="1" noChangeArrowheads="1"/>
                          </pic:cNvPicPr>
                        </pic:nvPicPr>
                        <pic:blipFill>
                          <a:blip r:embed="rId45" cstate="print"/>
                          <a:stretch>
                            <a:fillRect/>
                          </a:stretch>
                        </pic:blipFill>
                        <pic:spPr>
                          <a:xfrm>
                            <a:off x="0" y="0"/>
                            <a:ext cx="3603600" cy="3606332"/>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sz w:val="21"/>
                <w:szCs w:val="21"/>
                <w:highlight w:val="yellow"/>
                <w:lang w:eastAsia="zh-CN"/>
              </w:rPr>
            </w:pPr>
            <w:r>
              <w:rPr>
                <w:rFonts w:ascii="Times New Roman" w:hAnsi="Times New Roman" w:cs="Times New Roman"/>
                <w:sz w:val="21"/>
                <w:szCs w:val="21"/>
                <w:lang w:eastAsia="zh-CN"/>
              </w:rPr>
              <w:drawing>
                <wp:inline distT="0" distB="0" distL="0" distR="0">
                  <wp:extent cx="1619885" cy="1644015"/>
                  <wp:effectExtent l="19050" t="0" r="0" b="0"/>
                  <wp:docPr id="13" name="图片 19" descr="半截塔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descr="半截塔村.jpg"/>
                          <pic:cNvPicPr>
                            <a:picLocks noChangeAspect="1" noChangeArrowheads="1"/>
                          </pic:cNvPicPr>
                        </pic:nvPicPr>
                        <pic:blipFill>
                          <a:blip r:embed="rId46" cstate="print"/>
                          <a:srcRect b="24059"/>
                          <a:stretch>
                            <a:fillRect/>
                          </a:stretch>
                        </pic:blipFill>
                        <pic:spPr>
                          <a:xfrm>
                            <a:off x="0" y="0"/>
                            <a:ext cx="1619969" cy="1644290"/>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p>
        </w:tc>
        <w:tc>
          <w:tcPr>
            <w:tcW w:w="25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遵化市第三中学</w:t>
            </w:r>
          </w:p>
        </w:tc>
        <w:tc>
          <w:tcPr>
            <w:tcW w:w="435"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利旧</w:t>
            </w:r>
            <w:r>
              <w:rPr>
                <w:rFonts w:ascii="Times New Roman" w:cs="Times New Roman"/>
                <w:sz w:val="21"/>
                <w:szCs w:val="21"/>
              </w:rPr>
              <w:t>路</w:t>
            </w:r>
            <w:r>
              <w:rPr>
                <w:rFonts w:ascii="Times New Roman" w:cs="Times New Roman"/>
                <w:sz w:val="21"/>
                <w:szCs w:val="21"/>
                <w:lang w:eastAsia="zh-CN"/>
              </w:rPr>
              <w:t>段</w:t>
            </w:r>
          </w:p>
          <w:p>
            <w:pPr>
              <w:pStyle w:val="675"/>
              <w:jc w:val="center"/>
              <w:rPr>
                <w:rFonts w:ascii="Times New Roman" w:cs="Times New Roman"/>
                <w:sz w:val="21"/>
                <w:szCs w:val="21"/>
                <w:lang w:eastAsia="zh-CN"/>
              </w:rPr>
            </w:pP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700</w:t>
            </w: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870</w:t>
            </w:r>
          </w:p>
        </w:tc>
        <w:tc>
          <w:tcPr>
            <w:tcW w:w="24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75</w:t>
            </w:r>
          </w:p>
        </w:tc>
        <w:tc>
          <w:tcPr>
            <w:tcW w:w="26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56</w:t>
            </w:r>
          </w:p>
        </w:tc>
        <w:tc>
          <w:tcPr>
            <w:tcW w:w="19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0m</w:t>
            </w:r>
          </w:p>
        </w:tc>
        <w:tc>
          <w:tcPr>
            <w:tcW w:w="12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c>
          <w:tcPr>
            <w:tcW w:w="127"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80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遵化市第三中学</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hint="eastAsia" w:ascii="Times New Roman" w:hAnsi="Times New Roman" w:cs="Times New Roman"/>
                <w:sz w:val="21"/>
                <w:szCs w:val="21"/>
                <w:lang w:eastAsia="zh-CN"/>
              </w:rPr>
              <w:t>5</w:t>
            </w:r>
            <w:r>
              <w:rPr>
                <w:rFonts w:ascii="Times New Roman" w:cs="Times New Roman"/>
                <w:sz w:val="21"/>
                <w:szCs w:val="21"/>
                <w:lang w:eastAsia="zh-CN"/>
              </w:rPr>
              <w:t>层，</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学习，位于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背向</w:t>
            </w:r>
            <w:r>
              <w:rPr>
                <w:rFonts w:ascii="Times New Roman" w:cs="Times New Roman"/>
                <w:sz w:val="21"/>
                <w:szCs w:val="21"/>
                <w:lang w:eastAsia="zh-CN"/>
              </w:rPr>
              <w:t>公路</w:t>
            </w:r>
            <w:r>
              <w:rPr>
                <w:rFonts w:hint="eastAsia" w:ascii="Times New Roman" w:cs="Times New Roman"/>
                <w:sz w:val="21"/>
                <w:szCs w:val="21"/>
                <w:lang w:eastAsia="zh-CN"/>
              </w:rPr>
              <w:t>。</w:t>
            </w:r>
            <w:r>
              <w:rPr>
                <w:rFonts w:ascii="Times New Roman" w:cs="Times New Roman"/>
                <w:sz w:val="21"/>
                <w:szCs w:val="21"/>
                <w:lang w:eastAsia="zh-CN"/>
              </w:rPr>
              <w:t>声环境执行</w:t>
            </w:r>
            <w:r>
              <w:rPr>
                <w:rFonts w:hint="eastAsia"/>
                <w:lang w:eastAsia="zh-CN"/>
              </w:rPr>
              <w:t>《关于公路、铁路（含轻轨）等建设项目环境影响评价中环境噪声有关问题的通知》（环发[2003]94号</w:t>
            </w:r>
            <w:r>
              <w:rPr>
                <w:lang w:eastAsia="zh-CN"/>
              </w:rPr>
              <w:t>）</w:t>
            </w:r>
            <w:r>
              <w:rPr>
                <w:rFonts w:hint="eastAsia"/>
                <w:lang w:eastAsia="zh-CN"/>
              </w:rPr>
              <w:t>评价范围内的学校等特殊敏感建筑物，其室外昼间按60dB（A）、夜间按50dB（A）执行</w:t>
            </w:r>
            <w:r>
              <w:rPr>
                <w:rFonts w:ascii="Times New Roman" w:cs="Times New Roman"/>
                <w:sz w:val="21"/>
                <w:szCs w:val="21"/>
                <w:lang w:eastAsia="zh-CN"/>
              </w:rPr>
              <w:t>。环境空气执行二级标准及修改单要求。</w:t>
            </w:r>
          </w:p>
        </w:tc>
        <w:tc>
          <w:tcPr>
            <w:tcW w:w="1362" w:type="pct"/>
            <w:vMerge w:val="continue"/>
            <w:vAlign w:val="center"/>
          </w:tcPr>
          <w:p>
            <w:pPr>
              <w:pStyle w:val="675"/>
              <w:jc w:val="center"/>
              <w:rPr>
                <w:lang w:eastAsia="zh-CN"/>
              </w:rPr>
            </w:pPr>
          </w:p>
        </w:tc>
        <w:tc>
          <w:tcPr>
            <w:tcW w:w="11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drawing>
                <wp:inline distT="0" distB="0" distL="0" distR="0">
                  <wp:extent cx="2879725" cy="2160905"/>
                  <wp:effectExtent l="19050" t="0" r="0" b="0"/>
                  <wp:docPr id="24" name="图片 23" descr="三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三中 (2).jpg"/>
                          <pic:cNvPicPr>
                            <a:picLocks noChangeAspect="1"/>
                          </pic:cNvPicPr>
                        </pic:nvPicPr>
                        <pic:blipFill>
                          <a:blip r:embed="rId47" cstate="print"/>
                          <a:stretch>
                            <a:fillRect/>
                          </a:stretch>
                        </pic:blipFill>
                        <pic:spPr>
                          <a:xfrm>
                            <a:off x="0" y="0"/>
                            <a:ext cx="2880000" cy="2161320"/>
                          </a:xfrm>
                          <a:prstGeom prst="rect">
                            <a:avLst/>
                          </a:prstGeom>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4</w:t>
            </w:r>
          </w:p>
        </w:tc>
        <w:tc>
          <w:tcPr>
            <w:tcW w:w="256" w:type="pct"/>
            <w:vAlign w:val="center"/>
          </w:tcPr>
          <w:p>
            <w:pPr>
              <w:spacing w:line="240" w:lineRule="auto"/>
              <w:ind w:firstLine="0" w:firstLineChars="0"/>
              <w:jc w:val="center"/>
              <w:rPr>
                <w:kern w:val="0"/>
                <w:sz w:val="21"/>
                <w:szCs w:val="22"/>
              </w:rPr>
            </w:pPr>
            <w:r>
              <w:rPr>
                <w:rFonts w:hint="eastAsia"/>
                <w:sz w:val="21"/>
              </w:rPr>
              <w:t>智慧城小区</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利旧</w:t>
            </w:r>
            <w:r>
              <w:rPr>
                <w:rFonts w:hint="eastAsia" w:ascii="Times New Roman" w:cs="Times New Roman"/>
                <w:sz w:val="21"/>
                <w:szCs w:val="21"/>
                <w:lang w:eastAsia="zh-CN"/>
              </w:rPr>
              <w:t>路段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2</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900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120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49</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35</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0</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1</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hAnsi="Times New Roman" w:cs="Times New Roman"/>
                <w:sz w:val="21"/>
                <w:szCs w:val="21"/>
                <w:lang w:eastAsia="zh-CN"/>
              </w:rPr>
              <w:t>智慧城小区</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hint="eastAsia" w:ascii="Times New Roman" w:hAnsi="Times New Roman" w:cs="Times New Roman"/>
                <w:sz w:val="21"/>
                <w:szCs w:val="21"/>
                <w:lang w:eastAsia="zh-CN"/>
              </w:rPr>
              <w:t>11</w:t>
            </w:r>
            <w:r>
              <w:rPr>
                <w:rFonts w:ascii="Times New Roman" w:cs="Times New Roman"/>
                <w:sz w:val="21"/>
                <w:szCs w:val="21"/>
                <w:lang w:eastAsia="zh-CN"/>
              </w:rPr>
              <w:t>层，</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侧向</w:t>
            </w:r>
            <w:r>
              <w:rPr>
                <w:rFonts w:ascii="Times New Roman" w:cs="Times New Roman"/>
                <w:sz w:val="21"/>
                <w:szCs w:val="21"/>
                <w:lang w:eastAsia="zh-CN"/>
              </w:rPr>
              <w:t>公路</w:t>
            </w:r>
            <w:r>
              <w:rPr>
                <w:rFonts w:hint="eastAsia" w:ascii="Times New Roman" w:cs="Times New Roman"/>
                <w:sz w:val="21"/>
                <w:szCs w:val="21"/>
                <w:lang w:eastAsia="zh-CN"/>
              </w:rPr>
              <w:t>。</w:t>
            </w:r>
            <w:r>
              <w:rPr>
                <w:rFonts w:ascii="Times New Roman" w:cs="Times New Roman"/>
                <w:sz w:val="21"/>
                <w:szCs w:val="21"/>
                <w:lang w:eastAsia="zh-CN"/>
              </w:rPr>
              <w:t>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restart"/>
            <w:vAlign w:val="center"/>
          </w:tcPr>
          <w:p>
            <w:pPr>
              <w:spacing w:line="240" w:lineRule="auto"/>
              <w:ind w:firstLine="0" w:firstLineChars="0"/>
              <w:jc w:val="center"/>
              <w:rPr>
                <w:kern w:val="0"/>
                <w:sz w:val="21"/>
                <w:szCs w:val="22"/>
                <w:highlight w:val="yellow"/>
              </w:rPr>
            </w:pPr>
            <w:r>
              <w:rPr>
                <w:kern w:val="0"/>
                <w:sz w:val="21"/>
                <w:szCs w:val="22"/>
              </w:rPr>
              <w:pict>
                <v:shape id="_x0000_s1469" o:spid="_x0000_s1469" o:spt="202" type="#_x0000_t202" style="position:absolute;left:0pt;margin-left:96.35pt;margin-top:238.5pt;height:20.4pt;width:73.2pt;z-index:25176473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张各庄村</w:t>
                        </w:r>
                      </w:p>
                    </w:txbxContent>
                  </v:textbox>
                </v:shape>
              </w:pict>
            </w:r>
            <w:r>
              <w:pict>
                <v:shape id="_x0000_s1471" o:spid="_x0000_s1471" o:spt="202" type="#_x0000_t202" style="position:absolute;left:0pt;margin-left:184.1pt;margin-top:12.45pt;height:23.75pt;width:61.8pt;z-index:25176678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pict>
                <v:shape id="_x0000_s1470" o:spid="_x0000_s1470" o:spt="32" type="#_x0000_t32" style="position:absolute;left:0pt;margin-left:203.95pt;margin-top:12.8pt;height:0pt;width:47.05pt;rotation:11796480f;z-index:251765760;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" adj="-377598,-1,-377598">
                  <v:path arrowok="t"/>
                  <v:fill on="f" focussize="0,0"/>
                  <v:stroke weight="1.5pt" color="#FF0000" endarrow="block"/>
                  <v:imagedata o:title=""/>
                  <o:lock v:ext="edit"/>
                </v:shape>
              </w:pict>
            </w:r>
            <w:r>
              <w:rPr>
                <w:kern w:val="0"/>
                <w:sz w:val="21"/>
                <w:szCs w:val="22"/>
              </w:rPr>
              <w:pict>
                <v:shape id="_x0000_s1468" o:spid="_x0000_s1468" o:spt="202" type="#_x0000_t202" style="position:absolute;left:0pt;margin-left:191.4pt;margin-top:82.25pt;height:20.4pt;width:73.2pt;z-index:25176371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智慧城小区</w:t>
                        </w:r>
                      </w:p>
                    </w:txbxContent>
                  </v:textbox>
                </v:shape>
              </w:pict>
            </w:r>
            <w:r>
              <w:rPr>
                <w:kern w:val="0"/>
                <w:sz w:val="21"/>
                <w:szCs w:val="22"/>
              </w:rPr>
              <w:drawing>
                <wp:inline distT="0" distB="0" distL="0" distR="0">
                  <wp:extent cx="3602990" cy="3602990"/>
                  <wp:effectExtent l="19050" t="0" r="0" b="0"/>
                  <wp:docPr id="79" name="图片 78" descr="G112线路路径带桩号修改后-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descr="G112线路路径带桩号修改后-33.jpg"/>
                          <pic:cNvPicPr>
                            <a:picLocks noChangeAspect="1"/>
                          </pic:cNvPicPr>
                        </pic:nvPicPr>
                        <pic:blipFill>
                          <a:blip r:embed="rId48" cstate="print"/>
                          <a:stretch>
                            <a:fillRect/>
                          </a:stretch>
                        </pic:blipFill>
                        <pic:spPr>
                          <a:xfrm>
                            <a:off x="0" y="0"/>
                            <a:ext cx="3603600" cy="3603600"/>
                          </a:xfrm>
                          <a:prstGeom prst="rect">
                            <a:avLst/>
                          </a:prstGeom>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015490" cy="1623060"/>
                  <wp:effectExtent l="19050" t="0" r="3300" b="0"/>
                  <wp:docPr id="75" name="图片 673" descr="北沟林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73" descr="北沟林场.jpg"/>
                          <pic:cNvPicPr>
                            <a:picLocks noChangeAspect="1" noChangeArrowheads="1"/>
                          </pic:cNvPicPr>
                        </pic:nvPicPr>
                        <pic:blipFill>
                          <a:blip r:embed="rId49" cstate="print"/>
                          <a:srcRect b="39597"/>
                          <a:stretch>
                            <a:fillRect/>
                          </a:stretch>
                        </pic:blipFill>
                        <pic:spPr>
                          <a:xfrm>
                            <a:off x="0" y="0"/>
                            <a:ext cx="2016000" cy="1623555"/>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5</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张各庄村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利旧</w:t>
            </w:r>
            <w:r>
              <w:rPr>
                <w:rFonts w:hint="eastAsia" w:ascii="Times New Roman" w:cs="Times New Roman"/>
                <w:sz w:val="21"/>
                <w:szCs w:val="21"/>
                <w:lang w:eastAsia="zh-CN"/>
              </w:rPr>
              <w:t>路</w:t>
            </w:r>
            <w:r>
              <w:rPr>
                <w:rFonts w:ascii="Times New Roman" w:cs="Times New Roman"/>
                <w:sz w:val="21"/>
                <w:szCs w:val="21"/>
                <w:lang w:eastAsia="zh-CN"/>
              </w:rPr>
              <w:t>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500</w:t>
            </w:r>
            <w:r>
              <w:rPr>
                <w:rFonts w:ascii="Times New Roman" w:hAnsi="Times New Roman" w:cs="Times New Roman"/>
                <w:sz w:val="21"/>
                <w:szCs w:val="21"/>
                <w:lang w:eastAsia="zh-CN"/>
              </w:rPr>
              <w:t>~K4+</w:t>
            </w:r>
            <w:r>
              <w:rPr>
                <w:rFonts w:hint="eastAsia" w:ascii="Times New Roman" w:hAnsi="Times New Roman" w:cs="Times New Roman"/>
                <w:sz w:val="21"/>
                <w:szCs w:val="21"/>
                <w:lang w:eastAsia="zh-CN"/>
              </w:rPr>
              <w:t>90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35</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21</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0</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89</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6</w:t>
            </w:r>
          </w:p>
        </w:tc>
        <w:tc>
          <w:tcPr>
            <w:tcW w:w="80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张各庄村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背向</w:t>
            </w:r>
            <w:r>
              <w:rPr>
                <w:rFonts w:ascii="Times New Roman" w:cs="Times New Roman"/>
                <w:sz w:val="21"/>
                <w:szCs w:val="21"/>
                <w:lang w:eastAsia="zh-CN"/>
              </w:rPr>
              <w:t>公路</w:t>
            </w:r>
            <w:r>
              <w:rPr>
                <w:rFonts w:hint="eastAsia" w:ascii="Times New Roman" w:cs="Times New Roman"/>
                <w:sz w:val="21"/>
                <w:szCs w:val="21"/>
                <w:lang w:eastAsia="zh-CN"/>
              </w:rPr>
              <w:t>。张各庄村</w:t>
            </w:r>
            <w:r>
              <w:rPr>
                <w:rFonts w:ascii="Times New Roman" w:cs="Times New Roman"/>
                <w:sz w:val="21"/>
                <w:szCs w:val="21"/>
                <w:lang w:eastAsia="zh-CN"/>
              </w:rPr>
              <w:t>临路</w:t>
            </w:r>
            <w:r>
              <w:rPr>
                <w:rFonts w:hint="eastAsia" w:ascii="Times New Roman" w:cs="Times New Roman"/>
                <w:sz w:val="21"/>
                <w:szCs w:val="21"/>
                <w:lang w:eastAsia="zh-CN"/>
              </w:rPr>
              <w:t>多为商户，有</w:t>
            </w:r>
            <w:r>
              <w:rPr>
                <w:rFonts w:hint="eastAsia" w:ascii="Times New Roman" w:hAnsi="Times New Roman" w:cs="Times New Roman"/>
                <w:sz w:val="21"/>
                <w:szCs w:val="21"/>
                <w:lang w:eastAsia="zh-CN"/>
              </w:rPr>
              <w:t>6</w:t>
            </w:r>
            <w:r>
              <w:rPr>
                <w:rFonts w:ascii="Times New Roman" w:cs="Times New Roman"/>
                <w:sz w:val="21"/>
                <w:szCs w:val="21"/>
                <w:lang w:eastAsia="zh-CN"/>
              </w:rPr>
              <w:t>户声环境执行</w:t>
            </w:r>
            <w:r>
              <w:rPr>
                <w:rFonts w:ascii="Times New Roman" w:hAnsi="Times New Roman" w:cs="Times New Roman"/>
                <w:sz w:val="21"/>
                <w:szCs w:val="21"/>
                <w:lang w:eastAsia="zh-CN"/>
              </w:rPr>
              <w:t>4a</w:t>
            </w:r>
            <w:r>
              <w:rPr>
                <w:rFonts w:ascii="Times New Roman" w:cs="Times New Roman"/>
                <w:sz w:val="21"/>
                <w:szCs w:val="21"/>
                <w:lang w:eastAsia="zh-CN"/>
              </w:rPr>
              <w:t>类标准；其余</w:t>
            </w:r>
            <w:r>
              <w:rPr>
                <w:rFonts w:hint="eastAsia" w:ascii="Times New Roman" w:hAnsi="Times New Roman" w:cs="Times New Roman"/>
                <w:sz w:val="21"/>
                <w:szCs w:val="21"/>
                <w:lang w:eastAsia="zh-CN"/>
              </w:rPr>
              <w:t>89</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continue"/>
            <w:vAlign w:val="center"/>
          </w:tcPr>
          <w:p>
            <w:pPr>
              <w:spacing w:line="240" w:lineRule="auto"/>
              <w:ind w:firstLine="0" w:firstLineChars="0"/>
              <w:jc w:val="center"/>
              <w:rPr>
                <w:kern w:val="0"/>
                <w:sz w:val="21"/>
                <w:szCs w:val="22"/>
                <w:highlight w:val="yellow"/>
              </w:rPr>
            </w:pP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1621790" cy="2162810"/>
                  <wp:effectExtent l="19050" t="0" r="0" b="0"/>
                  <wp:docPr id="77" name="图片 675" descr="小河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75" descr="小河南.jpg"/>
                          <pic:cNvPicPr>
                            <a:picLocks noChangeAspect="1" noChangeArrowheads="1"/>
                          </pic:cNvPicPr>
                        </pic:nvPicPr>
                        <pic:blipFill>
                          <a:blip r:embed="rId50" cstate="print"/>
                          <a:stretch>
                            <a:fillRect/>
                          </a:stretch>
                        </pic:blipFill>
                        <pic:spPr>
                          <a:xfrm>
                            <a:off x="0" y="0"/>
                            <a:ext cx="1622107" cy="2162810"/>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西十里铺村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利旧路段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6</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750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7</w:t>
            </w:r>
            <w:r>
              <w:rPr>
                <w:rFonts w:ascii="Times New Roman" w:hAnsi="Times New Roman" w:cs="Times New Roman"/>
                <w:sz w:val="21"/>
                <w:szCs w:val="21"/>
              </w:rPr>
              <w:t>+</w:t>
            </w:r>
            <w:r>
              <w:rPr>
                <w:rFonts w:hint="eastAsia" w:ascii="Times New Roman" w:hAnsi="Times New Roman" w:cs="Times New Roman"/>
                <w:sz w:val="21"/>
                <w:szCs w:val="21"/>
                <w:lang w:eastAsia="zh-CN"/>
              </w:rPr>
              <w:t>800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17</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3</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-1</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122</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14</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西十里铺村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hint="eastAsia" w:ascii="Times New Roman" w:hAnsi="Times New Roman" w:cs="Times New Roman"/>
                <w:sz w:val="21"/>
                <w:szCs w:val="21"/>
                <w:lang w:eastAsia="zh-CN"/>
              </w:rPr>
              <w:t>-2</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侧向</w:t>
            </w:r>
            <w:r>
              <w:rPr>
                <w:rFonts w:ascii="Times New Roman" w:cs="Times New Roman"/>
                <w:sz w:val="21"/>
                <w:szCs w:val="21"/>
                <w:lang w:eastAsia="zh-CN"/>
              </w:rPr>
              <w:t>公路</w:t>
            </w:r>
            <w:r>
              <w:rPr>
                <w:rFonts w:hint="eastAsia" w:ascii="Times New Roman" w:cs="Times New Roman"/>
                <w:sz w:val="21"/>
                <w:szCs w:val="21"/>
                <w:lang w:eastAsia="zh-CN"/>
              </w:rPr>
              <w:t>。西十里铺村有</w:t>
            </w:r>
            <w:r>
              <w:rPr>
                <w:rFonts w:hint="eastAsia" w:ascii="Times New Roman" w:hAnsi="Times New Roman" w:cs="Times New Roman"/>
                <w:sz w:val="21"/>
                <w:szCs w:val="21"/>
                <w:lang w:eastAsia="zh-CN"/>
              </w:rPr>
              <w:t>14</w:t>
            </w:r>
            <w:r>
              <w:rPr>
                <w:rFonts w:ascii="Times New Roman" w:cs="Times New Roman"/>
                <w:sz w:val="21"/>
                <w:szCs w:val="21"/>
                <w:lang w:eastAsia="zh-CN"/>
              </w:rPr>
              <w:t>户声环境执行</w:t>
            </w:r>
            <w:r>
              <w:rPr>
                <w:rFonts w:ascii="Times New Roman" w:hAnsi="Times New Roman" w:cs="Times New Roman"/>
                <w:sz w:val="21"/>
                <w:szCs w:val="21"/>
                <w:lang w:eastAsia="zh-CN"/>
              </w:rPr>
              <w:t>4a</w:t>
            </w:r>
            <w:r>
              <w:rPr>
                <w:rFonts w:ascii="Times New Roman" w:cs="Times New Roman"/>
                <w:sz w:val="21"/>
                <w:szCs w:val="21"/>
                <w:lang w:eastAsia="zh-CN"/>
              </w:rPr>
              <w:t>类标准；其余</w:t>
            </w:r>
            <w:r>
              <w:rPr>
                <w:rFonts w:hint="eastAsia" w:ascii="Times New Roman" w:hAnsi="Times New Roman" w:cs="Times New Roman"/>
                <w:sz w:val="21"/>
                <w:szCs w:val="21"/>
                <w:lang w:eastAsia="zh-CN"/>
              </w:rPr>
              <w:t>122</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Align w:val="center"/>
          </w:tcPr>
          <w:p>
            <w:pPr>
              <w:spacing w:line="240" w:lineRule="auto"/>
              <w:ind w:firstLine="0" w:firstLineChars="0"/>
              <w:jc w:val="center"/>
              <w:rPr>
                <w:kern w:val="0"/>
                <w:sz w:val="21"/>
                <w:szCs w:val="22"/>
                <w:highlight w:val="yellow"/>
              </w:rPr>
            </w:pPr>
            <w:r>
              <w:rPr>
                <w:highlight w:val="yellow"/>
              </w:rPr>
              <w:pict>
                <v:shape id="Text Box 243" o:spid="_x0000_s1410" o:spt="202" type="#_x0000_t202" style="position:absolute;left:0pt;margin-left:179.45pt;margin-top:145.7pt;height:20.75pt;width:72.1pt;z-index:25154662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西十里铺村</w:t>
                        </w:r>
                      </w:p>
                    </w:txbxContent>
                  </v:textbox>
                </v:shape>
              </w:pict>
            </w:r>
            <w:r>
              <w:rPr>
                <w:highlight w:val="yellow"/>
              </w:rPr>
              <w:pict>
                <v:shape id="直接箭头连接符 1022" o:spid="_x0000_s1412" o:spt="32" type="#_x0000_t32" style="position:absolute;left:0pt;margin-left:246.45pt;margin-top:7.4pt;height:29.2pt;width:0pt;z-index:25172275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">
                  <v:path arrowok="t"/>
                  <v:fill on="f" focussize="0,0"/>
                  <v:stroke weight="1.5pt" color="#FF0000" endarrow="block"/>
                  <v:imagedata o:title=""/>
                  <o:lock v:ext="edit"/>
                </v:shape>
              </w:pict>
            </w:r>
            <w:r>
              <w:rPr>
                <w:highlight w:val="yellow"/>
              </w:rPr>
              <w:pict>
                <v:shape id="文本框 1023" o:spid="_x0000_s1411" o:spt="202" type="#_x0000_t202" style="position:absolute;left:0pt;margin-left:184.35pt;margin-top:12.85pt;height:23.75pt;width:61.8pt;z-index:25172377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kern w:val="0"/>
                <w:sz w:val="21"/>
                <w:szCs w:val="22"/>
              </w:rPr>
              <w:drawing>
                <wp:inline distT="0" distB="0" distL="0" distR="0">
                  <wp:extent cx="3602990" cy="3615055"/>
                  <wp:effectExtent l="19050" t="0" r="0" b="0"/>
                  <wp:docPr id="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
                          <pic:cNvPicPr>
                            <a:picLocks noChangeAspect="1" noChangeArrowheads="1"/>
                          </pic:cNvPicPr>
                        </pic:nvPicPr>
                        <pic:blipFill>
                          <a:blip r:embed="rId51" cstate="print"/>
                          <a:stretch>
                            <a:fillRect/>
                          </a:stretch>
                        </pic:blipFill>
                        <pic:spPr>
                          <a:xfrm>
                            <a:off x="0" y="0"/>
                            <a:ext cx="3603600" cy="3615532"/>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83535" cy="2162810"/>
                  <wp:effectExtent l="19050" t="0" r="0" b="0"/>
                  <wp:docPr id="80" name="图片 676" descr="宫家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76" descr="宫家营.jpg"/>
                          <pic:cNvPicPr>
                            <a:picLocks noChangeAspect="1" noChangeArrowheads="1"/>
                          </pic:cNvPicPr>
                        </pic:nvPicPr>
                        <pic:blipFill>
                          <a:blip r:embed="rId52" cstate="print"/>
                          <a:stretch>
                            <a:fillRect/>
                          </a:stretch>
                        </pic:blipFill>
                        <pic:spPr>
                          <a:xfrm>
                            <a:off x="0" y="0"/>
                            <a:ext cx="2883746" cy="2162810"/>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7</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后王庄村</w:t>
            </w:r>
          </w:p>
        </w:tc>
        <w:tc>
          <w:tcPr>
            <w:tcW w:w="435"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新建路段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7</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950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8</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500</w:t>
            </w:r>
          </w:p>
        </w:tc>
        <w:tc>
          <w:tcPr>
            <w:tcW w:w="243" w:type="pct"/>
            <w:vAlign w:val="center"/>
          </w:tcPr>
          <w:p>
            <w:pPr>
              <w:spacing w:line="240" w:lineRule="auto"/>
              <w:ind w:firstLine="0" w:firstLineChars="0"/>
              <w:jc w:val="center"/>
              <w:rPr>
                <w:sz w:val="21"/>
              </w:rPr>
            </w:pPr>
            <w:r>
              <w:rPr>
                <w:sz w:val="21"/>
              </w:rPr>
              <w:t>65</w:t>
            </w:r>
          </w:p>
        </w:tc>
        <w:tc>
          <w:tcPr>
            <w:tcW w:w="269" w:type="pct"/>
            <w:vAlign w:val="center"/>
          </w:tcPr>
          <w:p>
            <w:pPr>
              <w:spacing w:line="240" w:lineRule="auto"/>
              <w:ind w:firstLine="0" w:firstLineChars="0"/>
              <w:jc w:val="center"/>
              <w:rPr>
                <w:sz w:val="21"/>
              </w:rPr>
            </w:pPr>
            <w:r>
              <w:rPr>
                <w:sz w:val="21"/>
              </w:rPr>
              <w:t>53</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-2</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33</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后王庄村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右侧</w:t>
            </w:r>
            <w:r>
              <w:rPr>
                <w:rFonts w:ascii="Times New Roman" w:cs="Times New Roman"/>
                <w:sz w:val="21"/>
                <w:szCs w:val="21"/>
                <w:lang w:eastAsia="zh-CN"/>
              </w:rPr>
              <w:t>，侧向公路，临路</w:t>
            </w:r>
            <w:r>
              <w:rPr>
                <w:rFonts w:hint="eastAsia" w:ascii="Times New Roman" w:hAnsi="Times New Roman" w:cs="Times New Roman"/>
                <w:sz w:val="21"/>
                <w:szCs w:val="21"/>
                <w:lang w:eastAsia="zh-CN"/>
              </w:rPr>
              <w:t>5</w:t>
            </w:r>
            <w:r>
              <w:rPr>
                <w:rFonts w:ascii="Times New Roman" w:cs="Times New Roman"/>
                <w:sz w:val="21"/>
                <w:szCs w:val="21"/>
                <w:lang w:eastAsia="zh-CN"/>
              </w:rPr>
              <w:t>户</w:t>
            </w:r>
            <w:r>
              <w:rPr>
                <w:rFonts w:hint="eastAsia" w:ascii="Times New Roman" w:cs="Times New Roman"/>
                <w:sz w:val="21"/>
                <w:szCs w:val="21"/>
                <w:lang w:eastAsia="zh-CN"/>
              </w:rPr>
              <w:t>需要工程拆迁</w:t>
            </w:r>
            <w:r>
              <w:rPr>
                <w:rFonts w:ascii="Times New Roman" w:cs="Times New Roman"/>
                <w:sz w:val="21"/>
                <w:szCs w:val="21"/>
                <w:lang w:eastAsia="zh-CN"/>
              </w:rPr>
              <w:t>；其余</w:t>
            </w:r>
            <w:r>
              <w:rPr>
                <w:rFonts w:hint="eastAsia" w:ascii="Times New Roman" w:hAnsi="Times New Roman" w:cs="Times New Roman"/>
                <w:sz w:val="21"/>
                <w:szCs w:val="21"/>
                <w:lang w:eastAsia="zh-CN"/>
              </w:rPr>
              <w:t>33</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restart"/>
            <w:vAlign w:val="center"/>
          </w:tcPr>
          <w:p>
            <w:pPr>
              <w:spacing w:line="240" w:lineRule="auto"/>
              <w:ind w:firstLine="0" w:firstLineChars="0"/>
              <w:jc w:val="center"/>
              <w:rPr>
                <w:kern w:val="0"/>
                <w:sz w:val="21"/>
                <w:szCs w:val="22"/>
                <w:highlight w:val="yellow"/>
              </w:rPr>
            </w:pPr>
            <w:r>
              <w:rPr>
                <w:highlight w:val="yellow"/>
              </w:rPr>
              <w:pict>
                <v:shape id="Text Box 187" o:spid="_x0000_s1784" o:spt="202" type="#_x0000_t202" style="position:absolute;left:0pt;margin-left:240.45pt;margin-top:159.9pt;height:20.75pt;width:46.75pt;z-index:25202995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前辅村</w:t>
                        </w:r>
                      </w:p>
                    </w:txbxContent>
                  </v:textbox>
                </v:shape>
              </w:pict>
            </w:r>
            <w:r>
              <w:rPr>
                <w:highlight w:val="yellow"/>
              </w:rPr>
              <w:pict>
                <v:shape id="Text Box 186" o:spid="_x0000_s1783" o:spt="202" type="#_x0000_t202" style="position:absolute;left:0pt;margin-left:12.2pt;margin-top:103.45pt;height:20.75pt;width:58.1pt;z-index:25202892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后王庄村</w:t>
                        </w:r>
                      </w:p>
                    </w:txbxContent>
                  </v:textbox>
                </v:shape>
              </w:pict>
            </w:r>
            <w:r>
              <w:rPr>
                <w:highlight w:val="yellow"/>
              </w:rPr>
              <w:pict>
                <v:shape id="直接箭头连接符 1024" o:spid="_x0000_s1785" o:spt="32" type="#_x0000_t32" style="position:absolute;left:0pt;margin-left:278.95pt;margin-top:2.05pt;height:29.2pt;width:0pt;z-index:252030976;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">
                  <v:path arrowok="t"/>
                  <v:fill on="f" focussize="0,0"/>
                  <v:stroke weight="1.5pt" color="#FF0000" endarrow="block"/>
                  <v:imagedata o:title=""/>
                  <o:lock v:ext="edit"/>
                </v:shape>
              </w:pict>
            </w:r>
            <w:r>
              <w:rPr>
                <w:highlight w:val="yellow"/>
              </w:rPr>
              <w:pict>
                <v:shape id="文本框 1025" o:spid="_x0000_s1786" o:spt="202" type="#_x0000_t202" style="position:absolute;left:0pt;margin-left:211.55pt;margin-top:6pt;height:23.75pt;width:61.8pt;z-index:25203200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kern w:val="0"/>
                <w:sz w:val="21"/>
                <w:szCs w:val="22"/>
              </w:rPr>
              <w:drawing>
                <wp:inline distT="0" distB="0" distL="0" distR="0">
                  <wp:extent cx="3601720" cy="3601720"/>
                  <wp:effectExtent l="19050" t="0" r="0" b="0"/>
                  <wp:docPr id="4" name="图片 3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3" descr="4.jpg"/>
                          <pic:cNvPicPr>
                            <a:picLocks noChangeAspect="1" noChangeArrowheads="1"/>
                          </pic:cNvPicPr>
                        </pic:nvPicPr>
                        <pic:blipFill>
                          <a:blip r:embed="rId53" cstate="print"/>
                          <a:stretch>
                            <a:fillRect/>
                          </a:stretch>
                        </pic:blipFill>
                        <pic:spPr>
                          <a:xfrm>
                            <a:off x="0" y="0"/>
                            <a:ext cx="3601720" cy="3601720"/>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83535" cy="2162810"/>
                  <wp:effectExtent l="19050" t="0" r="0" b="0"/>
                  <wp:docPr id="5" name="图片 36" descr="杨树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6" descr="杨树林.jpg"/>
                          <pic:cNvPicPr>
                            <a:picLocks noChangeAspect="1" noChangeArrowheads="1"/>
                          </pic:cNvPicPr>
                        </pic:nvPicPr>
                        <pic:blipFill>
                          <a:blip r:embed="rId54" cstate="print"/>
                          <a:stretch>
                            <a:fillRect/>
                          </a:stretch>
                        </pic:blipFill>
                        <pic:spPr>
                          <a:xfrm>
                            <a:off x="0" y="0"/>
                            <a:ext cx="2883746" cy="2162810"/>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8</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前辅村</w:t>
            </w:r>
          </w:p>
        </w:tc>
        <w:tc>
          <w:tcPr>
            <w:tcW w:w="435" w:type="pct"/>
            <w:vAlign w:val="center"/>
          </w:tcPr>
          <w:p>
            <w:pPr>
              <w:pStyle w:val="675"/>
              <w:jc w:val="center"/>
              <w:rPr>
                <w:rFonts w:ascii="Times New Roman" w:hAnsi="Times New Roman" w:cs="Times New Roman"/>
                <w:sz w:val="21"/>
                <w:szCs w:val="21"/>
                <w:lang w:eastAsia="zh-CN"/>
              </w:rPr>
            </w:pPr>
            <w:r>
              <w:rPr>
                <w:rFonts w:hint="eastAsia"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8</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650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9</w:t>
            </w:r>
            <w:r>
              <w:rPr>
                <w:rFonts w:ascii="Times New Roman" w:hAnsi="Times New Roman" w:cs="Times New Roman"/>
                <w:sz w:val="21"/>
                <w:szCs w:val="21"/>
              </w:rPr>
              <w:t>+</w:t>
            </w:r>
            <w:r>
              <w:rPr>
                <w:rFonts w:hint="eastAsia" w:ascii="Times New Roman" w:hAnsi="Times New Roman" w:cs="Times New Roman"/>
                <w:sz w:val="21"/>
                <w:szCs w:val="21"/>
                <w:lang w:eastAsia="zh-CN"/>
              </w:rPr>
              <w:t>150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160</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148</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-1</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8</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前辅村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，侧向公路，临路</w:t>
            </w:r>
            <w:r>
              <w:rPr>
                <w:rFonts w:hint="eastAsia" w:ascii="Times New Roman" w:hAnsi="Times New Roman" w:cs="Times New Roman"/>
                <w:sz w:val="21"/>
                <w:szCs w:val="21"/>
                <w:lang w:eastAsia="zh-CN"/>
              </w:rPr>
              <w:t>2</w:t>
            </w:r>
            <w:r>
              <w:rPr>
                <w:rFonts w:ascii="Times New Roman" w:cs="Times New Roman"/>
                <w:sz w:val="21"/>
                <w:szCs w:val="21"/>
                <w:lang w:eastAsia="zh-CN"/>
              </w:rPr>
              <w:t>户</w:t>
            </w:r>
            <w:r>
              <w:rPr>
                <w:rFonts w:hint="eastAsia" w:ascii="Times New Roman" w:cs="Times New Roman"/>
                <w:sz w:val="21"/>
                <w:szCs w:val="21"/>
                <w:lang w:eastAsia="zh-CN"/>
              </w:rPr>
              <w:t>需要工程拆迁</w:t>
            </w:r>
            <w:r>
              <w:rPr>
                <w:rFonts w:ascii="Times New Roman" w:cs="Times New Roman"/>
                <w:sz w:val="21"/>
                <w:szCs w:val="21"/>
                <w:lang w:eastAsia="zh-CN"/>
              </w:rPr>
              <w:t>；</w:t>
            </w:r>
            <w:r>
              <w:rPr>
                <w:rFonts w:hint="eastAsia" w:ascii="Times New Roman" w:cs="Times New Roman"/>
                <w:sz w:val="21"/>
                <w:szCs w:val="21"/>
                <w:lang w:eastAsia="zh-CN"/>
              </w:rPr>
              <w:t>有</w:t>
            </w:r>
            <w:r>
              <w:rPr>
                <w:rFonts w:hint="eastAsia" w:ascii="Times New Roman" w:hAnsi="Times New Roman" w:cs="Times New Roman"/>
                <w:sz w:val="21"/>
                <w:szCs w:val="21"/>
                <w:lang w:eastAsia="zh-CN"/>
              </w:rPr>
              <w:t>8</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continue"/>
            <w:vAlign w:val="center"/>
          </w:tcPr>
          <w:p>
            <w:pPr>
              <w:spacing w:line="240" w:lineRule="auto"/>
              <w:ind w:firstLine="0" w:firstLineChars="0"/>
              <w:jc w:val="center"/>
              <w:rPr>
                <w:kern w:val="0"/>
                <w:sz w:val="21"/>
                <w:szCs w:val="22"/>
                <w:highlight w:val="yellow"/>
              </w:rPr>
            </w:pP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83535" cy="2162810"/>
                  <wp:effectExtent l="19050" t="0" r="0" b="0"/>
                  <wp:docPr id="104" name="图片 37" descr="小杨树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7" descr="小杨树林.jpg"/>
                          <pic:cNvPicPr>
                            <a:picLocks noChangeAspect="1" noChangeArrowheads="1"/>
                          </pic:cNvPicPr>
                        </pic:nvPicPr>
                        <pic:blipFill>
                          <a:blip r:embed="rId55" cstate="print"/>
                          <a:stretch>
                            <a:fillRect/>
                          </a:stretch>
                        </pic:blipFill>
                        <pic:spPr>
                          <a:xfrm>
                            <a:off x="0" y="0"/>
                            <a:ext cx="2883746" cy="2162810"/>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9</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白方寺村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新建路段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420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14</w:t>
            </w:r>
            <w:r>
              <w:rPr>
                <w:rFonts w:ascii="Times New Roman" w:hAnsi="Times New Roman" w:cs="Times New Roman"/>
                <w:sz w:val="21"/>
                <w:szCs w:val="21"/>
              </w:rPr>
              <w:t>+</w:t>
            </w:r>
            <w:r>
              <w:rPr>
                <w:rFonts w:hint="eastAsia" w:ascii="Times New Roman" w:hAnsi="Times New Roman" w:cs="Times New Roman"/>
                <w:sz w:val="21"/>
                <w:szCs w:val="21"/>
                <w:lang w:eastAsia="zh-CN"/>
              </w:rPr>
              <w:t>330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86</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74</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+1</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15</w:t>
            </w:r>
          </w:p>
        </w:tc>
        <w:tc>
          <w:tcPr>
            <w:tcW w:w="127" w:type="pct"/>
            <w:vAlign w:val="center"/>
          </w:tcPr>
          <w:p>
            <w:pPr>
              <w:spacing w:line="240" w:lineRule="auto"/>
              <w:ind w:firstLine="0" w:firstLineChars="0"/>
              <w:jc w:val="center"/>
              <w:rPr>
                <w:kern w:val="0"/>
                <w:sz w:val="21"/>
                <w:szCs w:val="22"/>
              </w:rPr>
            </w:pPr>
            <w:r>
              <w:rPr>
                <w:kern w:val="0"/>
                <w:sz w:val="21"/>
                <w:szCs w:val="22"/>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白方寺村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面向</w:t>
            </w:r>
            <w:r>
              <w:rPr>
                <w:rFonts w:ascii="Times New Roman" w:cs="Times New Roman"/>
                <w:sz w:val="21"/>
                <w:szCs w:val="21"/>
                <w:lang w:eastAsia="zh-CN"/>
              </w:rPr>
              <w:t>公路，</w:t>
            </w:r>
            <w:r>
              <w:rPr>
                <w:rFonts w:hint="eastAsia" w:ascii="Times New Roman" w:cs="Times New Roman"/>
                <w:sz w:val="21"/>
                <w:szCs w:val="21"/>
                <w:lang w:eastAsia="zh-CN"/>
              </w:rPr>
              <w:t>有</w:t>
            </w:r>
            <w:r>
              <w:rPr>
                <w:rFonts w:hint="eastAsia" w:ascii="Times New Roman" w:hAnsi="Times New Roman" w:cs="Times New Roman"/>
                <w:sz w:val="21"/>
                <w:szCs w:val="21"/>
                <w:lang w:eastAsia="zh-CN"/>
              </w:rPr>
              <w:t>15</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Align w:val="center"/>
          </w:tcPr>
          <w:p>
            <w:pPr>
              <w:spacing w:line="240" w:lineRule="auto"/>
              <w:ind w:firstLine="0" w:firstLineChars="0"/>
              <w:jc w:val="center"/>
              <w:rPr>
                <w:kern w:val="0"/>
                <w:sz w:val="21"/>
                <w:szCs w:val="22"/>
                <w:highlight w:val="yellow"/>
              </w:rPr>
            </w:pPr>
            <w:r>
              <w:rPr>
                <w:highlight w:val="yellow"/>
              </w:rPr>
              <w:pict>
                <v:shape id="Text Box 191" o:spid="_x0000_s1477" o:spt="202" type="#_x0000_t202" style="position:absolute;left:0pt;margin-left:196.8pt;margin-top:101.95pt;height:20.75pt;width:58.1pt;z-index:25176780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白方寺村</w:t>
                        </w:r>
                      </w:p>
                      <w:p>
                        <w:pPr>
                          <w:ind w:firstLine="480"/>
                        </w:pPr>
                      </w:p>
                    </w:txbxContent>
                  </v:textbox>
                </v:shape>
              </w:pict>
            </w:r>
            <w:r>
              <w:rPr>
                <w:highlight w:val="yellow"/>
              </w:rPr>
              <w:pict>
                <v:shape id="直接箭头连接符 1026" o:spid="_x0000_s1478" o:spt="32" type="#_x0000_t32" style="position:absolute;left:0pt;margin-left:275.9pt;margin-top:2.75pt;height:29.2pt;width:0pt;z-index:251768832;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">
                  <v:path arrowok="t"/>
                  <v:fill on="f" focussize="0,0"/>
                  <v:stroke weight="1.5pt" color="#FF0000" endarrow="block"/>
                  <v:imagedata o:title=""/>
                  <o:lock v:ext="edit"/>
                </v:shape>
              </w:pict>
            </w:r>
            <w:r>
              <w:rPr>
                <w:highlight w:val="yellow"/>
              </w:rPr>
              <w:pict>
                <v:shape id="文本框 1027" o:spid="_x0000_s1479" o:spt="202" type="#_x0000_t202" style="position:absolute;left:0pt;margin-left:208.5pt;margin-top:6.7pt;height:23.75pt;width:61.8pt;z-index:25176985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kern w:val="0"/>
                <w:sz w:val="21"/>
                <w:szCs w:val="22"/>
              </w:rPr>
              <w:drawing>
                <wp:inline distT="0" distB="0" distL="0" distR="0">
                  <wp:extent cx="3601720" cy="3601720"/>
                  <wp:effectExtent l="19050" t="0" r="0" b="0"/>
                  <wp:docPr id="105" name="图片 40"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0" descr="5.jpg"/>
                          <pic:cNvPicPr>
                            <a:picLocks noChangeAspect="1" noChangeArrowheads="1"/>
                          </pic:cNvPicPr>
                        </pic:nvPicPr>
                        <pic:blipFill>
                          <a:blip r:embed="rId56" cstate="print"/>
                          <a:stretch>
                            <a:fillRect/>
                          </a:stretch>
                        </pic:blipFill>
                        <pic:spPr>
                          <a:xfrm>
                            <a:off x="0" y="0"/>
                            <a:ext cx="3601720" cy="3601720"/>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951480" cy="2184400"/>
                  <wp:effectExtent l="19050" t="0" r="750" b="0"/>
                  <wp:docPr id="106" name="图片 43" descr="殷家窝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3" descr="殷家窝铺.jpg"/>
                          <pic:cNvPicPr>
                            <a:picLocks noChangeAspect="1" noChangeArrowheads="1"/>
                          </pic:cNvPicPr>
                        </pic:nvPicPr>
                        <pic:blipFill>
                          <a:blip r:embed="rId57" cstate="print"/>
                          <a:srcRect b="43963"/>
                          <a:stretch>
                            <a:fillRect/>
                          </a:stretch>
                        </pic:blipFill>
                        <pic:spPr>
                          <a:xfrm>
                            <a:off x="0" y="0"/>
                            <a:ext cx="2952000" cy="2184779"/>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59"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10</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学汉坨村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14</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440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15</w:t>
            </w:r>
            <w:r>
              <w:rPr>
                <w:rFonts w:ascii="Times New Roman" w:hAnsi="Times New Roman" w:cs="Times New Roman"/>
                <w:sz w:val="21"/>
                <w:szCs w:val="21"/>
              </w:rPr>
              <w:t>+</w:t>
            </w:r>
            <w:r>
              <w:rPr>
                <w:rFonts w:hint="eastAsia" w:ascii="Times New Roman" w:hAnsi="Times New Roman" w:cs="Times New Roman"/>
                <w:sz w:val="21"/>
                <w:szCs w:val="21"/>
                <w:lang w:eastAsia="zh-CN"/>
              </w:rPr>
              <w:t>140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116</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104</w:t>
            </w:r>
          </w:p>
        </w:tc>
        <w:tc>
          <w:tcPr>
            <w:tcW w:w="195" w:type="pct"/>
            <w:vAlign w:val="center"/>
          </w:tcPr>
          <w:p>
            <w:pPr>
              <w:spacing w:line="240" w:lineRule="auto"/>
              <w:ind w:firstLine="0" w:firstLineChars="0"/>
              <w:jc w:val="center"/>
              <w:rPr>
                <w:kern w:val="0"/>
                <w:sz w:val="21"/>
                <w:szCs w:val="22"/>
                <w:lang w:eastAsia="en-US"/>
              </w:rPr>
            </w:pPr>
            <w:r>
              <w:rPr>
                <w:kern w:val="0"/>
                <w:sz w:val="21"/>
                <w:szCs w:val="22"/>
              </w:rPr>
              <w:t>-2m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29</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学汉坨村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左侧及右侧</w:t>
            </w:r>
            <w:r>
              <w:rPr>
                <w:rFonts w:ascii="Times New Roman" w:cs="Times New Roman"/>
                <w:sz w:val="21"/>
                <w:szCs w:val="21"/>
                <w:lang w:eastAsia="zh-CN"/>
              </w:rPr>
              <w:t>，</w:t>
            </w:r>
            <w:r>
              <w:rPr>
                <w:rFonts w:hint="eastAsia" w:ascii="Times New Roman" w:cs="Times New Roman"/>
                <w:sz w:val="21"/>
                <w:szCs w:val="21"/>
                <w:lang w:eastAsia="zh-CN"/>
              </w:rPr>
              <w:t>左侧面向公路，右侧背向</w:t>
            </w:r>
            <w:r>
              <w:rPr>
                <w:rFonts w:ascii="Times New Roman" w:cs="Times New Roman"/>
                <w:sz w:val="21"/>
                <w:szCs w:val="21"/>
                <w:lang w:eastAsia="zh-CN"/>
              </w:rPr>
              <w:t>公路，临路</w:t>
            </w:r>
            <w:r>
              <w:rPr>
                <w:rFonts w:hint="eastAsia" w:ascii="Times New Roman" w:hAnsi="Times New Roman" w:cs="Times New Roman"/>
                <w:sz w:val="21"/>
                <w:szCs w:val="21"/>
                <w:lang w:eastAsia="zh-CN"/>
              </w:rPr>
              <w:t>均为工厂及商户</w:t>
            </w:r>
            <w:r>
              <w:rPr>
                <w:rFonts w:ascii="Times New Roman" w:cs="Times New Roman"/>
                <w:sz w:val="21"/>
                <w:szCs w:val="21"/>
                <w:lang w:eastAsia="zh-CN"/>
              </w:rPr>
              <w:t>；</w:t>
            </w:r>
            <w:r>
              <w:rPr>
                <w:rFonts w:hint="eastAsia" w:ascii="Times New Roman" w:cs="Times New Roman"/>
                <w:sz w:val="21"/>
                <w:szCs w:val="21"/>
                <w:lang w:eastAsia="zh-CN"/>
              </w:rPr>
              <w:t>拆迁后，评价范围内有</w:t>
            </w:r>
            <w:r>
              <w:rPr>
                <w:rFonts w:hint="eastAsia" w:ascii="Times New Roman" w:hAnsi="Times New Roman" w:cs="Times New Roman"/>
                <w:sz w:val="21"/>
                <w:szCs w:val="21"/>
                <w:lang w:eastAsia="zh-CN"/>
              </w:rPr>
              <w:t>29</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Align w:val="center"/>
          </w:tcPr>
          <w:p>
            <w:pPr>
              <w:spacing w:line="240" w:lineRule="auto"/>
              <w:ind w:firstLine="0" w:firstLineChars="0"/>
              <w:jc w:val="center"/>
              <w:rPr>
                <w:kern w:val="0"/>
                <w:sz w:val="21"/>
                <w:szCs w:val="22"/>
                <w:highlight w:val="yellow"/>
              </w:rPr>
            </w:pPr>
            <w:r>
              <w:rPr>
                <w:highlight w:val="yellow"/>
              </w:rPr>
              <w:pict>
                <v:shape id="Text Box 208" o:spid="_x0000_s1514" o:spt="202" type="#_x0000_t202" style="position:absolute;left:0pt;margin-left:158.7pt;margin-top:62.85pt;height:20.75pt;width:66.65pt;z-index:25178214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学汉坨村</w:t>
                        </w:r>
                      </w:p>
                      <w:p>
                        <w:pPr>
                          <w:ind w:firstLine="480"/>
                        </w:pPr>
                      </w:p>
                    </w:txbxContent>
                  </v:textbox>
                </v:shape>
              </w:pict>
            </w:r>
            <w:r>
              <w:rPr>
                <w:highlight w:val="yellow"/>
              </w:rPr>
              <w:pict>
                <v:shape id="文本框 1037" o:spid="_x0000_s1516" o:spt="202" type="#_x0000_t202" style="position:absolute;left:0pt;margin-left:213.25pt;margin-top:6.9pt;height:23.75pt;width:59.05pt;z-index:25178419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highlight w:val="yellow"/>
              </w:rPr>
              <w:pict>
                <v:shape id="直接箭头连接符 1036" o:spid="_x0000_s1515" o:spt="32" type="#_x0000_t32" style="position:absolute;left:0pt;margin-left:276.65pt;margin-top:4.7pt;height:29.2pt;width:0pt;z-index:251783168;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">
                  <v:path arrowok="t"/>
                  <v:fill on="f" focussize="0,0"/>
                  <v:stroke weight="1.5pt" color="#FF0000" endarrow="block"/>
                  <v:imagedata o:title=""/>
                  <o:lock v:ext="edit"/>
                </v:shape>
              </w:pict>
            </w:r>
            <w:r>
              <w:rPr>
                <w:kern w:val="0"/>
                <w:sz w:val="21"/>
                <w:szCs w:val="22"/>
              </w:rPr>
              <w:drawing>
                <wp:inline distT="0" distB="0" distL="0" distR="0">
                  <wp:extent cx="3601720" cy="3601720"/>
                  <wp:effectExtent l="19050" t="0" r="0" b="0"/>
                  <wp:docPr id="8" name="图片 1155"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55" descr="9.jpg"/>
                          <pic:cNvPicPr>
                            <a:picLocks noChangeAspect="1" noChangeArrowheads="1"/>
                          </pic:cNvPicPr>
                        </pic:nvPicPr>
                        <pic:blipFill>
                          <a:blip r:embed="rId58" cstate="print"/>
                          <a:stretch>
                            <a:fillRect/>
                          </a:stretch>
                        </pic:blipFill>
                        <pic:spPr>
                          <a:xfrm>
                            <a:off x="0" y="0"/>
                            <a:ext cx="3601720" cy="3601720"/>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735580" cy="1903730"/>
                  <wp:effectExtent l="19050" t="0" r="7200" b="0"/>
                  <wp:docPr id="9" name="图片 1158" descr="苏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58" descr="苏鲁.jpg"/>
                          <pic:cNvPicPr>
                            <a:picLocks noChangeAspect="1" noChangeArrowheads="1"/>
                          </pic:cNvPicPr>
                        </pic:nvPicPr>
                        <pic:blipFill>
                          <a:blip r:embed="rId59" cstate="print"/>
                          <a:srcRect b="48718"/>
                          <a:stretch>
                            <a:fillRect/>
                          </a:stretch>
                        </pic:blipFill>
                        <pic:spPr>
                          <a:xfrm>
                            <a:off x="0" y="0"/>
                            <a:ext cx="2736000" cy="1904352"/>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59"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11</w:t>
            </w:r>
          </w:p>
        </w:tc>
        <w:tc>
          <w:tcPr>
            <w:tcW w:w="256" w:type="pct"/>
            <w:vAlign w:val="center"/>
          </w:tcPr>
          <w:p>
            <w:pPr>
              <w:spacing w:line="240" w:lineRule="auto"/>
              <w:ind w:firstLine="0" w:firstLineChars="0"/>
              <w:jc w:val="center"/>
              <w:rPr>
                <w:kern w:val="0"/>
                <w:sz w:val="21"/>
                <w:szCs w:val="22"/>
              </w:rPr>
            </w:pPr>
            <w:r>
              <w:rPr>
                <w:rFonts w:hint="eastAsia" w:hAnsi="宋体"/>
                <w:kern w:val="0"/>
                <w:sz w:val="21"/>
                <w:szCs w:val="22"/>
              </w:rPr>
              <w:t>骆各庄村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15</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600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17</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000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15</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3</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0m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76</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11</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骆各庄村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面向公路，</w:t>
            </w:r>
            <w:r>
              <w:rPr>
                <w:rFonts w:ascii="Times New Roman" w:cs="Times New Roman"/>
                <w:sz w:val="21"/>
                <w:szCs w:val="21"/>
                <w:lang w:eastAsia="zh-CN"/>
              </w:rPr>
              <w:t>临路</w:t>
            </w:r>
            <w:r>
              <w:rPr>
                <w:rFonts w:hint="eastAsia" w:ascii="Times New Roman" w:hAnsi="Times New Roman" w:cs="Times New Roman"/>
                <w:sz w:val="21"/>
                <w:szCs w:val="21"/>
                <w:lang w:eastAsia="zh-CN"/>
              </w:rPr>
              <w:t>2</w:t>
            </w:r>
            <w:r>
              <w:rPr>
                <w:rFonts w:ascii="Times New Roman" w:cs="Times New Roman"/>
                <w:sz w:val="21"/>
                <w:szCs w:val="21"/>
                <w:lang w:eastAsia="zh-CN"/>
              </w:rPr>
              <w:t>户</w:t>
            </w:r>
            <w:r>
              <w:rPr>
                <w:rFonts w:hint="eastAsia" w:ascii="Times New Roman" w:cs="Times New Roman"/>
                <w:sz w:val="21"/>
                <w:szCs w:val="21"/>
                <w:lang w:eastAsia="zh-CN"/>
              </w:rPr>
              <w:t>需要工程拆迁</w:t>
            </w:r>
            <w:r>
              <w:rPr>
                <w:rFonts w:ascii="Times New Roman" w:cs="Times New Roman"/>
                <w:sz w:val="21"/>
                <w:szCs w:val="21"/>
                <w:lang w:eastAsia="zh-CN"/>
              </w:rPr>
              <w:t>；</w:t>
            </w:r>
            <w:r>
              <w:rPr>
                <w:rFonts w:hint="eastAsia" w:ascii="Times New Roman" w:cs="Times New Roman"/>
                <w:sz w:val="21"/>
                <w:szCs w:val="21"/>
                <w:lang w:eastAsia="zh-CN"/>
              </w:rPr>
              <w:t>拆迁后，有11户</w:t>
            </w:r>
            <w:r>
              <w:rPr>
                <w:rFonts w:ascii="Times New Roman" w:cs="Times New Roman"/>
                <w:sz w:val="21"/>
                <w:szCs w:val="21"/>
                <w:lang w:eastAsia="zh-CN"/>
              </w:rPr>
              <w:t>声环境执行</w:t>
            </w:r>
            <w:r>
              <w:rPr>
                <w:rFonts w:ascii="Times New Roman" w:hAnsi="Times New Roman" w:cs="Times New Roman"/>
                <w:sz w:val="21"/>
                <w:szCs w:val="21"/>
                <w:lang w:eastAsia="zh-CN"/>
              </w:rPr>
              <w:t>4a</w:t>
            </w:r>
            <w:r>
              <w:rPr>
                <w:rFonts w:ascii="Times New Roman" w:cs="Times New Roman"/>
                <w:sz w:val="21"/>
                <w:szCs w:val="21"/>
                <w:lang w:eastAsia="zh-CN"/>
              </w:rPr>
              <w:t>类标准；其余</w:t>
            </w:r>
            <w:r>
              <w:rPr>
                <w:rFonts w:hint="eastAsia" w:ascii="Times New Roman" w:hAnsi="Times New Roman" w:cs="Times New Roman"/>
                <w:sz w:val="21"/>
                <w:szCs w:val="21"/>
                <w:lang w:eastAsia="zh-CN"/>
              </w:rPr>
              <w:t>76</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Align w:val="center"/>
          </w:tcPr>
          <w:p>
            <w:pPr>
              <w:spacing w:line="240" w:lineRule="auto"/>
              <w:ind w:firstLine="0" w:firstLineChars="0"/>
              <w:jc w:val="center"/>
              <w:rPr>
                <w:kern w:val="0"/>
                <w:sz w:val="21"/>
                <w:szCs w:val="22"/>
                <w:highlight w:val="yellow"/>
              </w:rPr>
            </w:pPr>
            <w:r>
              <w:rPr>
                <w:highlight w:val="yellow"/>
              </w:rPr>
              <w:pict>
                <v:shape id="文本框 1039" o:spid="_x0000_s1488" o:spt="202" type="#_x0000_t202" style="position:absolute;left:0pt;margin-left:218.15pt;margin-top:20.45pt;height:23.75pt;width:59.05pt;z-index:25177292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highlight w:val="yellow"/>
              </w:rPr>
              <w:pict>
                <v:shape id="直接箭头连接符 1038" o:spid="_x0000_s1487" o:spt="32" type="#_x0000_t32" style="position:absolute;left:0pt;margin-left:237.95pt;margin-top:8.7pt;height:0pt;width:34.35pt;z-index:251771904;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" adj="-524217,-1,-524217">
                  <v:path arrowok="t"/>
                  <v:fill on="f" focussize="0,0"/>
                  <v:stroke weight="1.5pt" color="#FF0000" endarrow="block"/>
                  <v:imagedata o:title=""/>
                  <o:lock v:ext="edit"/>
                </v:shape>
              </w:pict>
            </w:r>
            <w:r>
              <w:rPr>
                <w:highlight w:val="yellow"/>
              </w:rPr>
              <w:pict>
                <v:shape id="Text Box 212" o:spid="_x0000_s1485" o:spt="202" type="#_x0000_t202" style="position:absolute;left:0pt;margin-left:124.8pt;margin-top:84.2pt;height:20.75pt;width:58.1pt;z-index:25177088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骆各庄村</w:t>
                        </w:r>
                      </w:p>
                      <w:p>
                        <w:pPr>
                          <w:ind w:firstLine="480"/>
                        </w:pPr>
                      </w:p>
                    </w:txbxContent>
                  </v:textbox>
                </v:shape>
              </w:pict>
            </w:r>
            <w:r>
              <w:rPr>
                <w:kern w:val="0"/>
                <w:sz w:val="21"/>
                <w:szCs w:val="22"/>
              </w:rPr>
              <w:drawing>
                <wp:inline distT="0" distB="0" distL="0" distR="0">
                  <wp:extent cx="3601720" cy="3601720"/>
                  <wp:effectExtent l="19050" t="0" r="0" b="0"/>
                  <wp:docPr id="109" name="图片 116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60" descr="10.jpg"/>
                          <pic:cNvPicPr>
                            <a:picLocks noChangeAspect="1" noChangeArrowheads="1"/>
                          </pic:cNvPicPr>
                        </pic:nvPicPr>
                        <pic:blipFill>
                          <a:blip r:embed="rId60" cstate="print"/>
                          <a:stretch>
                            <a:fillRect/>
                          </a:stretch>
                        </pic:blipFill>
                        <pic:spPr>
                          <a:xfrm>
                            <a:off x="0" y="0"/>
                            <a:ext cx="3601720" cy="3601720"/>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79725" cy="2069465"/>
                  <wp:effectExtent l="19050" t="0" r="0" b="0"/>
                  <wp:docPr id="110" name="图片 1167" descr="双峰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67" descr="双峰山.jpg"/>
                          <pic:cNvPicPr>
                            <a:picLocks noChangeAspect="1" noChangeArrowheads="1"/>
                          </pic:cNvPicPr>
                        </pic:nvPicPr>
                        <pic:blipFill>
                          <a:blip r:embed="rId61" cstate="print"/>
                          <a:srcRect b="46215"/>
                          <a:stretch>
                            <a:fillRect/>
                          </a:stretch>
                        </pic:blipFill>
                        <pic:spPr>
                          <a:xfrm>
                            <a:off x="0" y="0"/>
                            <a:ext cx="2880000" cy="2069628"/>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12</w:t>
            </w:r>
          </w:p>
        </w:tc>
        <w:tc>
          <w:tcPr>
            <w:tcW w:w="256" w:type="pct"/>
            <w:vAlign w:val="center"/>
          </w:tcPr>
          <w:p>
            <w:pPr>
              <w:spacing w:line="240" w:lineRule="auto"/>
              <w:ind w:firstLine="0" w:firstLineChars="0"/>
              <w:jc w:val="center"/>
              <w:rPr>
                <w:kern w:val="0"/>
                <w:sz w:val="21"/>
                <w:szCs w:val="22"/>
                <w:lang w:eastAsia="en-US"/>
              </w:rPr>
            </w:pPr>
            <w:r>
              <w:rPr>
                <w:rFonts w:hint="eastAsia" w:hAnsi="宋体"/>
                <w:kern w:val="0"/>
                <w:sz w:val="21"/>
                <w:szCs w:val="22"/>
              </w:rPr>
              <w:t>吴家坑村</w:t>
            </w:r>
          </w:p>
        </w:tc>
        <w:tc>
          <w:tcPr>
            <w:tcW w:w="435"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16+980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18+000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25</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13</w:t>
            </w:r>
          </w:p>
        </w:tc>
        <w:tc>
          <w:tcPr>
            <w:tcW w:w="195" w:type="pct"/>
            <w:vAlign w:val="center"/>
          </w:tcPr>
          <w:p>
            <w:pPr>
              <w:spacing w:line="240" w:lineRule="auto"/>
              <w:ind w:firstLine="0" w:firstLineChars="0"/>
              <w:jc w:val="center"/>
              <w:rPr>
                <w:kern w:val="0"/>
                <w:sz w:val="21"/>
                <w:szCs w:val="22"/>
                <w:lang w:eastAsia="en-US"/>
              </w:rPr>
            </w:pPr>
            <w:r>
              <w:rPr>
                <w:rFonts w:hint="eastAsia"/>
                <w:kern w:val="0"/>
                <w:sz w:val="21"/>
                <w:szCs w:val="22"/>
              </w:rPr>
              <w:t>-1</w:t>
            </w:r>
            <w:r>
              <w:rPr>
                <w:kern w:val="0"/>
                <w:sz w:val="21"/>
                <w:szCs w:val="22"/>
              </w:rPr>
              <w:t>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203</w:t>
            </w:r>
          </w:p>
        </w:tc>
        <w:tc>
          <w:tcPr>
            <w:tcW w:w="127" w:type="pct"/>
            <w:vAlign w:val="center"/>
          </w:tcPr>
          <w:p>
            <w:pPr>
              <w:spacing w:line="240" w:lineRule="auto"/>
              <w:ind w:firstLine="0" w:firstLineChars="0"/>
              <w:jc w:val="center"/>
              <w:rPr>
                <w:kern w:val="0"/>
                <w:sz w:val="21"/>
                <w:szCs w:val="22"/>
                <w:lang w:eastAsia="en-US"/>
              </w:rPr>
            </w:pPr>
            <w:r>
              <w:rPr>
                <w:rFonts w:hint="eastAsia"/>
                <w:kern w:val="0"/>
                <w:sz w:val="21"/>
                <w:szCs w:val="22"/>
              </w:rPr>
              <w:t>27</w:t>
            </w:r>
          </w:p>
        </w:tc>
        <w:tc>
          <w:tcPr>
            <w:tcW w:w="801" w:type="pct"/>
            <w:vAlign w:val="center"/>
          </w:tcPr>
          <w:p>
            <w:pPr>
              <w:pStyle w:val="675"/>
              <w:jc w:val="center"/>
              <w:rPr>
                <w:rFonts w:ascii="Times New Roman" w:hAnsi="Times New Roman" w:cs="Times New Roman"/>
                <w:sz w:val="21"/>
                <w:szCs w:val="21"/>
                <w:highlight w:val="yellow"/>
                <w:lang w:eastAsia="zh-CN"/>
              </w:rPr>
            </w:pPr>
            <w:r>
              <w:rPr>
                <w:rFonts w:hint="eastAsia" w:ascii="Times New Roman" w:cs="Times New Roman"/>
                <w:sz w:val="21"/>
                <w:szCs w:val="21"/>
                <w:lang w:eastAsia="zh-CN"/>
              </w:rPr>
              <w:t>吴家坑村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右侧</w:t>
            </w:r>
            <w:r>
              <w:rPr>
                <w:rFonts w:ascii="Times New Roman" w:cs="Times New Roman"/>
                <w:sz w:val="21"/>
                <w:szCs w:val="21"/>
                <w:lang w:eastAsia="zh-CN"/>
              </w:rPr>
              <w:t>，</w:t>
            </w:r>
            <w:r>
              <w:rPr>
                <w:rFonts w:hint="eastAsia" w:ascii="Times New Roman" w:cs="Times New Roman"/>
                <w:sz w:val="21"/>
                <w:szCs w:val="21"/>
                <w:lang w:eastAsia="zh-CN"/>
              </w:rPr>
              <w:t>背向公路，</w:t>
            </w:r>
            <w:r>
              <w:rPr>
                <w:rFonts w:ascii="Times New Roman" w:cs="Times New Roman"/>
                <w:sz w:val="21"/>
                <w:szCs w:val="21"/>
                <w:lang w:eastAsia="zh-CN"/>
              </w:rPr>
              <w:t>临路</w:t>
            </w:r>
            <w:r>
              <w:rPr>
                <w:rFonts w:hint="eastAsia" w:ascii="Times New Roman" w:hAnsi="Times New Roman" w:cs="Times New Roman"/>
                <w:sz w:val="21"/>
                <w:szCs w:val="21"/>
                <w:lang w:eastAsia="zh-CN"/>
              </w:rPr>
              <w:t>46</w:t>
            </w:r>
            <w:r>
              <w:rPr>
                <w:rFonts w:ascii="Times New Roman" w:cs="Times New Roman"/>
                <w:sz w:val="21"/>
                <w:szCs w:val="21"/>
                <w:lang w:eastAsia="zh-CN"/>
              </w:rPr>
              <w:t>户</w:t>
            </w:r>
            <w:r>
              <w:rPr>
                <w:rFonts w:hint="eastAsia" w:ascii="Times New Roman" w:cs="Times New Roman"/>
                <w:sz w:val="21"/>
                <w:szCs w:val="21"/>
                <w:lang w:eastAsia="zh-CN"/>
              </w:rPr>
              <w:t>需要工程拆迁</w:t>
            </w:r>
            <w:r>
              <w:rPr>
                <w:rFonts w:ascii="Times New Roman" w:cs="Times New Roman"/>
                <w:sz w:val="21"/>
                <w:szCs w:val="21"/>
                <w:lang w:eastAsia="zh-CN"/>
              </w:rPr>
              <w:t>；</w:t>
            </w:r>
            <w:r>
              <w:rPr>
                <w:rFonts w:hint="eastAsia" w:ascii="Times New Roman" w:cs="Times New Roman"/>
                <w:sz w:val="21"/>
                <w:szCs w:val="21"/>
                <w:lang w:eastAsia="zh-CN"/>
              </w:rPr>
              <w:t>拆迁后，有27户</w:t>
            </w:r>
            <w:r>
              <w:rPr>
                <w:rFonts w:ascii="Times New Roman" w:cs="Times New Roman"/>
                <w:sz w:val="21"/>
                <w:szCs w:val="21"/>
                <w:lang w:eastAsia="zh-CN"/>
              </w:rPr>
              <w:t>声环境执行</w:t>
            </w:r>
            <w:r>
              <w:rPr>
                <w:rFonts w:ascii="Times New Roman" w:hAnsi="Times New Roman" w:cs="Times New Roman"/>
                <w:sz w:val="21"/>
                <w:szCs w:val="21"/>
                <w:lang w:eastAsia="zh-CN"/>
              </w:rPr>
              <w:t>4a</w:t>
            </w:r>
            <w:r>
              <w:rPr>
                <w:rFonts w:ascii="Times New Roman" w:cs="Times New Roman"/>
                <w:sz w:val="21"/>
                <w:szCs w:val="21"/>
                <w:lang w:eastAsia="zh-CN"/>
              </w:rPr>
              <w:t>类标准；其余</w:t>
            </w:r>
            <w:r>
              <w:rPr>
                <w:rFonts w:hint="eastAsia" w:ascii="Times New Roman" w:hAnsi="Times New Roman" w:cs="Times New Roman"/>
                <w:sz w:val="21"/>
                <w:szCs w:val="21"/>
                <w:lang w:eastAsia="zh-CN"/>
              </w:rPr>
              <w:t>203</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p>
        </w:tc>
        <w:tc>
          <w:tcPr>
            <w:tcW w:w="1362" w:type="pct"/>
            <w:vMerge w:val="restart"/>
            <w:vAlign w:val="center"/>
          </w:tcPr>
          <w:p>
            <w:pPr>
              <w:spacing w:line="240" w:lineRule="auto"/>
              <w:ind w:firstLine="0" w:firstLineChars="0"/>
              <w:jc w:val="center"/>
              <w:rPr>
                <w:kern w:val="0"/>
                <w:sz w:val="21"/>
                <w:szCs w:val="22"/>
                <w:highlight w:val="yellow"/>
              </w:rPr>
            </w:pPr>
            <w:r>
              <w:rPr>
                <w:highlight w:val="yellow"/>
              </w:rPr>
              <w:pict>
                <v:shape id="Text Box 214" o:spid="_x0000_s1498" o:spt="202" type="#_x0000_t202" style="position:absolute;left:0pt;margin-left:125.75pt;margin-top:175.4pt;height:20.2pt;width:71.65pt;z-index:25177395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吴家坑村</w:t>
                        </w:r>
                      </w:p>
                      <w:p>
                        <w:pPr>
                          <w:ind w:firstLine="480"/>
                        </w:pPr>
                      </w:p>
                    </w:txbxContent>
                  </v:textbox>
                </v:shape>
              </w:pict>
            </w:r>
            <w:r>
              <w:rPr>
                <w:sz w:val="21"/>
              </w:rPr>
              <w:pict>
                <v:shape id="_x0000_s1501" o:spid="_x0000_s1501" o:spt="202" type="#_x0000_t202" style="position:absolute;left:0pt;margin-left:212.15pt;margin-top:19.35pt;height:20.2pt;width:56.75pt;z-index:251777024;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">
                  <v:path/>
                  <v:fill opacity="0f" focussize="0,0"/>
                  <v:stroke on="f" joinstyle="miter"/>
                  <v:imagedata o:title=""/>
                  <o:lock v:ext="edit"/>
                  <v:textbox>
                    <w:txbxContent>
                      <w:p>
                        <w:pPr>
                          <w:spacing w:line="240" w:lineRule="auto"/>
                          <w:ind w:firstLine="0" w:firstLineChars="0"/>
                          <w:rPr>
                            <w:b/>
                            <w:color w:val="FF0000"/>
                          </w:rPr>
                        </w:pPr>
                        <w:r>
                          <w:rPr>
                            <w:rFonts w:hint="eastAsia" w:hAnsi="宋体"/>
                            <w:b/>
                            <w:color w:val="FF0000"/>
                            <w:sz w:val="21"/>
                          </w:rPr>
                          <w:t>圪塔坨村</w:t>
                        </w:r>
                      </w:p>
                      <w:p>
                        <w:pPr>
                          <w:ind w:firstLine="480"/>
                        </w:pPr>
                      </w:p>
                    </w:txbxContent>
                  </v:textbox>
                </v:shape>
              </w:pict>
            </w:r>
            <w:r>
              <w:rPr>
                <w:highlight w:val="yellow"/>
              </w:rPr>
              <w:pict>
                <v:shape id="直接箭头连接符 1040" o:spid="_x0000_s1499" o:spt="32" type="#_x0000_t32" style="position:absolute;left:0pt;margin-left:70.15pt;margin-top:2.5pt;height:29.2pt;width:0pt;z-index:251774976;mso-width-relative:margin;mso-height-relative:margin;" filled="f"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">
                  <v:path arrowok="t"/>
                  <v:fill on="f" focussize="0,0"/>
                  <v:stroke weight="1.5pt" color="#FF0000" endarrow="block"/>
                  <v:imagedata o:title=""/>
                  <o:lock v:ext="edit"/>
                </v:shape>
              </w:pict>
            </w:r>
            <w:r>
              <w:rPr>
                <w:highlight w:val="yellow"/>
              </w:rPr>
              <w:pict>
                <v:shape id="文本框 1041" o:spid="_x0000_s1500" o:spt="202" type="#_x0000_t202" style="position:absolute;left:0pt;margin-left:6.75pt;margin-top:4.7pt;height:23.75pt;width:59.05pt;z-index:25177600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">
                  <v:path/>
                  <v:fill on="f" focussize="0,0"/>
                  <v:stroke on="f" weight="0.5pt" joinstyle="miter"/>
                  <v:imagedata o:title=""/>
                  <o:lock v:ext="edit"/>
                  <v:textbox>
                    <w:txbxContent>
                      <w:p>
                        <w:pPr>
                          <w:spacing w:line="240" w:lineRule="auto"/>
                          <w:ind w:firstLine="0" w:firstLineChars="0"/>
                          <w:rPr>
                            <w:b/>
                            <w:color w:val="FF0000"/>
                            <w:sz w:val="21"/>
                          </w:rPr>
                        </w:pPr>
                        <w:r>
                          <w:rPr>
                            <w:rFonts w:hint="eastAsia"/>
                            <w:b/>
                            <w:color w:val="FF0000"/>
                            <w:sz w:val="21"/>
                          </w:rPr>
                          <w:t>公路</w:t>
                        </w:r>
                        <w:r>
                          <w:rPr>
                            <w:b/>
                            <w:color w:val="FF0000"/>
                            <w:sz w:val="21"/>
                          </w:rPr>
                          <w:t>走向</w:t>
                        </w:r>
                      </w:p>
                    </w:txbxContent>
                  </v:textbox>
                </v:shape>
              </w:pict>
            </w:r>
            <w:r>
              <w:rPr>
                <w:kern w:val="0"/>
                <w:sz w:val="21"/>
                <w:szCs w:val="22"/>
              </w:rPr>
              <w:drawing>
                <wp:inline distT="0" distB="0" distL="0" distR="0">
                  <wp:extent cx="3601720" cy="3601720"/>
                  <wp:effectExtent l="19050" t="0" r="0" b="0"/>
                  <wp:docPr id="127" name="图片 117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173" descr="11.jpg"/>
                          <pic:cNvPicPr>
                            <a:picLocks noChangeAspect="1" noChangeArrowheads="1"/>
                          </pic:cNvPicPr>
                        </pic:nvPicPr>
                        <pic:blipFill>
                          <a:blip r:embed="rId62" cstate="print"/>
                          <a:stretch>
                            <a:fillRect/>
                          </a:stretch>
                        </pic:blipFill>
                        <pic:spPr>
                          <a:xfrm>
                            <a:off x="0" y="0"/>
                            <a:ext cx="3601720" cy="3601720"/>
                          </a:xfrm>
                          <a:prstGeom prst="rect">
                            <a:avLst/>
                          </a:prstGeom>
                          <a:noFill/>
                          <a:ln w="9525">
                            <a:noFill/>
                            <a:miter lim="800000"/>
                            <a:headEnd/>
                            <a:tailEnd/>
                          </a:ln>
                        </pic:spPr>
                      </pic:pic>
                    </a:graphicData>
                  </a:graphic>
                </wp:inline>
              </w:drawing>
            </w: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79725" cy="1962150"/>
                  <wp:effectExtent l="19050" t="0" r="0" b="0"/>
                  <wp:docPr id="326" name="图片 1176" descr="西阿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176" descr="西阿超.jpg"/>
                          <pic:cNvPicPr>
                            <a:picLocks noChangeAspect="1" noChangeArrowheads="1"/>
                          </pic:cNvPicPr>
                        </pic:nvPicPr>
                        <pic:blipFill>
                          <a:blip r:embed="rId63" cstate="print"/>
                          <a:srcRect b="50354"/>
                          <a:stretch>
                            <a:fillRect/>
                          </a:stretch>
                        </pic:blipFill>
                        <pic:spPr>
                          <a:xfrm>
                            <a:off x="0" y="0"/>
                            <a:ext cx="2880000" cy="1962452"/>
                          </a:xfrm>
                          <a:prstGeom prst="rect">
                            <a:avLst/>
                          </a:prstGeom>
                          <a:noFill/>
                          <a:ln w="9525">
                            <a:noFill/>
                            <a:miter lim="800000"/>
                            <a:headEnd/>
                            <a:tailEn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49" w:hRule="atLeast"/>
        </w:trPr>
        <w:tc>
          <w:tcPr>
            <w:tcW w:w="51" w:type="pct"/>
            <w:vAlign w:val="center"/>
          </w:tcPr>
          <w:p>
            <w:pPr>
              <w:spacing w:line="240" w:lineRule="auto"/>
              <w:ind w:firstLine="0" w:firstLineChars="0"/>
              <w:jc w:val="center"/>
              <w:rPr>
                <w:kern w:val="0"/>
                <w:sz w:val="21"/>
                <w:szCs w:val="22"/>
              </w:rPr>
            </w:pPr>
            <w:r>
              <w:rPr>
                <w:rFonts w:hint="eastAsia"/>
                <w:kern w:val="0"/>
                <w:sz w:val="21"/>
                <w:szCs w:val="22"/>
              </w:rPr>
              <w:t>13</w:t>
            </w:r>
          </w:p>
        </w:tc>
        <w:tc>
          <w:tcPr>
            <w:tcW w:w="256" w:type="pct"/>
            <w:vAlign w:val="center"/>
          </w:tcPr>
          <w:p>
            <w:pPr>
              <w:spacing w:line="240" w:lineRule="auto"/>
              <w:ind w:firstLine="0" w:firstLineChars="0"/>
              <w:jc w:val="center"/>
              <w:rPr>
                <w:rFonts w:hAnsi="宋体"/>
                <w:kern w:val="0"/>
                <w:sz w:val="21"/>
                <w:szCs w:val="22"/>
              </w:rPr>
            </w:pPr>
            <w:r>
              <w:rPr>
                <w:rFonts w:hint="eastAsia"/>
                <w:szCs w:val="24"/>
              </w:rPr>
              <w:t>圪塔坨村</w:t>
            </w:r>
          </w:p>
        </w:tc>
        <w:tc>
          <w:tcPr>
            <w:tcW w:w="435"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终点</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18+000</w:t>
            </w:r>
          </w:p>
        </w:tc>
        <w:tc>
          <w:tcPr>
            <w:tcW w:w="243" w:type="pct"/>
            <w:vAlign w:val="center"/>
          </w:tcPr>
          <w:p>
            <w:pPr>
              <w:spacing w:line="240" w:lineRule="auto"/>
              <w:ind w:firstLine="0" w:firstLineChars="0"/>
              <w:jc w:val="center"/>
              <w:rPr>
                <w:kern w:val="0"/>
                <w:sz w:val="21"/>
                <w:szCs w:val="22"/>
              </w:rPr>
            </w:pPr>
            <w:r>
              <w:rPr>
                <w:rFonts w:hint="eastAsia"/>
                <w:kern w:val="0"/>
                <w:sz w:val="21"/>
                <w:szCs w:val="22"/>
              </w:rPr>
              <w:t>75</w:t>
            </w:r>
          </w:p>
        </w:tc>
        <w:tc>
          <w:tcPr>
            <w:tcW w:w="269" w:type="pct"/>
            <w:vAlign w:val="center"/>
          </w:tcPr>
          <w:p>
            <w:pPr>
              <w:spacing w:line="240" w:lineRule="auto"/>
              <w:ind w:firstLine="0" w:firstLineChars="0"/>
              <w:jc w:val="center"/>
              <w:rPr>
                <w:kern w:val="0"/>
                <w:sz w:val="21"/>
                <w:szCs w:val="22"/>
              </w:rPr>
            </w:pPr>
            <w:r>
              <w:rPr>
                <w:rFonts w:hint="eastAsia"/>
                <w:kern w:val="0"/>
                <w:sz w:val="21"/>
                <w:szCs w:val="22"/>
              </w:rPr>
              <w:t>63</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0m</w:t>
            </w:r>
          </w:p>
        </w:tc>
        <w:tc>
          <w:tcPr>
            <w:tcW w:w="124" w:type="pct"/>
            <w:vAlign w:val="center"/>
          </w:tcPr>
          <w:p>
            <w:pPr>
              <w:spacing w:line="240" w:lineRule="auto"/>
              <w:ind w:firstLine="0" w:firstLineChars="0"/>
              <w:jc w:val="center"/>
              <w:rPr>
                <w:kern w:val="0"/>
                <w:sz w:val="21"/>
                <w:szCs w:val="22"/>
              </w:rPr>
            </w:pPr>
            <w:r>
              <w:rPr>
                <w:rFonts w:hint="eastAsia"/>
                <w:kern w:val="0"/>
                <w:sz w:val="21"/>
                <w:szCs w:val="22"/>
              </w:rPr>
              <w:t>65</w:t>
            </w:r>
          </w:p>
        </w:tc>
        <w:tc>
          <w:tcPr>
            <w:tcW w:w="127" w:type="pct"/>
            <w:vAlign w:val="center"/>
          </w:tcPr>
          <w:p>
            <w:pPr>
              <w:spacing w:line="240" w:lineRule="auto"/>
              <w:ind w:firstLine="0" w:firstLineChars="0"/>
              <w:jc w:val="center"/>
              <w:rPr>
                <w:kern w:val="0"/>
                <w:sz w:val="21"/>
                <w:szCs w:val="22"/>
              </w:rPr>
            </w:pPr>
            <w:r>
              <w:rPr>
                <w:rFonts w:hint="eastAsia"/>
                <w:kern w:val="0"/>
                <w:sz w:val="21"/>
                <w:szCs w:val="22"/>
              </w:rPr>
              <w:t>14</w:t>
            </w:r>
          </w:p>
        </w:tc>
        <w:tc>
          <w:tcPr>
            <w:tcW w:w="801" w:type="pct"/>
            <w:vAlign w:val="center"/>
          </w:tcPr>
          <w:p>
            <w:pPr>
              <w:pStyle w:val="675"/>
              <w:jc w:val="center"/>
              <w:rPr>
                <w:rFonts w:ascii="Times New Roman" w:cs="Times New Roman"/>
                <w:sz w:val="21"/>
                <w:szCs w:val="21"/>
                <w:highlight w:val="yellow"/>
                <w:lang w:eastAsia="zh-CN"/>
              </w:rPr>
            </w:pPr>
            <w:r>
              <w:rPr>
                <w:rFonts w:hint="eastAsia" w:ascii="Times New Roman" w:cs="Times New Roman"/>
                <w:sz w:val="21"/>
                <w:szCs w:val="21"/>
                <w:lang w:eastAsia="zh-CN"/>
              </w:rPr>
              <w:t>圪塔坨村</w:t>
            </w:r>
            <w:r>
              <w:rPr>
                <w:rFonts w:ascii="Times New Roman" w:cs="Times New Roman"/>
                <w:sz w:val="21"/>
                <w:szCs w:val="21"/>
                <w:lang w:eastAsia="zh-CN"/>
              </w:rPr>
              <w:t>属于</w:t>
            </w:r>
            <w:r>
              <w:rPr>
                <w:rFonts w:hint="eastAsia" w:ascii="Times New Roman" w:cs="Times New Roman"/>
                <w:sz w:val="21"/>
                <w:szCs w:val="21"/>
                <w:lang w:eastAsia="zh-CN"/>
              </w:rPr>
              <w:t>遵化市</w:t>
            </w:r>
            <w:r>
              <w:rPr>
                <w:rFonts w:ascii="Times New Roman" w:cs="Times New Roman"/>
                <w:sz w:val="21"/>
                <w:szCs w:val="21"/>
                <w:lang w:eastAsia="zh-CN"/>
              </w:rPr>
              <w:t>，</w:t>
            </w:r>
            <w:r>
              <w:rPr>
                <w:rFonts w:ascii="Times New Roman" w:hAnsi="Times New Roman" w:cs="Times New Roman"/>
                <w:sz w:val="21"/>
                <w:szCs w:val="21"/>
                <w:lang w:eastAsia="zh-CN"/>
              </w:rPr>
              <w:t>1</w:t>
            </w:r>
            <w:r>
              <w:rPr>
                <w:rFonts w:ascii="Times New Roman" w:cs="Times New Roman"/>
                <w:sz w:val="21"/>
                <w:szCs w:val="21"/>
                <w:lang w:eastAsia="zh-CN"/>
              </w:rPr>
              <w:t>层，有围墙。</w:t>
            </w:r>
            <w:r>
              <w:rPr>
                <w:rFonts w:hint="eastAsia" w:ascii="Times New Roman" w:cs="Times New Roman"/>
                <w:sz w:val="21"/>
                <w:szCs w:val="21"/>
                <w:lang w:eastAsia="zh-CN"/>
              </w:rPr>
              <w:t>砖混结构，使用</w:t>
            </w:r>
            <w:r>
              <w:rPr>
                <w:rFonts w:ascii="Times New Roman" w:cs="Times New Roman"/>
                <w:sz w:val="21"/>
                <w:szCs w:val="21"/>
                <w:lang w:eastAsia="zh-CN"/>
              </w:rPr>
              <w:t>功能</w:t>
            </w:r>
            <w:r>
              <w:rPr>
                <w:rFonts w:hint="eastAsia" w:ascii="Times New Roman" w:cs="Times New Roman"/>
                <w:sz w:val="21"/>
                <w:szCs w:val="21"/>
                <w:lang w:eastAsia="zh-CN"/>
              </w:rPr>
              <w:t>居住，位于</w:t>
            </w:r>
            <w:r>
              <w:rPr>
                <w:rFonts w:ascii="Times New Roman" w:cs="Times New Roman"/>
                <w:sz w:val="21"/>
                <w:szCs w:val="21"/>
                <w:lang w:eastAsia="zh-CN"/>
              </w:rPr>
              <w:t>公路</w:t>
            </w:r>
            <w:r>
              <w:rPr>
                <w:rFonts w:hint="eastAsia" w:ascii="Times New Roman" w:cs="Times New Roman"/>
                <w:sz w:val="21"/>
                <w:szCs w:val="21"/>
                <w:lang w:eastAsia="zh-CN"/>
              </w:rPr>
              <w:t>左侧</w:t>
            </w:r>
            <w:r>
              <w:rPr>
                <w:rFonts w:ascii="Times New Roman" w:cs="Times New Roman"/>
                <w:sz w:val="21"/>
                <w:szCs w:val="21"/>
                <w:lang w:eastAsia="zh-CN"/>
              </w:rPr>
              <w:t>，</w:t>
            </w:r>
            <w:r>
              <w:rPr>
                <w:rFonts w:hint="eastAsia" w:ascii="Times New Roman" w:cs="Times New Roman"/>
                <w:sz w:val="21"/>
                <w:szCs w:val="21"/>
                <w:lang w:eastAsia="zh-CN"/>
              </w:rPr>
              <w:t>面向公路，由于受原G112影响，评价范围内有14户属于4a类区，</w:t>
            </w:r>
            <w:r>
              <w:rPr>
                <w:rFonts w:ascii="Times New Roman" w:cs="Times New Roman"/>
                <w:sz w:val="21"/>
                <w:szCs w:val="21"/>
                <w:lang w:eastAsia="zh-CN"/>
              </w:rPr>
              <w:t>声环境执行</w:t>
            </w:r>
            <w:r>
              <w:rPr>
                <w:rFonts w:ascii="Times New Roman" w:hAnsi="Times New Roman" w:cs="Times New Roman"/>
                <w:sz w:val="21"/>
                <w:szCs w:val="21"/>
                <w:lang w:eastAsia="zh-CN"/>
              </w:rPr>
              <w:t>2</w:t>
            </w:r>
            <w:r>
              <w:rPr>
                <w:rFonts w:ascii="Times New Roman" w:cs="Times New Roman"/>
                <w:sz w:val="21"/>
                <w:szCs w:val="21"/>
                <w:lang w:eastAsia="zh-CN"/>
              </w:rPr>
              <w:t>类标准</w:t>
            </w:r>
            <w:r>
              <w:rPr>
                <w:rFonts w:hint="eastAsia" w:ascii="Times New Roman" w:cs="Times New Roman"/>
                <w:sz w:val="21"/>
                <w:szCs w:val="21"/>
                <w:lang w:eastAsia="zh-CN"/>
              </w:rPr>
              <w:t>，有65</w:t>
            </w:r>
            <w:r>
              <w:rPr>
                <w:rFonts w:ascii="Times New Roman" w:cs="Times New Roman"/>
                <w:sz w:val="21"/>
                <w:szCs w:val="21"/>
                <w:lang w:eastAsia="zh-CN"/>
              </w:rPr>
              <w:t>户，声环境执行</w:t>
            </w:r>
            <w:r>
              <w:rPr>
                <w:rFonts w:ascii="Times New Roman" w:hAnsi="Times New Roman" w:cs="Times New Roman"/>
                <w:sz w:val="21"/>
                <w:szCs w:val="21"/>
                <w:lang w:eastAsia="zh-CN"/>
              </w:rPr>
              <w:t>2</w:t>
            </w:r>
            <w:r>
              <w:rPr>
                <w:rFonts w:ascii="Times New Roman" w:cs="Times New Roman"/>
                <w:sz w:val="21"/>
                <w:szCs w:val="21"/>
                <w:lang w:eastAsia="zh-CN"/>
              </w:rPr>
              <w:t>类标准。环境空气执行二级标准及修改单要求。</w:t>
            </w:r>
            <w:r>
              <w:rPr>
                <w:rFonts w:hint="eastAsia" w:ascii="Times New Roman" w:cs="Times New Roman"/>
                <w:sz w:val="21"/>
                <w:szCs w:val="21"/>
                <w:lang w:eastAsia="zh-CN"/>
              </w:rPr>
              <w:t xml:space="preserve"> </w:t>
            </w:r>
          </w:p>
        </w:tc>
        <w:tc>
          <w:tcPr>
            <w:tcW w:w="1362" w:type="pct"/>
            <w:vMerge w:val="continue"/>
            <w:vAlign w:val="center"/>
          </w:tcPr>
          <w:p>
            <w:pPr>
              <w:spacing w:line="240" w:lineRule="auto"/>
              <w:ind w:firstLine="0" w:firstLineChars="0"/>
              <w:jc w:val="center"/>
              <w:rPr>
                <w:kern w:val="0"/>
                <w:sz w:val="21"/>
                <w:szCs w:val="22"/>
                <w:highlight w:val="yellow"/>
              </w:rPr>
            </w:pPr>
          </w:p>
        </w:tc>
        <w:tc>
          <w:tcPr>
            <w:tcW w:w="1137" w:type="pct"/>
            <w:vAlign w:val="center"/>
          </w:tcPr>
          <w:p>
            <w:pPr>
              <w:pStyle w:val="675"/>
              <w:jc w:val="center"/>
              <w:rPr>
                <w:rFonts w:ascii="Times New Roman" w:hAnsi="Times New Roman" w:cs="Times New Roman"/>
                <w:bCs/>
                <w:sz w:val="21"/>
                <w:szCs w:val="21"/>
                <w:highlight w:val="yellow"/>
                <w:lang w:eastAsia="zh-CN"/>
              </w:rPr>
            </w:pPr>
            <w:r>
              <w:rPr>
                <w:rFonts w:ascii="Times New Roman" w:hAnsi="Times New Roman" w:cs="Times New Roman"/>
                <w:sz w:val="21"/>
                <w:szCs w:val="21"/>
                <w:lang w:eastAsia="zh-CN"/>
              </w:rPr>
              <w:drawing>
                <wp:inline distT="0" distB="0" distL="0" distR="0">
                  <wp:extent cx="2883535" cy="2162810"/>
                  <wp:effectExtent l="19050" t="0" r="0" b="0"/>
                  <wp:docPr id="327" name="图片 1182" descr="东阿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182" descr="东阿超.jpg"/>
                          <pic:cNvPicPr>
                            <a:picLocks noChangeAspect="1" noChangeArrowheads="1"/>
                          </pic:cNvPicPr>
                        </pic:nvPicPr>
                        <pic:blipFill>
                          <a:blip r:embed="rId54" cstate="print"/>
                          <a:stretch>
                            <a:fillRect/>
                          </a:stretch>
                        </pic:blipFill>
                        <pic:spPr>
                          <a:xfrm>
                            <a:off x="0" y="0"/>
                            <a:ext cx="2883746" cy="2162810"/>
                          </a:xfrm>
                          <a:prstGeom prst="rect">
                            <a:avLst/>
                          </a:prstGeom>
                          <a:noFill/>
                          <a:ln w="9525">
                            <a:noFill/>
                            <a:miter lim="800000"/>
                            <a:headEnd/>
                            <a:tailEnd/>
                          </a:ln>
                        </pic:spPr>
                      </pic:pic>
                    </a:graphicData>
                  </a:graphic>
                </wp:inline>
              </w:drawing>
            </w:r>
          </w:p>
        </w:tc>
      </w:tr>
    </w:tbl>
    <w:p>
      <w:pPr>
        <w:spacing w:line="240" w:lineRule="auto"/>
        <w:ind w:firstLine="420"/>
        <w:rPr>
          <w:sz w:val="21"/>
        </w:rPr>
      </w:pPr>
      <w:r>
        <w:rPr>
          <w:rFonts w:hint="eastAsia"/>
          <w:sz w:val="21"/>
        </w:rPr>
        <w:t>注</w:t>
      </w:r>
      <w:r>
        <w:rPr>
          <w:sz w:val="21"/>
        </w:rPr>
        <w:t>：表中</w:t>
      </w:r>
      <w:r>
        <w:rPr>
          <w:rFonts w:hint="eastAsia"/>
          <w:sz w:val="21"/>
        </w:rPr>
        <w:t>工程</w:t>
      </w:r>
      <w:r>
        <w:rPr>
          <w:sz w:val="21"/>
        </w:rPr>
        <w:t>形式高差“+”</w:t>
      </w:r>
      <w:r>
        <w:rPr>
          <w:rFonts w:hint="eastAsia"/>
          <w:sz w:val="21"/>
        </w:rPr>
        <w:t>代表敏感点地形</w:t>
      </w:r>
      <w:r>
        <w:rPr>
          <w:sz w:val="21"/>
        </w:rPr>
        <w:t>高于公路，“-”</w:t>
      </w:r>
      <w:r>
        <w:rPr>
          <w:rFonts w:hint="eastAsia"/>
          <w:sz w:val="21"/>
        </w:rPr>
        <w:t>代表敏感点</w:t>
      </w:r>
      <w:r>
        <w:rPr>
          <w:sz w:val="21"/>
        </w:rPr>
        <w:t>地形</w:t>
      </w:r>
      <w:r>
        <w:rPr>
          <w:rFonts w:hint="eastAsia"/>
          <w:sz w:val="21"/>
        </w:rPr>
        <w:t>低于公路</w:t>
      </w:r>
    </w:p>
    <w:p>
      <w:pPr>
        <w:spacing w:line="240" w:lineRule="auto"/>
        <w:ind w:firstLine="480"/>
        <w:rPr>
          <w:szCs w:val="24"/>
          <w:highlight w:val="yellow"/>
        </w:rPr>
        <w:sectPr>
          <w:footerReference r:id="rId18" w:type="default"/>
          <w:pgSz w:w="23814" w:h="16839" w:orient="landscape"/>
          <w:pgMar w:top="1474" w:right="1418" w:bottom="1418" w:left="1418" w:header="964" w:footer="964" w:gutter="0"/>
          <w:cols w:space="720" w:num="1"/>
          <w:docGrid w:linePitch="326" w:charSpace="0"/>
        </w:sectPr>
      </w:pPr>
    </w:p>
    <w:p>
      <w:pPr>
        <w:pStyle w:val="5"/>
        <w:spacing w:beforeLines="0" w:afterLines="0"/>
      </w:pPr>
      <w:bookmarkStart w:id="64" w:name="_Toc141284054"/>
      <w:bookmarkStart w:id="65" w:name="_TOC_250054"/>
      <w:r>
        <w:t>2.</w:t>
      </w:r>
      <w:r>
        <w:rPr>
          <w:rFonts w:hint="eastAsia"/>
        </w:rPr>
        <w:t>7</w:t>
      </w:r>
      <w:r>
        <w:t>评价时段</w:t>
      </w:r>
      <w:bookmarkEnd w:id="64"/>
      <w:bookmarkEnd w:id="65"/>
    </w:p>
    <w:p>
      <w:pPr>
        <w:adjustRightInd w:val="0"/>
        <w:snapToGrid w:val="0"/>
        <w:ind w:firstLine="480"/>
        <w:rPr>
          <w:szCs w:val="24"/>
        </w:rPr>
      </w:pPr>
      <w:r>
        <w:rPr>
          <w:szCs w:val="24"/>
        </w:rPr>
        <w:t>根据工可资料交通量预测情况，</w:t>
      </w:r>
      <w:r>
        <w:rPr>
          <w:rFonts w:hint="eastAsia"/>
          <w:szCs w:val="24"/>
        </w:rPr>
        <w:t>影响</w:t>
      </w:r>
      <w:r>
        <w:rPr>
          <w:szCs w:val="24"/>
        </w:rPr>
        <w:t>评价时段分为：</w:t>
      </w:r>
    </w:p>
    <w:p>
      <w:pPr>
        <w:adjustRightInd w:val="0"/>
        <w:snapToGrid w:val="0"/>
        <w:ind w:firstLine="480" w:firstLineChars="0"/>
        <w:rPr>
          <w:szCs w:val="24"/>
        </w:rPr>
      </w:pPr>
      <w:r>
        <w:rPr>
          <w:rFonts w:hint="eastAsia" w:ascii="宋体" w:hAnsi="宋体" w:cs="宋体"/>
          <w:szCs w:val="24"/>
          <w:lang w:eastAsia="ja-JP"/>
        </w:rPr>
        <w:t>①</w:t>
      </w:r>
      <w:r>
        <w:rPr>
          <w:szCs w:val="24"/>
        </w:rPr>
        <w:t>施工期：20</w:t>
      </w:r>
      <w:r>
        <w:rPr>
          <w:rFonts w:hint="eastAsia"/>
          <w:szCs w:val="24"/>
        </w:rPr>
        <w:t>23</w:t>
      </w:r>
      <w:r>
        <w:rPr>
          <w:szCs w:val="24"/>
        </w:rPr>
        <w:t>年~202</w:t>
      </w:r>
      <w:r>
        <w:rPr>
          <w:rFonts w:hint="eastAsia"/>
          <w:szCs w:val="24"/>
        </w:rPr>
        <w:t>5</w:t>
      </w:r>
      <w:r>
        <w:rPr>
          <w:szCs w:val="24"/>
        </w:rPr>
        <w:t>年</w:t>
      </w:r>
    </w:p>
    <w:p>
      <w:pPr>
        <w:adjustRightInd w:val="0"/>
        <w:snapToGrid w:val="0"/>
        <w:ind w:firstLine="480"/>
        <w:rPr>
          <w:szCs w:val="24"/>
        </w:rPr>
      </w:pPr>
      <w:r>
        <w:rPr>
          <w:rFonts w:hint="eastAsia" w:ascii="宋体" w:hAnsi="宋体" w:cs="宋体"/>
          <w:szCs w:val="24"/>
          <w:lang w:eastAsia="ja-JP"/>
        </w:rPr>
        <w:t>②</w:t>
      </w:r>
      <w:r>
        <w:rPr>
          <w:szCs w:val="24"/>
        </w:rPr>
        <w:t>营运期：根据</w:t>
      </w:r>
      <w:r>
        <w:t>《</w:t>
      </w:r>
      <w:r>
        <w:rPr>
          <w:rFonts w:hint="eastAsia"/>
        </w:rPr>
        <w:t>国道G112遵化城区段改建工程可行性研究报告</w:t>
      </w:r>
      <w:r>
        <w:t>》</w:t>
      </w:r>
      <w:r>
        <w:rPr>
          <w:rFonts w:hint="eastAsia"/>
        </w:rPr>
        <w:t>中预测的特征年交通预测量，</w:t>
      </w:r>
      <w:r>
        <w:rPr>
          <w:szCs w:val="24"/>
        </w:rPr>
        <w:t>本次评价选取营运期20</w:t>
      </w:r>
      <w:r>
        <w:rPr>
          <w:rFonts w:hint="eastAsia"/>
          <w:szCs w:val="24"/>
        </w:rPr>
        <w:t>25</w:t>
      </w:r>
      <w:r>
        <w:rPr>
          <w:szCs w:val="24"/>
        </w:rPr>
        <w:t>年</w:t>
      </w:r>
      <w:r>
        <w:rPr>
          <w:rFonts w:hint="eastAsia"/>
          <w:szCs w:val="24"/>
        </w:rPr>
        <w:t>、2030年</w:t>
      </w:r>
      <w:r>
        <w:rPr>
          <w:szCs w:val="24"/>
        </w:rPr>
        <w:t>和203</w:t>
      </w:r>
      <w:r>
        <w:rPr>
          <w:rFonts w:hint="eastAsia"/>
          <w:szCs w:val="24"/>
        </w:rPr>
        <w:t>9</w:t>
      </w:r>
      <w:r>
        <w:rPr>
          <w:szCs w:val="24"/>
        </w:rPr>
        <w:t>年</w:t>
      </w:r>
      <w:r>
        <w:rPr>
          <w:rFonts w:hint="eastAsia"/>
          <w:szCs w:val="24"/>
        </w:rPr>
        <w:t>确定为预测的近期、中期、远期时段。</w:t>
      </w:r>
    </w:p>
    <w:p>
      <w:pPr>
        <w:adjustRightInd w:val="0"/>
        <w:snapToGrid w:val="0"/>
        <w:ind w:firstLine="480"/>
        <w:rPr>
          <w:szCs w:val="24"/>
        </w:rPr>
      </w:pPr>
    </w:p>
    <w:p>
      <w:pPr>
        <w:adjustRightInd w:val="0"/>
        <w:snapToGrid w:val="0"/>
        <w:ind w:firstLine="480"/>
        <w:rPr>
          <w:szCs w:val="24"/>
          <w:highlight w:val="yellow"/>
        </w:rPr>
        <w:sectPr>
          <w:footerReference r:id="rId19" w:type="default"/>
          <w:pgSz w:w="11906" w:h="16838"/>
          <w:pgMar w:top="1418" w:right="1418" w:bottom="1418" w:left="1474" w:header="964" w:footer="964" w:gutter="0"/>
          <w:cols w:space="720" w:num="1"/>
          <w:docGrid w:linePitch="326" w:charSpace="0"/>
        </w:sectPr>
      </w:pPr>
    </w:p>
    <w:bookmarkEnd w:id="0"/>
    <w:bookmarkEnd w:id="1"/>
    <w:bookmarkEnd w:id="30"/>
    <w:bookmarkEnd w:id="31"/>
    <w:bookmarkEnd w:id="32"/>
    <w:bookmarkEnd w:id="33"/>
    <w:bookmarkEnd w:id="34"/>
    <w:bookmarkEnd w:id="35"/>
    <w:p>
      <w:pPr>
        <w:pStyle w:val="4"/>
        <w:spacing w:beforeLines="0" w:afterLines="0"/>
      </w:pPr>
      <w:bookmarkStart w:id="66" w:name="_Toc141284055"/>
      <w:r>
        <w:rPr>
          <w:rFonts w:hint="eastAsia"/>
        </w:rPr>
        <w:t>3</w:t>
      </w:r>
      <w:r>
        <w:t>工程分析</w:t>
      </w:r>
      <w:bookmarkEnd w:id="66"/>
    </w:p>
    <w:p>
      <w:pPr>
        <w:pStyle w:val="5"/>
        <w:spacing w:beforeLines="0" w:afterLines="0"/>
      </w:pPr>
      <w:bookmarkStart w:id="67" w:name="_Toc141284056"/>
      <w:r>
        <w:rPr>
          <w:rFonts w:hint="eastAsia"/>
        </w:rPr>
        <w:t>3</w:t>
      </w:r>
      <w:r>
        <w:t>.1</w:t>
      </w:r>
      <w:r>
        <w:rPr>
          <w:rFonts w:hint="eastAsia"/>
        </w:rPr>
        <w:t>现有道路基本情况</w:t>
      </w:r>
      <w:bookmarkEnd w:id="67"/>
    </w:p>
    <w:p>
      <w:pPr>
        <w:ind w:firstLine="480"/>
        <w:rPr>
          <w:szCs w:val="24"/>
          <w:highlight w:val="yellow"/>
        </w:rPr>
      </w:pPr>
      <w:bookmarkStart w:id="68" w:name="_Toc421037315"/>
      <w:bookmarkStart w:id="69" w:name="_Toc113081124"/>
      <w:bookmarkStart w:id="70" w:name="_Toc107981057"/>
      <w:bookmarkStart w:id="71" w:name="_Toc286603694"/>
      <w:bookmarkStart w:id="72" w:name="_Toc286612239"/>
      <w:r>
        <w:rPr>
          <w:rFonts w:hint="eastAsia"/>
        </w:rPr>
        <w:t>国道 G112遵化城区段改建工程利用</w:t>
      </w:r>
      <w:r>
        <w:rPr>
          <w:rFonts w:hint="eastAsia"/>
          <w:szCs w:val="24"/>
        </w:rPr>
        <w:t>现有道路现状如下：</w:t>
      </w:r>
    </w:p>
    <w:p>
      <w:pPr>
        <w:ind w:firstLine="480"/>
      </w:pPr>
      <w:r>
        <w:rPr>
          <w:rFonts w:hint="eastAsia"/>
        </w:rPr>
        <w:t>项目从起点到</w:t>
      </w:r>
      <w:r>
        <w:t>G230</w:t>
      </w:r>
      <w:r>
        <w:rPr>
          <w:rFonts w:hint="eastAsia"/>
        </w:rPr>
        <w:t>与通华西街交叉口段，属于</w:t>
      </w:r>
      <w:r>
        <w:t>G230</w:t>
      </w:r>
      <w:r>
        <w:rPr>
          <w:rFonts w:hint="eastAsia"/>
        </w:rPr>
        <w:t>的一部分，长</w:t>
      </w:r>
      <w:r>
        <w:t>7.7km</w:t>
      </w:r>
      <w:r>
        <w:rPr>
          <w:rFonts w:hint="eastAsia"/>
        </w:rPr>
        <w:t>，现为一级公路，兼城市道路功能，设计速度80km/h，利用段全长7.7km。G230利用段路基宽28.0米，路面宽24.0米，路基横断面布置为2.0米人行道+3.0米硬路肩+2×3.75米行车道+3.0米中间带+2×3.75米行车道+3.0米硬路肩+2.0米人行道。路面横坡为2%，人行道横坡为1%。该段</w:t>
      </w:r>
      <w:r>
        <w:t>G230</w:t>
      </w:r>
      <w:r>
        <w:rPr>
          <w:rFonts w:hint="eastAsia"/>
        </w:rPr>
        <w:t>已列</w:t>
      </w:r>
      <w:r>
        <w:t>入</w:t>
      </w:r>
      <w:r>
        <w:rPr>
          <w:rFonts w:hint="eastAsia"/>
        </w:rPr>
        <w:t>遵化市</w:t>
      </w:r>
      <w:r>
        <w:t>近期旧路</w:t>
      </w:r>
      <w:r>
        <w:rPr>
          <w:rFonts w:hint="eastAsia"/>
        </w:rPr>
        <w:t>大修计划</w:t>
      </w:r>
      <w:r>
        <w:t>，</w:t>
      </w:r>
      <w:r>
        <w:rPr>
          <w:rFonts w:hint="eastAsia"/>
        </w:rPr>
        <w:t>故</w:t>
      </w:r>
      <w:r>
        <w:t>本</w:t>
      </w:r>
      <w:r>
        <w:rPr>
          <w:rFonts w:hint="eastAsia"/>
        </w:rPr>
        <w:t>项目不再考虑</w:t>
      </w:r>
      <w:r>
        <w:t>该段</w:t>
      </w:r>
      <w:r>
        <w:rPr>
          <w:rFonts w:hint="eastAsia"/>
        </w:rPr>
        <w:t>旧路</w:t>
      </w:r>
      <w:r>
        <w:t>补强</w:t>
      </w:r>
      <w:r>
        <w:rPr>
          <w:rFonts w:hint="eastAsia"/>
        </w:rPr>
        <w:t>和</w:t>
      </w:r>
      <w:r>
        <w:t>大修工程规模，拟</w:t>
      </w:r>
      <w:r>
        <w:rPr>
          <w:rFonts w:hint="eastAsia"/>
        </w:rPr>
        <w:t>对</w:t>
      </w:r>
      <w:r>
        <w:t>该路段</w:t>
      </w:r>
      <w:r>
        <w:rPr>
          <w:rFonts w:hint="eastAsia"/>
        </w:rPr>
        <w:t>完全利用</w:t>
      </w:r>
      <w:r>
        <w:t>。</w:t>
      </w:r>
    </w:p>
    <w:p>
      <w:pPr>
        <w:spacing w:line="240" w:lineRule="auto"/>
        <w:ind w:firstLine="0" w:firstLineChars="0"/>
        <w:jc w:val="center"/>
        <w:rPr>
          <w:szCs w:val="24"/>
          <w:highlight w:val="yellow"/>
        </w:rPr>
      </w:pPr>
      <w:r>
        <w:drawing>
          <wp:inline distT="0" distB="0" distL="0" distR="0">
            <wp:extent cx="5184140" cy="1820545"/>
            <wp:effectExtent l="19050" t="0" r="0" b="0"/>
            <wp:docPr id="6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8"/>
                    <pic:cNvPicPr>
                      <a:picLocks noChangeAspect="1" noChangeArrowheads="1"/>
                    </pic:cNvPicPr>
                  </pic:nvPicPr>
                  <pic:blipFill>
                    <a:blip r:embed="rId64" cstate="print"/>
                    <a:srcRect t="3139"/>
                    <a:stretch>
                      <a:fillRect/>
                    </a:stretch>
                  </pic:blipFill>
                  <pic:spPr>
                    <a:xfrm>
                      <a:off x="0" y="0"/>
                      <a:ext cx="5184140" cy="1820545"/>
                    </a:xfrm>
                    <a:prstGeom prst="rect">
                      <a:avLst/>
                    </a:prstGeom>
                    <a:noFill/>
                    <a:ln w="9525">
                      <a:noFill/>
                      <a:miter lim="800000"/>
                      <a:headEnd/>
                      <a:tailEnd/>
                    </a:ln>
                    <a:effectLst/>
                  </pic:spPr>
                </pic:pic>
              </a:graphicData>
            </a:graphic>
          </wp:inline>
        </w:drawing>
      </w:r>
    </w:p>
    <w:p>
      <w:pPr>
        <w:ind w:firstLine="175" w:firstLineChars="83"/>
        <w:jc w:val="center"/>
        <w:rPr>
          <w:b/>
          <w:sz w:val="21"/>
        </w:rPr>
      </w:pPr>
      <w:r>
        <w:rPr>
          <w:b/>
          <w:sz w:val="21"/>
        </w:rPr>
        <w:t xml:space="preserve">图3.1-1  </w:t>
      </w:r>
      <w:r>
        <w:rPr>
          <w:rFonts w:hint="eastAsia"/>
          <w:b/>
          <w:sz w:val="21"/>
        </w:rPr>
        <w:t>G320</w:t>
      </w:r>
      <w:r>
        <w:rPr>
          <w:b/>
          <w:sz w:val="21"/>
        </w:rPr>
        <w:t>现状照片</w:t>
      </w:r>
    </w:p>
    <w:bookmarkEnd w:id="68"/>
    <w:p>
      <w:pPr>
        <w:pStyle w:val="5"/>
        <w:spacing w:beforeLines="0" w:afterLines="0"/>
      </w:pPr>
      <w:bookmarkStart w:id="73" w:name="_Toc141284057"/>
      <w:r>
        <w:rPr>
          <w:rFonts w:hint="eastAsia"/>
        </w:rPr>
        <w:t>3</w:t>
      </w:r>
      <w:r>
        <w:t>.</w:t>
      </w:r>
      <w:r>
        <w:rPr>
          <w:rFonts w:hint="eastAsia"/>
        </w:rPr>
        <w:t>2拟建工程概况</w:t>
      </w:r>
      <w:bookmarkEnd w:id="73"/>
    </w:p>
    <w:p>
      <w:pPr>
        <w:pStyle w:val="204"/>
        <w:spacing w:line="480" w:lineRule="exact"/>
        <w:ind w:firstLine="0" w:firstLineChars="0"/>
        <w:outlineLvl w:val="2"/>
        <w:rPr>
          <w:b/>
          <w:sz w:val="28"/>
          <w:szCs w:val="28"/>
        </w:rPr>
      </w:pPr>
      <w:r>
        <w:rPr>
          <w:rFonts w:hint="eastAsia"/>
          <w:b/>
          <w:sz w:val="28"/>
          <w:szCs w:val="28"/>
        </w:rPr>
        <w:t>3.2.1项目概况</w:t>
      </w:r>
    </w:p>
    <w:p>
      <w:pPr>
        <w:ind w:firstLine="480"/>
      </w:pPr>
      <w:r>
        <w:t>项目名称：</w:t>
      </w:r>
      <w:r>
        <w:rPr>
          <w:rFonts w:hint="eastAsia"/>
          <w:szCs w:val="24"/>
        </w:rPr>
        <w:t>国道G112遵化城区段改建工程</w:t>
      </w:r>
    </w:p>
    <w:p>
      <w:pPr>
        <w:ind w:firstLine="480"/>
      </w:pPr>
      <w:r>
        <w:t>建设单位：</w:t>
      </w:r>
      <w:r>
        <w:rPr>
          <w:bCs/>
          <w:szCs w:val="24"/>
        </w:rPr>
        <w:t>遵化市交通运输局</w:t>
      </w:r>
    </w:p>
    <w:p>
      <w:pPr>
        <w:ind w:left="1747" w:leftChars="228" w:hanging="1200" w:hangingChars="500"/>
      </w:pPr>
      <w:r>
        <w:t>建设地点：</w:t>
      </w:r>
      <w:r>
        <w:rPr>
          <w:szCs w:val="24"/>
        </w:rPr>
        <w:t>河北省</w:t>
      </w:r>
      <w:r>
        <w:rPr>
          <w:rFonts w:hint="eastAsia"/>
          <w:szCs w:val="24"/>
        </w:rPr>
        <w:t>唐山市遵化市</w:t>
      </w:r>
    </w:p>
    <w:p>
      <w:pPr>
        <w:ind w:firstLine="480"/>
      </w:pPr>
      <w:r>
        <w:t>建设性质：改扩建</w:t>
      </w:r>
    </w:p>
    <w:p>
      <w:pPr>
        <w:ind w:firstLine="480"/>
        <w:rPr>
          <w:szCs w:val="24"/>
        </w:rPr>
      </w:pPr>
      <w:r>
        <w:t>地理位置：</w:t>
      </w:r>
      <w:r>
        <w:rPr>
          <w:szCs w:val="24"/>
        </w:rPr>
        <w:t>本项目位于河北省</w:t>
      </w:r>
      <w:r>
        <w:rPr>
          <w:rFonts w:hint="eastAsia"/>
          <w:szCs w:val="24"/>
        </w:rPr>
        <w:t>唐山市遵化市境内</w:t>
      </w:r>
      <w:r>
        <w:rPr>
          <w:szCs w:val="24"/>
        </w:rPr>
        <w:t>，</w:t>
      </w:r>
      <w:r>
        <w:rPr>
          <w:kern w:val="0"/>
          <w:szCs w:val="24"/>
        </w:rPr>
        <w:t>项目的起点</w:t>
      </w:r>
      <w:r>
        <w:rPr>
          <w:rFonts w:hint="eastAsia"/>
        </w:rPr>
        <w:t xml:space="preserve">位于苏家洼镇原国道 </w:t>
      </w:r>
      <w:r>
        <w:t>G112</w:t>
      </w:r>
      <w:r>
        <w:rPr>
          <w:rFonts w:hint="eastAsia"/>
        </w:rPr>
        <w:t>线与</w:t>
      </w:r>
      <w:r>
        <w:t>G230</w:t>
      </w:r>
      <w:r>
        <w:rPr>
          <w:rFonts w:hint="eastAsia"/>
        </w:rPr>
        <w:t>交叉口处</w:t>
      </w:r>
      <w:r>
        <w:rPr>
          <w:rFonts w:hint="eastAsia"/>
          <w:kern w:val="0"/>
          <w:szCs w:val="24"/>
        </w:rPr>
        <w:t>（</w:t>
      </w:r>
      <w:r>
        <w:rPr>
          <w:szCs w:val="24"/>
        </w:rPr>
        <w:t>E11</w:t>
      </w:r>
      <w:r>
        <w:rPr>
          <w:rFonts w:hint="eastAsia"/>
          <w:szCs w:val="24"/>
        </w:rPr>
        <w:t>7</w:t>
      </w:r>
      <w:r>
        <w:rPr>
          <w:szCs w:val="24"/>
        </w:rPr>
        <w:t>°</w:t>
      </w:r>
      <w:r>
        <w:rPr>
          <w:rFonts w:hint="eastAsia"/>
          <w:szCs w:val="24"/>
        </w:rPr>
        <w:t>57</w:t>
      </w:r>
      <w:r>
        <w:rPr>
          <w:szCs w:val="24"/>
        </w:rPr>
        <w:t>'</w:t>
      </w:r>
      <w:r>
        <w:rPr>
          <w:rFonts w:hint="eastAsia"/>
          <w:szCs w:val="24"/>
        </w:rPr>
        <w:t>34.575</w:t>
      </w:r>
      <w:r>
        <w:rPr>
          <w:szCs w:val="24"/>
        </w:rPr>
        <w:t>"、N</w:t>
      </w:r>
      <w:r>
        <w:rPr>
          <w:rFonts w:hint="eastAsia"/>
          <w:szCs w:val="24"/>
        </w:rPr>
        <w:t>40</w:t>
      </w:r>
      <w:r>
        <w:rPr>
          <w:szCs w:val="24"/>
        </w:rPr>
        <w:t>°</w:t>
      </w:r>
      <w:r>
        <w:rPr>
          <w:rFonts w:hint="eastAsia"/>
          <w:szCs w:val="24"/>
        </w:rPr>
        <w:t>13</w:t>
      </w:r>
      <w:r>
        <w:rPr>
          <w:szCs w:val="24"/>
        </w:rPr>
        <w:t>'</w:t>
      </w:r>
      <w:r>
        <w:rPr>
          <w:rFonts w:hint="eastAsia"/>
          <w:szCs w:val="24"/>
        </w:rPr>
        <w:t>2.129</w:t>
      </w:r>
      <w:r>
        <w:rPr>
          <w:szCs w:val="24"/>
        </w:rPr>
        <w:t>"</w:t>
      </w:r>
      <w:r>
        <w:rPr>
          <w:rFonts w:hint="eastAsia"/>
          <w:kern w:val="0"/>
          <w:szCs w:val="24"/>
        </w:rPr>
        <w:t>），终点位于</w:t>
      </w:r>
      <w:r>
        <w:t>遵化市南吴家坑村北，与</w:t>
      </w:r>
      <w:r>
        <w:rPr>
          <w:rFonts w:hint="eastAsia"/>
        </w:rPr>
        <w:t>原</w:t>
      </w:r>
      <w:r>
        <w:t>国道G112相接</w:t>
      </w:r>
      <w:r>
        <w:rPr>
          <w:szCs w:val="24"/>
        </w:rPr>
        <w:t>（E11</w:t>
      </w:r>
      <w:r>
        <w:rPr>
          <w:rFonts w:hint="eastAsia"/>
          <w:szCs w:val="24"/>
        </w:rPr>
        <w:t>7</w:t>
      </w:r>
      <w:r>
        <w:rPr>
          <w:szCs w:val="24"/>
        </w:rPr>
        <w:t>°</w:t>
      </w:r>
      <w:r>
        <w:rPr>
          <w:rFonts w:hint="eastAsia"/>
          <w:szCs w:val="24"/>
        </w:rPr>
        <w:t>58</w:t>
      </w:r>
      <w:r>
        <w:rPr>
          <w:szCs w:val="24"/>
        </w:rPr>
        <w:t>'</w:t>
      </w:r>
      <w:r>
        <w:rPr>
          <w:rFonts w:hint="eastAsia"/>
          <w:szCs w:val="24"/>
        </w:rPr>
        <w:t>26.524</w:t>
      </w:r>
      <w:r>
        <w:rPr>
          <w:szCs w:val="24"/>
        </w:rPr>
        <w:t>"、N</w:t>
      </w:r>
      <w:r>
        <w:rPr>
          <w:rFonts w:hint="eastAsia"/>
          <w:szCs w:val="24"/>
        </w:rPr>
        <w:t>40</w:t>
      </w:r>
      <w:r>
        <w:rPr>
          <w:szCs w:val="24"/>
        </w:rPr>
        <w:t>°</w:t>
      </w:r>
      <w:r>
        <w:rPr>
          <w:rFonts w:hint="eastAsia"/>
          <w:szCs w:val="24"/>
        </w:rPr>
        <w:t>7</w:t>
      </w:r>
      <w:r>
        <w:rPr>
          <w:szCs w:val="24"/>
        </w:rPr>
        <w:t>'</w:t>
      </w:r>
      <w:r>
        <w:rPr>
          <w:rFonts w:hint="eastAsia"/>
          <w:szCs w:val="24"/>
        </w:rPr>
        <w:t>31.596</w:t>
      </w:r>
      <w:r>
        <w:rPr>
          <w:szCs w:val="24"/>
        </w:rPr>
        <w:t>"）</w:t>
      </w:r>
      <w:r>
        <w:rPr>
          <w:rFonts w:hint="eastAsia"/>
          <w:kern w:val="0"/>
          <w:szCs w:val="24"/>
        </w:rPr>
        <w:t>。G112全线长18km，其中</w:t>
      </w:r>
      <w:r>
        <w:rPr>
          <w:szCs w:val="24"/>
        </w:rPr>
        <w:t>旧路利用段（K0+000～K7+774.608）约7.7</w:t>
      </w:r>
      <w:r>
        <w:rPr>
          <w:rFonts w:hint="eastAsia"/>
          <w:kern w:val="0"/>
          <w:szCs w:val="24"/>
        </w:rPr>
        <w:t>km，新建路段</w:t>
      </w:r>
      <w:r>
        <w:rPr>
          <w:szCs w:val="24"/>
        </w:rPr>
        <w:t>（K7+774.608～K17+999.500）约10.3</w:t>
      </w:r>
      <w:r>
        <w:rPr>
          <w:rFonts w:hint="eastAsia"/>
          <w:kern w:val="0"/>
          <w:szCs w:val="24"/>
        </w:rPr>
        <w:t>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rFonts w:hint="eastAsia"/>
          <w:kern w:val="0"/>
          <w:szCs w:val="24"/>
        </w:rPr>
        <w:t>。</w:t>
      </w:r>
    </w:p>
    <w:p>
      <w:pPr>
        <w:adjustRightInd w:val="0"/>
        <w:snapToGrid w:val="0"/>
        <w:ind w:firstLine="480"/>
        <w:rPr>
          <w:szCs w:val="24"/>
        </w:rPr>
      </w:pPr>
      <w:r>
        <w:rPr>
          <w:szCs w:val="24"/>
        </w:rPr>
        <w:t>项目投资：</w:t>
      </w:r>
      <w:r>
        <w:rPr>
          <w:szCs w:val="20"/>
        </w:rPr>
        <w:t>项目建设总投资</w:t>
      </w:r>
      <w:r>
        <w:rPr>
          <w:rFonts w:hint="eastAsia"/>
          <w:szCs w:val="20"/>
        </w:rPr>
        <w:t>70900</w:t>
      </w:r>
      <w:r>
        <w:rPr>
          <w:szCs w:val="20"/>
        </w:rPr>
        <w:t>万元，其中环保投资</w:t>
      </w:r>
      <w:r>
        <w:rPr>
          <w:rFonts w:hint="eastAsia"/>
        </w:rPr>
        <w:t>1165.1</w:t>
      </w:r>
      <w:r>
        <w:rPr>
          <w:szCs w:val="20"/>
        </w:rPr>
        <w:t>万元，环保投资占总投</w:t>
      </w:r>
      <w:r>
        <w:t>资的比例为</w:t>
      </w:r>
      <w:r>
        <w:rPr>
          <w:rFonts w:hint="eastAsia"/>
        </w:rPr>
        <w:t>1.64</w:t>
      </w:r>
      <w:r>
        <w:t>%</w:t>
      </w:r>
      <w:r>
        <w:rPr>
          <w:szCs w:val="24"/>
        </w:rPr>
        <w:t>。</w:t>
      </w:r>
    </w:p>
    <w:p>
      <w:pPr>
        <w:pStyle w:val="204"/>
        <w:spacing w:line="480" w:lineRule="exact"/>
        <w:ind w:firstLine="0" w:firstLineChars="0"/>
        <w:outlineLvl w:val="2"/>
        <w:rPr>
          <w:b/>
          <w:sz w:val="28"/>
          <w:szCs w:val="28"/>
        </w:rPr>
      </w:pPr>
      <w:r>
        <w:rPr>
          <w:rFonts w:hint="eastAsia"/>
          <w:b/>
          <w:sz w:val="28"/>
          <w:szCs w:val="28"/>
        </w:rPr>
        <w:t>3.2.2路线方案及主要控制点</w:t>
      </w:r>
    </w:p>
    <w:p>
      <w:pPr>
        <w:ind w:firstLine="480"/>
        <w:rPr>
          <w:szCs w:val="24"/>
        </w:rPr>
      </w:pPr>
      <w:r>
        <w:rPr>
          <w:rFonts w:hint="eastAsia"/>
          <w:szCs w:val="24"/>
        </w:rPr>
        <w:t>1、路线方案</w:t>
      </w:r>
    </w:p>
    <w:p>
      <w:pPr>
        <w:ind w:firstLine="480"/>
        <w:rPr>
          <w:szCs w:val="24"/>
        </w:rPr>
      </w:pPr>
      <w:r>
        <w:rPr>
          <w:szCs w:val="24"/>
        </w:rPr>
        <w:t>本项目起于</w:t>
      </w:r>
      <w:r>
        <w:rPr>
          <w:rFonts w:hint="eastAsia"/>
        </w:rPr>
        <w:t xml:space="preserve">苏家洼镇原国道 </w:t>
      </w:r>
      <w:r>
        <w:t>G112</w:t>
      </w:r>
      <w:r>
        <w:rPr>
          <w:rFonts w:hint="eastAsia"/>
        </w:rPr>
        <w:t>线与</w:t>
      </w:r>
      <w:r>
        <w:t>G230</w:t>
      </w:r>
      <w:r>
        <w:rPr>
          <w:rFonts w:hint="eastAsia"/>
        </w:rPr>
        <w:t>交叉口处</w:t>
      </w:r>
      <w:r>
        <w:rPr>
          <w:rFonts w:hint="eastAsia"/>
          <w:szCs w:val="24"/>
        </w:rPr>
        <w:t>，路线向南布线，</w:t>
      </w:r>
      <w:r>
        <w:rPr>
          <w:kern w:val="24"/>
          <w:szCs w:val="24"/>
        </w:rPr>
        <w:t>途径</w:t>
      </w:r>
      <w:r>
        <w:rPr>
          <w:rFonts w:hint="eastAsia"/>
          <w:kern w:val="24"/>
          <w:szCs w:val="24"/>
        </w:rPr>
        <w:t>苏家洼村、旧热电厂、西十里铺村、与通华西街平面交叉后转向东南，奔后王庄、前铺村、蒲池河到学汉坨村西与遵宝线平面交叉，再向南过骆各庄、吴家坑，</w:t>
      </w:r>
      <w:r>
        <w:rPr>
          <w:szCs w:val="24"/>
        </w:rPr>
        <w:t>项目终点位于</w:t>
      </w:r>
      <w:r>
        <w:t>遵化市南吴家坑村北，与</w:t>
      </w:r>
      <w:r>
        <w:rPr>
          <w:rFonts w:hint="eastAsia"/>
        </w:rPr>
        <w:t>原</w:t>
      </w:r>
      <w:r>
        <w:t>国道G112相接</w:t>
      </w:r>
      <w:r>
        <w:rPr>
          <w:szCs w:val="24"/>
        </w:rPr>
        <w:t>。</w:t>
      </w:r>
    </w:p>
    <w:p>
      <w:pPr>
        <w:ind w:firstLine="480"/>
        <w:rPr>
          <w:szCs w:val="24"/>
        </w:rPr>
      </w:pPr>
      <w:r>
        <w:rPr>
          <w:szCs w:val="24"/>
        </w:rPr>
        <w:t>项目路线图见附图</w:t>
      </w:r>
      <w:r>
        <w:rPr>
          <w:rFonts w:hint="eastAsia"/>
          <w:szCs w:val="24"/>
        </w:rPr>
        <w:t>2</w:t>
      </w:r>
      <w:r>
        <w:rPr>
          <w:szCs w:val="24"/>
        </w:rPr>
        <w:t>。</w:t>
      </w:r>
    </w:p>
    <w:p>
      <w:pPr>
        <w:ind w:firstLine="480"/>
        <w:rPr>
          <w:szCs w:val="24"/>
        </w:rPr>
      </w:pPr>
      <w:r>
        <w:rPr>
          <w:rFonts w:hint="eastAsia"/>
          <w:szCs w:val="24"/>
        </w:rPr>
        <w:t>2、主要控制点</w:t>
      </w:r>
    </w:p>
    <w:p>
      <w:pPr>
        <w:ind w:firstLine="480"/>
        <w:rPr>
          <w:szCs w:val="24"/>
        </w:rPr>
      </w:pPr>
      <w:r>
        <w:rPr>
          <w:rFonts w:hint="eastAsia"/>
          <w:szCs w:val="24"/>
        </w:rPr>
        <w:t>公路：原G112、G230、S211（原S264）和其它县乡公路；</w:t>
      </w:r>
    </w:p>
    <w:p>
      <w:pPr>
        <w:ind w:firstLine="480"/>
        <w:rPr>
          <w:szCs w:val="24"/>
        </w:rPr>
      </w:pPr>
      <w:r>
        <w:rPr>
          <w:rFonts w:hint="eastAsia"/>
          <w:szCs w:val="24"/>
        </w:rPr>
        <w:t>河流：冷咀头河</w:t>
      </w:r>
      <w:r>
        <w:rPr>
          <w:szCs w:val="24"/>
        </w:rPr>
        <w:t>、</w:t>
      </w:r>
      <w:r>
        <w:rPr>
          <w:rFonts w:hint="eastAsia"/>
          <w:szCs w:val="24"/>
        </w:rPr>
        <w:t>清水河、</w:t>
      </w:r>
      <w:r>
        <w:rPr>
          <w:szCs w:val="24"/>
        </w:rPr>
        <w:t>沙河、黎河</w:t>
      </w:r>
      <w:r>
        <w:rPr>
          <w:rFonts w:hint="eastAsia"/>
          <w:szCs w:val="24"/>
        </w:rPr>
        <w:t>；</w:t>
      </w:r>
    </w:p>
    <w:p>
      <w:pPr>
        <w:ind w:firstLine="480"/>
        <w:rPr>
          <w:szCs w:val="24"/>
        </w:rPr>
      </w:pPr>
      <w:r>
        <w:rPr>
          <w:rFonts w:hint="eastAsia"/>
          <w:szCs w:val="24"/>
        </w:rPr>
        <w:t>沿线村庄：苏家洼村、</w:t>
      </w:r>
      <w:r>
        <w:rPr>
          <w:szCs w:val="24"/>
        </w:rPr>
        <w:t>西十里铺村、</w:t>
      </w:r>
      <w:r>
        <w:rPr>
          <w:rFonts w:hint="eastAsia"/>
          <w:szCs w:val="24"/>
        </w:rPr>
        <w:t>后王庄村</w:t>
      </w:r>
      <w:r>
        <w:rPr>
          <w:szCs w:val="24"/>
        </w:rPr>
        <w:t>、前</w:t>
      </w:r>
      <w:r>
        <w:rPr>
          <w:rFonts w:hint="eastAsia"/>
          <w:szCs w:val="24"/>
        </w:rPr>
        <w:t>铺</w:t>
      </w:r>
      <w:r>
        <w:rPr>
          <w:szCs w:val="24"/>
        </w:rPr>
        <w:t>村、</w:t>
      </w:r>
      <w:r>
        <w:rPr>
          <w:rFonts w:hint="eastAsia"/>
          <w:szCs w:val="24"/>
        </w:rPr>
        <w:t>大杨庄</w:t>
      </w:r>
      <w:r>
        <w:rPr>
          <w:szCs w:val="24"/>
        </w:rPr>
        <w:t>村、</w:t>
      </w:r>
      <w:r>
        <w:rPr>
          <w:rFonts w:hint="eastAsia"/>
          <w:szCs w:val="24"/>
        </w:rPr>
        <w:t>蒲</w:t>
      </w:r>
      <w:r>
        <w:rPr>
          <w:szCs w:val="24"/>
        </w:rPr>
        <w:t>池河村、</w:t>
      </w:r>
      <w:r>
        <w:rPr>
          <w:rFonts w:hint="eastAsia"/>
          <w:szCs w:val="24"/>
        </w:rPr>
        <w:t>武庄子村</w:t>
      </w:r>
      <w:r>
        <w:rPr>
          <w:szCs w:val="24"/>
        </w:rPr>
        <w:t>、</w:t>
      </w:r>
      <w:r>
        <w:rPr>
          <w:rFonts w:hint="eastAsia"/>
          <w:szCs w:val="24"/>
        </w:rPr>
        <w:t>西留村</w:t>
      </w:r>
      <w:r>
        <w:rPr>
          <w:szCs w:val="24"/>
        </w:rPr>
        <w:t>、梨园头村、</w:t>
      </w:r>
      <w:r>
        <w:rPr>
          <w:rFonts w:hint="eastAsia"/>
          <w:szCs w:val="24"/>
        </w:rPr>
        <w:t>白方寺村</w:t>
      </w:r>
      <w:r>
        <w:rPr>
          <w:szCs w:val="24"/>
        </w:rPr>
        <w:t>、</w:t>
      </w:r>
      <w:r>
        <w:rPr>
          <w:rFonts w:hint="eastAsia"/>
          <w:szCs w:val="24"/>
        </w:rPr>
        <w:t>学</w:t>
      </w:r>
      <w:r>
        <w:rPr>
          <w:szCs w:val="24"/>
        </w:rPr>
        <w:t>汉坨村、骆</w:t>
      </w:r>
      <w:r>
        <w:rPr>
          <w:rFonts w:hint="eastAsia"/>
          <w:szCs w:val="24"/>
        </w:rPr>
        <w:t>各庄</w:t>
      </w:r>
      <w:r>
        <w:rPr>
          <w:szCs w:val="24"/>
        </w:rPr>
        <w:t>村、东滩村、吴家坑村、疙瘩坨村</w:t>
      </w:r>
      <w:r>
        <w:rPr>
          <w:rFonts w:hint="eastAsia"/>
          <w:szCs w:val="24"/>
        </w:rPr>
        <w:t>；</w:t>
      </w:r>
    </w:p>
    <w:p>
      <w:pPr>
        <w:ind w:firstLine="480"/>
        <w:rPr>
          <w:szCs w:val="24"/>
        </w:rPr>
      </w:pPr>
      <w:r>
        <w:rPr>
          <w:rFonts w:hint="eastAsia"/>
          <w:szCs w:val="24"/>
        </w:rPr>
        <w:t>水源地</w:t>
      </w:r>
      <w:r>
        <w:rPr>
          <w:szCs w:val="24"/>
        </w:rPr>
        <w:t>：</w:t>
      </w:r>
      <w:r>
        <w:rPr>
          <w:rFonts w:hint="eastAsia"/>
          <w:szCs w:val="24"/>
        </w:rPr>
        <w:t>遵化市堡子店</w:t>
      </w:r>
      <w:r>
        <w:rPr>
          <w:szCs w:val="24"/>
        </w:rPr>
        <w:t>水源地</w:t>
      </w:r>
      <w:r>
        <w:rPr>
          <w:rFonts w:hint="eastAsia"/>
          <w:szCs w:val="24"/>
        </w:rPr>
        <w:t>；</w:t>
      </w:r>
    </w:p>
    <w:p>
      <w:pPr>
        <w:ind w:firstLine="480"/>
        <w:rPr>
          <w:szCs w:val="24"/>
        </w:rPr>
      </w:pPr>
      <w:r>
        <w:rPr>
          <w:rFonts w:hint="eastAsia"/>
          <w:szCs w:val="24"/>
        </w:rPr>
        <w:t>相关规划</w:t>
      </w:r>
      <w:r>
        <w:rPr>
          <w:szCs w:val="24"/>
        </w:rPr>
        <w:t>：</w:t>
      </w:r>
      <w:r>
        <w:rPr>
          <w:rFonts w:hint="eastAsia"/>
          <w:szCs w:val="24"/>
        </w:rPr>
        <w:t>《河北省公路发展“十四五”规划》、《唐山市交通运输发展“十四五”规划》、《遵化市交通运输发展十四五规划》，</w:t>
      </w:r>
      <w:r>
        <w:rPr>
          <w:szCs w:val="24"/>
        </w:rPr>
        <w:t>以及</w:t>
      </w:r>
      <w:r>
        <w:rPr>
          <w:rFonts w:hint="eastAsia"/>
          <w:szCs w:val="24"/>
        </w:rPr>
        <w:t>遵化市相关</w:t>
      </w:r>
      <w:r>
        <w:rPr>
          <w:szCs w:val="24"/>
        </w:rPr>
        <w:t>路网规划</w:t>
      </w:r>
      <w:r>
        <w:rPr>
          <w:rFonts w:hint="eastAsia"/>
          <w:szCs w:val="24"/>
        </w:rPr>
        <w:t>、</w:t>
      </w:r>
      <w:r>
        <w:rPr>
          <w:szCs w:val="24"/>
        </w:rPr>
        <w:t>城镇发展规划</w:t>
      </w:r>
      <w:r>
        <w:rPr>
          <w:rFonts w:hint="eastAsia"/>
          <w:szCs w:val="24"/>
        </w:rPr>
        <w:t>、</w:t>
      </w:r>
      <w:r>
        <w:rPr>
          <w:szCs w:val="24"/>
        </w:rPr>
        <w:t>高铁新城规划、物流园</w:t>
      </w:r>
      <w:r>
        <w:rPr>
          <w:rFonts w:hint="eastAsia"/>
          <w:szCs w:val="24"/>
        </w:rPr>
        <w:t>规划等</w:t>
      </w:r>
      <w:r>
        <w:rPr>
          <w:szCs w:val="24"/>
        </w:rPr>
        <w:t>；</w:t>
      </w:r>
    </w:p>
    <w:p>
      <w:pPr>
        <w:ind w:firstLine="480"/>
        <w:rPr>
          <w:szCs w:val="24"/>
        </w:rPr>
      </w:pPr>
      <w:r>
        <w:rPr>
          <w:rFonts w:hint="eastAsia"/>
          <w:szCs w:val="24"/>
        </w:rPr>
        <w:t>其他：旧热电厂、沿线</w:t>
      </w:r>
      <w:r>
        <w:rPr>
          <w:szCs w:val="24"/>
        </w:rPr>
        <w:t>基本农田、林地、</w:t>
      </w:r>
      <w:r>
        <w:rPr>
          <w:rFonts w:hint="eastAsia"/>
          <w:szCs w:val="24"/>
        </w:rPr>
        <w:t>矿产地</w:t>
      </w:r>
      <w:r>
        <w:rPr>
          <w:szCs w:val="24"/>
        </w:rPr>
        <w:t>、</w:t>
      </w:r>
      <w:r>
        <w:rPr>
          <w:rFonts w:hint="eastAsia"/>
          <w:szCs w:val="24"/>
        </w:rPr>
        <w:t>高压线、油气管线</w:t>
      </w:r>
      <w:r>
        <w:rPr>
          <w:szCs w:val="24"/>
        </w:rPr>
        <w:t>、</w:t>
      </w:r>
      <w:r>
        <w:rPr>
          <w:rFonts w:hint="eastAsia"/>
          <w:szCs w:val="24"/>
        </w:rPr>
        <w:t>厂区等。</w:t>
      </w:r>
    </w:p>
    <w:p>
      <w:pPr>
        <w:pStyle w:val="204"/>
        <w:spacing w:line="480" w:lineRule="exact"/>
        <w:ind w:firstLine="0" w:firstLineChars="0"/>
        <w:outlineLvl w:val="2"/>
        <w:rPr>
          <w:b/>
          <w:sz w:val="28"/>
          <w:szCs w:val="28"/>
        </w:rPr>
      </w:pPr>
      <w:r>
        <w:rPr>
          <w:rFonts w:hint="eastAsia"/>
          <w:b/>
          <w:sz w:val="28"/>
          <w:szCs w:val="28"/>
        </w:rPr>
        <w:t>3.2.3建设规模及标准</w:t>
      </w:r>
    </w:p>
    <w:p>
      <w:pPr>
        <w:ind w:firstLine="480"/>
        <w:rPr>
          <w:szCs w:val="24"/>
        </w:rPr>
      </w:pPr>
      <w:r>
        <w:rPr>
          <w:szCs w:val="24"/>
        </w:rPr>
        <w:t>本项目</w:t>
      </w:r>
      <w:r>
        <w:rPr>
          <w:rFonts w:hint="eastAsia"/>
          <w:szCs w:val="24"/>
        </w:rPr>
        <w:t>主路</w:t>
      </w:r>
      <w:r>
        <w:rPr>
          <w:szCs w:val="24"/>
        </w:rPr>
        <w:t>路线</w:t>
      </w:r>
      <w:r>
        <w:rPr>
          <w:rFonts w:hint="eastAsia"/>
          <w:szCs w:val="24"/>
        </w:rPr>
        <w:t>长18km</w:t>
      </w:r>
      <w:r>
        <w:rPr>
          <w:szCs w:val="24"/>
        </w:rPr>
        <w:t>（里程粧号</w:t>
      </w:r>
      <w:r>
        <w:rPr>
          <w:rFonts w:hint="eastAsia"/>
          <w:szCs w:val="20"/>
        </w:rPr>
        <w:t>K0+000～K17+999.5</w:t>
      </w:r>
      <w:r>
        <w:rPr>
          <w:szCs w:val="24"/>
        </w:rPr>
        <w:t>)，其中利用旧路段长</w:t>
      </w:r>
      <w:r>
        <w:rPr>
          <w:rFonts w:hint="eastAsia"/>
          <w:szCs w:val="24"/>
        </w:rPr>
        <w:t>7.7km</w:t>
      </w:r>
      <w:r>
        <w:rPr>
          <w:szCs w:val="24"/>
        </w:rPr>
        <w:t>，</w:t>
      </w:r>
      <w:r>
        <w:rPr>
          <w:rFonts w:hint="eastAsia"/>
          <w:szCs w:val="24"/>
        </w:rPr>
        <w:t>利旧路段为全部利用路段，施工期无任何建设工程。</w:t>
      </w:r>
      <w:r>
        <w:rPr>
          <w:szCs w:val="24"/>
        </w:rPr>
        <w:t>新建路段长</w:t>
      </w:r>
      <w:r>
        <w:rPr>
          <w:rFonts w:hint="eastAsia"/>
          <w:szCs w:val="24"/>
        </w:rPr>
        <w:t>10.3km，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rFonts w:hint="eastAsia"/>
          <w:szCs w:val="20"/>
        </w:rPr>
        <w:t>本项目利旧路段，利用现有中桥83m/1座，小桥35m/2座，新建段设置大桥517m/3座，中桥65m/1座，涵洞51道，平交12处</w:t>
      </w:r>
      <w:r>
        <w:rPr>
          <w:szCs w:val="24"/>
        </w:rPr>
        <w:t>，主要技术指标见表3.</w:t>
      </w:r>
      <w:r>
        <w:rPr>
          <w:rFonts w:hint="eastAsia"/>
          <w:szCs w:val="24"/>
        </w:rPr>
        <w:t>2</w:t>
      </w:r>
      <w:r>
        <w:rPr>
          <w:szCs w:val="24"/>
        </w:rPr>
        <w:t>-</w:t>
      </w:r>
      <w:r>
        <w:rPr>
          <w:rFonts w:hint="eastAsia"/>
          <w:szCs w:val="24"/>
        </w:rPr>
        <w:t>1</w:t>
      </w:r>
      <w:r>
        <w:rPr>
          <w:szCs w:val="24"/>
        </w:rPr>
        <w:t>。</w:t>
      </w:r>
    </w:p>
    <w:p>
      <w:pPr>
        <w:adjustRightInd w:val="0"/>
        <w:snapToGrid w:val="0"/>
        <w:ind w:firstLine="0" w:firstLineChars="0"/>
        <w:jc w:val="center"/>
        <w:rPr>
          <w:b/>
          <w:sz w:val="21"/>
        </w:rPr>
      </w:pPr>
      <w:r>
        <w:rPr>
          <w:b/>
          <w:sz w:val="21"/>
        </w:rPr>
        <w:t>表3.</w:t>
      </w:r>
      <w:r>
        <w:rPr>
          <w:rFonts w:hint="eastAsia"/>
          <w:b/>
          <w:sz w:val="21"/>
        </w:rPr>
        <w:t>2</w:t>
      </w:r>
      <w:r>
        <w:rPr>
          <w:b/>
          <w:sz w:val="21"/>
        </w:rPr>
        <w:t>-</w:t>
      </w:r>
      <w:r>
        <w:rPr>
          <w:rFonts w:hint="eastAsia"/>
          <w:b/>
          <w:sz w:val="21"/>
        </w:rPr>
        <w:t>1</w:t>
      </w:r>
      <w:r>
        <w:rPr>
          <w:b/>
          <w:sz w:val="21"/>
        </w:rPr>
        <w:t>主要技术指标表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2"/>
        <w:gridCol w:w="1237"/>
        <w:gridCol w:w="349"/>
        <w:gridCol w:w="1132"/>
        <w:gridCol w:w="737"/>
        <w:gridCol w:w="947"/>
        <w:gridCol w:w="1036"/>
        <w:gridCol w:w="3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序号</w:t>
            </w:r>
          </w:p>
        </w:tc>
        <w:tc>
          <w:tcPr>
            <w:tcW w:w="1472" w:type="pct"/>
            <w:gridSpan w:val="3"/>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项</w:t>
            </w:r>
            <w:r>
              <w:rPr>
                <w:kern w:val="0"/>
                <w:sz w:val="21"/>
              </w:rPr>
              <w:t xml:space="preserve"> </w:t>
            </w:r>
            <w:r>
              <w:rPr>
                <w:rFonts w:hAnsi="宋体"/>
                <w:kern w:val="0"/>
                <w:sz w:val="21"/>
              </w:rPr>
              <w:t>目</w:t>
            </w:r>
          </w:p>
        </w:tc>
        <w:tc>
          <w:tcPr>
            <w:tcW w:w="399"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单位</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指标</w:t>
            </w:r>
          </w:p>
        </w:tc>
        <w:tc>
          <w:tcPr>
            <w:tcW w:w="1782"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continue"/>
            <w:vAlign w:val="center"/>
          </w:tcPr>
          <w:p>
            <w:pPr>
              <w:adjustRightInd w:val="0"/>
              <w:spacing w:line="240" w:lineRule="auto"/>
              <w:ind w:firstLine="0" w:firstLineChars="0"/>
              <w:jc w:val="center"/>
              <w:textAlignment w:val="baseline"/>
              <w:outlineLvl w:val="6"/>
              <w:rPr>
                <w:kern w:val="0"/>
                <w:sz w:val="21"/>
              </w:rPr>
            </w:pPr>
          </w:p>
        </w:tc>
        <w:tc>
          <w:tcPr>
            <w:tcW w:w="1472" w:type="pct"/>
            <w:gridSpan w:val="3"/>
            <w:vMerge w:val="continue"/>
            <w:vAlign w:val="center"/>
          </w:tcPr>
          <w:p>
            <w:pPr>
              <w:adjustRightInd w:val="0"/>
              <w:spacing w:line="240" w:lineRule="auto"/>
              <w:ind w:firstLine="0" w:firstLineChars="0"/>
              <w:jc w:val="center"/>
              <w:textAlignment w:val="baseline"/>
              <w:outlineLvl w:val="6"/>
              <w:rPr>
                <w:kern w:val="0"/>
                <w:sz w:val="21"/>
              </w:rPr>
            </w:pPr>
          </w:p>
        </w:tc>
        <w:tc>
          <w:tcPr>
            <w:tcW w:w="399" w:type="pct"/>
            <w:vMerge w:val="continue"/>
            <w:vAlign w:val="center"/>
          </w:tcPr>
          <w:p>
            <w:pPr>
              <w:adjustRightInd w:val="0"/>
              <w:spacing w:line="240" w:lineRule="auto"/>
              <w:ind w:firstLine="0" w:firstLineChars="0"/>
              <w:jc w:val="center"/>
              <w:textAlignment w:val="baseline"/>
              <w:outlineLvl w:val="6"/>
              <w:rPr>
                <w:kern w:val="0"/>
                <w:sz w:val="21"/>
              </w:rPr>
            </w:pPr>
          </w:p>
        </w:tc>
        <w:tc>
          <w:tcPr>
            <w:tcW w:w="513"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规范值</w:t>
            </w:r>
          </w:p>
        </w:tc>
        <w:tc>
          <w:tcPr>
            <w:tcW w:w="561"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采用值</w:t>
            </w:r>
          </w:p>
        </w:tc>
        <w:tc>
          <w:tcPr>
            <w:tcW w:w="1782" w:type="pct"/>
            <w:vMerge w:val="continue"/>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路线长度</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km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18.000</w:t>
            </w:r>
          </w:p>
        </w:tc>
        <w:tc>
          <w:tcPr>
            <w:tcW w:w="1782"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旧路利用段长：</w:t>
            </w:r>
            <w:r>
              <w:rPr>
                <w:kern w:val="0"/>
                <w:sz w:val="21"/>
              </w:rPr>
              <w:t>7.7km</w:t>
            </w:r>
            <w:r>
              <w:rPr>
                <w:rFonts w:hAnsi="宋体"/>
                <w:kern w:val="0"/>
                <w:sz w:val="21"/>
              </w:rPr>
              <w:t>，</w:t>
            </w:r>
          </w:p>
          <w:p>
            <w:pPr>
              <w:adjustRightInd w:val="0"/>
              <w:spacing w:line="240" w:lineRule="auto"/>
              <w:ind w:firstLine="0" w:firstLineChars="0"/>
              <w:jc w:val="center"/>
              <w:textAlignment w:val="baseline"/>
              <w:outlineLvl w:val="6"/>
              <w:rPr>
                <w:kern w:val="0"/>
                <w:sz w:val="21"/>
              </w:rPr>
            </w:pPr>
            <w:r>
              <w:rPr>
                <w:rFonts w:hAnsi="宋体"/>
                <w:kern w:val="0"/>
                <w:sz w:val="21"/>
              </w:rPr>
              <w:t>新建段长：</w:t>
            </w:r>
            <w:r>
              <w:rPr>
                <w:kern w:val="0"/>
                <w:sz w:val="21"/>
              </w:rPr>
              <w:t>10.3km</w:t>
            </w:r>
            <w:r>
              <w:rPr>
                <w:rFonts w:hAnsi="宋体"/>
                <w:kern w:val="0"/>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2</w:t>
            </w:r>
          </w:p>
        </w:tc>
        <w:tc>
          <w:tcPr>
            <w:tcW w:w="1472" w:type="pct"/>
            <w:gridSpan w:val="3"/>
            <w:vAlign w:val="center"/>
          </w:tcPr>
          <w:p>
            <w:pPr>
              <w:adjustRightInd w:val="0"/>
              <w:spacing w:line="240" w:lineRule="auto"/>
              <w:ind w:firstLine="0" w:firstLineChars="0"/>
              <w:jc w:val="center"/>
              <w:textAlignment w:val="baseline"/>
              <w:outlineLvl w:val="6"/>
              <w:rPr>
                <w:rFonts w:hAnsi="宋体"/>
                <w:kern w:val="0"/>
                <w:sz w:val="21"/>
              </w:rPr>
            </w:pPr>
            <w:r>
              <w:rPr>
                <w:rFonts w:hint="eastAsia" w:hAnsi="宋体"/>
                <w:kern w:val="0"/>
                <w:sz w:val="21"/>
              </w:rPr>
              <w:t>改路长度</w:t>
            </w:r>
          </w:p>
        </w:tc>
        <w:tc>
          <w:tcPr>
            <w:tcW w:w="399"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681</w:t>
            </w:r>
          </w:p>
        </w:tc>
        <w:tc>
          <w:tcPr>
            <w:tcW w:w="1782" w:type="pct"/>
            <w:vAlign w:val="center"/>
          </w:tcPr>
          <w:p>
            <w:pPr>
              <w:adjustRightInd w:val="0"/>
              <w:spacing w:line="240" w:lineRule="auto"/>
              <w:ind w:firstLine="0" w:firstLineChars="0"/>
              <w:jc w:val="center"/>
              <w:textAlignment w:val="baseline"/>
              <w:outlineLvl w:val="6"/>
              <w:rPr>
                <w:rFonts w:hAnsi="宋体"/>
                <w:kern w:val="0"/>
                <w:sz w:val="21"/>
              </w:rPr>
            </w:pPr>
            <w:r>
              <w:rPr>
                <w:rFonts w:hint="eastAsia" w:hAnsi="宋体"/>
                <w:kern w:val="0"/>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3</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公路等级</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一级</w:t>
            </w:r>
          </w:p>
        </w:tc>
        <w:tc>
          <w:tcPr>
            <w:tcW w:w="1782"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项目改路路段属于四级公路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4</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设计速度</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km/h</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 xml:space="preserve">80 </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restart"/>
            <w:vAlign w:val="center"/>
          </w:tcPr>
          <w:p>
            <w:pPr>
              <w:adjustRightInd w:val="0"/>
              <w:spacing w:line="240" w:lineRule="auto"/>
              <w:ind w:firstLine="0" w:firstLineChars="0"/>
              <w:jc w:val="center"/>
              <w:textAlignment w:val="baseline"/>
              <w:outlineLvl w:val="6"/>
              <w:rPr>
                <w:kern w:val="0"/>
                <w:sz w:val="21"/>
              </w:rPr>
            </w:pPr>
          </w:p>
          <w:p>
            <w:pPr>
              <w:adjustRightInd w:val="0"/>
              <w:spacing w:line="240" w:lineRule="auto"/>
              <w:ind w:firstLine="0" w:firstLineChars="0"/>
              <w:jc w:val="center"/>
              <w:textAlignment w:val="baseline"/>
              <w:outlineLvl w:val="6"/>
              <w:rPr>
                <w:kern w:val="0"/>
                <w:sz w:val="21"/>
              </w:rPr>
            </w:pPr>
            <w:r>
              <w:rPr>
                <w:kern w:val="0"/>
                <w:sz w:val="21"/>
              </w:rPr>
              <w:t>5</w:t>
            </w:r>
          </w:p>
        </w:tc>
        <w:tc>
          <w:tcPr>
            <w:tcW w:w="670"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路基宽度</w:t>
            </w:r>
          </w:p>
        </w:tc>
        <w:tc>
          <w:tcPr>
            <w:tcW w:w="802"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整体式</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28.0/25.5</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continue"/>
            <w:vAlign w:val="center"/>
          </w:tcPr>
          <w:p>
            <w:pPr>
              <w:adjustRightInd w:val="0"/>
              <w:spacing w:line="240" w:lineRule="auto"/>
              <w:ind w:firstLine="0" w:firstLineChars="0"/>
              <w:jc w:val="center"/>
              <w:textAlignment w:val="baseline"/>
              <w:outlineLvl w:val="6"/>
              <w:rPr>
                <w:kern w:val="0"/>
                <w:sz w:val="21"/>
              </w:rPr>
            </w:pPr>
          </w:p>
        </w:tc>
        <w:tc>
          <w:tcPr>
            <w:tcW w:w="670" w:type="pct"/>
            <w:vMerge w:val="continue"/>
            <w:vAlign w:val="center"/>
          </w:tcPr>
          <w:p>
            <w:pPr>
              <w:adjustRightInd w:val="0"/>
              <w:spacing w:line="240" w:lineRule="auto"/>
              <w:ind w:firstLine="0" w:firstLineChars="0"/>
              <w:jc w:val="center"/>
              <w:textAlignment w:val="baseline"/>
              <w:outlineLvl w:val="6"/>
              <w:rPr>
                <w:kern w:val="0"/>
                <w:sz w:val="21"/>
              </w:rPr>
            </w:pPr>
          </w:p>
        </w:tc>
        <w:tc>
          <w:tcPr>
            <w:tcW w:w="802"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分离式</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6</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停车视距</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110</w:t>
            </w:r>
          </w:p>
        </w:tc>
        <w:tc>
          <w:tcPr>
            <w:tcW w:w="561"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w:t>
            </w:r>
            <w:r>
              <w:rPr>
                <w:kern w:val="0"/>
                <w:sz w:val="21"/>
              </w:rPr>
              <w:t>110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7</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平曲线最小半径</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400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800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8</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不设超高最小平曲线半径</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2500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2500</w:t>
            </w:r>
          </w:p>
        </w:tc>
        <w:tc>
          <w:tcPr>
            <w:tcW w:w="1782"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利用既有平交</w:t>
            </w:r>
            <w:r>
              <w:rPr>
                <w:kern w:val="0"/>
                <w:sz w:val="21"/>
              </w:rPr>
              <w:t>3</w:t>
            </w:r>
            <w:r>
              <w:rPr>
                <w:rFonts w:hAnsi="宋体"/>
                <w:kern w:val="0"/>
                <w:sz w:val="21"/>
              </w:rPr>
              <w:t>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9</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最大纵坡</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5.0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1.5</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10</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最小坡长</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200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350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restart"/>
            <w:vAlign w:val="center"/>
          </w:tcPr>
          <w:p>
            <w:pPr>
              <w:adjustRightInd w:val="0"/>
              <w:spacing w:line="240" w:lineRule="auto"/>
              <w:ind w:firstLine="0" w:firstLineChars="0"/>
              <w:jc w:val="center"/>
              <w:textAlignment w:val="baseline"/>
              <w:outlineLvl w:val="6"/>
              <w:rPr>
                <w:kern w:val="0"/>
                <w:sz w:val="21"/>
              </w:rPr>
            </w:pPr>
          </w:p>
          <w:p>
            <w:pPr>
              <w:adjustRightInd w:val="0"/>
              <w:spacing w:line="240" w:lineRule="auto"/>
              <w:ind w:firstLine="0" w:firstLineChars="0"/>
              <w:jc w:val="center"/>
              <w:textAlignment w:val="baseline"/>
              <w:outlineLvl w:val="6"/>
              <w:rPr>
                <w:kern w:val="0"/>
                <w:sz w:val="21"/>
              </w:rPr>
            </w:pPr>
            <w:r>
              <w:rPr>
                <w:kern w:val="0"/>
                <w:sz w:val="21"/>
              </w:rPr>
              <w:t>11</w:t>
            </w:r>
          </w:p>
        </w:tc>
        <w:tc>
          <w:tcPr>
            <w:tcW w:w="859" w:type="pct"/>
            <w:gridSpan w:val="2"/>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竖曲线一般</w:t>
            </w:r>
          </w:p>
          <w:p>
            <w:pPr>
              <w:adjustRightInd w:val="0"/>
              <w:spacing w:line="240" w:lineRule="auto"/>
              <w:ind w:firstLine="0" w:firstLineChars="0"/>
              <w:jc w:val="center"/>
              <w:textAlignment w:val="baseline"/>
              <w:outlineLvl w:val="6"/>
              <w:rPr>
                <w:kern w:val="0"/>
                <w:sz w:val="21"/>
              </w:rPr>
            </w:pPr>
            <w:r>
              <w:rPr>
                <w:rFonts w:hAnsi="宋体"/>
                <w:kern w:val="0"/>
                <w:sz w:val="21"/>
              </w:rPr>
              <w:t>最小半径</w:t>
            </w:r>
          </w:p>
        </w:tc>
        <w:tc>
          <w:tcPr>
            <w:tcW w:w="613"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凸型</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4500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7000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Merge w:val="continue"/>
            <w:vAlign w:val="center"/>
          </w:tcPr>
          <w:p>
            <w:pPr>
              <w:adjustRightInd w:val="0"/>
              <w:spacing w:line="240" w:lineRule="auto"/>
              <w:ind w:firstLine="0" w:firstLineChars="0"/>
              <w:jc w:val="center"/>
              <w:textAlignment w:val="baseline"/>
              <w:outlineLvl w:val="6"/>
              <w:rPr>
                <w:kern w:val="0"/>
                <w:sz w:val="21"/>
              </w:rPr>
            </w:pPr>
          </w:p>
        </w:tc>
        <w:tc>
          <w:tcPr>
            <w:tcW w:w="859" w:type="pct"/>
            <w:gridSpan w:val="2"/>
            <w:vMerge w:val="continue"/>
            <w:vAlign w:val="center"/>
          </w:tcPr>
          <w:p>
            <w:pPr>
              <w:adjustRightInd w:val="0"/>
              <w:spacing w:line="240" w:lineRule="auto"/>
              <w:ind w:firstLine="0" w:firstLineChars="0"/>
              <w:jc w:val="center"/>
              <w:textAlignment w:val="baseline"/>
              <w:outlineLvl w:val="6"/>
              <w:rPr>
                <w:kern w:val="0"/>
                <w:sz w:val="21"/>
              </w:rPr>
            </w:pPr>
          </w:p>
        </w:tc>
        <w:tc>
          <w:tcPr>
            <w:tcW w:w="613"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凹形</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513" w:type="pct"/>
            <w:vAlign w:val="center"/>
          </w:tcPr>
          <w:p>
            <w:pPr>
              <w:adjustRightInd w:val="0"/>
              <w:spacing w:line="240" w:lineRule="auto"/>
              <w:ind w:firstLine="0" w:firstLineChars="0"/>
              <w:jc w:val="center"/>
              <w:textAlignment w:val="baseline"/>
              <w:outlineLvl w:val="6"/>
              <w:rPr>
                <w:kern w:val="0"/>
                <w:sz w:val="21"/>
              </w:rPr>
            </w:pPr>
            <w:r>
              <w:rPr>
                <w:kern w:val="0"/>
                <w:sz w:val="21"/>
              </w:rPr>
              <w:t>3000</w:t>
            </w:r>
          </w:p>
        </w:tc>
        <w:tc>
          <w:tcPr>
            <w:tcW w:w="561" w:type="pct"/>
            <w:vAlign w:val="center"/>
          </w:tcPr>
          <w:p>
            <w:pPr>
              <w:adjustRightInd w:val="0"/>
              <w:spacing w:line="240" w:lineRule="auto"/>
              <w:ind w:firstLine="0" w:firstLineChars="0"/>
              <w:jc w:val="center"/>
              <w:textAlignment w:val="baseline"/>
              <w:outlineLvl w:val="6"/>
              <w:rPr>
                <w:kern w:val="0"/>
                <w:sz w:val="21"/>
              </w:rPr>
            </w:pPr>
            <w:r>
              <w:rPr>
                <w:kern w:val="0"/>
                <w:sz w:val="21"/>
              </w:rPr>
              <w:t>10000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12</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行车道宽度</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4×3.75</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13</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桥梁荷载等级</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公路</w:t>
            </w:r>
            <w:r>
              <w:rPr>
                <w:kern w:val="0"/>
                <w:sz w:val="21"/>
              </w:rPr>
              <w:t>-</w:t>
            </w:r>
            <w:r>
              <w:rPr>
                <w:rFonts w:ascii="宋体" w:hAnsi="宋体"/>
                <w:kern w:val="0"/>
                <w:sz w:val="21"/>
              </w:rPr>
              <w:t>Ⅰ</w:t>
            </w:r>
            <w:r>
              <w:rPr>
                <w:rFonts w:hAnsi="宋体"/>
                <w:kern w:val="0"/>
                <w:sz w:val="21"/>
              </w:rPr>
              <w:t>级</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14</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桥梁宽度</w:t>
            </w:r>
          </w:p>
        </w:tc>
        <w:tc>
          <w:tcPr>
            <w:tcW w:w="399" w:type="pct"/>
            <w:vAlign w:val="center"/>
          </w:tcPr>
          <w:p>
            <w:pPr>
              <w:adjustRightInd w:val="0"/>
              <w:spacing w:line="240" w:lineRule="auto"/>
              <w:ind w:firstLine="0" w:firstLineChars="0"/>
              <w:jc w:val="center"/>
              <w:textAlignment w:val="baseline"/>
              <w:outlineLvl w:val="6"/>
              <w:rPr>
                <w:kern w:val="0"/>
                <w:sz w:val="21"/>
              </w:rPr>
            </w:pPr>
            <w:r>
              <w:rPr>
                <w:kern w:val="0"/>
                <w:sz w:val="21"/>
              </w:rPr>
              <w:t>m</w:t>
            </w: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25.5</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15</w:t>
            </w:r>
          </w:p>
        </w:tc>
        <w:tc>
          <w:tcPr>
            <w:tcW w:w="670"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设计洪</w:t>
            </w:r>
          </w:p>
          <w:p>
            <w:pPr>
              <w:adjustRightInd w:val="0"/>
              <w:spacing w:line="240" w:lineRule="auto"/>
              <w:ind w:firstLine="0" w:firstLineChars="0"/>
              <w:jc w:val="center"/>
              <w:textAlignment w:val="baseline"/>
              <w:outlineLvl w:val="6"/>
              <w:rPr>
                <w:kern w:val="0"/>
                <w:sz w:val="21"/>
              </w:rPr>
            </w:pPr>
            <w:r>
              <w:rPr>
                <w:rFonts w:hAnsi="宋体"/>
                <w:kern w:val="0"/>
                <w:sz w:val="21"/>
              </w:rPr>
              <w:t>水频率</w:t>
            </w:r>
          </w:p>
        </w:tc>
        <w:tc>
          <w:tcPr>
            <w:tcW w:w="802"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路</w:t>
            </w:r>
            <w:r>
              <w:rPr>
                <w:kern w:val="0"/>
                <w:sz w:val="21"/>
              </w:rPr>
              <w:t xml:space="preserve">   </w:t>
            </w:r>
            <w:r>
              <w:rPr>
                <w:rFonts w:hAnsi="宋体"/>
                <w:kern w:val="0"/>
                <w:sz w:val="21"/>
              </w:rPr>
              <w:t>基</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1/100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16</w:t>
            </w:r>
          </w:p>
        </w:tc>
        <w:tc>
          <w:tcPr>
            <w:tcW w:w="670" w:type="pct"/>
            <w:vMerge w:val="continue"/>
            <w:vAlign w:val="center"/>
          </w:tcPr>
          <w:p>
            <w:pPr>
              <w:adjustRightInd w:val="0"/>
              <w:spacing w:line="240" w:lineRule="auto"/>
              <w:ind w:firstLine="0" w:firstLineChars="0"/>
              <w:jc w:val="center"/>
              <w:textAlignment w:val="baseline"/>
              <w:outlineLvl w:val="6"/>
              <w:rPr>
                <w:kern w:val="0"/>
                <w:sz w:val="21"/>
              </w:rPr>
            </w:pPr>
          </w:p>
        </w:tc>
        <w:tc>
          <w:tcPr>
            <w:tcW w:w="802"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大、中桥</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1/100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kern w:val="0"/>
                <w:sz w:val="21"/>
              </w:rPr>
              <w:t>17</w:t>
            </w:r>
          </w:p>
        </w:tc>
        <w:tc>
          <w:tcPr>
            <w:tcW w:w="670" w:type="pct"/>
            <w:vMerge w:val="continue"/>
            <w:vAlign w:val="center"/>
          </w:tcPr>
          <w:p>
            <w:pPr>
              <w:adjustRightInd w:val="0"/>
              <w:spacing w:line="240" w:lineRule="auto"/>
              <w:ind w:firstLine="0" w:firstLineChars="0"/>
              <w:jc w:val="center"/>
              <w:textAlignment w:val="baseline"/>
              <w:outlineLvl w:val="6"/>
              <w:rPr>
                <w:kern w:val="0"/>
                <w:sz w:val="21"/>
              </w:rPr>
            </w:pPr>
          </w:p>
        </w:tc>
        <w:tc>
          <w:tcPr>
            <w:tcW w:w="802"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小桥、涵洞</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1/100</w:t>
            </w:r>
          </w:p>
        </w:tc>
        <w:tc>
          <w:tcPr>
            <w:tcW w:w="1782"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272"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18</w:t>
            </w:r>
          </w:p>
        </w:tc>
        <w:tc>
          <w:tcPr>
            <w:tcW w:w="1472" w:type="pct"/>
            <w:gridSpan w:val="3"/>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地震动峰值加速度</w:t>
            </w:r>
          </w:p>
        </w:tc>
        <w:tc>
          <w:tcPr>
            <w:tcW w:w="399" w:type="pct"/>
            <w:vAlign w:val="center"/>
          </w:tcPr>
          <w:p>
            <w:pPr>
              <w:adjustRightInd w:val="0"/>
              <w:spacing w:line="240" w:lineRule="auto"/>
              <w:ind w:firstLine="0" w:firstLineChars="0"/>
              <w:jc w:val="center"/>
              <w:textAlignment w:val="baseline"/>
              <w:outlineLvl w:val="6"/>
              <w:rPr>
                <w:kern w:val="0"/>
                <w:sz w:val="21"/>
              </w:rPr>
            </w:pPr>
          </w:p>
        </w:tc>
        <w:tc>
          <w:tcPr>
            <w:tcW w:w="1074" w:type="pct"/>
            <w:gridSpan w:val="2"/>
            <w:vAlign w:val="center"/>
          </w:tcPr>
          <w:p>
            <w:pPr>
              <w:adjustRightInd w:val="0"/>
              <w:spacing w:line="240" w:lineRule="auto"/>
              <w:ind w:firstLine="0" w:firstLineChars="0"/>
              <w:jc w:val="center"/>
              <w:textAlignment w:val="baseline"/>
              <w:outlineLvl w:val="6"/>
              <w:rPr>
                <w:kern w:val="0"/>
                <w:sz w:val="21"/>
              </w:rPr>
            </w:pPr>
            <w:r>
              <w:rPr>
                <w:kern w:val="0"/>
                <w:sz w:val="21"/>
              </w:rPr>
              <w:t>0.1g</w:t>
            </w:r>
          </w:p>
        </w:tc>
        <w:tc>
          <w:tcPr>
            <w:tcW w:w="1782" w:type="pct"/>
            <w:vAlign w:val="center"/>
          </w:tcPr>
          <w:p>
            <w:pPr>
              <w:adjustRightInd w:val="0"/>
              <w:spacing w:line="240" w:lineRule="auto"/>
              <w:ind w:firstLine="0" w:firstLineChars="0"/>
              <w:jc w:val="center"/>
              <w:textAlignment w:val="baseline"/>
              <w:outlineLvl w:val="6"/>
              <w:rPr>
                <w:kern w:val="0"/>
                <w:sz w:val="21"/>
              </w:rPr>
            </w:pPr>
          </w:p>
        </w:tc>
      </w:tr>
    </w:tbl>
    <w:p>
      <w:pPr>
        <w:adjustRightInd w:val="0"/>
        <w:snapToGrid w:val="0"/>
        <w:ind w:firstLine="0" w:firstLineChars="0"/>
        <w:jc w:val="center"/>
        <w:rPr>
          <w:b/>
          <w:sz w:val="21"/>
        </w:rPr>
      </w:pPr>
      <w:r>
        <w:rPr>
          <w:b/>
          <w:sz w:val="21"/>
        </w:rPr>
        <w:t>表3.2-</w:t>
      </w:r>
      <w:r>
        <w:rPr>
          <w:rFonts w:hint="eastAsia"/>
          <w:b/>
          <w:sz w:val="21"/>
        </w:rPr>
        <w:t>2</w:t>
      </w:r>
      <w:r>
        <w:rPr>
          <w:b/>
          <w:sz w:val="21"/>
        </w:rPr>
        <w:t>主要工程数量汇总表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6"/>
        <w:gridCol w:w="1099"/>
        <w:gridCol w:w="1112"/>
        <w:gridCol w:w="1784"/>
        <w:gridCol w:w="1193"/>
        <w:gridCol w:w="3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b/>
                <w:kern w:val="0"/>
                <w:sz w:val="21"/>
              </w:rPr>
            </w:pPr>
            <w:r>
              <w:rPr>
                <w:rFonts w:hAnsi="宋体"/>
                <w:b/>
                <w:kern w:val="0"/>
                <w:sz w:val="21"/>
              </w:rPr>
              <w:t>序号</w:t>
            </w:r>
          </w:p>
        </w:tc>
        <w:tc>
          <w:tcPr>
            <w:tcW w:w="1197" w:type="pct"/>
            <w:gridSpan w:val="2"/>
            <w:vAlign w:val="center"/>
          </w:tcPr>
          <w:p>
            <w:pPr>
              <w:adjustRightInd w:val="0"/>
              <w:spacing w:line="240" w:lineRule="auto"/>
              <w:ind w:firstLine="0" w:firstLineChars="0"/>
              <w:jc w:val="center"/>
              <w:textAlignment w:val="baseline"/>
              <w:outlineLvl w:val="6"/>
              <w:rPr>
                <w:b/>
                <w:kern w:val="0"/>
                <w:sz w:val="21"/>
              </w:rPr>
            </w:pPr>
            <w:r>
              <w:rPr>
                <w:rFonts w:hAnsi="宋体"/>
                <w:b/>
                <w:kern w:val="0"/>
                <w:sz w:val="21"/>
              </w:rPr>
              <w:t>工</w:t>
            </w:r>
            <w:r>
              <w:rPr>
                <w:b/>
                <w:kern w:val="0"/>
                <w:sz w:val="21"/>
              </w:rPr>
              <w:t xml:space="preserve"> </w:t>
            </w:r>
            <w:r>
              <w:rPr>
                <w:rFonts w:hAnsi="宋体"/>
                <w:b/>
                <w:kern w:val="0"/>
                <w:sz w:val="21"/>
              </w:rPr>
              <w:t>程</w:t>
            </w:r>
            <w:r>
              <w:rPr>
                <w:b/>
                <w:kern w:val="0"/>
                <w:sz w:val="21"/>
              </w:rPr>
              <w:t xml:space="preserve"> </w:t>
            </w:r>
            <w:r>
              <w:rPr>
                <w:rFonts w:hAnsi="宋体"/>
                <w:b/>
                <w:kern w:val="0"/>
                <w:sz w:val="21"/>
              </w:rPr>
              <w:t>项</w:t>
            </w:r>
            <w:r>
              <w:rPr>
                <w:b/>
                <w:kern w:val="0"/>
                <w:sz w:val="21"/>
              </w:rPr>
              <w:t xml:space="preserve"> </w:t>
            </w:r>
            <w:r>
              <w:rPr>
                <w:rFonts w:hAnsi="宋体"/>
                <w:b/>
                <w:kern w:val="0"/>
                <w:sz w:val="21"/>
              </w:rPr>
              <w:t>目</w:t>
            </w:r>
          </w:p>
        </w:tc>
        <w:tc>
          <w:tcPr>
            <w:tcW w:w="966" w:type="pct"/>
            <w:vAlign w:val="center"/>
          </w:tcPr>
          <w:p>
            <w:pPr>
              <w:adjustRightInd w:val="0"/>
              <w:spacing w:line="240" w:lineRule="auto"/>
              <w:ind w:firstLine="0" w:firstLineChars="0"/>
              <w:jc w:val="center"/>
              <w:textAlignment w:val="baseline"/>
              <w:outlineLvl w:val="6"/>
              <w:rPr>
                <w:b/>
                <w:kern w:val="0"/>
                <w:sz w:val="21"/>
              </w:rPr>
            </w:pPr>
            <w:r>
              <w:rPr>
                <w:rFonts w:hAnsi="宋体"/>
                <w:b/>
                <w:kern w:val="0"/>
                <w:sz w:val="21"/>
              </w:rPr>
              <w:t>单</w:t>
            </w:r>
            <w:r>
              <w:rPr>
                <w:b/>
                <w:kern w:val="0"/>
                <w:sz w:val="21"/>
              </w:rPr>
              <w:t xml:space="preserve">  </w:t>
            </w:r>
            <w:r>
              <w:rPr>
                <w:rFonts w:hAnsi="宋体"/>
                <w:b/>
                <w:kern w:val="0"/>
                <w:sz w:val="21"/>
              </w:rPr>
              <w:t>位</w:t>
            </w:r>
          </w:p>
        </w:tc>
        <w:tc>
          <w:tcPr>
            <w:tcW w:w="646" w:type="pct"/>
            <w:vAlign w:val="center"/>
          </w:tcPr>
          <w:p>
            <w:pPr>
              <w:adjustRightInd w:val="0"/>
              <w:spacing w:line="240" w:lineRule="auto"/>
              <w:ind w:firstLine="0" w:firstLineChars="0"/>
              <w:jc w:val="center"/>
              <w:textAlignment w:val="baseline"/>
              <w:outlineLvl w:val="6"/>
              <w:rPr>
                <w:b/>
                <w:kern w:val="0"/>
                <w:sz w:val="21"/>
              </w:rPr>
            </w:pPr>
            <w:r>
              <w:rPr>
                <w:rFonts w:hAnsi="宋体"/>
                <w:b/>
                <w:kern w:val="0"/>
                <w:sz w:val="21"/>
              </w:rPr>
              <w:t>主</w:t>
            </w:r>
            <w:r>
              <w:rPr>
                <w:b/>
                <w:kern w:val="0"/>
                <w:sz w:val="21"/>
              </w:rPr>
              <w:t xml:space="preserve"> </w:t>
            </w:r>
            <w:r>
              <w:rPr>
                <w:rFonts w:hAnsi="宋体"/>
                <w:b/>
                <w:kern w:val="0"/>
                <w:sz w:val="21"/>
              </w:rPr>
              <w:t>线</w:t>
            </w:r>
          </w:p>
        </w:tc>
        <w:tc>
          <w:tcPr>
            <w:tcW w:w="1639" w:type="pct"/>
            <w:vAlign w:val="center"/>
          </w:tcPr>
          <w:p>
            <w:pPr>
              <w:adjustRightInd w:val="0"/>
              <w:spacing w:line="240" w:lineRule="auto"/>
              <w:ind w:firstLine="0" w:firstLineChars="0"/>
              <w:jc w:val="center"/>
              <w:textAlignment w:val="baseline"/>
              <w:outlineLvl w:val="6"/>
              <w:rPr>
                <w:b/>
                <w:kern w:val="0"/>
                <w:sz w:val="21"/>
              </w:rPr>
            </w:pPr>
            <w:r>
              <w:rPr>
                <w:rFonts w:hAnsi="宋体"/>
                <w:b/>
                <w:kern w:val="0"/>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1</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路线长度</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km</w:t>
            </w:r>
          </w:p>
        </w:tc>
        <w:tc>
          <w:tcPr>
            <w:tcW w:w="646"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18.681</w:t>
            </w:r>
          </w:p>
        </w:tc>
        <w:tc>
          <w:tcPr>
            <w:tcW w:w="1639"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旧路利用段长：</w:t>
            </w:r>
            <w:r>
              <w:rPr>
                <w:kern w:val="0"/>
                <w:sz w:val="21"/>
              </w:rPr>
              <w:t>7.7km</w:t>
            </w:r>
          </w:p>
          <w:p>
            <w:pPr>
              <w:adjustRightInd w:val="0"/>
              <w:spacing w:line="240" w:lineRule="auto"/>
              <w:ind w:firstLine="0" w:firstLineChars="0"/>
              <w:jc w:val="center"/>
              <w:textAlignment w:val="baseline"/>
              <w:outlineLvl w:val="6"/>
              <w:rPr>
                <w:kern w:val="0"/>
                <w:sz w:val="21"/>
              </w:rPr>
            </w:pPr>
            <w:r>
              <w:rPr>
                <w:rFonts w:hAnsi="宋体"/>
                <w:kern w:val="0"/>
                <w:sz w:val="21"/>
              </w:rPr>
              <w:t>新建段长：</w:t>
            </w:r>
            <w:r>
              <w:rPr>
                <w:kern w:val="0"/>
                <w:sz w:val="21"/>
              </w:rPr>
              <w:t>10.3km</w:t>
            </w:r>
          </w:p>
          <w:p>
            <w:pPr>
              <w:adjustRightInd w:val="0"/>
              <w:spacing w:line="240" w:lineRule="auto"/>
              <w:ind w:firstLine="0" w:firstLineChars="0"/>
              <w:jc w:val="center"/>
              <w:textAlignment w:val="baseline"/>
              <w:outlineLvl w:val="6"/>
              <w:rPr>
                <w:kern w:val="0"/>
                <w:sz w:val="21"/>
              </w:rPr>
            </w:pPr>
            <w:r>
              <w:rPr>
                <w:rFonts w:hint="eastAsia"/>
                <w:kern w:val="0"/>
                <w:sz w:val="21"/>
              </w:rPr>
              <w:t>改路路段长：0.681km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2</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土石方数量（填方</w:t>
            </w:r>
            <w:r>
              <w:rPr>
                <w:kern w:val="0"/>
                <w:sz w:val="21"/>
              </w:rPr>
              <w:t>/</w:t>
            </w:r>
            <w:r>
              <w:rPr>
                <w:rFonts w:hAnsi="宋体"/>
                <w:kern w:val="0"/>
                <w:sz w:val="21"/>
              </w:rPr>
              <w:t>挖方）</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m</w:t>
            </w:r>
            <w:r>
              <w:rPr>
                <w:kern w:val="0"/>
                <w:sz w:val="21"/>
                <w:vertAlign w:val="superscript"/>
              </w:rPr>
              <w:t>3</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698426</w:t>
            </w:r>
          </w:p>
          <w:p>
            <w:pPr>
              <w:adjustRightInd w:val="0"/>
              <w:spacing w:line="240" w:lineRule="auto"/>
              <w:ind w:firstLine="0" w:firstLineChars="0"/>
              <w:jc w:val="center"/>
              <w:textAlignment w:val="baseline"/>
              <w:outlineLvl w:val="6"/>
              <w:rPr>
                <w:kern w:val="0"/>
                <w:sz w:val="21"/>
              </w:rPr>
            </w:pPr>
            <w:r>
              <w:rPr>
                <w:kern w:val="0"/>
                <w:sz w:val="21"/>
              </w:rPr>
              <w:t>/44172</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3</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排水防护工程</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1000m</w:t>
            </w:r>
            <w:r>
              <w:rPr>
                <w:kern w:val="0"/>
                <w:sz w:val="21"/>
                <w:vertAlign w:val="superscript"/>
              </w:rPr>
              <w:t>3</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139.460</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4</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沥青路面面积</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1000m</w:t>
            </w:r>
            <w:r>
              <w:rPr>
                <w:kern w:val="0"/>
                <w:sz w:val="21"/>
                <w:vertAlign w:val="superscript"/>
              </w:rPr>
              <w:t>2</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212.144</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5</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特殊路基处理</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Km</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1.4</w:t>
            </w:r>
          </w:p>
        </w:tc>
        <w:tc>
          <w:tcPr>
            <w:tcW w:w="1639"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换填</w:t>
            </w:r>
            <w:r>
              <w:rPr>
                <w:kern w:val="0"/>
                <w:sz w:val="21"/>
              </w:rPr>
              <w:t>1.5m</w:t>
            </w:r>
            <w:r>
              <w:rPr>
                <w:rFonts w:hAnsi="宋体"/>
                <w:kern w:val="0"/>
                <w:sz w:val="21"/>
              </w:rPr>
              <w:t>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6</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拆迁房屋</w:t>
            </w:r>
          </w:p>
        </w:tc>
        <w:tc>
          <w:tcPr>
            <w:tcW w:w="966" w:type="pct"/>
            <w:vAlign w:val="center"/>
          </w:tcPr>
          <w:p>
            <w:pPr>
              <w:adjustRightInd w:val="0"/>
              <w:spacing w:line="240" w:lineRule="auto"/>
              <w:ind w:firstLine="0" w:firstLineChars="0"/>
              <w:jc w:val="center"/>
              <w:textAlignment w:val="baseline"/>
              <w:outlineLvl w:val="6"/>
              <w:rPr>
                <w:kern w:val="0"/>
                <w:sz w:val="21"/>
              </w:rPr>
            </w:pPr>
            <w:r>
              <w:rPr>
                <w:kern w:val="0"/>
                <w:sz w:val="21"/>
              </w:rPr>
              <w:t>m</w:t>
            </w:r>
            <w:r>
              <w:rPr>
                <w:kern w:val="0"/>
                <w:sz w:val="21"/>
                <w:vertAlign w:val="superscript"/>
              </w:rPr>
              <w:t>2</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26171</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7</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征用土地</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亩</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680.9974</w:t>
            </w:r>
          </w:p>
        </w:tc>
        <w:tc>
          <w:tcPr>
            <w:tcW w:w="1639"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其中新增用地</w:t>
            </w:r>
            <w:r>
              <w:rPr>
                <w:kern w:val="0"/>
                <w:sz w:val="21"/>
              </w:rPr>
              <w:t>648.764</w:t>
            </w:r>
            <w:r>
              <w:rPr>
                <w:rFonts w:hAnsi="宋体"/>
                <w:kern w:val="0"/>
                <w:sz w:val="21"/>
              </w:rPr>
              <w:t>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8</w:t>
            </w:r>
          </w:p>
        </w:tc>
        <w:tc>
          <w:tcPr>
            <w:tcW w:w="1197" w:type="pct"/>
            <w:gridSpan w:val="2"/>
            <w:vAlign w:val="center"/>
          </w:tcPr>
          <w:p>
            <w:pPr>
              <w:widowControl/>
              <w:snapToGrid w:val="0"/>
              <w:spacing w:line="240" w:lineRule="auto"/>
              <w:ind w:firstLine="0" w:firstLineChars="0"/>
              <w:jc w:val="center"/>
              <w:textAlignment w:val="center"/>
              <w:rPr>
                <w:sz w:val="21"/>
              </w:rPr>
            </w:pPr>
            <w:r>
              <w:rPr>
                <w:rFonts w:hAnsi="宋体"/>
                <w:sz w:val="21"/>
              </w:rPr>
              <w:t>拆迁电力电讯</w:t>
            </w:r>
          </w:p>
        </w:tc>
        <w:tc>
          <w:tcPr>
            <w:tcW w:w="966" w:type="pct"/>
            <w:vAlign w:val="center"/>
          </w:tcPr>
          <w:p>
            <w:pPr>
              <w:widowControl/>
              <w:snapToGrid w:val="0"/>
              <w:spacing w:line="240" w:lineRule="auto"/>
              <w:ind w:firstLine="0" w:firstLineChars="0"/>
              <w:jc w:val="center"/>
              <w:textAlignment w:val="center"/>
              <w:rPr>
                <w:sz w:val="21"/>
              </w:rPr>
            </w:pPr>
            <w:r>
              <w:rPr>
                <w:rFonts w:hAnsi="宋体"/>
                <w:sz w:val="21"/>
              </w:rPr>
              <w:t>根</w:t>
            </w:r>
            <w:r>
              <w:rPr>
                <w:sz w:val="21"/>
              </w:rPr>
              <w:t>/km</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190/40905</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Merge w:val="restart"/>
            <w:vAlign w:val="center"/>
          </w:tcPr>
          <w:p>
            <w:pPr>
              <w:adjustRightInd w:val="0"/>
              <w:spacing w:line="240" w:lineRule="auto"/>
              <w:ind w:firstLine="0" w:firstLineChars="0"/>
              <w:jc w:val="center"/>
              <w:textAlignment w:val="baseline"/>
              <w:outlineLvl w:val="6"/>
              <w:rPr>
                <w:kern w:val="0"/>
                <w:sz w:val="21"/>
              </w:rPr>
            </w:pPr>
            <w:r>
              <w:rPr>
                <w:kern w:val="0"/>
                <w:sz w:val="21"/>
              </w:rPr>
              <w:t>9</w:t>
            </w:r>
          </w:p>
        </w:tc>
        <w:tc>
          <w:tcPr>
            <w:tcW w:w="595" w:type="pct"/>
            <w:vMerge w:val="restar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桥梁</w:t>
            </w:r>
          </w:p>
        </w:tc>
        <w:tc>
          <w:tcPr>
            <w:tcW w:w="602"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大、中桥</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米</w:t>
            </w:r>
            <w:r>
              <w:rPr>
                <w:kern w:val="0"/>
                <w:sz w:val="21"/>
              </w:rPr>
              <w:t>/</w:t>
            </w:r>
            <w:r>
              <w:rPr>
                <w:rFonts w:hAnsi="宋体"/>
                <w:kern w:val="0"/>
                <w:sz w:val="21"/>
              </w:rPr>
              <w:t>座</w:t>
            </w:r>
          </w:p>
        </w:tc>
        <w:tc>
          <w:tcPr>
            <w:tcW w:w="646"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665</w:t>
            </w:r>
            <w:r>
              <w:rPr>
                <w:kern w:val="0"/>
                <w:sz w:val="21"/>
              </w:rPr>
              <w:t>/</w:t>
            </w:r>
            <w:r>
              <w:rPr>
                <w:rFonts w:hint="eastAsia"/>
                <w:kern w:val="0"/>
                <w:sz w:val="21"/>
              </w:rPr>
              <w:t>5</w:t>
            </w:r>
          </w:p>
        </w:tc>
        <w:tc>
          <w:tcPr>
            <w:tcW w:w="1639"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利旧83m/1座，新建582m/4座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Merge w:val="continue"/>
            <w:vAlign w:val="center"/>
          </w:tcPr>
          <w:p>
            <w:pPr>
              <w:adjustRightInd w:val="0"/>
              <w:spacing w:line="240" w:lineRule="auto"/>
              <w:ind w:firstLine="0" w:firstLineChars="0"/>
              <w:jc w:val="center"/>
              <w:textAlignment w:val="baseline"/>
              <w:outlineLvl w:val="6"/>
              <w:rPr>
                <w:kern w:val="0"/>
                <w:sz w:val="21"/>
              </w:rPr>
            </w:pPr>
          </w:p>
        </w:tc>
        <w:tc>
          <w:tcPr>
            <w:tcW w:w="595" w:type="pct"/>
            <w:vMerge w:val="continue"/>
            <w:vAlign w:val="center"/>
          </w:tcPr>
          <w:p>
            <w:pPr>
              <w:adjustRightInd w:val="0"/>
              <w:spacing w:line="240" w:lineRule="auto"/>
              <w:ind w:firstLine="0" w:firstLineChars="0"/>
              <w:jc w:val="center"/>
              <w:textAlignment w:val="baseline"/>
              <w:outlineLvl w:val="6"/>
              <w:rPr>
                <w:kern w:val="0"/>
                <w:sz w:val="21"/>
              </w:rPr>
            </w:pPr>
          </w:p>
        </w:tc>
        <w:tc>
          <w:tcPr>
            <w:tcW w:w="602"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小桥</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米</w:t>
            </w:r>
            <w:r>
              <w:rPr>
                <w:kern w:val="0"/>
                <w:sz w:val="21"/>
              </w:rPr>
              <w:t>/</w:t>
            </w:r>
            <w:r>
              <w:rPr>
                <w:rFonts w:hAnsi="宋体"/>
                <w:kern w:val="0"/>
                <w:sz w:val="21"/>
              </w:rPr>
              <w:t>座</w:t>
            </w:r>
          </w:p>
        </w:tc>
        <w:tc>
          <w:tcPr>
            <w:tcW w:w="646"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35/2</w:t>
            </w:r>
          </w:p>
        </w:tc>
        <w:tc>
          <w:tcPr>
            <w:tcW w:w="1639"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利旧35m/2座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10</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涵洞</w:t>
            </w:r>
            <w:r>
              <w:rPr>
                <w:rFonts w:hint="eastAsia" w:hAnsi="宋体"/>
                <w:kern w:val="0"/>
                <w:sz w:val="21"/>
              </w:rPr>
              <w:t>（包括通道）</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道</w:t>
            </w:r>
          </w:p>
        </w:tc>
        <w:tc>
          <w:tcPr>
            <w:tcW w:w="646"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51</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rFonts w:hint="eastAsia"/>
                <w:kern w:val="0"/>
                <w:sz w:val="21"/>
              </w:rPr>
              <w:t>11</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互通式立交</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处</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1</w:t>
            </w:r>
            <w:r>
              <w:rPr>
                <w:rFonts w:hint="eastAsia"/>
                <w:kern w:val="0"/>
                <w:sz w:val="21"/>
              </w:rPr>
              <w:t>2</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分离式立交</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处</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w:t>
            </w:r>
          </w:p>
        </w:tc>
        <w:tc>
          <w:tcPr>
            <w:tcW w:w="1639" w:type="pct"/>
            <w:vAlign w:val="center"/>
          </w:tcPr>
          <w:p>
            <w:pPr>
              <w:adjustRightInd w:val="0"/>
              <w:spacing w:line="240" w:lineRule="auto"/>
              <w:ind w:firstLine="0" w:firstLineChars="0"/>
              <w:jc w:val="center"/>
              <w:textAlignment w:val="baseline"/>
              <w:outlineLvl w:val="6"/>
              <w:rPr>
                <w:kern w:val="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51" w:type="pct"/>
            <w:vAlign w:val="center"/>
          </w:tcPr>
          <w:p>
            <w:pPr>
              <w:adjustRightInd w:val="0"/>
              <w:spacing w:line="240" w:lineRule="auto"/>
              <w:ind w:firstLine="0" w:firstLineChars="0"/>
              <w:jc w:val="center"/>
              <w:textAlignment w:val="baseline"/>
              <w:outlineLvl w:val="6"/>
              <w:rPr>
                <w:kern w:val="0"/>
                <w:sz w:val="21"/>
              </w:rPr>
            </w:pPr>
            <w:r>
              <w:rPr>
                <w:kern w:val="0"/>
                <w:sz w:val="21"/>
              </w:rPr>
              <w:t>1</w:t>
            </w:r>
            <w:r>
              <w:rPr>
                <w:rFonts w:hint="eastAsia"/>
                <w:kern w:val="0"/>
                <w:sz w:val="21"/>
              </w:rPr>
              <w:t>3</w:t>
            </w:r>
          </w:p>
        </w:tc>
        <w:tc>
          <w:tcPr>
            <w:tcW w:w="1197" w:type="pct"/>
            <w:gridSpan w:val="2"/>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平面交叉</w:t>
            </w:r>
          </w:p>
        </w:tc>
        <w:tc>
          <w:tcPr>
            <w:tcW w:w="966" w:type="pct"/>
            <w:vAlign w:val="center"/>
          </w:tcPr>
          <w:p>
            <w:pPr>
              <w:adjustRightInd w:val="0"/>
              <w:spacing w:line="240" w:lineRule="auto"/>
              <w:ind w:firstLine="0" w:firstLineChars="0"/>
              <w:jc w:val="center"/>
              <w:textAlignment w:val="baseline"/>
              <w:outlineLvl w:val="6"/>
              <w:rPr>
                <w:kern w:val="0"/>
                <w:sz w:val="21"/>
              </w:rPr>
            </w:pPr>
            <w:r>
              <w:rPr>
                <w:rFonts w:hAnsi="宋体"/>
                <w:kern w:val="0"/>
                <w:sz w:val="21"/>
              </w:rPr>
              <w:t>处</w:t>
            </w:r>
          </w:p>
        </w:tc>
        <w:tc>
          <w:tcPr>
            <w:tcW w:w="646" w:type="pct"/>
            <w:vAlign w:val="center"/>
          </w:tcPr>
          <w:p>
            <w:pPr>
              <w:adjustRightInd w:val="0"/>
              <w:spacing w:line="240" w:lineRule="auto"/>
              <w:ind w:firstLine="0" w:firstLineChars="0"/>
              <w:jc w:val="center"/>
              <w:textAlignment w:val="baseline"/>
              <w:outlineLvl w:val="6"/>
              <w:rPr>
                <w:kern w:val="0"/>
                <w:sz w:val="21"/>
              </w:rPr>
            </w:pPr>
            <w:r>
              <w:rPr>
                <w:kern w:val="0"/>
                <w:sz w:val="21"/>
              </w:rPr>
              <w:t>12</w:t>
            </w:r>
          </w:p>
        </w:tc>
        <w:tc>
          <w:tcPr>
            <w:tcW w:w="1639" w:type="pct"/>
            <w:vAlign w:val="center"/>
          </w:tcPr>
          <w:p>
            <w:pPr>
              <w:adjustRightInd w:val="0"/>
              <w:spacing w:line="240" w:lineRule="auto"/>
              <w:ind w:firstLine="0" w:firstLineChars="0"/>
              <w:jc w:val="center"/>
              <w:textAlignment w:val="baseline"/>
              <w:outlineLvl w:val="6"/>
              <w:rPr>
                <w:kern w:val="0"/>
                <w:sz w:val="21"/>
              </w:rPr>
            </w:pPr>
          </w:p>
        </w:tc>
      </w:tr>
    </w:tbl>
    <w:p>
      <w:pPr>
        <w:adjustRightInd w:val="0"/>
        <w:snapToGrid w:val="0"/>
        <w:ind w:firstLine="0" w:firstLineChars="0"/>
        <w:jc w:val="center"/>
        <w:rPr>
          <w:b/>
          <w:sz w:val="21"/>
        </w:rPr>
      </w:pPr>
      <w:r>
        <w:rPr>
          <w:b/>
          <w:sz w:val="21"/>
        </w:rPr>
        <w:t>表3.2-3</w:t>
      </w:r>
      <w:r>
        <w:rPr>
          <w:rFonts w:hint="eastAsia"/>
          <w:b/>
          <w:sz w:val="21"/>
        </w:rPr>
        <w:t>项目</w:t>
      </w:r>
      <w:r>
        <w:rPr>
          <w:b/>
          <w:sz w:val="21"/>
        </w:rPr>
        <w:t>工程</w:t>
      </w:r>
      <w:r>
        <w:rPr>
          <w:rFonts w:hint="eastAsia"/>
          <w:b/>
          <w:sz w:val="21"/>
        </w:rPr>
        <w:t>特性</w:t>
      </w:r>
      <w:r>
        <w:rPr>
          <w:b/>
          <w:sz w:val="21"/>
        </w:rPr>
        <w:t>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7"/>
        <w:gridCol w:w="2307"/>
        <w:gridCol w:w="2308"/>
        <w:gridCol w:w="2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序号</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名称</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单位</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工程量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一</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土地平整工程</w:t>
            </w:r>
          </w:p>
        </w:tc>
        <w:tc>
          <w:tcPr>
            <w:tcW w:w="4616" w:type="dxa"/>
            <w:gridSpan w:val="2"/>
            <w:vAlign w:val="center"/>
          </w:tcPr>
          <w:p>
            <w:pPr>
              <w:pStyle w:val="204"/>
              <w:spacing w:line="240" w:lineRule="auto"/>
              <w:ind w:firstLine="0" w:firstLineChars="0"/>
              <w:jc w:val="center"/>
              <w:outlineLvl w:val="2"/>
              <w:rPr>
                <w:rFonts w:eastAsiaTheme="minorEastAsia"/>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土地平整</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万m</w:t>
            </w:r>
            <w:r>
              <w:rPr>
                <w:rFonts w:eastAsiaTheme="minorEastAsia"/>
                <w:bCs/>
                <w:sz w:val="21"/>
                <w:szCs w:val="21"/>
                <w:vertAlign w:val="superscript"/>
              </w:rPr>
              <w:t>3</w:t>
            </w:r>
          </w:p>
        </w:tc>
        <w:tc>
          <w:tcPr>
            <w:tcW w:w="2308" w:type="dxa"/>
            <w:vAlign w:val="center"/>
          </w:tcPr>
          <w:p>
            <w:pPr>
              <w:adjustRightInd w:val="0"/>
              <w:spacing w:line="240" w:lineRule="auto"/>
              <w:ind w:firstLine="0" w:firstLineChars="0"/>
              <w:textAlignment w:val="baseline"/>
              <w:outlineLvl w:val="6"/>
              <w:rPr>
                <w:kern w:val="0"/>
                <w:sz w:val="21"/>
              </w:rPr>
            </w:pPr>
            <w:r>
              <w:rPr>
                <w:kern w:val="0"/>
                <w:sz w:val="21"/>
              </w:rPr>
              <w:t>69.84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hint="eastAsia" w:ascii="宋体" w:hAnsi="宋体" w:cs="宋体"/>
                <w:bCs/>
                <w:sz w:val="21"/>
                <w:szCs w:val="21"/>
              </w:rPr>
              <w:t>①</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表土剥离</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万m</w:t>
            </w:r>
            <w:r>
              <w:rPr>
                <w:rFonts w:eastAsiaTheme="minorEastAsia"/>
                <w:bCs/>
                <w:sz w:val="21"/>
                <w:szCs w:val="21"/>
                <w:vertAlign w:val="superscript"/>
              </w:rPr>
              <w:t>3</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hint="eastAsia" w:ascii="宋体" w:hAnsi="宋体" w:cs="宋体"/>
                <w:bCs/>
                <w:sz w:val="21"/>
                <w:szCs w:val="21"/>
              </w:rPr>
              <w:t>②</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推土机推土</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万m</w:t>
            </w:r>
            <w:r>
              <w:rPr>
                <w:rFonts w:eastAsiaTheme="minorEastAsia"/>
                <w:bCs/>
                <w:sz w:val="21"/>
                <w:szCs w:val="21"/>
                <w:vertAlign w:val="superscript"/>
              </w:rPr>
              <w:t>3</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2</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坑塘填埋</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万m</w:t>
            </w:r>
            <w:r>
              <w:rPr>
                <w:rFonts w:eastAsiaTheme="minorEastAsia"/>
                <w:bCs/>
                <w:sz w:val="21"/>
                <w:szCs w:val="21"/>
                <w:vertAlign w:val="superscript"/>
              </w:rPr>
              <w:t>3</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二</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农田水利</w:t>
            </w:r>
          </w:p>
        </w:tc>
        <w:tc>
          <w:tcPr>
            <w:tcW w:w="2308" w:type="dxa"/>
            <w:vAlign w:val="center"/>
          </w:tcPr>
          <w:p>
            <w:pPr>
              <w:pStyle w:val="204"/>
              <w:spacing w:line="240" w:lineRule="auto"/>
              <w:ind w:firstLine="0" w:firstLineChars="0"/>
              <w:jc w:val="center"/>
              <w:outlineLvl w:val="2"/>
              <w:rPr>
                <w:rFonts w:eastAsiaTheme="minorEastAsia"/>
                <w:bCs/>
                <w:sz w:val="21"/>
                <w:szCs w:val="21"/>
              </w:rPr>
            </w:pPr>
          </w:p>
        </w:tc>
        <w:tc>
          <w:tcPr>
            <w:tcW w:w="2308" w:type="dxa"/>
            <w:vAlign w:val="center"/>
          </w:tcPr>
          <w:p>
            <w:pPr>
              <w:pStyle w:val="204"/>
              <w:spacing w:line="240" w:lineRule="auto"/>
              <w:ind w:firstLine="0" w:firstLineChars="0"/>
              <w:jc w:val="center"/>
              <w:outlineLvl w:val="2"/>
              <w:rPr>
                <w:rFonts w:eastAsiaTheme="minorEastAsia"/>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盖板涵洞</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km/个</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825/25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2</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圆筒涵洞</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km/个</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660/20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3</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箱式通道</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km/个</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三</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其他工程</w:t>
            </w:r>
          </w:p>
        </w:tc>
        <w:tc>
          <w:tcPr>
            <w:tcW w:w="2308" w:type="dxa"/>
            <w:vAlign w:val="center"/>
          </w:tcPr>
          <w:p>
            <w:pPr>
              <w:pStyle w:val="204"/>
              <w:spacing w:line="240" w:lineRule="auto"/>
              <w:ind w:firstLine="0" w:firstLineChars="0"/>
              <w:jc w:val="center"/>
              <w:outlineLvl w:val="2"/>
              <w:rPr>
                <w:rFonts w:eastAsiaTheme="minorEastAsia"/>
                <w:bCs/>
                <w:sz w:val="21"/>
                <w:szCs w:val="21"/>
              </w:rPr>
            </w:pPr>
          </w:p>
        </w:tc>
        <w:tc>
          <w:tcPr>
            <w:tcW w:w="2308" w:type="dxa"/>
            <w:vAlign w:val="center"/>
          </w:tcPr>
          <w:p>
            <w:pPr>
              <w:pStyle w:val="204"/>
              <w:spacing w:line="240" w:lineRule="auto"/>
              <w:ind w:firstLine="0" w:firstLineChars="0"/>
              <w:jc w:val="center"/>
              <w:outlineLvl w:val="2"/>
              <w:rPr>
                <w:rFonts w:eastAsiaTheme="minorEastAsia"/>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安全设施</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km</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10.225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2</w:t>
            </w:r>
          </w:p>
        </w:tc>
        <w:tc>
          <w:tcPr>
            <w:tcW w:w="2307"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环境绿化</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km</w:t>
            </w:r>
          </w:p>
        </w:tc>
        <w:tc>
          <w:tcPr>
            <w:tcW w:w="2308" w:type="dxa"/>
            <w:vAlign w:val="center"/>
          </w:tcPr>
          <w:p>
            <w:pPr>
              <w:pStyle w:val="204"/>
              <w:spacing w:line="240" w:lineRule="auto"/>
              <w:ind w:firstLine="0" w:firstLineChars="0"/>
              <w:jc w:val="center"/>
              <w:outlineLvl w:val="2"/>
              <w:rPr>
                <w:rFonts w:eastAsiaTheme="minorEastAsia"/>
                <w:bCs/>
                <w:sz w:val="21"/>
                <w:szCs w:val="21"/>
              </w:rPr>
            </w:pPr>
            <w:r>
              <w:rPr>
                <w:rFonts w:eastAsiaTheme="minorEastAsia"/>
                <w:bCs/>
                <w:sz w:val="21"/>
                <w:szCs w:val="21"/>
              </w:rPr>
              <w:t>10.225</w:t>
            </w:r>
          </w:p>
        </w:tc>
      </w:tr>
    </w:tbl>
    <w:p>
      <w:pPr>
        <w:pStyle w:val="204"/>
        <w:spacing w:line="480" w:lineRule="exact"/>
        <w:ind w:firstLine="0" w:firstLineChars="0"/>
        <w:outlineLvl w:val="2"/>
        <w:rPr>
          <w:b/>
          <w:sz w:val="28"/>
          <w:szCs w:val="28"/>
        </w:rPr>
      </w:pPr>
      <w:r>
        <w:rPr>
          <w:rFonts w:hint="eastAsia"/>
          <w:b/>
          <w:sz w:val="28"/>
          <w:szCs w:val="28"/>
        </w:rPr>
        <w:t>3.2.</w:t>
      </w:r>
      <w:r>
        <w:rPr>
          <w:b/>
          <w:sz w:val="28"/>
          <w:szCs w:val="28"/>
        </w:rPr>
        <w:t>4</w:t>
      </w:r>
      <w:r>
        <w:rPr>
          <w:rFonts w:hint="eastAsia"/>
          <w:b/>
          <w:sz w:val="28"/>
          <w:szCs w:val="28"/>
        </w:rPr>
        <w:t>交通量预测</w:t>
      </w:r>
    </w:p>
    <w:p>
      <w:pPr>
        <w:ind w:firstLine="480"/>
        <w:rPr>
          <w:szCs w:val="24"/>
        </w:rPr>
      </w:pPr>
      <w:r>
        <w:rPr>
          <w:rFonts w:hint="eastAsia"/>
          <w:szCs w:val="24"/>
        </w:rPr>
        <w:t>（1）设计当量交通量</w:t>
      </w:r>
    </w:p>
    <w:p>
      <w:pPr>
        <w:ind w:firstLine="480"/>
        <w:rPr>
          <w:szCs w:val="24"/>
        </w:rPr>
      </w:pPr>
      <w:r>
        <w:rPr>
          <w:szCs w:val="24"/>
        </w:rPr>
        <w:t>根据</w:t>
      </w:r>
      <w:r>
        <w:t>《</w:t>
      </w:r>
      <w:r>
        <w:rPr>
          <w:rFonts w:hint="eastAsia"/>
        </w:rPr>
        <w:t>国道G112遵化城区段改建工程可行性研究报告</w:t>
      </w:r>
      <w:r>
        <w:t>》</w:t>
      </w:r>
      <w:r>
        <w:rPr>
          <w:szCs w:val="24"/>
        </w:rPr>
        <w:t>的交通预测结果，本项目未来各特征年平均交通量预测结果见表3.</w:t>
      </w:r>
      <w:r>
        <w:rPr>
          <w:rFonts w:hint="eastAsia"/>
          <w:szCs w:val="24"/>
        </w:rPr>
        <w:t>2</w:t>
      </w:r>
      <w:r>
        <w:rPr>
          <w:szCs w:val="24"/>
        </w:rPr>
        <w:t>-4。</w:t>
      </w:r>
    </w:p>
    <w:p>
      <w:pPr>
        <w:wordWrap w:val="0"/>
        <w:adjustRightInd w:val="0"/>
        <w:snapToGrid w:val="0"/>
        <w:ind w:firstLine="0" w:firstLineChars="0"/>
        <w:jc w:val="right"/>
        <w:rPr>
          <w:b/>
          <w:sz w:val="21"/>
        </w:rPr>
      </w:pPr>
      <w:r>
        <w:rPr>
          <w:b/>
          <w:sz w:val="21"/>
        </w:rPr>
        <w:t>表3.</w:t>
      </w:r>
      <w:r>
        <w:rPr>
          <w:rFonts w:hint="eastAsia"/>
          <w:b/>
          <w:sz w:val="21"/>
        </w:rPr>
        <w:t>2</w:t>
      </w:r>
      <w:r>
        <w:rPr>
          <w:b/>
          <w:sz w:val="21"/>
        </w:rPr>
        <w:t>-4拟建公路特征年各路段预测交通量</w:t>
      </w:r>
      <w:r>
        <w:rPr>
          <w:rFonts w:hint="eastAsia"/>
          <w:b/>
          <w:sz w:val="21"/>
        </w:rPr>
        <w:t xml:space="preserve"> </w:t>
      </w:r>
      <w:r>
        <w:rPr>
          <w:b/>
          <w:sz w:val="21"/>
        </w:rPr>
        <w:t xml:space="preserve">   </w:t>
      </w:r>
      <w:r>
        <w:rPr>
          <w:rFonts w:hint="eastAsia"/>
          <w:b/>
          <w:sz w:val="21"/>
        </w:rPr>
        <w:t xml:space="preserve">   </w:t>
      </w:r>
      <w:r>
        <w:rPr>
          <w:b/>
          <w:sz w:val="21"/>
        </w:rPr>
        <w:t xml:space="preserve">         （</w:t>
      </w:r>
      <w:r>
        <w:rPr>
          <w:rFonts w:hint="eastAsia"/>
          <w:b/>
          <w:sz w:val="21"/>
        </w:rPr>
        <w:t>pcu/d</w:t>
      </w:r>
      <w:r>
        <w:rPr>
          <w:b/>
          <w:sz w:val="21"/>
        </w:rPr>
        <w:t>）</w:t>
      </w:r>
    </w:p>
    <w:tbl>
      <w:tblPr>
        <w:tblStyle w:val="52"/>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58"/>
        <w:gridCol w:w="1928"/>
        <w:gridCol w:w="1581"/>
        <w:gridCol w:w="135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2" w:type="pct"/>
            <w:vAlign w:val="center"/>
          </w:tcPr>
          <w:p>
            <w:pPr>
              <w:spacing w:line="240" w:lineRule="auto"/>
              <w:ind w:firstLine="0" w:firstLineChars="0"/>
              <w:jc w:val="center"/>
              <w:rPr>
                <w:spacing w:val="3"/>
                <w:sz w:val="21"/>
              </w:rPr>
            </w:pPr>
            <w:r>
              <w:rPr>
                <w:rFonts w:hint="eastAsia"/>
                <w:spacing w:val="3"/>
                <w:sz w:val="21"/>
              </w:rPr>
              <w:t>年份</w:t>
            </w:r>
          </w:p>
        </w:tc>
        <w:tc>
          <w:tcPr>
            <w:tcW w:w="1045" w:type="pct"/>
            <w:vAlign w:val="center"/>
          </w:tcPr>
          <w:p>
            <w:pPr>
              <w:spacing w:line="240" w:lineRule="auto"/>
              <w:ind w:firstLine="0" w:firstLineChars="0"/>
              <w:jc w:val="center"/>
              <w:rPr>
                <w:spacing w:val="3"/>
                <w:sz w:val="21"/>
              </w:rPr>
            </w:pPr>
            <w:r>
              <w:rPr>
                <w:rFonts w:hint="eastAsia"/>
                <w:spacing w:val="3"/>
                <w:sz w:val="21"/>
              </w:rPr>
              <w:t>近期</w:t>
            </w:r>
          </w:p>
        </w:tc>
        <w:tc>
          <w:tcPr>
            <w:tcW w:w="857" w:type="pct"/>
            <w:vAlign w:val="center"/>
          </w:tcPr>
          <w:p>
            <w:pPr>
              <w:spacing w:line="240" w:lineRule="auto"/>
              <w:ind w:firstLine="0" w:firstLineChars="0"/>
              <w:jc w:val="center"/>
              <w:rPr>
                <w:spacing w:val="3"/>
                <w:sz w:val="21"/>
              </w:rPr>
            </w:pPr>
            <w:r>
              <w:rPr>
                <w:rFonts w:hint="eastAsia"/>
                <w:spacing w:val="3"/>
                <w:sz w:val="21"/>
              </w:rPr>
              <w:t>中期</w:t>
            </w:r>
          </w:p>
        </w:tc>
        <w:tc>
          <w:tcPr>
            <w:tcW w:w="736" w:type="pct"/>
            <w:vAlign w:val="center"/>
          </w:tcPr>
          <w:p>
            <w:pPr>
              <w:spacing w:line="240" w:lineRule="auto"/>
              <w:ind w:firstLine="0" w:firstLineChars="0"/>
              <w:jc w:val="center"/>
              <w:rPr>
                <w:spacing w:val="3"/>
                <w:sz w:val="21"/>
              </w:rPr>
            </w:pPr>
            <w:r>
              <w:rPr>
                <w:rFonts w:hint="eastAsia"/>
                <w:spacing w:val="3"/>
                <w:sz w:val="21"/>
              </w:rPr>
              <w:t>远期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362" w:type="pct"/>
            <w:vAlign w:val="center"/>
          </w:tcPr>
          <w:p>
            <w:pPr>
              <w:spacing w:line="240" w:lineRule="auto"/>
              <w:ind w:firstLine="0" w:firstLineChars="0"/>
              <w:jc w:val="center"/>
              <w:rPr>
                <w:spacing w:val="3"/>
                <w:sz w:val="21"/>
              </w:rPr>
            </w:pPr>
            <w:r>
              <w:rPr>
                <w:rFonts w:hint="eastAsia"/>
                <w:spacing w:val="3"/>
                <w:sz w:val="21"/>
              </w:rPr>
              <w:t>国道G112遵化城区段改建工程交通量</w:t>
            </w:r>
          </w:p>
        </w:tc>
        <w:tc>
          <w:tcPr>
            <w:tcW w:w="1045" w:type="pct"/>
            <w:vAlign w:val="center"/>
          </w:tcPr>
          <w:p>
            <w:pPr>
              <w:spacing w:line="240" w:lineRule="auto"/>
              <w:ind w:firstLine="0" w:firstLineChars="0"/>
              <w:jc w:val="center"/>
              <w:rPr>
                <w:spacing w:val="3"/>
                <w:sz w:val="21"/>
              </w:rPr>
            </w:pPr>
            <w:r>
              <w:rPr>
                <w:rFonts w:hint="eastAsia"/>
                <w:spacing w:val="3"/>
                <w:sz w:val="21"/>
              </w:rPr>
              <w:t>14214</w:t>
            </w:r>
          </w:p>
        </w:tc>
        <w:tc>
          <w:tcPr>
            <w:tcW w:w="857" w:type="pct"/>
            <w:vAlign w:val="center"/>
          </w:tcPr>
          <w:p>
            <w:pPr>
              <w:spacing w:line="240" w:lineRule="auto"/>
              <w:ind w:firstLine="0" w:firstLineChars="0"/>
              <w:jc w:val="center"/>
              <w:rPr>
                <w:spacing w:val="3"/>
                <w:sz w:val="21"/>
              </w:rPr>
            </w:pPr>
            <w:r>
              <w:rPr>
                <w:rFonts w:hint="eastAsia"/>
                <w:spacing w:val="3"/>
                <w:sz w:val="21"/>
              </w:rPr>
              <w:t>17038</w:t>
            </w:r>
          </w:p>
        </w:tc>
        <w:tc>
          <w:tcPr>
            <w:tcW w:w="736" w:type="pct"/>
            <w:vAlign w:val="center"/>
          </w:tcPr>
          <w:p>
            <w:pPr>
              <w:spacing w:line="240" w:lineRule="auto"/>
              <w:ind w:firstLine="0" w:firstLineChars="0"/>
              <w:jc w:val="center"/>
              <w:rPr>
                <w:spacing w:val="3"/>
                <w:sz w:val="21"/>
              </w:rPr>
            </w:pPr>
            <w:r>
              <w:rPr>
                <w:rFonts w:hint="eastAsia"/>
                <w:spacing w:val="3"/>
                <w:sz w:val="21"/>
              </w:rPr>
              <w:t>22282</w:t>
            </w:r>
          </w:p>
        </w:tc>
      </w:tr>
    </w:tbl>
    <w:p>
      <w:pPr>
        <w:ind w:firstLine="480"/>
        <w:rPr>
          <w:szCs w:val="24"/>
        </w:rPr>
      </w:pPr>
      <w:r>
        <w:rPr>
          <w:rFonts w:hint="eastAsia"/>
          <w:szCs w:val="24"/>
        </w:rPr>
        <w:t>（2）车型比</w:t>
      </w:r>
    </w:p>
    <w:p>
      <w:pPr>
        <w:ind w:firstLine="480"/>
        <w:rPr>
          <w:szCs w:val="24"/>
        </w:rPr>
      </w:pPr>
      <w:r>
        <w:rPr>
          <w:szCs w:val="24"/>
        </w:rPr>
        <w:t>根据交通运输部印发《关于调整公路交通情况调查车型分类及折算系数的通知》（厅规划字[2010]205号）中附件1和附件2公路交通情况调查机动车车型分类及各车型折算系数，以及项目可研提供的车型调查，本工程车型分类见表</w:t>
      </w:r>
      <w:r>
        <w:rPr>
          <w:rFonts w:hint="eastAsia"/>
          <w:szCs w:val="24"/>
        </w:rPr>
        <w:t>3.2-</w:t>
      </w:r>
      <w:r>
        <w:rPr>
          <w:szCs w:val="24"/>
        </w:rPr>
        <w:t>4，</w:t>
      </w:r>
      <w:r>
        <w:rPr>
          <w:rFonts w:hint="eastAsia"/>
          <w:szCs w:val="24"/>
        </w:rPr>
        <w:t>根据《环境影响评价技术导则 声环境》（HJ2.4-2021）</w:t>
      </w:r>
      <w:r>
        <w:rPr>
          <w:szCs w:val="24"/>
        </w:rPr>
        <w:t>车型折算系数见表</w:t>
      </w:r>
      <w:r>
        <w:rPr>
          <w:rFonts w:hint="eastAsia"/>
          <w:szCs w:val="24"/>
        </w:rPr>
        <w:t>3.2-</w:t>
      </w:r>
      <w:r>
        <w:rPr>
          <w:szCs w:val="24"/>
        </w:rPr>
        <w:t>5，车型比见表</w:t>
      </w:r>
      <w:r>
        <w:rPr>
          <w:rFonts w:hint="eastAsia"/>
          <w:szCs w:val="24"/>
        </w:rPr>
        <w:t>3.2-</w:t>
      </w:r>
      <w:r>
        <w:rPr>
          <w:szCs w:val="24"/>
        </w:rPr>
        <w:t>6</w:t>
      </w:r>
      <w:r>
        <w:rPr>
          <w:rFonts w:hint="eastAsia"/>
          <w:szCs w:val="24"/>
        </w:rPr>
        <w:t>。</w:t>
      </w:r>
    </w:p>
    <w:p>
      <w:pPr>
        <w:adjustRightInd w:val="0"/>
        <w:snapToGrid w:val="0"/>
        <w:ind w:firstLine="0" w:firstLineChars="0"/>
        <w:jc w:val="center"/>
        <w:rPr>
          <w:b/>
          <w:sz w:val="21"/>
        </w:rPr>
      </w:pPr>
      <w:r>
        <w:rPr>
          <w:b/>
          <w:sz w:val="21"/>
        </w:rPr>
        <w:t>表3.</w:t>
      </w:r>
      <w:r>
        <w:rPr>
          <w:rFonts w:hint="eastAsia"/>
          <w:b/>
          <w:sz w:val="21"/>
        </w:rPr>
        <w:t>2</w:t>
      </w:r>
      <w:r>
        <w:rPr>
          <w:b/>
          <w:sz w:val="21"/>
        </w:rPr>
        <w:t>-5公路交通情况调查机动车车型分类</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30"/>
        <w:gridCol w:w="837"/>
        <w:gridCol w:w="1166"/>
        <w:gridCol w:w="2359"/>
        <w:gridCol w:w="2539"/>
        <w:gridCol w:w="14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Align w:val="center"/>
          </w:tcPr>
          <w:p>
            <w:pPr>
              <w:pStyle w:val="675"/>
              <w:jc w:val="center"/>
              <w:rPr>
                <w:sz w:val="21"/>
                <w:szCs w:val="21"/>
              </w:rPr>
            </w:pPr>
            <w:r>
              <w:rPr>
                <w:bCs/>
                <w:sz w:val="21"/>
                <w:szCs w:val="21"/>
              </w:rPr>
              <w:t>车型</w:t>
            </w:r>
          </w:p>
        </w:tc>
        <w:tc>
          <w:tcPr>
            <w:tcW w:w="464" w:type="pct"/>
            <w:vAlign w:val="center"/>
          </w:tcPr>
          <w:p>
            <w:pPr>
              <w:pStyle w:val="675"/>
              <w:jc w:val="center"/>
              <w:rPr>
                <w:sz w:val="21"/>
                <w:szCs w:val="21"/>
              </w:rPr>
            </w:pPr>
            <w:r>
              <w:rPr>
                <w:bCs/>
                <w:sz w:val="21"/>
                <w:szCs w:val="21"/>
              </w:rPr>
              <w:t>一级</w:t>
            </w:r>
          </w:p>
          <w:p>
            <w:pPr>
              <w:pStyle w:val="675"/>
              <w:jc w:val="center"/>
              <w:rPr>
                <w:sz w:val="21"/>
                <w:szCs w:val="21"/>
              </w:rPr>
            </w:pPr>
            <w:r>
              <w:rPr>
                <w:bCs/>
                <w:sz w:val="21"/>
                <w:szCs w:val="21"/>
              </w:rPr>
              <w:t>分类</w:t>
            </w:r>
          </w:p>
        </w:tc>
        <w:tc>
          <w:tcPr>
            <w:tcW w:w="646" w:type="pct"/>
            <w:vAlign w:val="center"/>
          </w:tcPr>
          <w:p>
            <w:pPr>
              <w:pStyle w:val="675"/>
              <w:jc w:val="center"/>
              <w:rPr>
                <w:sz w:val="21"/>
                <w:szCs w:val="21"/>
              </w:rPr>
            </w:pPr>
            <w:r>
              <w:rPr>
                <w:bCs/>
                <w:sz w:val="21"/>
                <w:szCs w:val="21"/>
              </w:rPr>
              <w:t>二级分类</w:t>
            </w:r>
          </w:p>
        </w:tc>
        <w:tc>
          <w:tcPr>
            <w:tcW w:w="1307" w:type="pct"/>
            <w:vAlign w:val="center"/>
          </w:tcPr>
          <w:p>
            <w:pPr>
              <w:pStyle w:val="675"/>
              <w:jc w:val="center"/>
              <w:rPr>
                <w:sz w:val="21"/>
                <w:szCs w:val="21"/>
              </w:rPr>
            </w:pPr>
            <w:r>
              <w:rPr>
                <w:bCs/>
                <w:sz w:val="21"/>
                <w:szCs w:val="21"/>
              </w:rPr>
              <w:t>额定荷载参数</w:t>
            </w:r>
          </w:p>
        </w:tc>
        <w:tc>
          <w:tcPr>
            <w:tcW w:w="1407" w:type="pct"/>
            <w:vAlign w:val="center"/>
          </w:tcPr>
          <w:p>
            <w:pPr>
              <w:pStyle w:val="675"/>
              <w:jc w:val="center"/>
              <w:rPr>
                <w:sz w:val="21"/>
                <w:szCs w:val="21"/>
              </w:rPr>
            </w:pPr>
            <w:r>
              <w:rPr>
                <w:bCs/>
                <w:sz w:val="21"/>
                <w:szCs w:val="21"/>
              </w:rPr>
              <w:t>轮廓及轴数特征参数</w:t>
            </w:r>
          </w:p>
        </w:tc>
        <w:tc>
          <w:tcPr>
            <w:tcW w:w="827" w:type="pct"/>
            <w:vAlign w:val="center"/>
          </w:tcPr>
          <w:p>
            <w:pPr>
              <w:pStyle w:val="675"/>
              <w:jc w:val="center"/>
              <w:rPr>
                <w:sz w:val="21"/>
                <w:szCs w:val="21"/>
              </w:rPr>
            </w:pPr>
            <w:r>
              <w:rPr>
                <w:bCs/>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restart"/>
            <w:vAlign w:val="center"/>
          </w:tcPr>
          <w:p>
            <w:pPr>
              <w:pStyle w:val="675"/>
              <w:jc w:val="center"/>
              <w:rPr>
                <w:sz w:val="21"/>
                <w:szCs w:val="21"/>
              </w:rPr>
            </w:pPr>
            <w:r>
              <w:rPr>
                <w:sz w:val="21"/>
                <w:szCs w:val="21"/>
              </w:rPr>
              <w:t>汽车</w:t>
            </w:r>
          </w:p>
        </w:tc>
        <w:tc>
          <w:tcPr>
            <w:tcW w:w="464" w:type="pct"/>
            <w:vMerge w:val="restart"/>
            <w:vAlign w:val="center"/>
          </w:tcPr>
          <w:p>
            <w:pPr>
              <w:pStyle w:val="675"/>
              <w:jc w:val="center"/>
              <w:rPr>
                <w:sz w:val="21"/>
                <w:szCs w:val="21"/>
              </w:rPr>
            </w:pPr>
            <w:r>
              <w:rPr>
                <w:sz w:val="21"/>
                <w:szCs w:val="21"/>
              </w:rPr>
              <w:t>小型车</w:t>
            </w:r>
          </w:p>
        </w:tc>
        <w:tc>
          <w:tcPr>
            <w:tcW w:w="646" w:type="pct"/>
            <w:vAlign w:val="center"/>
          </w:tcPr>
          <w:p>
            <w:pPr>
              <w:pStyle w:val="675"/>
              <w:jc w:val="center"/>
              <w:rPr>
                <w:sz w:val="21"/>
                <w:szCs w:val="21"/>
              </w:rPr>
            </w:pPr>
            <w:r>
              <w:rPr>
                <w:sz w:val="21"/>
                <w:szCs w:val="21"/>
              </w:rPr>
              <w:t>中小客车</w:t>
            </w:r>
          </w:p>
        </w:tc>
        <w:tc>
          <w:tcPr>
            <w:tcW w:w="1307" w:type="pct"/>
            <w:vAlign w:val="center"/>
          </w:tcPr>
          <w:p>
            <w:pPr>
              <w:pStyle w:val="675"/>
              <w:jc w:val="center"/>
              <w:rPr>
                <w:sz w:val="21"/>
                <w:szCs w:val="21"/>
              </w:rPr>
            </w:pPr>
            <w:r>
              <w:rPr>
                <w:sz w:val="21"/>
                <w:szCs w:val="21"/>
              </w:rPr>
              <w:t>额定座位</w:t>
            </w:r>
            <w:r>
              <w:rPr>
                <w:rFonts w:ascii="Times New Roman" w:hAnsi="Times New Roman" w:eastAsia="Times New Roman"/>
                <w:sz w:val="21"/>
                <w:szCs w:val="21"/>
              </w:rPr>
              <w:t>≤19</w:t>
            </w:r>
            <w:r>
              <w:rPr>
                <w:sz w:val="21"/>
                <w:szCs w:val="21"/>
              </w:rPr>
              <w:t>座</w:t>
            </w:r>
          </w:p>
        </w:tc>
        <w:tc>
          <w:tcPr>
            <w:tcW w:w="1407" w:type="pct"/>
            <w:vMerge w:val="restart"/>
            <w:vAlign w:val="center"/>
          </w:tcPr>
          <w:p>
            <w:pPr>
              <w:pStyle w:val="675"/>
              <w:jc w:val="center"/>
              <w:rPr>
                <w:sz w:val="21"/>
                <w:szCs w:val="21"/>
              </w:rPr>
            </w:pPr>
            <w:r>
              <w:rPr>
                <w:sz w:val="21"/>
                <w:szCs w:val="21"/>
              </w:rPr>
              <w:t>车长＜</w:t>
            </w:r>
            <w:r>
              <w:rPr>
                <w:rFonts w:ascii="Times New Roman" w:hAnsi="Times New Roman" w:eastAsia="Times New Roman"/>
                <w:sz w:val="21"/>
                <w:szCs w:val="21"/>
              </w:rPr>
              <w:t>6m</w:t>
            </w:r>
            <w:r>
              <w:rPr>
                <w:sz w:val="21"/>
                <w:szCs w:val="21"/>
              </w:rPr>
              <w:t>，</w:t>
            </w:r>
            <w:r>
              <w:rPr>
                <w:rFonts w:ascii="Times New Roman" w:hAnsi="Times New Roman" w:eastAsia="Times New Roman"/>
                <w:sz w:val="21"/>
                <w:szCs w:val="21"/>
              </w:rPr>
              <w:t>2</w:t>
            </w:r>
            <w:r>
              <w:rPr>
                <w:sz w:val="21"/>
                <w:szCs w:val="21"/>
              </w:rPr>
              <w:t>轴</w:t>
            </w:r>
          </w:p>
        </w:tc>
        <w:tc>
          <w:tcPr>
            <w:tcW w:w="827" w:type="pct"/>
            <w:vAlign w:val="center"/>
          </w:tcPr>
          <w:p>
            <w:pPr>
              <w:spacing w:line="240" w:lineRule="auto"/>
              <w:ind w:firstLine="0" w:firstLineChars="0"/>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Merge w:val="continue"/>
            <w:vAlign w:val="center"/>
          </w:tcPr>
          <w:p>
            <w:pPr>
              <w:spacing w:line="240" w:lineRule="auto"/>
              <w:ind w:firstLine="0" w:firstLineChars="0"/>
              <w:jc w:val="center"/>
              <w:rPr>
                <w:sz w:val="21"/>
              </w:rPr>
            </w:pPr>
          </w:p>
        </w:tc>
        <w:tc>
          <w:tcPr>
            <w:tcW w:w="646" w:type="pct"/>
            <w:vAlign w:val="center"/>
          </w:tcPr>
          <w:p>
            <w:pPr>
              <w:pStyle w:val="675"/>
              <w:jc w:val="center"/>
              <w:rPr>
                <w:sz w:val="21"/>
                <w:szCs w:val="21"/>
              </w:rPr>
            </w:pPr>
            <w:r>
              <w:rPr>
                <w:sz w:val="21"/>
                <w:szCs w:val="21"/>
              </w:rPr>
              <w:t>小型货车</w:t>
            </w:r>
          </w:p>
        </w:tc>
        <w:tc>
          <w:tcPr>
            <w:tcW w:w="1307" w:type="pct"/>
            <w:vAlign w:val="center"/>
          </w:tcPr>
          <w:p>
            <w:pPr>
              <w:pStyle w:val="675"/>
              <w:jc w:val="center"/>
              <w:rPr>
                <w:sz w:val="21"/>
                <w:szCs w:val="21"/>
              </w:rPr>
            </w:pPr>
            <w:r>
              <w:rPr>
                <w:sz w:val="21"/>
                <w:szCs w:val="21"/>
              </w:rPr>
              <w:t>载质量</w:t>
            </w:r>
            <w:r>
              <w:rPr>
                <w:rFonts w:ascii="Times New Roman" w:hAnsi="Times New Roman" w:eastAsia="Times New Roman"/>
                <w:sz w:val="21"/>
                <w:szCs w:val="21"/>
              </w:rPr>
              <w:t>≤2</w:t>
            </w:r>
            <w:r>
              <w:rPr>
                <w:sz w:val="21"/>
                <w:szCs w:val="21"/>
              </w:rPr>
              <w:t>吨</w:t>
            </w:r>
          </w:p>
        </w:tc>
        <w:tc>
          <w:tcPr>
            <w:tcW w:w="1407" w:type="pct"/>
            <w:vMerge w:val="continue"/>
            <w:vAlign w:val="center"/>
          </w:tcPr>
          <w:p>
            <w:pPr>
              <w:spacing w:line="240" w:lineRule="auto"/>
              <w:ind w:firstLine="0" w:firstLineChars="0"/>
              <w:jc w:val="center"/>
              <w:rPr>
                <w:sz w:val="21"/>
              </w:rPr>
            </w:pPr>
          </w:p>
        </w:tc>
        <w:tc>
          <w:tcPr>
            <w:tcW w:w="827" w:type="pct"/>
            <w:vAlign w:val="center"/>
          </w:tcPr>
          <w:p>
            <w:pPr>
              <w:pStyle w:val="675"/>
              <w:jc w:val="center"/>
              <w:rPr>
                <w:sz w:val="21"/>
                <w:szCs w:val="21"/>
              </w:rPr>
            </w:pPr>
            <w:r>
              <w:rPr>
                <w:sz w:val="21"/>
                <w:szCs w:val="21"/>
              </w:rPr>
              <w:t>包括三轮载货</w:t>
            </w:r>
          </w:p>
          <w:p>
            <w:pPr>
              <w:pStyle w:val="675"/>
              <w:jc w:val="center"/>
              <w:rPr>
                <w:sz w:val="21"/>
                <w:szCs w:val="21"/>
              </w:rPr>
            </w:pPr>
            <w:r>
              <w:rPr>
                <w:sz w:val="21"/>
                <w:szCs w:val="21"/>
              </w:rPr>
              <w:t>汽车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Merge w:val="restart"/>
            <w:vAlign w:val="center"/>
          </w:tcPr>
          <w:p>
            <w:pPr>
              <w:pStyle w:val="675"/>
              <w:jc w:val="center"/>
              <w:rPr>
                <w:sz w:val="21"/>
                <w:szCs w:val="21"/>
              </w:rPr>
            </w:pPr>
            <w:r>
              <w:rPr>
                <w:sz w:val="21"/>
                <w:szCs w:val="21"/>
              </w:rPr>
              <w:t>中型车</w:t>
            </w:r>
          </w:p>
        </w:tc>
        <w:tc>
          <w:tcPr>
            <w:tcW w:w="646" w:type="pct"/>
            <w:vAlign w:val="center"/>
          </w:tcPr>
          <w:p>
            <w:pPr>
              <w:pStyle w:val="675"/>
              <w:jc w:val="center"/>
              <w:rPr>
                <w:sz w:val="21"/>
                <w:szCs w:val="21"/>
              </w:rPr>
            </w:pPr>
            <w:r>
              <w:rPr>
                <w:sz w:val="21"/>
                <w:szCs w:val="21"/>
              </w:rPr>
              <w:t>大客车</w:t>
            </w:r>
          </w:p>
        </w:tc>
        <w:tc>
          <w:tcPr>
            <w:tcW w:w="1307" w:type="pct"/>
            <w:vAlign w:val="center"/>
          </w:tcPr>
          <w:p>
            <w:pPr>
              <w:pStyle w:val="675"/>
              <w:jc w:val="center"/>
              <w:rPr>
                <w:sz w:val="21"/>
                <w:szCs w:val="21"/>
              </w:rPr>
            </w:pPr>
            <w:r>
              <w:rPr>
                <w:sz w:val="21"/>
                <w:szCs w:val="21"/>
              </w:rPr>
              <w:t>额定座位＞</w:t>
            </w:r>
            <w:r>
              <w:rPr>
                <w:rFonts w:ascii="Times New Roman" w:hAnsi="Times New Roman" w:eastAsia="Times New Roman"/>
                <w:sz w:val="21"/>
                <w:szCs w:val="21"/>
              </w:rPr>
              <w:t>19</w:t>
            </w:r>
            <w:r>
              <w:rPr>
                <w:sz w:val="21"/>
                <w:szCs w:val="21"/>
              </w:rPr>
              <w:t>座</w:t>
            </w:r>
          </w:p>
        </w:tc>
        <w:tc>
          <w:tcPr>
            <w:tcW w:w="1407" w:type="pct"/>
            <w:vMerge w:val="restart"/>
            <w:vAlign w:val="center"/>
          </w:tcPr>
          <w:p>
            <w:pPr>
              <w:pStyle w:val="675"/>
              <w:jc w:val="center"/>
              <w:rPr>
                <w:sz w:val="21"/>
                <w:szCs w:val="21"/>
              </w:rPr>
            </w:pPr>
            <w:r>
              <w:rPr>
                <w:rFonts w:ascii="Times New Roman" w:hAnsi="Times New Roman" w:eastAsia="Times New Roman"/>
                <w:sz w:val="21"/>
                <w:szCs w:val="21"/>
              </w:rPr>
              <w:t>6m≤</w:t>
            </w:r>
            <w:r>
              <w:rPr>
                <w:sz w:val="21"/>
                <w:szCs w:val="21"/>
              </w:rPr>
              <w:t>车长</w:t>
            </w:r>
            <w:r>
              <w:rPr>
                <w:rFonts w:ascii="Times New Roman" w:hAnsi="Times New Roman" w:eastAsia="Times New Roman"/>
                <w:sz w:val="21"/>
                <w:szCs w:val="21"/>
              </w:rPr>
              <w:t>≤12m</w:t>
            </w:r>
            <w:r>
              <w:rPr>
                <w:sz w:val="21"/>
                <w:szCs w:val="21"/>
              </w:rPr>
              <w:t>，</w:t>
            </w:r>
            <w:r>
              <w:rPr>
                <w:rFonts w:ascii="Times New Roman" w:hAnsi="Times New Roman" w:eastAsia="Times New Roman"/>
                <w:sz w:val="21"/>
                <w:szCs w:val="21"/>
              </w:rPr>
              <w:t>2</w:t>
            </w:r>
            <w:r>
              <w:rPr>
                <w:sz w:val="21"/>
                <w:szCs w:val="21"/>
              </w:rPr>
              <w:t>轴</w:t>
            </w:r>
          </w:p>
        </w:tc>
        <w:tc>
          <w:tcPr>
            <w:tcW w:w="827" w:type="pct"/>
            <w:vAlign w:val="center"/>
          </w:tcPr>
          <w:p>
            <w:pPr>
              <w:spacing w:line="240" w:lineRule="auto"/>
              <w:ind w:firstLine="0" w:firstLineChars="0"/>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Merge w:val="continue"/>
            <w:vAlign w:val="center"/>
          </w:tcPr>
          <w:p>
            <w:pPr>
              <w:spacing w:line="240" w:lineRule="auto"/>
              <w:ind w:firstLine="0" w:firstLineChars="0"/>
              <w:jc w:val="center"/>
              <w:rPr>
                <w:sz w:val="21"/>
              </w:rPr>
            </w:pPr>
          </w:p>
        </w:tc>
        <w:tc>
          <w:tcPr>
            <w:tcW w:w="646" w:type="pct"/>
            <w:vAlign w:val="center"/>
          </w:tcPr>
          <w:p>
            <w:pPr>
              <w:pStyle w:val="675"/>
              <w:jc w:val="center"/>
              <w:rPr>
                <w:sz w:val="21"/>
                <w:szCs w:val="21"/>
              </w:rPr>
            </w:pPr>
            <w:r>
              <w:rPr>
                <w:sz w:val="21"/>
                <w:szCs w:val="21"/>
              </w:rPr>
              <w:t>中型货车</w:t>
            </w:r>
          </w:p>
        </w:tc>
        <w:tc>
          <w:tcPr>
            <w:tcW w:w="1307" w:type="pct"/>
            <w:vAlign w:val="center"/>
          </w:tcPr>
          <w:p>
            <w:pPr>
              <w:pStyle w:val="675"/>
              <w:jc w:val="center"/>
              <w:rPr>
                <w:sz w:val="21"/>
                <w:szCs w:val="21"/>
              </w:rPr>
            </w:pPr>
            <w:r>
              <w:rPr>
                <w:rFonts w:ascii="Times New Roman" w:hAnsi="Times New Roman" w:eastAsia="Times New Roman"/>
                <w:sz w:val="21"/>
                <w:szCs w:val="21"/>
              </w:rPr>
              <w:t>2</w:t>
            </w:r>
            <w:r>
              <w:rPr>
                <w:sz w:val="21"/>
                <w:szCs w:val="21"/>
              </w:rPr>
              <w:t>吨＜载质量</w:t>
            </w:r>
            <w:r>
              <w:rPr>
                <w:rFonts w:ascii="Times New Roman" w:hAnsi="Times New Roman" w:eastAsia="Times New Roman"/>
                <w:sz w:val="21"/>
                <w:szCs w:val="21"/>
              </w:rPr>
              <w:t>≤7</w:t>
            </w:r>
            <w:r>
              <w:rPr>
                <w:sz w:val="21"/>
                <w:szCs w:val="21"/>
              </w:rPr>
              <w:t>吨</w:t>
            </w:r>
          </w:p>
        </w:tc>
        <w:tc>
          <w:tcPr>
            <w:tcW w:w="1407" w:type="pct"/>
            <w:vMerge w:val="continue"/>
            <w:vAlign w:val="center"/>
          </w:tcPr>
          <w:p>
            <w:pPr>
              <w:spacing w:line="240" w:lineRule="auto"/>
              <w:ind w:firstLine="0" w:firstLineChars="0"/>
              <w:jc w:val="center"/>
              <w:rPr>
                <w:sz w:val="21"/>
              </w:rPr>
            </w:pPr>
          </w:p>
        </w:tc>
        <w:tc>
          <w:tcPr>
            <w:tcW w:w="827" w:type="pct"/>
            <w:vAlign w:val="center"/>
          </w:tcPr>
          <w:p>
            <w:pPr>
              <w:pStyle w:val="675"/>
              <w:jc w:val="center"/>
              <w:rPr>
                <w:sz w:val="21"/>
                <w:szCs w:val="21"/>
              </w:rPr>
            </w:pPr>
            <w:r>
              <w:rPr>
                <w:sz w:val="21"/>
                <w:szCs w:val="21"/>
              </w:rPr>
              <w:t>包括专用汽车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Align w:val="center"/>
          </w:tcPr>
          <w:p>
            <w:pPr>
              <w:pStyle w:val="675"/>
              <w:jc w:val="center"/>
              <w:rPr>
                <w:sz w:val="21"/>
                <w:szCs w:val="21"/>
              </w:rPr>
            </w:pPr>
            <w:r>
              <w:rPr>
                <w:sz w:val="21"/>
                <w:szCs w:val="21"/>
              </w:rPr>
              <w:t>大型车</w:t>
            </w:r>
          </w:p>
        </w:tc>
        <w:tc>
          <w:tcPr>
            <w:tcW w:w="646" w:type="pct"/>
            <w:vAlign w:val="center"/>
          </w:tcPr>
          <w:p>
            <w:pPr>
              <w:pStyle w:val="675"/>
              <w:jc w:val="center"/>
              <w:rPr>
                <w:sz w:val="21"/>
                <w:szCs w:val="21"/>
              </w:rPr>
            </w:pPr>
            <w:r>
              <w:rPr>
                <w:sz w:val="21"/>
                <w:szCs w:val="21"/>
              </w:rPr>
              <w:t>大型货车</w:t>
            </w:r>
          </w:p>
        </w:tc>
        <w:tc>
          <w:tcPr>
            <w:tcW w:w="1307" w:type="pct"/>
            <w:vAlign w:val="center"/>
          </w:tcPr>
          <w:p>
            <w:pPr>
              <w:pStyle w:val="675"/>
              <w:jc w:val="center"/>
              <w:rPr>
                <w:rFonts w:ascii="Times New Roman" w:hAnsi="Times New Roman" w:eastAsia="Times New Roman"/>
                <w:sz w:val="21"/>
                <w:szCs w:val="21"/>
              </w:rPr>
            </w:pPr>
            <w:r>
              <w:rPr>
                <w:rFonts w:ascii="Times New Roman" w:hAnsi="Times New Roman" w:eastAsia="Times New Roman"/>
                <w:sz w:val="21"/>
                <w:szCs w:val="21"/>
              </w:rPr>
              <w:t>7</w:t>
            </w:r>
            <w:r>
              <w:rPr>
                <w:sz w:val="21"/>
                <w:szCs w:val="21"/>
              </w:rPr>
              <w:t>吨＜载质量</w:t>
            </w:r>
            <w:r>
              <w:rPr>
                <w:rFonts w:ascii="Times New Roman" w:hAnsi="Times New Roman" w:eastAsia="Times New Roman"/>
                <w:sz w:val="21"/>
                <w:szCs w:val="21"/>
              </w:rPr>
              <w:t>≤20</w:t>
            </w:r>
            <w:r>
              <w:rPr>
                <w:sz w:val="21"/>
                <w:szCs w:val="21"/>
              </w:rPr>
              <w:t>吨</w:t>
            </w:r>
          </w:p>
        </w:tc>
        <w:tc>
          <w:tcPr>
            <w:tcW w:w="1407" w:type="pct"/>
            <w:vAlign w:val="center"/>
          </w:tcPr>
          <w:p>
            <w:pPr>
              <w:pStyle w:val="675"/>
              <w:jc w:val="center"/>
              <w:rPr>
                <w:sz w:val="21"/>
                <w:szCs w:val="21"/>
                <w:lang w:eastAsia="zh-CN"/>
              </w:rPr>
            </w:pPr>
            <w:r>
              <w:rPr>
                <w:rFonts w:ascii="Times New Roman" w:hAnsi="Times New Roman" w:eastAsia="Times New Roman"/>
                <w:sz w:val="21"/>
                <w:szCs w:val="21"/>
                <w:lang w:eastAsia="zh-CN"/>
              </w:rPr>
              <w:t>6m≤</w:t>
            </w:r>
            <w:r>
              <w:rPr>
                <w:sz w:val="21"/>
                <w:szCs w:val="21"/>
                <w:lang w:eastAsia="zh-CN"/>
              </w:rPr>
              <w:t>车长</w:t>
            </w:r>
            <w:r>
              <w:rPr>
                <w:rFonts w:ascii="Times New Roman" w:hAnsi="Times New Roman" w:eastAsia="Times New Roman"/>
                <w:sz w:val="21"/>
                <w:szCs w:val="21"/>
                <w:lang w:eastAsia="zh-CN"/>
              </w:rPr>
              <w:t>≤12m</w:t>
            </w:r>
            <w:r>
              <w:rPr>
                <w:sz w:val="21"/>
                <w:szCs w:val="21"/>
                <w:lang w:eastAsia="zh-CN"/>
              </w:rPr>
              <w:t>，</w:t>
            </w:r>
            <w:r>
              <w:rPr>
                <w:rFonts w:ascii="Times New Roman" w:hAnsi="Times New Roman" w:eastAsia="Times New Roman"/>
                <w:sz w:val="21"/>
                <w:szCs w:val="21"/>
                <w:lang w:eastAsia="zh-CN"/>
              </w:rPr>
              <w:t>3</w:t>
            </w:r>
            <w:r>
              <w:rPr>
                <w:sz w:val="21"/>
                <w:szCs w:val="21"/>
                <w:lang w:eastAsia="zh-CN"/>
              </w:rPr>
              <w:t>轴或</w:t>
            </w:r>
            <w:r>
              <w:rPr>
                <w:rFonts w:ascii="Times New Roman" w:hAnsi="Times New Roman" w:eastAsia="Times New Roman"/>
                <w:sz w:val="21"/>
                <w:szCs w:val="21"/>
                <w:lang w:eastAsia="zh-CN"/>
              </w:rPr>
              <w:t>4</w:t>
            </w:r>
            <w:r>
              <w:rPr>
                <w:sz w:val="21"/>
                <w:szCs w:val="21"/>
                <w:lang w:eastAsia="zh-CN"/>
              </w:rPr>
              <w:t>轴</w:t>
            </w:r>
          </w:p>
        </w:tc>
        <w:tc>
          <w:tcPr>
            <w:tcW w:w="827" w:type="pct"/>
            <w:vAlign w:val="center"/>
          </w:tcPr>
          <w:p>
            <w:pPr>
              <w:spacing w:line="240" w:lineRule="auto"/>
              <w:ind w:firstLine="0" w:firstLineChars="0"/>
              <w:jc w:val="center"/>
              <w:rPr>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Merge w:val="restart"/>
            <w:vAlign w:val="center"/>
          </w:tcPr>
          <w:p>
            <w:pPr>
              <w:pStyle w:val="675"/>
              <w:jc w:val="center"/>
              <w:rPr>
                <w:sz w:val="21"/>
                <w:szCs w:val="21"/>
              </w:rPr>
            </w:pPr>
            <w:r>
              <w:rPr>
                <w:sz w:val="21"/>
                <w:szCs w:val="21"/>
              </w:rPr>
              <w:t>特大型车</w:t>
            </w:r>
          </w:p>
        </w:tc>
        <w:tc>
          <w:tcPr>
            <w:tcW w:w="646" w:type="pct"/>
            <w:vAlign w:val="center"/>
          </w:tcPr>
          <w:p>
            <w:pPr>
              <w:pStyle w:val="675"/>
              <w:jc w:val="center"/>
              <w:rPr>
                <w:sz w:val="21"/>
                <w:szCs w:val="21"/>
              </w:rPr>
            </w:pPr>
            <w:r>
              <w:rPr>
                <w:sz w:val="21"/>
                <w:szCs w:val="21"/>
              </w:rPr>
              <w:t>特大型货车</w:t>
            </w:r>
          </w:p>
        </w:tc>
        <w:tc>
          <w:tcPr>
            <w:tcW w:w="1307" w:type="pct"/>
            <w:vMerge w:val="restart"/>
            <w:vAlign w:val="center"/>
          </w:tcPr>
          <w:p>
            <w:pPr>
              <w:pStyle w:val="675"/>
              <w:jc w:val="center"/>
              <w:rPr>
                <w:sz w:val="21"/>
                <w:szCs w:val="21"/>
              </w:rPr>
            </w:pPr>
            <w:r>
              <w:rPr>
                <w:sz w:val="21"/>
                <w:szCs w:val="21"/>
              </w:rPr>
              <w:t>载质量＞</w:t>
            </w:r>
            <w:r>
              <w:rPr>
                <w:rFonts w:ascii="Times New Roman" w:hAnsi="Times New Roman" w:eastAsia="Times New Roman"/>
                <w:sz w:val="21"/>
                <w:szCs w:val="21"/>
              </w:rPr>
              <w:t>20</w:t>
            </w:r>
            <w:r>
              <w:rPr>
                <w:sz w:val="21"/>
                <w:szCs w:val="21"/>
              </w:rPr>
              <w:t>吨</w:t>
            </w:r>
          </w:p>
        </w:tc>
        <w:tc>
          <w:tcPr>
            <w:tcW w:w="1407" w:type="pct"/>
            <w:vAlign w:val="center"/>
          </w:tcPr>
          <w:p>
            <w:pPr>
              <w:pStyle w:val="675"/>
              <w:jc w:val="center"/>
              <w:rPr>
                <w:sz w:val="21"/>
                <w:szCs w:val="21"/>
                <w:lang w:eastAsia="zh-CN"/>
              </w:rPr>
            </w:pPr>
            <w:r>
              <w:rPr>
                <w:sz w:val="21"/>
                <w:szCs w:val="21"/>
                <w:lang w:eastAsia="zh-CN"/>
              </w:rPr>
              <w:t>车长＞</w:t>
            </w:r>
            <w:r>
              <w:rPr>
                <w:rFonts w:ascii="Times New Roman" w:hAnsi="Times New Roman" w:eastAsia="Times New Roman"/>
                <w:sz w:val="21"/>
                <w:szCs w:val="21"/>
                <w:lang w:eastAsia="zh-CN"/>
              </w:rPr>
              <w:t>12m</w:t>
            </w:r>
            <w:r>
              <w:rPr>
                <w:sz w:val="21"/>
                <w:szCs w:val="21"/>
                <w:lang w:eastAsia="zh-CN"/>
              </w:rPr>
              <w:t>或</w:t>
            </w:r>
            <w:r>
              <w:rPr>
                <w:rFonts w:ascii="Times New Roman" w:hAnsi="Times New Roman" w:eastAsia="Times New Roman"/>
                <w:sz w:val="21"/>
                <w:szCs w:val="21"/>
                <w:lang w:eastAsia="zh-CN"/>
              </w:rPr>
              <w:t>4</w:t>
            </w:r>
            <w:r>
              <w:rPr>
                <w:sz w:val="21"/>
                <w:szCs w:val="21"/>
                <w:lang w:eastAsia="zh-CN"/>
              </w:rPr>
              <w:t>轴以上；且车高＜</w:t>
            </w:r>
            <w:r>
              <w:rPr>
                <w:rFonts w:ascii="Times New Roman" w:hAnsi="Times New Roman" w:eastAsia="Times New Roman"/>
                <w:sz w:val="21"/>
                <w:szCs w:val="21"/>
                <w:lang w:eastAsia="zh-CN"/>
              </w:rPr>
              <w:t>3.8m</w:t>
            </w:r>
            <w:r>
              <w:rPr>
                <w:sz w:val="21"/>
                <w:szCs w:val="21"/>
                <w:lang w:eastAsia="zh-CN"/>
              </w:rPr>
              <w:t>或车高＞</w:t>
            </w:r>
            <w:r>
              <w:rPr>
                <w:rFonts w:ascii="Times New Roman" w:hAnsi="Times New Roman" w:eastAsia="Times New Roman"/>
                <w:sz w:val="21"/>
                <w:szCs w:val="21"/>
                <w:lang w:eastAsia="zh-CN"/>
              </w:rPr>
              <w:t>4.2m</w:t>
            </w:r>
          </w:p>
        </w:tc>
        <w:tc>
          <w:tcPr>
            <w:tcW w:w="827" w:type="pct"/>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49" w:type="pct"/>
            <w:vMerge w:val="continue"/>
            <w:vAlign w:val="center"/>
          </w:tcPr>
          <w:p>
            <w:pPr>
              <w:spacing w:line="240" w:lineRule="auto"/>
              <w:ind w:firstLine="0" w:firstLineChars="0"/>
              <w:jc w:val="center"/>
              <w:rPr>
                <w:sz w:val="21"/>
              </w:rPr>
            </w:pPr>
          </w:p>
        </w:tc>
        <w:tc>
          <w:tcPr>
            <w:tcW w:w="464" w:type="pct"/>
            <w:vMerge w:val="continue"/>
            <w:vAlign w:val="center"/>
          </w:tcPr>
          <w:p>
            <w:pPr>
              <w:spacing w:line="240" w:lineRule="auto"/>
              <w:ind w:firstLine="0" w:firstLineChars="0"/>
              <w:jc w:val="center"/>
              <w:rPr>
                <w:sz w:val="21"/>
              </w:rPr>
            </w:pPr>
          </w:p>
        </w:tc>
        <w:tc>
          <w:tcPr>
            <w:tcW w:w="646" w:type="pct"/>
            <w:vAlign w:val="center"/>
          </w:tcPr>
          <w:p>
            <w:pPr>
              <w:pStyle w:val="675"/>
              <w:jc w:val="center"/>
              <w:rPr>
                <w:sz w:val="21"/>
                <w:szCs w:val="21"/>
              </w:rPr>
            </w:pPr>
            <w:r>
              <w:rPr>
                <w:sz w:val="21"/>
                <w:szCs w:val="21"/>
              </w:rPr>
              <w:t>集装箱车</w:t>
            </w:r>
          </w:p>
        </w:tc>
        <w:tc>
          <w:tcPr>
            <w:tcW w:w="1307" w:type="pct"/>
            <w:vMerge w:val="continue"/>
            <w:vAlign w:val="center"/>
          </w:tcPr>
          <w:p>
            <w:pPr>
              <w:spacing w:line="240" w:lineRule="auto"/>
              <w:ind w:firstLine="0" w:firstLineChars="0"/>
              <w:jc w:val="center"/>
              <w:rPr>
                <w:sz w:val="21"/>
              </w:rPr>
            </w:pPr>
          </w:p>
        </w:tc>
        <w:tc>
          <w:tcPr>
            <w:tcW w:w="1407" w:type="pct"/>
            <w:vAlign w:val="center"/>
          </w:tcPr>
          <w:p>
            <w:pPr>
              <w:pStyle w:val="675"/>
              <w:jc w:val="center"/>
              <w:rPr>
                <w:sz w:val="21"/>
                <w:szCs w:val="21"/>
                <w:lang w:eastAsia="zh-CN"/>
              </w:rPr>
            </w:pPr>
            <w:r>
              <w:rPr>
                <w:sz w:val="21"/>
                <w:szCs w:val="21"/>
                <w:lang w:eastAsia="zh-CN"/>
              </w:rPr>
              <w:t>车长＞</w:t>
            </w:r>
            <w:r>
              <w:rPr>
                <w:rFonts w:ascii="Times New Roman" w:hAnsi="Times New Roman" w:eastAsia="Times New Roman"/>
                <w:sz w:val="21"/>
                <w:szCs w:val="21"/>
                <w:lang w:eastAsia="zh-CN"/>
              </w:rPr>
              <w:t>12m</w:t>
            </w:r>
            <w:r>
              <w:rPr>
                <w:sz w:val="21"/>
                <w:szCs w:val="21"/>
                <w:lang w:eastAsia="zh-CN"/>
              </w:rPr>
              <w:t>或</w:t>
            </w:r>
            <w:r>
              <w:rPr>
                <w:rFonts w:ascii="Times New Roman" w:hAnsi="Times New Roman" w:eastAsia="Times New Roman"/>
                <w:sz w:val="21"/>
                <w:szCs w:val="21"/>
                <w:lang w:eastAsia="zh-CN"/>
              </w:rPr>
              <w:t>4</w:t>
            </w:r>
            <w:r>
              <w:rPr>
                <w:sz w:val="21"/>
                <w:szCs w:val="21"/>
                <w:lang w:eastAsia="zh-CN"/>
              </w:rPr>
              <w:t>轴以上；且</w:t>
            </w:r>
          </w:p>
          <w:p>
            <w:pPr>
              <w:pStyle w:val="675"/>
              <w:jc w:val="center"/>
              <w:rPr>
                <w:rFonts w:ascii="Times New Roman" w:hAnsi="Times New Roman" w:eastAsia="Times New Roman"/>
                <w:sz w:val="21"/>
                <w:szCs w:val="21"/>
                <w:lang w:eastAsia="zh-CN"/>
              </w:rPr>
            </w:pPr>
            <w:r>
              <w:rPr>
                <w:rFonts w:ascii="Times New Roman" w:hAnsi="Times New Roman" w:eastAsia="Times New Roman"/>
                <w:sz w:val="21"/>
                <w:szCs w:val="21"/>
                <w:lang w:eastAsia="zh-CN"/>
              </w:rPr>
              <w:t>3.8m≤</w:t>
            </w:r>
            <w:r>
              <w:rPr>
                <w:sz w:val="21"/>
                <w:szCs w:val="21"/>
                <w:lang w:eastAsia="zh-CN"/>
              </w:rPr>
              <w:t>车高</w:t>
            </w:r>
            <w:r>
              <w:rPr>
                <w:rFonts w:ascii="Times New Roman" w:hAnsi="Times New Roman" w:eastAsia="Times New Roman"/>
                <w:sz w:val="21"/>
                <w:szCs w:val="21"/>
                <w:lang w:eastAsia="zh-CN"/>
              </w:rPr>
              <w:t>≤4.2m</w:t>
            </w:r>
          </w:p>
        </w:tc>
        <w:tc>
          <w:tcPr>
            <w:tcW w:w="827" w:type="pct"/>
            <w:vAlign w:val="center"/>
          </w:tcPr>
          <w:p>
            <w:pPr>
              <w:spacing w:line="240" w:lineRule="auto"/>
              <w:ind w:firstLine="0" w:firstLineChars="0"/>
              <w:jc w:val="center"/>
              <w:rPr>
                <w:sz w:val="21"/>
                <w:highlight w:val="yellow"/>
              </w:rPr>
            </w:pPr>
          </w:p>
        </w:tc>
      </w:tr>
    </w:tbl>
    <w:p>
      <w:pPr>
        <w:adjustRightInd w:val="0"/>
        <w:snapToGrid w:val="0"/>
        <w:ind w:firstLine="0" w:firstLineChars="0"/>
        <w:jc w:val="center"/>
        <w:rPr>
          <w:b/>
          <w:sz w:val="21"/>
        </w:rPr>
      </w:pPr>
      <w:r>
        <w:rPr>
          <w:b/>
          <w:sz w:val="21"/>
        </w:rPr>
        <w:t>表</w:t>
      </w:r>
      <w:r>
        <w:rPr>
          <w:rFonts w:hint="eastAsia"/>
          <w:b/>
          <w:sz w:val="21"/>
        </w:rPr>
        <w:t>3.2</w:t>
      </w:r>
      <w:r>
        <w:rPr>
          <w:b/>
          <w:sz w:val="21"/>
        </w:rPr>
        <w:t>-6车型换算系数</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7"/>
        <w:gridCol w:w="1005"/>
        <w:gridCol w:w="1005"/>
        <w:gridCol w:w="1328"/>
        <w:gridCol w:w="1005"/>
        <w:gridCol w:w="1005"/>
        <w:gridCol w:w="1005"/>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noWrap/>
            <w:tcMar>
              <w:left w:w="0" w:type="dxa"/>
              <w:right w:w="0" w:type="dxa"/>
            </w:tcMar>
            <w:vAlign w:val="center"/>
          </w:tcPr>
          <w:p>
            <w:pPr>
              <w:widowControl/>
              <w:spacing w:line="240" w:lineRule="auto"/>
              <w:ind w:firstLine="0" w:firstLineChars="0"/>
              <w:jc w:val="center"/>
              <w:rPr>
                <w:sz w:val="21"/>
              </w:rPr>
            </w:pPr>
            <w:r>
              <w:rPr>
                <w:sz w:val="21"/>
              </w:rPr>
              <w:t>车型</w:t>
            </w:r>
          </w:p>
        </w:tc>
        <w:tc>
          <w:tcPr>
            <w:tcW w:w="354" w:type="pct"/>
            <w:noWrap/>
            <w:tcMar>
              <w:left w:w="0" w:type="dxa"/>
              <w:right w:w="0" w:type="dxa"/>
            </w:tcMar>
            <w:vAlign w:val="center"/>
          </w:tcPr>
          <w:p>
            <w:pPr>
              <w:spacing w:line="240" w:lineRule="auto"/>
              <w:ind w:firstLine="0" w:firstLineChars="0"/>
              <w:jc w:val="center"/>
              <w:rPr>
                <w:sz w:val="21"/>
              </w:rPr>
            </w:pPr>
            <w:r>
              <w:rPr>
                <w:sz w:val="21"/>
              </w:rPr>
              <w:t>小客车</w:t>
            </w:r>
          </w:p>
        </w:tc>
        <w:tc>
          <w:tcPr>
            <w:tcW w:w="354" w:type="pct"/>
            <w:tcMar>
              <w:left w:w="0" w:type="dxa"/>
              <w:right w:w="0" w:type="dxa"/>
            </w:tcMar>
            <w:vAlign w:val="center"/>
          </w:tcPr>
          <w:p>
            <w:pPr>
              <w:spacing w:line="240" w:lineRule="auto"/>
              <w:ind w:firstLine="0" w:firstLineChars="0"/>
              <w:jc w:val="center"/>
              <w:rPr>
                <w:sz w:val="21"/>
              </w:rPr>
            </w:pPr>
            <w:r>
              <w:rPr>
                <w:sz w:val="21"/>
              </w:rPr>
              <w:t>中客车</w:t>
            </w:r>
          </w:p>
        </w:tc>
        <w:tc>
          <w:tcPr>
            <w:tcW w:w="468" w:type="pct"/>
            <w:tcMar>
              <w:left w:w="0" w:type="dxa"/>
              <w:right w:w="0" w:type="dxa"/>
            </w:tcMar>
            <w:vAlign w:val="center"/>
          </w:tcPr>
          <w:p>
            <w:pPr>
              <w:spacing w:line="240" w:lineRule="auto"/>
              <w:ind w:firstLine="0" w:firstLineChars="0"/>
              <w:jc w:val="center"/>
              <w:rPr>
                <w:sz w:val="21"/>
              </w:rPr>
            </w:pPr>
            <w:r>
              <w:rPr>
                <w:sz w:val="21"/>
              </w:rPr>
              <w:t>大客车</w:t>
            </w:r>
          </w:p>
        </w:tc>
        <w:tc>
          <w:tcPr>
            <w:tcW w:w="354" w:type="pct"/>
            <w:tcMar>
              <w:left w:w="0" w:type="dxa"/>
              <w:right w:w="0" w:type="dxa"/>
            </w:tcMar>
            <w:vAlign w:val="center"/>
          </w:tcPr>
          <w:p>
            <w:pPr>
              <w:spacing w:line="240" w:lineRule="auto"/>
              <w:ind w:firstLine="0" w:firstLineChars="0"/>
              <w:jc w:val="center"/>
              <w:rPr>
                <w:sz w:val="21"/>
              </w:rPr>
            </w:pPr>
            <w:r>
              <w:rPr>
                <w:sz w:val="21"/>
              </w:rPr>
              <w:t>小货车</w:t>
            </w:r>
          </w:p>
        </w:tc>
        <w:tc>
          <w:tcPr>
            <w:tcW w:w="354" w:type="pct"/>
            <w:tcMar>
              <w:left w:w="0" w:type="dxa"/>
              <w:right w:w="0" w:type="dxa"/>
            </w:tcMar>
            <w:vAlign w:val="center"/>
          </w:tcPr>
          <w:p>
            <w:pPr>
              <w:spacing w:line="240" w:lineRule="auto"/>
              <w:ind w:firstLine="0" w:firstLineChars="0"/>
              <w:jc w:val="center"/>
              <w:rPr>
                <w:sz w:val="21"/>
              </w:rPr>
            </w:pPr>
            <w:r>
              <w:rPr>
                <w:sz w:val="21"/>
              </w:rPr>
              <w:t>中货车</w:t>
            </w:r>
          </w:p>
        </w:tc>
        <w:tc>
          <w:tcPr>
            <w:tcW w:w="354" w:type="pct"/>
            <w:noWrap/>
            <w:tcMar>
              <w:left w:w="0" w:type="dxa"/>
              <w:right w:w="0" w:type="dxa"/>
            </w:tcMar>
            <w:vAlign w:val="center"/>
          </w:tcPr>
          <w:p>
            <w:pPr>
              <w:spacing w:line="240" w:lineRule="auto"/>
              <w:ind w:firstLine="0" w:firstLineChars="0"/>
              <w:jc w:val="center"/>
              <w:rPr>
                <w:sz w:val="21"/>
              </w:rPr>
            </w:pPr>
            <w:r>
              <w:rPr>
                <w:sz w:val="21"/>
              </w:rPr>
              <w:t>大货车</w:t>
            </w:r>
          </w:p>
        </w:tc>
        <w:tc>
          <w:tcPr>
            <w:tcW w:w="470" w:type="pct"/>
            <w:tcMar>
              <w:left w:w="0" w:type="dxa"/>
              <w:right w:w="0" w:type="dxa"/>
            </w:tcMar>
            <w:vAlign w:val="center"/>
          </w:tcPr>
          <w:p>
            <w:pPr>
              <w:spacing w:line="240" w:lineRule="auto"/>
              <w:ind w:firstLine="0" w:firstLineChars="0"/>
              <w:jc w:val="center"/>
              <w:rPr>
                <w:sz w:val="21"/>
              </w:rPr>
            </w:pPr>
            <w:r>
              <w:rPr>
                <w:sz w:val="21"/>
              </w:rPr>
              <w:t>特大货车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noWrap/>
            <w:tcMar>
              <w:left w:w="0" w:type="dxa"/>
              <w:right w:w="0" w:type="dxa"/>
            </w:tcMar>
            <w:vAlign w:val="center"/>
          </w:tcPr>
          <w:p>
            <w:pPr>
              <w:spacing w:line="240" w:lineRule="auto"/>
              <w:ind w:firstLine="0" w:firstLineChars="0"/>
              <w:jc w:val="center"/>
              <w:rPr>
                <w:sz w:val="21"/>
              </w:rPr>
            </w:pPr>
            <w:r>
              <w:rPr>
                <w:sz w:val="21"/>
              </w:rPr>
              <w:t>换算系数</w:t>
            </w:r>
          </w:p>
        </w:tc>
        <w:tc>
          <w:tcPr>
            <w:tcW w:w="354" w:type="pct"/>
            <w:noWrap/>
            <w:tcMar>
              <w:left w:w="0" w:type="dxa"/>
              <w:right w:w="0" w:type="dxa"/>
            </w:tcMar>
            <w:vAlign w:val="center"/>
          </w:tcPr>
          <w:p>
            <w:pPr>
              <w:spacing w:line="240" w:lineRule="auto"/>
              <w:ind w:firstLine="0" w:firstLineChars="0"/>
              <w:jc w:val="center"/>
              <w:rPr>
                <w:sz w:val="21"/>
              </w:rPr>
            </w:pPr>
            <w:r>
              <w:rPr>
                <w:sz w:val="21"/>
              </w:rPr>
              <w:t>1</w:t>
            </w:r>
          </w:p>
        </w:tc>
        <w:tc>
          <w:tcPr>
            <w:tcW w:w="354" w:type="pct"/>
            <w:tcMar>
              <w:left w:w="0" w:type="dxa"/>
              <w:right w:w="0" w:type="dxa"/>
            </w:tcMar>
            <w:vAlign w:val="center"/>
          </w:tcPr>
          <w:p>
            <w:pPr>
              <w:spacing w:line="240" w:lineRule="auto"/>
              <w:ind w:firstLine="0" w:firstLineChars="0"/>
              <w:jc w:val="center"/>
              <w:rPr>
                <w:sz w:val="21"/>
              </w:rPr>
            </w:pPr>
            <w:r>
              <w:rPr>
                <w:sz w:val="21"/>
              </w:rPr>
              <w:t>1</w:t>
            </w:r>
          </w:p>
        </w:tc>
        <w:tc>
          <w:tcPr>
            <w:tcW w:w="468" w:type="pct"/>
            <w:tcMar>
              <w:left w:w="0" w:type="dxa"/>
              <w:right w:w="0" w:type="dxa"/>
            </w:tcMar>
            <w:vAlign w:val="center"/>
          </w:tcPr>
          <w:p>
            <w:pPr>
              <w:spacing w:line="240" w:lineRule="auto"/>
              <w:ind w:firstLine="0" w:firstLineChars="0"/>
              <w:jc w:val="center"/>
              <w:rPr>
                <w:sz w:val="21"/>
              </w:rPr>
            </w:pPr>
            <w:r>
              <w:rPr>
                <w:sz w:val="21"/>
              </w:rPr>
              <w:t>1.5</w:t>
            </w:r>
          </w:p>
        </w:tc>
        <w:tc>
          <w:tcPr>
            <w:tcW w:w="354" w:type="pct"/>
            <w:tcMar>
              <w:left w:w="0" w:type="dxa"/>
              <w:right w:w="0" w:type="dxa"/>
            </w:tcMar>
            <w:vAlign w:val="center"/>
          </w:tcPr>
          <w:p>
            <w:pPr>
              <w:spacing w:line="240" w:lineRule="auto"/>
              <w:ind w:firstLine="0" w:firstLineChars="0"/>
              <w:jc w:val="center"/>
              <w:rPr>
                <w:sz w:val="21"/>
              </w:rPr>
            </w:pPr>
            <w:r>
              <w:rPr>
                <w:sz w:val="21"/>
              </w:rPr>
              <w:t>1</w:t>
            </w:r>
          </w:p>
        </w:tc>
        <w:tc>
          <w:tcPr>
            <w:tcW w:w="354" w:type="pct"/>
            <w:tcMar>
              <w:left w:w="0" w:type="dxa"/>
              <w:right w:w="0" w:type="dxa"/>
            </w:tcMar>
            <w:vAlign w:val="center"/>
          </w:tcPr>
          <w:p>
            <w:pPr>
              <w:spacing w:line="240" w:lineRule="auto"/>
              <w:ind w:firstLine="0" w:firstLineChars="0"/>
              <w:jc w:val="center"/>
              <w:rPr>
                <w:sz w:val="21"/>
              </w:rPr>
            </w:pPr>
            <w:r>
              <w:rPr>
                <w:sz w:val="21"/>
              </w:rPr>
              <w:t>1.5</w:t>
            </w:r>
          </w:p>
        </w:tc>
        <w:tc>
          <w:tcPr>
            <w:tcW w:w="354" w:type="pct"/>
            <w:noWrap/>
            <w:tcMar>
              <w:left w:w="0" w:type="dxa"/>
              <w:right w:w="0" w:type="dxa"/>
            </w:tcMar>
            <w:vAlign w:val="center"/>
          </w:tcPr>
          <w:p>
            <w:pPr>
              <w:spacing w:line="240" w:lineRule="auto"/>
              <w:ind w:firstLine="0" w:firstLineChars="0"/>
              <w:jc w:val="center"/>
              <w:rPr>
                <w:sz w:val="21"/>
              </w:rPr>
            </w:pPr>
            <w:r>
              <w:rPr>
                <w:rFonts w:hint="eastAsia"/>
                <w:sz w:val="21"/>
              </w:rPr>
              <w:t>2.5</w:t>
            </w:r>
          </w:p>
        </w:tc>
        <w:tc>
          <w:tcPr>
            <w:tcW w:w="470" w:type="pct"/>
            <w:tcMar>
              <w:left w:w="0" w:type="dxa"/>
              <w:right w:w="0" w:type="dxa"/>
            </w:tcMar>
            <w:vAlign w:val="center"/>
          </w:tcPr>
          <w:p>
            <w:pPr>
              <w:spacing w:line="240" w:lineRule="auto"/>
              <w:ind w:firstLine="0" w:firstLineChars="0"/>
              <w:jc w:val="center"/>
              <w:rPr>
                <w:sz w:val="21"/>
              </w:rPr>
            </w:pPr>
            <w:r>
              <w:rPr>
                <w:sz w:val="21"/>
              </w:rPr>
              <w:t>4</w:t>
            </w:r>
          </w:p>
        </w:tc>
      </w:tr>
    </w:tbl>
    <w:p>
      <w:pPr>
        <w:wordWrap w:val="0"/>
        <w:adjustRightInd w:val="0"/>
        <w:snapToGrid w:val="0"/>
        <w:ind w:right="315" w:firstLine="0" w:firstLineChars="0"/>
        <w:jc w:val="right"/>
        <w:rPr>
          <w:b/>
          <w:sz w:val="21"/>
        </w:rPr>
      </w:pPr>
      <w:r>
        <w:rPr>
          <w:b/>
          <w:sz w:val="21"/>
        </w:rPr>
        <w:t>表</w:t>
      </w:r>
      <w:r>
        <w:rPr>
          <w:rFonts w:hint="eastAsia"/>
          <w:b/>
          <w:sz w:val="21"/>
        </w:rPr>
        <w:t>3.2-</w:t>
      </w:r>
      <w:r>
        <w:rPr>
          <w:b/>
          <w:sz w:val="21"/>
        </w:rPr>
        <w:t>7</w:t>
      </w:r>
      <w:r>
        <w:rPr>
          <w:rFonts w:hint="eastAsia"/>
          <w:b/>
          <w:sz w:val="21"/>
        </w:rPr>
        <w:t xml:space="preserve">特征年车型构成表（绝对数）                   </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8"/>
        <w:gridCol w:w="1079"/>
        <w:gridCol w:w="1077"/>
        <w:gridCol w:w="1077"/>
        <w:gridCol w:w="1077"/>
        <w:gridCol w:w="1077"/>
        <w:gridCol w:w="1338"/>
        <w:gridCol w:w="13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top w:val="single" w:color="auto" w:sz="4" w:space="0"/>
              <w:left w:val="single" w:color="auto" w:sz="4" w:space="0"/>
              <w:tl2br w:val="single" w:color="auto" w:sz="4" w:space="0"/>
            </w:tcBorders>
            <w:tcMar>
              <w:left w:w="0" w:type="dxa"/>
              <w:right w:w="0" w:type="dxa"/>
            </w:tcMar>
            <w:vAlign w:val="center"/>
          </w:tcPr>
          <w:p>
            <w:pPr>
              <w:spacing w:line="240" w:lineRule="auto"/>
              <w:ind w:firstLine="0" w:firstLineChars="0"/>
              <w:jc w:val="right"/>
              <w:rPr>
                <w:sz w:val="21"/>
              </w:rPr>
            </w:pPr>
            <w:r>
              <w:rPr>
                <w:rFonts w:hAnsi="宋体"/>
                <w:sz w:val="21"/>
              </w:rPr>
              <w:t>车型</w:t>
            </w:r>
          </w:p>
          <w:p>
            <w:pPr>
              <w:spacing w:line="240" w:lineRule="auto"/>
              <w:ind w:firstLine="0" w:firstLineChars="0"/>
              <w:rPr>
                <w:sz w:val="21"/>
              </w:rPr>
            </w:pPr>
            <w:r>
              <w:rPr>
                <w:rFonts w:hAnsi="宋体"/>
                <w:sz w:val="21"/>
              </w:rPr>
              <w:t>年份</w:t>
            </w:r>
          </w:p>
        </w:tc>
        <w:tc>
          <w:tcPr>
            <w:tcW w:w="591"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Ansi="宋体"/>
                <w:kern w:val="0"/>
                <w:sz w:val="21"/>
              </w:rPr>
              <w:t>小型货车</w:t>
            </w:r>
          </w:p>
        </w:tc>
        <w:tc>
          <w:tcPr>
            <w:tcW w:w="590"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Ansi="宋体"/>
                <w:kern w:val="0"/>
                <w:sz w:val="21"/>
              </w:rPr>
              <w:t>中型货车</w:t>
            </w:r>
          </w:p>
        </w:tc>
        <w:tc>
          <w:tcPr>
            <w:tcW w:w="590"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Ansi="宋体"/>
                <w:kern w:val="0"/>
                <w:sz w:val="21"/>
              </w:rPr>
              <w:t>大型货车</w:t>
            </w:r>
          </w:p>
        </w:tc>
        <w:tc>
          <w:tcPr>
            <w:tcW w:w="590"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int="eastAsia" w:hAnsi="宋体"/>
                <w:kern w:val="0"/>
                <w:sz w:val="21"/>
              </w:rPr>
              <w:t>汽车列车</w:t>
            </w:r>
          </w:p>
        </w:tc>
        <w:tc>
          <w:tcPr>
            <w:tcW w:w="590"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Ansi="宋体"/>
                <w:kern w:val="0"/>
                <w:sz w:val="21"/>
              </w:rPr>
              <w:t>集装箱车</w:t>
            </w:r>
          </w:p>
        </w:tc>
        <w:tc>
          <w:tcPr>
            <w:tcW w:w="733" w:type="pct"/>
            <w:tcBorders>
              <w:top w:val="single" w:color="auto" w:sz="4" w:space="0"/>
            </w:tcBorders>
            <w:tcMar>
              <w:left w:w="0" w:type="dxa"/>
              <w:right w:w="0" w:type="dxa"/>
            </w:tcMar>
            <w:vAlign w:val="center"/>
          </w:tcPr>
          <w:p>
            <w:pPr>
              <w:spacing w:line="240" w:lineRule="auto"/>
              <w:ind w:firstLine="0" w:firstLineChars="0"/>
              <w:jc w:val="center"/>
              <w:rPr>
                <w:kern w:val="0"/>
                <w:sz w:val="21"/>
              </w:rPr>
            </w:pPr>
            <w:r>
              <w:rPr>
                <w:rFonts w:hAnsi="宋体"/>
                <w:kern w:val="0"/>
                <w:sz w:val="21"/>
              </w:rPr>
              <w:t>小型客车</w:t>
            </w:r>
          </w:p>
        </w:tc>
        <w:tc>
          <w:tcPr>
            <w:tcW w:w="720" w:type="pct"/>
            <w:tcBorders>
              <w:top w:val="single" w:color="auto" w:sz="4" w:space="0"/>
              <w:right w:val="single" w:color="auto" w:sz="4" w:space="0"/>
            </w:tcBorders>
            <w:vAlign w:val="center"/>
          </w:tcPr>
          <w:p>
            <w:pPr>
              <w:spacing w:line="240" w:lineRule="auto"/>
              <w:ind w:firstLine="0" w:firstLineChars="0"/>
              <w:jc w:val="center"/>
              <w:rPr>
                <w:kern w:val="0"/>
                <w:sz w:val="21"/>
              </w:rPr>
            </w:pPr>
            <w:r>
              <w:rPr>
                <w:rFonts w:hAnsi="宋体"/>
                <w:kern w:val="0"/>
                <w:sz w:val="21"/>
              </w:rPr>
              <w:t>大型客车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single" w:color="auto" w:sz="4" w:space="0"/>
            </w:tcBorders>
            <w:tcMar>
              <w:left w:w="0" w:type="dxa"/>
              <w:right w:w="0" w:type="dxa"/>
            </w:tcMar>
            <w:vAlign w:val="center"/>
          </w:tcPr>
          <w:p>
            <w:pPr>
              <w:spacing w:line="240" w:lineRule="auto"/>
              <w:ind w:firstLine="0" w:firstLineChars="0"/>
              <w:jc w:val="center"/>
              <w:rPr>
                <w:sz w:val="21"/>
              </w:rPr>
            </w:pPr>
            <w:r>
              <w:rPr>
                <w:rFonts w:hAnsi="宋体"/>
                <w:sz w:val="21"/>
              </w:rPr>
              <w:t>近期</w:t>
            </w:r>
          </w:p>
        </w:tc>
        <w:tc>
          <w:tcPr>
            <w:tcW w:w="591"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8.94%</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6.07%</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4.43%</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38.64%</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0.16%</w:t>
            </w:r>
          </w:p>
        </w:tc>
        <w:tc>
          <w:tcPr>
            <w:tcW w:w="733" w:type="pct"/>
            <w:tcMar>
              <w:left w:w="0" w:type="dxa"/>
              <w:right w:w="0" w:type="dxa"/>
            </w:tcMar>
            <w:vAlign w:val="center"/>
          </w:tcPr>
          <w:p>
            <w:pPr>
              <w:widowControl/>
              <w:snapToGrid w:val="0"/>
              <w:spacing w:line="240" w:lineRule="auto"/>
              <w:ind w:firstLine="0" w:firstLineChars="0"/>
              <w:jc w:val="center"/>
              <w:textAlignment w:val="center"/>
              <w:rPr>
                <w:sz w:val="21"/>
              </w:rPr>
            </w:pPr>
            <w:r>
              <w:rPr>
                <w:rFonts w:hint="eastAsia"/>
                <w:sz w:val="21"/>
              </w:rPr>
              <w:t>39.87</w:t>
            </w:r>
            <w:r>
              <w:rPr>
                <w:sz w:val="21"/>
              </w:rPr>
              <w:t>%</w:t>
            </w:r>
          </w:p>
        </w:tc>
        <w:tc>
          <w:tcPr>
            <w:tcW w:w="720" w:type="pct"/>
            <w:tcBorders>
              <w:right w:val="single" w:color="auto" w:sz="4" w:space="0"/>
            </w:tcBorders>
            <w:vAlign w:val="center"/>
          </w:tcPr>
          <w:p>
            <w:pPr>
              <w:widowControl/>
              <w:snapToGrid w:val="0"/>
              <w:spacing w:line="240" w:lineRule="auto"/>
              <w:ind w:firstLine="0" w:firstLineChars="0"/>
              <w:jc w:val="center"/>
              <w:textAlignment w:val="center"/>
              <w:rPr>
                <w:sz w:val="21"/>
              </w:rPr>
            </w:pPr>
            <w:r>
              <w:rPr>
                <w:sz w:val="21"/>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single" w:color="auto" w:sz="4" w:space="0"/>
            </w:tcBorders>
            <w:tcMar>
              <w:left w:w="0" w:type="dxa"/>
              <w:right w:w="0" w:type="dxa"/>
            </w:tcMar>
            <w:vAlign w:val="center"/>
          </w:tcPr>
          <w:p>
            <w:pPr>
              <w:spacing w:line="240" w:lineRule="auto"/>
              <w:ind w:firstLine="0" w:firstLineChars="0"/>
              <w:jc w:val="center"/>
              <w:rPr>
                <w:sz w:val="21"/>
              </w:rPr>
            </w:pPr>
            <w:r>
              <w:rPr>
                <w:rFonts w:hAnsi="宋体"/>
                <w:sz w:val="21"/>
              </w:rPr>
              <w:t>中期</w:t>
            </w:r>
          </w:p>
        </w:tc>
        <w:tc>
          <w:tcPr>
            <w:tcW w:w="591"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8.58%</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5.60%</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4.61%</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39.47%</w:t>
            </w:r>
          </w:p>
        </w:tc>
        <w:tc>
          <w:tcPr>
            <w:tcW w:w="590" w:type="pct"/>
            <w:tcMar>
              <w:left w:w="0" w:type="dxa"/>
              <w:right w:w="0" w:type="dxa"/>
            </w:tcMar>
            <w:vAlign w:val="center"/>
          </w:tcPr>
          <w:p>
            <w:pPr>
              <w:widowControl/>
              <w:snapToGrid w:val="0"/>
              <w:spacing w:line="240" w:lineRule="auto"/>
              <w:ind w:firstLine="0" w:firstLineChars="0"/>
              <w:jc w:val="center"/>
              <w:textAlignment w:val="center"/>
              <w:rPr>
                <w:sz w:val="21"/>
              </w:rPr>
            </w:pPr>
            <w:r>
              <w:rPr>
                <w:sz w:val="21"/>
              </w:rPr>
              <w:t>0.25%</w:t>
            </w:r>
          </w:p>
        </w:tc>
        <w:tc>
          <w:tcPr>
            <w:tcW w:w="733" w:type="pct"/>
            <w:tcMar>
              <w:left w:w="0" w:type="dxa"/>
              <w:right w:w="0" w:type="dxa"/>
            </w:tcMar>
            <w:vAlign w:val="center"/>
          </w:tcPr>
          <w:p>
            <w:pPr>
              <w:widowControl/>
              <w:snapToGrid w:val="0"/>
              <w:spacing w:line="240" w:lineRule="auto"/>
              <w:ind w:firstLine="0" w:firstLineChars="0"/>
              <w:jc w:val="center"/>
              <w:textAlignment w:val="center"/>
              <w:rPr>
                <w:sz w:val="21"/>
              </w:rPr>
            </w:pPr>
            <w:r>
              <w:rPr>
                <w:rFonts w:hint="eastAsia"/>
                <w:sz w:val="21"/>
              </w:rPr>
              <w:t>39.68</w:t>
            </w:r>
            <w:r>
              <w:rPr>
                <w:sz w:val="21"/>
              </w:rPr>
              <w:t>%</w:t>
            </w:r>
          </w:p>
        </w:tc>
        <w:tc>
          <w:tcPr>
            <w:tcW w:w="720" w:type="pct"/>
            <w:tcBorders>
              <w:right w:val="single" w:color="auto" w:sz="4" w:space="0"/>
            </w:tcBorders>
            <w:vAlign w:val="center"/>
          </w:tcPr>
          <w:p>
            <w:pPr>
              <w:widowControl/>
              <w:snapToGrid w:val="0"/>
              <w:spacing w:line="240" w:lineRule="auto"/>
              <w:ind w:firstLine="0" w:firstLineChars="0"/>
              <w:jc w:val="center"/>
              <w:textAlignment w:val="center"/>
              <w:rPr>
                <w:sz w:val="21"/>
              </w:rPr>
            </w:pPr>
            <w:r>
              <w:rPr>
                <w:sz w:val="21"/>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6" w:type="pct"/>
            <w:tcBorders>
              <w:left w:val="single" w:color="auto" w:sz="4" w:space="0"/>
              <w:bottom w:val="single" w:color="auto" w:sz="4" w:space="0"/>
            </w:tcBorders>
            <w:tcMar>
              <w:left w:w="0" w:type="dxa"/>
              <w:right w:w="0" w:type="dxa"/>
            </w:tcMar>
            <w:vAlign w:val="center"/>
          </w:tcPr>
          <w:p>
            <w:pPr>
              <w:spacing w:line="240" w:lineRule="auto"/>
              <w:ind w:firstLine="0" w:firstLineChars="0"/>
              <w:jc w:val="center"/>
              <w:rPr>
                <w:sz w:val="21"/>
              </w:rPr>
            </w:pPr>
            <w:r>
              <w:rPr>
                <w:rFonts w:hAnsi="宋体"/>
                <w:sz w:val="21"/>
              </w:rPr>
              <w:t>远期</w:t>
            </w:r>
          </w:p>
        </w:tc>
        <w:tc>
          <w:tcPr>
            <w:tcW w:w="591"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sz w:val="21"/>
              </w:rPr>
              <w:t>7.84%</w:t>
            </w:r>
          </w:p>
        </w:tc>
        <w:tc>
          <w:tcPr>
            <w:tcW w:w="590"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sz w:val="21"/>
              </w:rPr>
              <w:t>4.80%</w:t>
            </w:r>
          </w:p>
        </w:tc>
        <w:tc>
          <w:tcPr>
            <w:tcW w:w="590"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sz w:val="21"/>
              </w:rPr>
              <w:t>4.97%</w:t>
            </w:r>
          </w:p>
        </w:tc>
        <w:tc>
          <w:tcPr>
            <w:tcW w:w="590"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sz w:val="21"/>
              </w:rPr>
              <w:t>41.0</w:t>
            </w:r>
            <w:r>
              <w:rPr>
                <w:rFonts w:hint="eastAsia"/>
                <w:sz w:val="21"/>
              </w:rPr>
              <w:t>8</w:t>
            </w:r>
            <w:r>
              <w:rPr>
                <w:sz w:val="21"/>
              </w:rPr>
              <w:t>%</w:t>
            </w:r>
          </w:p>
        </w:tc>
        <w:tc>
          <w:tcPr>
            <w:tcW w:w="590"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sz w:val="21"/>
              </w:rPr>
              <w:t>0.41%</w:t>
            </w:r>
          </w:p>
        </w:tc>
        <w:tc>
          <w:tcPr>
            <w:tcW w:w="733" w:type="pct"/>
            <w:tcBorders>
              <w:bottom w:val="single" w:color="auto" w:sz="4" w:space="0"/>
            </w:tcBorders>
            <w:tcMar>
              <w:left w:w="0" w:type="dxa"/>
              <w:right w:w="0" w:type="dxa"/>
            </w:tcMar>
            <w:vAlign w:val="center"/>
          </w:tcPr>
          <w:p>
            <w:pPr>
              <w:widowControl/>
              <w:snapToGrid w:val="0"/>
              <w:spacing w:line="240" w:lineRule="auto"/>
              <w:ind w:firstLine="0" w:firstLineChars="0"/>
              <w:jc w:val="center"/>
              <w:textAlignment w:val="center"/>
              <w:rPr>
                <w:sz w:val="21"/>
              </w:rPr>
            </w:pPr>
            <w:r>
              <w:rPr>
                <w:rFonts w:hint="eastAsia"/>
                <w:sz w:val="21"/>
              </w:rPr>
              <w:t>39.24</w:t>
            </w:r>
            <w:r>
              <w:rPr>
                <w:sz w:val="21"/>
              </w:rPr>
              <w:t>%</w:t>
            </w:r>
          </w:p>
        </w:tc>
        <w:tc>
          <w:tcPr>
            <w:tcW w:w="720" w:type="pct"/>
            <w:tcBorders>
              <w:bottom w:val="single" w:color="auto" w:sz="4" w:space="0"/>
              <w:right w:val="single" w:color="auto" w:sz="4" w:space="0"/>
            </w:tcBorders>
            <w:vAlign w:val="center"/>
          </w:tcPr>
          <w:p>
            <w:pPr>
              <w:widowControl/>
              <w:snapToGrid w:val="0"/>
              <w:spacing w:line="240" w:lineRule="auto"/>
              <w:ind w:firstLine="0" w:firstLineChars="0"/>
              <w:jc w:val="center"/>
              <w:textAlignment w:val="center"/>
              <w:rPr>
                <w:sz w:val="21"/>
              </w:rPr>
            </w:pPr>
            <w:r>
              <w:rPr>
                <w:sz w:val="21"/>
              </w:rPr>
              <w:t>1.66%</w:t>
            </w:r>
          </w:p>
        </w:tc>
      </w:tr>
    </w:tbl>
    <w:p>
      <w:pPr>
        <w:wordWrap w:val="0"/>
        <w:adjustRightInd w:val="0"/>
        <w:snapToGrid w:val="0"/>
        <w:ind w:firstLine="0" w:firstLineChars="0"/>
        <w:jc w:val="right"/>
        <w:rPr>
          <w:b/>
          <w:sz w:val="21"/>
        </w:rPr>
      </w:pPr>
      <w:r>
        <w:rPr>
          <w:b/>
          <w:sz w:val="21"/>
        </w:rPr>
        <w:t>表</w:t>
      </w:r>
      <w:r>
        <w:rPr>
          <w:rFonts w:hint="eastAsia"/>
          <w:b/>
          <w:sz w:val="21"/>
        </w:rPr>
        <w:t>3.2</w:t>
      </w:r>
      <w:r>
        <w:rPr>
          <w:b/>
          <w:sz w:val="21"/>
        </w:rPr>
        <w:t>-8项目特征年交通量预测结果表</w:t>
      </w:r>
      <w:r>
        <w:rPr>
          <w:rFonts w:hint="eastAsia"/>
          <w:b/>
          <w:sz w:val="21"/>
        </w:rPr>
        <w:t xml:space="preserve">                  </w:t>
      </w:r>
      <w:r>
        <w:rPr>
          <w:b/>
          <w:sz w:val="21"/>
        </w:rPr>
        <w:t>单位：辆/h</w:t>
      </w:r>
    </w:p>
    <w:tbl>
      <w:tblPr>
        <w:tblStyle w:val="5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1315"/>
        <w:gridCol w:w="1324"/>
        <w:gridCol w:w="1315"/>
        <w:gridCol w:w="1149"/>
        <w:gridCol w:w="1142"/>
        <w:gridCol w:w="1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Merge w:val="restart"/>
            <w:vAlign w:val="center"/>
          </w:tcPr>
          <w:p>
            <w:pPr>
              <w:spacing w:line="240" w:lineRule="auto"/>
              <w:ind w:firstLine="0" w:firstLineChars="0"/>
              <w:jc w:val="center"/>
              <w:rPr>
                <w:sz w:val="21"/>
              </w:rPr>
            </w:pPr>
            <w:r>
              <w:rPr>
                <w:rFonts w:hint="eastAsia"/>
                <w:sz w:val="21"/>
              </w:rPr>
              <w:t>车型</w:t>
            </w:r>
          </w:p>
        </w:tc>
        <w:tc>
          <w:tcPr>
            <w:tcW w:w="1431" w:type="pct"/>
            <w:gridSpan w:val="2"/>
            <w:vAlign w:val="center"/>
          </w:tcPr>
          <w:p>
            <w:pPr>
              <w:spacing w:line="240" w:lineRule="auto"/>
              <w:ind w:firstLine="0" w:firstLineChars="0"/>
              <w:jc w:val="center"/>
              <w:rPr>
                <w:sz w:val="21"/>
              </w:rPr>
            </w:pPr>
            <w:r>
              <w:rPr>
                <w:rFonts w:hint="eastAsia"/>
                <w:sz w:val="21"/>
              </w:rPr>
              <w:t>近期</w:t>
            </w:r>
          </w:p>
        </w:tc>
        <w:tc>
          <w:tcPr>
            <w:tcW w:w="1336" w:type="pct"/>
            <w:gridSpan w:val="2"/>
            <w:vAlign w:val="center"/>
          </w:tcPr>
          <w:p>
            <w:pPr>
              <w:spacing w:line="240" w:lineRule="auto"/>
              <w:ind w:firstLine="0" w:firstLineChars="0"/>
              <w:jc w:val="center"/>
              <w:rPr>
                <w:sz w:val="21"/>
              </w:rPr>
            </w:pPr>
            <w:r>
              <w:rPr>
                <w:rFonts w:hint="eastAsia"/>
                <w:sz w:val="21"/>
              </w:rPr>
              <w:t>中期</w:t>
            </w:r>
          </w:p>
        </w:tc>
        <w:tc>
          <w:tcPr>
            <w:tcW w:w="1244" w:type="pct"/>
            <w:gridSpan w:val="2"/>
            <w:vAlign w:val="center"/>
          </w:tcPr>
          <w:p>
            <w:pPr>
              <w:spacing w:line="240" w:lineRule="auto"/>
              <w:ind w:firstLine="0" w:firstLineChars="0"/>
              <w:jc w:val="center"/>
              <w:rPr>
                <w:sz w:val="21"/>
              </w:rPr>
            </w:pPr>
            <w:r>
              <w:rPr>
                <w:rFonts w:hint="eastAsia"/>
                <w:sz w:val="21"/>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Merge w:val="continue"/>
            <w:vAlign w:val="center"/>
          </w:tcPr>
          <w:p>
            <w:pPr>
              <w:spacing w:line="240" w:lineRule="auto"/>
              <w:ind w:firstLine="0" w:firstLineChars="0"/>
              <w:jc w:val="center"/>
              <w:rPr>
                <w:sz w:val="21"/>
              </w:rPr>
            </w:pPr>
          </w:p>
        </w:tc>
        <w:tc>
          <w:tcPr>
            <w:tcW w:w="713" w:type="pct"/>
            <w:vAlign w:val="center"/>
          </w:tcPr>
          <w:p>
            <w:pPr>
              <w:spacing w:line="240" w:lineRule="auto"/>
              <w:ind w:firstLine="0" w:firstLineChars="0"/>
              <w:jc w:val="center"/>
              <w:rPr>
                <w:sz w:val="21"/>
              </w:rPr>
            </w:pPr>
            <w:r>
              <w:rPr>
                <w:rFonts w:hint="eastAsia"/>
                <w:sz w:val="21"/>
              </w:rPr>
              <w:t>昼间</w:t>
            </w:r>
          </w:p>
        </w:tc>
        <w:tc>
          <w:tcPr>
            <w:tcW w:w="718" w:type="pct"/>
            <w:vAlign w:val="center"/>
          </w:tcPr>
          <w:p>
            <w:pPr>
              <w:spacing w:line="240" w:lineRule="auto"/>
              <w:ind w:firstLine="0" w:firstLineChars="0"/>
              <w:jc w:val="center"/>
              <w:rPr>
                <w:sz w:val="21"/>
              </w:rPr>
            </w:pPr>
            <w:r>
              <w:rPr>
                <w:rFonts w:hint="eastAsia"/>
                <w:sz w:val="21"/>
              </w:rPr>
              <w:t>夜间</w:t>
            </w:r>
          </w:p>
        </w:tc>
        <w:tc>
          <w:tcPr>
            <w:tcW w:w="713" w:type="pct"/>
            <w:vAlign w:val="center"/>
          </w:tcPr>
          <w:p>
            <w:pPr>
              <w:spacing w:line="240" w:lineRule="auto"/>
              <w:ind w:firstLine="0" w:firstLineChars="0"/>
              <w:jc w:val="center"/>
              <w:rPr>
                <w:sz w:val="21"/>
              </w:rPr>
            </w:pPr>
            <w:r>
              <w:rPr>
                <w:rFonts w:hint="eastAsia"/>
                <w:sz w:val="21"/>
              </w:rPr>
              <w:t>昼间</w:t>
            </w:r>
          </w:p>
        </w:tc>
        <w:tc>
          <w:tcPr>
            <w:tcW w:w="623" w:type="pct"/>
            <w:vAlign w:val="center"/>
          </w:tcPr>
          <w:p>
            <w:pPr>
              <w:spacing w:line="240" w:lineRule="auto"/>
              <w:ind w:firstLine="0" w:firstLineChars="0"/>
              <w:jc w:val="center"/>
              <w:rPr>
                <w:sz w:val="21"/>
              </w:rPr>
            </w:pPr>
            <w:r>
              <w:rPr>
                <w:rFonts w:hint="eastAsia"/>
                <w:sz w:val="21"/>
              </w:rPr>
              <w:t>夜间</w:t>
            </w:r>
          </w:p>
        </w:tc>
        <w:tc>
          <w:tcPr>
            <w:tcW w:w="619" w:type="pct"/>
            <w:vAlign w:val="center"/>
          </w:tcPr>
          <w:p>
            <w:pPr>
              <w:spacing w:line="240" w:lineRule="auto"/>
              <w:ind w:firstLine="0" w:firstLineChars="0"/>
              <w:jc w:val="center"/>
              <w:rPr>
                <w:sz w:val="21"/>
              </w:rPr>
            </w:pPr>
            <w:r>
              <w:rPr>
                <w:rFonts w:hint="eastAsia"/>
                <w:sz w:val="21"/>
              </w:rPr>
              <w:t>昼间</w:t>
            </w:r>
          </w:p>
        </w:tc>
        <w:tc>
          <w:tcPr>
            <w:tcW w:w="625" w:type="pct"/>
            <w:vAlign w:val="center"/>
          </w:tcPr>
          <w:p>
            <w:pPr>
              <w:spacing w:line="240" w:lineRule="auto"/>
              <w:ind w:firstLine="0" w:firstLineChars="0"/>
              <w:jc w:val="center"/>
              <w:rPr>
                <w:sz w:val="21"/>
              </w:rPr>
            </w:pPr>
            <w:r>
              <w:rPr>
                <w:rFonts w:hint="eastAsia"/>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小型车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162</w:t>
            </w:r>
          </w:p>
        </w:tc>
        <w:tc>
          <w:tcPr>
            <w:tcW w:w="718" w:type="pct"/>
            <w:vAlign w:val="center"/>
          </w:tcPr>
          <w:p>
            <w:pPr>
              <w:spacing w:line="240" w:lineRule="auto"/>
              <w:ind w:firstLine="0" w:firstLineChars="0"/>
              <w:jc w:val="center"/>
              <w:rPr>
                <w:rFonts w:ascii="宋体" w:hAnsi="宋体" w:cs="宋体"/>
                <w:sz w:val="21"/>
              </w:rPr>
            </w:pPr>
            <w:r>
              <w:rPr>
                <w:rFonts w:hint="eastAsia"/>
                <w:sz w:val="21"/>
              </w:rPr>
              <w:t>57</w:t>
            </w:r>
          </w:p>
        </w:tc>
        <w:tc>
          <w:tcPr>
            <w:tcW w:w="713" w:type="pct"/>
            <w:vAlign w:val="center"/>
          </w:tcPr>
          <w:p>
            <w:pPr>
              <w:spacing w:line="240" w:lineRule="auto"/>
              <w:ind w:firstLine="0" w:firstLineChars="0"/>
              <w:jc w:val="center"/>
              <w:rPr>
                <w:rFonts w:ascii="宋体" w:hAnsi="宋体" w:cs="宋体"/>
                <w:sz w:val="21"/>
              </w:rPr>
            </w:pPr>
            <w:r>
              <w:rPr>
                <w:rFonts w:hint="eastAsia"/>
                <w:sz w:val="21"/>
              </w:rPr>
              <w:t>190</w:t>
            </w:r>
          </w:p>
        </w:tc>
        <w:tc>
          <w:tcPr>
            <w:tcW w:w="623" w:type="pct"/>
            <w:vAlign w:val="center"/>
          </w:tcPr>
          <w:p>
            <w:pPr>
              <w:spacing w:line="240" w:lineRule="auto"/>
              <w:ind w:firstLine="0" w:firstLineChars="0"/>
              <w:jc w:val="center"/>
              <w:rPr>
                <w:rFonts w:ascii="宋体" w:hAnsi="宋体" w:cs="宋体"/>
                <w:sz w:val="21"/>
              </w:rPr>
            </w:pPr>
            <w:r>
              <w:rPr>
                <w:rFonts w:hint="eastAsia"/>
                <w:sz w:val="21"/>
              </w:rPr>
              <w:t>67</w:t>
            </w:r>
          </w:p>
        </w:tc>
        <w:tc>
          <w:tcPr>
            <w:tcW w:w="619" w:type="pct"/>
            <w:vAlign w:val="center"/>
          </w:tcPr>
          <w:p>
            <w:pPr>
              <w:spacing w:line="240" w:lineRule="auto"/>
              <w:ind w:firstLine="0" w:firstLineChars="0"/>
              <w:jc w:val="center"/>
              <w:rPr>
                <w:rFonts w:ascii="宋体" w:hAnsi="宋体" w:cs="宋体"/>
                <w:sz w:val="21"/>
              </w:rPr>
            </w:pPr>
            <w:r>
              <w:rPr>
                <w:rFonts w:hint="eastAsia"/>
                <w:sz w:val="21"/>
              </w:rPr>
              <w:t>237</w:t>
            </w:r>
          </w:p>
        </w:tc>
        <w:tc>
          <w:tcPr>
            <w:tcW w:w="625" w:type="pct"/>
            <w:vAlign w:val="center"/>
          </w:tcPr>
          <w:p>
            <w:pPr>
              <w:spacing w:line="240" w:lineRule="auto"/>
              <w:ind w:firstLine="0" w:firstLineChars="0"/>
              <w:jc w:val="center"/>
              <w:rPr>
                <w:rFonts w:ascii="宋体" w:hAnsi="宋体" w:cs="宋体"/>
                <w:sz w:val="21"/>
              </w:rPr>
            </w:pPr>
            <w:r>
              <w:rPr>
                <w:rFonts w:hint="eastAsia"/>
                <w:sz w:val="21"/>
              </w:rPr>
              <w:t>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中型车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26</w:t>
            </w:r>
          </w:p>
        </w:tc>
        <w:tc>
          <w:tcPr>
            <w:tcW w:w="718" w:type="pct"/>
            <w:vAlign w:val="center"/>
          </w:tcPr>
          <w:p>
            <w:pPr>
              <w:spacing w:line="240" w:lineRule="auto"/>
              <w:ind w:firstLine="0" w:firstLineChars="0"/>
              <w:jc w:val="center"/>
              <w:rPr>
                <w:rFonts w:ascii="宋体" w:hAnsi="宋体" w:cs="宋体"/>
                <w:sz w:val="21"/>
              </w:rPr>
            </w:pPr>
            <w:r>
              <w:rPr>
                <w:rFonts w:hint="eastAsia"/>
                <w:sz w:val="21"/>
              </w:rPr>
              <w:t>9</w:t>
            </w:r>
          </w:p>
        </w:tc>
        <w:tc>
          <w:tcPr>
            <w:tcW w:w="713" w:type="pct"/>
            <w:vAlign w:val="center"/>
          </w:tcPr>
          <w:p>
            <w:pPr>
              <w:spacing w:line="240" w:lineRule="auto"/>
              <w:ind w:firstLine="0" w:firstLineChars="0"/>
              <w:jc w:val="center"/>
              <w:rPr>
                <w:rFonts w:ascii="宋体" w:hAnsi="宋体" w:cs="宋体"/>
                <w:sz w:val="21"/>
              </w:rPr>
            </w:pPr>
            <w:r>
              <w:rPr>
                <w:rFonts w:hint="eastAsia"/>
                <w:sz w:val="21"/>
              </w:rPr>
              <w:t>29</w:t>
            </w:r>
          </w:p>
        </w:tc>
        <w:tc>
          <w:tcPr>
            <w:tcW w:w="623" w:type="pct"/>
            <w:vAlign w:val="center"/>
          </w:tcPr>
          <w:p>
            <w:pPr>
              <w:spacing w:line="240" w:lineRule="auto"/>
              <w:ind w:firstLine="0" w:firstLineChars="0"/>
              <w:jc w:val="center"/>
              <w:rPr>
                <w:rFonts w:ascii="宋体" w:hAnsi="宋体" w:cs="宋体"/>
                <w:sz w:val="21"/>
              </w:rPr>
            </w:pPr>
            <w:r>
              <w:rPr>
                <w:rFonts w:hint="eastAsia"/>
                <w:sz w:val="21"/>
              </w:rPr>
              <w:t>10</w:t>
            </w:r>
          </w:p>
        </w:tc>
        <w:tc>
          <w:tcPr>
            <w:tcW w:w="619" w:type="pct"/>
            <w:vAlign w:val="center"/>
          </w:tcPr>
          <w:p>
            <w:pPr>
              <w:spacing w:line="240" w:lineRule="auto"/>
              <w:ind w:firstLine="0" w:firstLineChars="0"/>
              <w:jc w:val="center"/>
              <w:rPr>
                <w:rFonts w:ascii="宋体" w:hAnsi="宋体" w:cs="宋体"/>
                <w:sz w:val="21"/>
              </w:rPr>
            </w:pPr>
            <w:r>
              <w:rPr>
                <w:rFonts w:hint="eastAsia"/>
                <w:sz w:val="21"/>
              </w:rPr>
              <w:t>33</w:t>
            </w:r>
          </w:p>
        </w:tc>
        <w:tc>
          <w:tcPr>
            <w:tcW w:w="625" w:type="pct"/>
            <w:vAlign w:val="center"/>
          </w:tcPr>
          <w:p>
            <w:pPr>
              <w:spacing w:line="240" w:lineRule="auto"/>
              <w:ind w:firstLine="0" w:firstLineChars="0"/>
              <w:jc w:val="center"/>
              <w:rPr>
                <w:rFonts w:ascii="宋体" w:hAnsi="宋体" w:cs="宋体"/>
                <w:sz w:val="21"/>
              </w:rPr>
            </w:pPr>
            <w:r>
              <w:rPr>
                <w:rFonts w:hint="eastAsia"/>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大型车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144</w:t>
            </w:r>
          </w:p>
        </w:tc>
        <w:tc>
          <w:tcPr>
            <w:tcW w:w="718" w:type="pct"/>
            <w:vAlign w:val="center"/>
          </w:tcPr>
          <w:p>
            <w:pPr>
              <w:spacing w:line="240" w:lineRule="auto"/>
              <w:ind w:firstLine="0" w:firstLineChars="0"/>
              <w:jc w:val="center"/>
              <w:rPr>
                <w:rFonts w:ascii="宋体" w:hAnsi="宋体" w:cs="宋体"/>
                <w:sz w:val="21"/>
              </w:rPr>
            </w:pPr>
            <w:r>
              <w:rPr>
                <w:rFonts w:hint="eastAsia"/>
                <w:sz w:val="21"/>
              </w:rPr>
              <w:t>51</w:t>
            </w:r>
          </w:p>
        </w:tc>
        <w:tc>
          <w:tcPr>
            <w:tcW w:w="713" w:type="pct"/>
            <w:vAlign w:val="center"/>
          </w:tcPr>
          <w:p>
            <w:pPr>
              <w:spacing w:line="240" w:lineRule="auto"/>
              <w:ind w:firstLine="0" w:firstLineChars="0"/>
              <w:jc w:val="center"/>
              <w:rPr>
                <w:rFonts w:ascii="宋体" w:hAnsi="宋体" w:cs="宋体"/>
                <w:sz w:val="21"/>
              </w:rPr>
            </w:pPr>
            <w:r>
              <w:rPr>
                <w:rFonts w:hint="eastAsia"/>
                <w:sz w:val="21"/>
              </w:rPr>
              <w:t>175</w:t>
            </w:r>
          </w:p>
        </w:tc>
        <w:tc>
          <w:tcPr>
            <w:tcW w:w="623" w:type="pct"/>
            <w:vAlign w:val="center"/>
          </w:tcPr>
          <w:p>
            <w:pPr>
              <w:spacing w:line="240" w:lineRule="auto"/>
              <w:ind w:firstLine="0" w:firstLineChars="0"/>
              <w:jc w:val="center"/>
              <w:rPr>
                <w:rFonts w:ascii="宋体" w:hAnsi="宋体" w:cs="宋体"/>
                <w:sz w:val="21"/>
              </w:rPr>
            </w:pPr>
            <w:r>
              <w:rPr>
                <w:rFonts w:hint="eastAsia"/>
                <w:sz w:val="21"/>
              </w:rPr>
              <w:t>62</w:t>
            </w:r>
          </w:p>
        </w:tc>
        <w:tc>
          <w:tcPr>
            <w:tcW w:w="619" w:type="pct"/>
            <w:vAlign w:val="center"/>
          </w:tcPr>
          <w:p>
            <w:pPr>
              <w:spacing w:line="240" w:lineRule="auto"/>
              <w:ind w:firstLine="0" w:firstLineChars="0"/>
              <w:jc w:val="center"/>
              <w:rPr>
                <w:rFonts w:ascii="宋体" w:hAnsi="宋体" w:cs="宋体"/>
                <w:sz w:val="21"/>
              </w:rPr>
            </w:pPr>
            <w:r>
              <w:rPr>
                <w:rFonts w:hint="eastAsia"/>
                <w:sz w:val="21"/>
              </w:rPr>
              <w:t>234</w:t>
            </w:r>
          </w:p>
        </w:tc>
        <w:tc>
          <w:tcPr>
            <w:tcW w:w="625" w:type="pct"/>
            <w:vAlign w:val="center"/>
          </w:tcPr>
          <w:p>
            <w:pPr>
              <w:spacing w:line="240" w:lineRule="auto"/>
              <w:ind w:firstLine="0" w:firstLineChars="0"/>
              <w:jc w:val="center"/>
              <w:rPr>
                <w:rFonts w:ascii="宋体" w:hAnsi="宋体" w:cs="宋体"/>
                <w:sz w:val="21"/>
              </w:rPr>
            </w:pPr>
            <w:r>
              <w:rPr>
                <w:rFonts w:hint="eastAsia"/>
                <w:sz w:val="21"/>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rFonts w:hint="eastAsia"/>
                <w:sz w:val="21"/>
              </w:rPr>
              <w:t>交通量分配</w:t>
            </w:r>
          </w:p>
        </w:tc>
        <w:tc>
          <w:tcPr>
            <w:tcW w:w="4011" w:type="pct"/>
            <w:gridSpan w:val="6"/>
            <w:vAlign w:val="center"/>
          </w:tcPr>
          <w:p>
            <w:pPr>
              <w:spacing w:line="240" w:lineRule="auto"/>
              <w:ind w:firstLine="0" w:firstLineChars="0"/>
              <w:jc w:val="center"/>
              <w:rPr>
                <w:spacing w:val="3"/>
                <w:sz w:val="21"/>
              </w:rPr>
            </w:pPr>
            <w:r>
              <w:rPr>
                <w:spacing w:val="3"/>
                <w:sz w:val="21"/>
              </w:rPr>
              <w:t>昼间占交通量的8</w:t>
            </w:r>
            <w:r>
              <w:rPr>
                <w:rFonts w:hint="eastAsia"/>
                <w:spacing w:val="3"/>
                <w:sz w:val="21"/>
              </w:rPr>
              <w:t>5</w:t>
            </w:r>
            <w:r>
              <w:rPr>
                <w:spacing w:val="3"/>
                <w:sz w:val="21"/>
              </w:rPr>
              <w:t>%，夜间占交通量的1</w:t>
            </w:r>
            <w:r>
              <w:rPr>
                <w:rFonts w:hint="eastAsia"/>
                <w:spacing w:val="3"/>
                <w:sz w:val="21"/>
              </w:rPr>
              <w:t>5</w:t>
            </w:r>
            <w:r>
              <w:rPr>
                <w:spacing w:val="3"/>
                <w:sz w:val="21"/>
              </w:rPr>
              <w:t>%</w:t>
            </w:r>
            <w:r>
              <w:rPr>
                <w:rFonts w:hint="eastAsia"/>
                <w:spacing w:val="3"/>
                <w:sz w:val="21"/>
              </w:rPr>
              <w:t>；</w:t>
            </w:r>
          </w:p>
          <w:p>
            <w:pPr>
              <w:spacing w:line="240" w:lineRule="auto"/>
              <w:ind w:firstLine="0" w:firstLineChars="0"/>
              <w:jc w:val="center"/>
              <w:rPr>
                <w:sz w:val="21"/>
              </w:rPr>
            </w:pPr>
            <w:r>
              <w:rPr>
                <w:spacing w:val="3"/>
                <w:sz w:val="21"/>
              </w:rPr>
              <w:t>昼间：6</w:t>
            </w:r>
            <w:r>
              <w:rPr>
                <w:rFonts w:hint="eastAsia"/>
                <w:spacing w:val="3"/>
                <w:sz w:val="21"/>
              </w:rPr>
              <w:t>:0</w:t>
            </w:r>
            <w:r>
              <w:rPr>
                <w:spacing w:val="3"/>
                <w:sz w:val="21"/>
              </w:rPr>
              <w:t>0-22:00</w:t>
            </w:r>
            <w:r>
              <w:rPr>
                <w:rFonts w:hint="eastAsia"/>
                <w:spacing w:val="3"/>
                <w:sz w:val="21"/>
              </w:rPr>
              <w:t>，</w:t>
            </w:r>
            <w:r>
              <w:rPr>
                <w:spacing w:val="3"/>
                <w:sz w:val="21"/>
              </w:rPr>
              <w:t>夜间：22:00-6:00</w:t>
            </w:r>
          </w:p>
        </w:tc>
      </w:tr>
    </w:tbl>
    <w:p>
      <w:pPr>
        <w:pStyle w:val="5"/>
        <w:spacing w:beforeLines="0" w:afterLines="0"/>
      </w:pPr>
      <w:bookmarkStart w:id="74" w:name="_Toc141284058"/>
      <w:bookmarkStart w:id="75" w:name="_Toc421037320"/>
      <w:bookmarkStart w:id="76" w:name="_Toc463970168"/>
      <w:r>
        <w:t>3.</w:t>
      </w:r>
      <w:r>
        <w:rPr>
          <w:rFonts w:hint="eastAsia"/>
        </w:rPr>
        <w:t>3路线方案比选</w:t>
      </w:r>
      <w:bookmarkEnd w:id="74"/>
    </w:p>
    <w:p>
      <w:pPr>
        <w:ind w:firstLine="480"/>
        <w:rPr>
          <w:szCs w:val="24"/>
          <w:highlight w:val="yellow"/>
        </w:rPr>
      </w:pPr>
      <w:r>
        <w:rPr>
          <w:szCs w:val="24"/>
        </w:rPr>
        <w:t>根据本项目功能定位，综合考虑沿线地形、地貌及地质条件，在全面外业踏勘的基础上，项目组对路线方案进行定性分析，本项目大部分路段为利用旧路，在满足路线总体走向的前提下，对路线方案进行了全面比选论证。确定有价值的备选方案进行技术经济比较，最终确定推荐方案。</w:t>
      </w:r>
    </w:p>
    <w:p>
      <w:pPr>
        <w:ind w:firstLine="480"/>
        <w:rPr>
          <w:szCs w:val="24"/>
        </w:rPr>
      </w:pPr>
      <w:r>
        <w:rPr>
          <w:szCs w:val="24"/>
        </w:rPr>
        <w:t>本项目同等深度比较线共2段，分别为</w:t>
      </w:r>
      <w:r>
        <w:rPr>
          <w:rFonts w:hint="eastAsia"/>
          <w:szCs w:val="24"/>
        </w:rPr>
        <w:t>项目起点和终点路段。</w:t>
      </w:r>
    </w:p>
    <w:p>
      <w:pPr>
        <w:ind w:firstLine="480"/>
        <w:rPr>
          <w:szCs w:val="24"/>
        </w:rPr>
      </w:pPr>
      <w:r>
        <w:rPr>
          <w:szCs w:val="24"/>
        </w:rPr>
        <w:t>1、</w:t>
      </w:r>
      <w:r>
        <w:rPr>
          <w:rFonts w:hint="eastAsia"/>
          <w:szCs w:val="24"/>
        </w:rPr>
        <w:t>起点路</w:t>
      </w:r>
      <w:r>
        <w:rPr>
          <w:szCs w:val="24"/>
        </w:rPr>
        <w:t>段</w:t>
      </w:r>
    </w:p>
    <w:p>
      <w:pPr>
        <w:ind w:firstLine="480"/>
        <w:rPr>
          <w:szCs w:val="24"/>
        </w:rPr>
      </w:pPr>
      <w:r>
        <w:rPr>
          <w:rFonts w:hint="eastAsia"/>
          <w:szCs w:val="24"/>
        </w:rPr>
        <w:t>1）方案建设情况</w:t>
      </w:r>
    </w:p>
    <w:p>
      <w:pPr>
        <w:ind w:firstLine="480"/>
        <w:rPr>
          <w:szCs w:val="24"/>
        </w:rPr>
      </w:pPr>
      <w:r>
        <w:rPr>
          <w:rFonts w:hint="eastAsia"/>
          <w:szCs w:val="24"/>
        </w:rPr>
        <w:t>①A</w:t>
      </w:r>
      <w:r>
        <w:rPr>
          <w:szCs w:val="24"/>
        </w:rPr>
        <w:t>线方案（</w:t>
      </w:r>
      <w:r>
        <w:rPr>
          <w:rFonts w:hint="eastAsia"/>
          <w:szCs w:val="24"/>
        </w:rPr>
        <w:t>AK0+000～AK8+821.221</w:t>
      </w:r>
      <w:r>
        <w:rPr>
          <w:szCs w:val="24"/>
        </w:rPr>
        <w:t>)</w:t>
      </w:r>
    </w:p>
    <w:p>
      <w:pPr>
        <w:ind w:firstLine="480"/>
        <w:rPr>
          <w:szCs w:val="24"/>
        </w:rPr>
      </w:pPr>
      <w:r>
        <w:rPr>
          <w:rFonts w:hint="eastAsia"/>
          <w:szCs w:val="24"/>
        </w:rPr>
        <w:t>A比选方案（粉色线）为K线方案利用G230的比选方案，该方案为向遵化市城区北侧绕行方案，并沿既有大秦铁路北侧最近约700m距离向西布设。该方案设计起点为G112线苏家洼镇的农村信用社平交口处，路线方案可向西沿城区北侧山区穿行，先后经过二道岭村、东房子村、下府村、胡庄子村等多个村镇，路线在史家坨村东南侧转向南，继续跨越唐遵铁路，下穿大秦铁路，在西留村镇西侧与G230平交，该比选方案长8.821km。</w:t>
      </w:r>
    </w:p>
    <w:p>
      <w:pPr>
        <w:ind w:firstLine="480"/>
        <w:rPr>
          <w:szCs w:val="24"/>
        </w:rPr>
      </w:pPr>
      <w:r>
        <w:rPr>
          <w:rFonts w:hAnsi="宋体"/>
          <w:szCs w:val="24"/>
        </w:rPr>
        <w:t>②</w:t>
      </w:r>
      <w:r>
        <w:rPr>
          <w:rFonts w:hint="eastAsia"/>
          <w:szCs w:val="24"/>
        </w:rPr>
        <w:t>K</w:t>
      </w:r>
      <w:r>
        <w:rPr>
          <w:rFonts w:hAnsi="宋体"/>
          <w:szCs w:val="24"/>
        </w:rPr>
        <w:t>线方案</w:t>
      </w:r>
      <w:r>
        <w:rPr>
          <w:szCs w:val="24"/>
        </w:rPr>
        <w:t>（</w:t>
      </w:r>
      <w:r>
        <w:rPr>
          <w:rFonts w:hint="eastAsia"/>
          <w:szCs w:val="20"/>
        </w:rPr>
        <w:t>K0+000至K7+774.608</w:t>
      </w:r>
      <w:r>
        <w:rPr>
          <w:szCs w:val="24"/>
        </w:rPr>
        <w:t>)</w:t>
      </w:r>
    </w:p>
    <w:p>
      <w:pPr>
        <w:ind w:firstLine="480"/>
        <w:rPr>
          <w:szCs w:val="24"/>
        </w:rPr>
      </w:pPr>
      <w:r>
        <w:rPr>
          <w:rFonts w:hint="eastAsia"/>
          <w:szCs w:val="24"/>
        </w:rPr>
        <w:t>该段K线方案基于充分利用既有G230，并与其共线，路线向西经苏家洼村、旧热电厂、在西留村镇西北侧转向南，终点接G230和通华西街平交口</w:t>
      </w:r>
      <w:r>
        <w:rPr>
          <w:szCs w:val="24"/>
        </w:rPr>
        <w:t>处</w:t>
      </w:r>
      <w:r>
        <w:rPr>
          <w:rFonts w:hint="eastAsia"/>
          <w:szCs w:val="24"/>
        </w:rPr>
        <w:t>，该方案长7.775km（约7.7km）</w:t>
      </w:r>
      <w:r>
        <w:rPr>
          <w:szCs w:val="24"/>
        </w:rPr>
        <w:t>。</w:t>
      </w:r>
      <w:r>
        <w:rPr>
          <w:rFonts w:hint="eastAsia" w:hAnsi="宋体"/>
          <w:szCs w:val="24"/>
        </w:rPr>
        <w:t>起点路段比较方案图</w:t>
      </w:r>
      <w:r>
        <w:rPr>
          <w:rFonts w:hAnsi="宋体"/>
          <w:szCs w:val="24"/>
        </w:rPr>
        <w:t>见</w:t>
      </w:r>
      <w:r>
        <w:rPr>
          <w:rFonts w:hint="eastAsia" w:hAnsi="宋体"/>
          <w:szCs w:val="24"/>
        </w:rPr>
        <w:t>图</w:t>
      </w:r>
      <w:r>
        <w:rPr>
          <w:rFonts w:hint="eastAsia"/>
          <w:szCs w:val="24"/>
        </w:rPr>
        <w:t>3.3-1。</w:t>
      </w:r>
    </w:p>
    <w:p>
      <w:pPr>
        <w:spacing w:line="240" w:lineRule="auto"/>
        <w:ind w:firstLine="480"/>
        <w:jc w:val="center"/>
        <w:rPr>
          <w:spacing w:val="3"/>
          <w:szCs w:val="24"/>
          <w:highlight w:val="yellow"/>
        </w:rPr>
      </w:pPr>
      <w:r>
        <w:rPr>
          <w:spacing w:val="3"/>
          <w:szCs w:val="24"/>
        </w:rPr>
        <w:drawing>
          <wp:inline distT="0" distB="0" distL="0" distR="0">
            <wp:extent cx="5430520" cy="3983355"/>
            <wp:effectExtent l="19050" t="0" r="0" b="0"/>
            <wp:docPr id="69" name="图片 2" descr="C:\Users\Administrator\Desktop\新建文件夹\挂图(2022.11.29仅截图用)-挂图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C:\Users\Administrator\Desktop\新建文件夹\挂图(2022.11.29仅截图用)-挂图_01.jpg"/>
                    <pic:cNvPicPr>
                      <a:picLocks noChangeAspect="1" noChangeArrowheads="1"/>
                    </pic:cNvPicPr>
                  </pic:nvPicPr>
                  <pic:blipFill>
                    <a:blip r:embed="rId65" cstate="print"/>
                    <a:srcRect l="18623" t="13492" r="27756" b="35944"/>
                    <a:stretch>
                      <a:fillRect/>
                    </a:stretch>
                  </pic:blipFill>
                  <pic:spPr>
                    <a:xfrm>
                      <a:off x="0" y="0"/>
                      <a:ext cx="5430520" cy="3983355"/>
                    </a:xfrm>
                    <a:prstGeom prst="rect">
                      <a:avLst/>
                    </a:prstGeom>
                    <a:noFill/>
                    <a:ln w="9525" algn="ctr">
                      <a:noFill/>
                      <a:miter lim="800000"/>
                      <a:headEnd/>
                      <a:tailEnd/>
                    </a:ln>
                  </pic:spPr>
                </pic:pic>
              </a:graphicData>
            </a:graphic>
          </wp:inline>
        </w:drawing>
      </w:r>
    </w:p>
    <w:p>
      <w:pPr>
        <w:adjustRightInd w:val="0"/>
        <w:snapToGrid w:val="0"/>
        <w:ind w:firstLine="0" w:firstLineChars="0"/>
        <w:jc w:val="center"/>
        <w:rPr>
          <w:b/>
          <w:sz w:val="21"/>
        </w:rPr>
      </w:pPr>
      <w:r>
        <w:rPr>
          <w:rFonts w:hint="eastAsia"/>
          <w:b/>
          <w:sz w:val="21"/>
        </w:rPr>
        <w:t>图</w:t>
      </w:r>
      <w:r>
        <w:rPr>
          <w:b/>
          <w:sz w:val="21"/>
        </w:rPr>
        <w:t>3.</w:t>
      </w:r>
      <w:r>
        <w:rPr>
          <w:rFonts w:hint="eastAsia"/>
          <w:b/>
          <w:sz w:val="21"/>
        </w:rPr>
        <w:t>3</w:t>
      </w:r>
      <w:r>
        <w:rPr>
          <w:b/>
          <w:sz w:val="21"/>
        </w:rPr>
        <w:t xml:space="preserve">-1 </w:t>
      </w:r>
      <w:r>
        <w:rPr>
          <w:rFonts w:hint="eastAsia"/>
          <w:b/>
          <w:sz w:val="21"/>
        </w:rPr>
        <w:t>起点路段比较方案图</w:t>
      </w:r>
    </w:p>
    <w:p>
      <w:pPr>
        <w:ind w:firstLine="480"/>
        <w:rPr>
          <w:szCs w:val="24"/>
        </w:rPr>
      </w:pPr>
      <w:r>
        <w:rPr>
          <w:rFonts w:hint="eastAsia"/>
          <w:szCs w:val="24"/>
        </w:rPr>
        <w:t>2）工程优缺点综合比选</w:t>
      </w:r>
    </w:p>
    <w:p>
      <w:pPr>
        <w:adjustRightInd w:val="0"/>
        <w:snapToGrid w:val="0"/>
        <w:ind w:firstLine="0" w:firstLineChars="0"/>
        <w:jc w:val="center"/>
        <w:rPr>
          <w:b/>
          <w:sz w:val="21"/>
        </w:rPr>
      </w:pPr>
      <w:r>
        <w:rPr>
          <w:rFonts w:hint="eastAsia"/>
          <w:b/>
          <w:sz w:val="21"/>
        </w:rPr>
        <w:t>表3.3-1 A、K两方案工程规模及技术指标对比表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76"/>
        <w:gridCol w:w="2410"/>
        <w:gridCol w:w="3120"/>
        <w:gridCol w:w="2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sz w:val="21"/>
              </w:rPr>
              <w:t>项目</w:t>
            </w:r>
          </w:p>
        </w:tc>
        <w:tc>
          <w:tcPr>
            <w:tcW w:w="1334" w:type="pct"/>
            <w:vAlign w:val="center"/>
          </w:tcPr>
          <w:p>
            <w:pPr>
              <w:spacing w:line="240" w:lineRule="auto"/>
              <w:ind w:firstLine="0" w:firstLineChars="0"/>
              <w:jc w:val="center"/>
              <w:rPr>
                <w:bCs/>
                <w:sz w:val="21"/>
              </w:rPr>
            </w:pPr>
            <w:r>
              <w:rPr>
                <w:bCs/>
                <w:sz w:val="21"/>
              </w:rPr>
              <w:t>K</w:t>
            </w:r>
            <w:r>
              <w:rPr>
                <w:rFonts w:hAnsi="宋体"/>
                <w:sz w:val="21"/>
              </w:rPr>
              <w:t>线</w:t>
            </w:r>
          </w:p>
        </w:tc>
        <w:tc>
          <w:tcPr>
            <w:tcW w:w="1727" w:type="pct"/>
            <w:vAlign w:val="center"/>
          </w:tcPr>
          <w:p>
            <w:pPr>
              <w:spacing w:line="240" w:lineRule="auto"/>
              <w:ind w:firstLine="0" w:firstLineChars="0"/>
              <w:jc w:val="center"/>
              <w:rPr>
                <w:bCs/>
                <w:sz w:val="21"/>
              </w:rPr>
            </w:pPr>
            <w:r>
              <w:rPr>
                <w:bCs/>
                <w:sz w:val="21"/>
              </w:rPr>
              <w:t>A</w:t>
            </w:r>
            <w:r>
              <w:rPr>
                <w:rFonts w:hAnsi="宋体"/>
                <w:sz w:val="21"/>
              </w:rPr>
              <w:t>线</w:t>
            </w:r>
          </w:p>
        </w:tc>
        <w:tc>
          <w:tcPr>
            <w:tcW w:w="1620" w:type="pct"/>
            <w:vAlign w:val="center"/>
          </w:tcPr>
          <w:p>
            <w:pPr>
              <w:spacing w:line="240" w:lineRule="auto"/>
              <w:ind w:firstLine="0" w:firstLineChars="0"/>
              <w:jc w:val="center"/>
              <w:rPr>
                <w:bCs/>
                <w:sz w:val="21"/>
              </w:rPr>
            </w:pPr>
            <w:r>
              <w:rPr>
                <w:rFonts w:hAnsi="宋体"/>
                <w:bCs/>
                <w:sz w:val="21"/>
              </w:rPr>
              <w:t>比选结果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bCs/>
                <w:sz w:val="21"/>
              </w:rPr>
              <w:t>优点</w:t>
            </w:r>
          </w:p>
        </w:tc>
        <w:tc>
          <w:tcPr>
            <w:tcW w:w="1334" w:type="pct"/>
            <w:vAlign w:val="center"/>
          </w:tcPr>
          <w:p>
            <w:pPr>
              <w:spacing w:line="240" w:lineRule="auto"/>
              <w:ind w:firstLine="0" w:firstLineChars="0"/>
              <w:jc w:val="left"/>
              <w:rPr>
                <w:sz w:val="21"/>
              </w:rPr>
            </w:pPr>
            <w:r>
              <w:rPr>
                <w:rFonts w:hAnsi="宋体"/>
                <w:sz w:val="21"/>
              </w:rPr>
              <w:t>①该方案符合本项目建设目的，符合各级单位相关路网规划；</w:t>
            </w:r>
          </w:p>
          <w:p>
            <w:pPr>
              <w:spacing w:line="240" w:lineRule="auto"/>
              <w:ind w:firstLine="0" w:firstLineChars="0"/>
              <w:jc w:val="left"/>
              <w:rPr>
                <w:sz w:val="21"/>
              </w:rPr>
            </w:pPr>
            <w:r>
              <w:rPr>
                <w:rFonts w:hAnsi="宋体"/>
                <w:sz w:val="21"/>
              </w:rPr>
              <w:t>②可完全利用既有遵宝线约</w:t>
            </w:r>
            <w:r>
              <w:rPr>
                <w:sz w:val="21"/>
              </w:rPr>
              <w:t>7.7</w:t>
            </w:r>
            <w:r>
              <w:rPr>
                <w:rFonts w:hAnsi="宋体"/>
                <w:sz w:val="21"/>
              </w:rPr>
              <w:t>公里，无新增占地，无拆迁；</w:t>
            </w:r>
          </w:p>
          <w:p>
            <w:pPr>
              <w:spacing w:line="240" w:lineRule="auto"/>
              <w:ind w:firstLine="0" w:firstLineChars="0"/>
              <w:jc w:val="left"/>
              <w:rPr>
                <w:sz w:val="21"/>
              </w:rPr>
            </w:pPr>
            <w:r>
              <w:rPr>
                <w:rFonts w:hAnsi="宋体"/>
                <w:sz w:val="21"/>
              </w:rPr>
              <w:t>③运营里程较短</w:t>
            </w:r>
            <w:r>
              <w:rPr>
                <w:sz w:val="21"/>
              </w:rPr>
              <w:t>,</w:t>
            </w:r>
            <w:r>
              <w:rPr>
                <w:rFonts w:hAnsi="宋体"/>
                <w:sz w:val="21"/>
              </w:rPr>
              <w:t>减少绕行；</w:t>
            </w:r>
          </w:p>
          <w:p>
            <w:pPr>
              <w:spacing w:line="240" w:lineRule="auto"/>
              <w:ind w:firstLine="0" w:firstLineChars="0"/>
              <w:jc w:val="left"/>
              <w:rPr>
                <w:sz w:val="21"/>
              </w:rPr>
            </w:pPr>
            <w:r>
              <w:rPr>
                <w:rFonts w:hAnsi="宋体"/>
                <w:sz w:val="21"/>
              </w:rPr>
              <w:t>④完全利用既有</w:t>
            </w:r>
            <w:r>
              <w:rPr>
                <w:sz w:val="21"/>
              </w:rPr>
              <w:t>G230</w:t>
            </w:r>
            <w:r>
              <w:rPr>
                <w:rFonts w:hAnsi="宋体"/>
                <w:sz w:val="21"/>
              </w:rPr>
              <w:t>，减少地方财政压力；</w:t>
            </w:r>
          </w:p>
          <w:p>
            <w:pPr>
              <w:spacing w:line="240" w:lineRule="auto"/>
              <w:ind w:firstLine="0" w:firstLineChars="0"/>
              <w:jc w:val="left"/>
              <w:rPr>
                <w:bCs/>
                <w:sz w:val="21"/>
              </w:rPr>
            </w:pPr>
            <w:r>
              <w:rPr>
                <w:rFonts w:hAnsi="宋体"/>
                <w:sz w:val="21"/>
              </w:rPr>
              <w:t>⑤满足各地方政府和各部门的诉求，利于本项目的顺利实施</w:t>
            </w:r>
          </w:p>
        </w:tc>
        <w:tc>
          <w:tcPr>
            <w:tcW w:w="1727" w:type="pct"/>
            <w:vAlign w:val="center"/>
          </w:tcPr>
          <w:p>
            <w:pPr>
              <w:spacing w:line="240" w:lineRule="auto"/>
              <w:ind w:firstLine="0" w:firstLineChars="0"/>
              <w:jc w:val="left"/>
              <w:rPr>
                <w:sz w:val="21"/>
              </w:rPr>
            </w:pPr>
            <w:r>
              <w:rPr>
                <w:rFonts w:hint="eastAsia" w:ascii="宋体" w:hAnsi="宋体" w:cs="宋体"/>
                <w:sz w:val="21"/>
              </w:rPr>
              <w:t>①</w:t>
            </w:r>
            <w:r>
              <w:rPr>
                <w:rFonts w:hAnsi="宋体"/>
                <w:sz w:val="21"/>
              </w:rPr>
              <w:t>该方案可以避开遵化城区段，减少对城市发展的影响；</w:t>
            </w:r>
          </w:p>
          <w:p>
            <w:pPr>
              <w:spacing w:line="240" w:lineRule="auto"/>
              <w:ind w:firstLine="0" w:firstLineChars="0"/>
              <w:jc w:val="left"/>
              <w:rPr>
                <w:sz w:val="21"/>
              </w:rPr>
            </w:pPr>
            <w:r>
              <w:rPr>
                <w:rFonts w:hint="eastAsia" w:ascii="宋体" w:hAnsi="宋体" w:cs="宋体"/>
                <w:sz w:val="21"/>
              </w:rPr>
              <w:t>②</w:t>
            </w:r>
            <w:r>
              <w:rPr>
                <w:rFonts w:hAnsi="宋体"/>
                <w:sz w:val="21"/>
              </w:rPr>
              <w:t>该方案线形平顺，线形指标较高；</w:t>
            </w:r>
          </w:p>
          <w:p>
            <w:pPr>
              <w:spacing w:line="240" w:lineRule="auto"/>
              <w:ind w:firstLine="0" w:firstLineChars="0"/>
              <w:jc w:val="left"/>
              <w:rPr>
                <w:sz w:val="21"/>
              </w:rPr>
            </w:pPr>
            <w:r>
              <w:rPr>
                <w:rFonts w:hint="eastAsia" w:ascii="宋体" w:hAnsi="宋体" w:cs="宋体"/>
                <w:sz w:val="21"/>
              </w:rPr>
              <w:t>③</w:t>
            </w:r>
            <w:r>
              <w:rPr>
                <w:rFonts w:hAnsi="宋体"/>
                <w:sz w:val="21"/>
              </w:rPr>
              <w:t>交通组织简单。</w:t>
            </w:r>
          </w:p>
        </w:tc>
        <w:tc>
          <w:tcPr>
            <w:tcW w:w="1620" w:type="pct"/>
            <w:vMerge w:val="restart"/>
            <w:vAlign w:val="center"/>
          </w:tcPr>
          <w:p>
            <w:pPr>
              <w:spacing w:line="240" w:lineRule="auto"/>
              <w:ind w:firstLine="0" w:firstLineChars="0"/>
              <w:jc w:val="center"/>
              <w:rPr>
                <w:sz w:val="21"/>
              </w:rPr>
            </w:pPr>
            <w:r>
              <w:rPr>
                <w:sz w:val="21"/>
              </w:rPr>
              <w:t>A</w:t>
            </w:r>
            <w:r>
              <w:rPr>
                <w:rFonts w:hAnsi="宋体"/>
                <w:sz w:val="21"/>
              </w:rPr>
              <w:t>比选线方案虽然可远离遵化城区，线形指标较高，但由于线路在大秦铁路北侧布设，对遵化城市空间拓展意义不大，但投资规模将给地方政府财政带来较大压力。通过交通量预测及分析结果，</w:t>
            </w:r>
            <w:r>
              <w:rPr>
                <w:sz w:val="21"/>
              </w:rPr>
              <w:t>K</w:t>
            </w:r>
            <w:r>
              <w:rPr>
                <w:rFonts w:hAnsi="宋体"/>
                <w:sz w:val="21"/>
              </w:rPr>
              <w:t>线方案完全利用</w:t>
            </w:r>
            <w:r>
              <w:rPr>
                <w:sz w:val="21"/>
              </w:rPr>
              <w:t>G230</w:t>
            </w:r>
            <w:r>
              <w:rPr>
                <w:rFonts w:hAnsi="宋体"/>
                <w:sz w:val="21"/>
              </w:rPr>
              <w:t>线并与其共线后，远景年（</w:t>
            </w:r>
            <w:r>
              <w:rPr>
                <w:sz w:val="21"/>
              </w:rPr>
              <w:t>2044</w:t>
            </w:r>
            <w:r>
              <w:rPr>
                <w:rFonts w:hAnsi="宋体"/>
                <w:sz w:val="21"/>
              </w:rPr>
              <w:t>）的交通量为</w:t>
            </w:r>
            <w:r>
              <w:rPr>
                <w:sz w:val="21"/>
              </w:rPr>
              <w:t>28968pcu/d</w:t>
            </w:r>
            <w:r>
              <w:rPr>
                <w:rFonts w:hAnsi="宋体"/>
                <w:sz w:val="21"/>
              </w:rPr>
              <w:t>，可满足一级公路双向四车道四级服务水平要求，</w:t>
            </w:r>
            <w:r>
              <w:rPr>
                <w:sz w:val="21"/>
              </w:rPr>
              <w:t>K</w:t>
            </w:r>
            <w:r>
              <w:rPr>
                <w:rFonts w:hAnsi="宋体"/>
                <w:sz w:val="21"/>
              </w:rPr>
              <w:t>线方案虽然在利用既有</w:t>
            </w:r>
            <w:r>
              <w:rPr>
                <w:sz w:val="21"/>
              </w:rPr>
              <w:t>G230</w:t>
            </w:r>
            <w:r>
              <w:rPr>
                <w:rFonts w:hAnsi="宋体"/>
                <w:sz w:val="21"/>
              </w:rPr>
              <w:t>线段存在一处直角平交，平面线形略差的问题，但仍可满足与其共线后的设计要求，符合在本项目建设标准和建设目的。该方案在不新增建设用地、无拆迁补偿费用、不给地方政府增加较大的财政压力的同时，避免重复建设造成的资源浪费，因此本次工可将</w:t>
            </w:r>
            <w:r>
              <w:rPr>
                <w:sz w:val="21"/>
              </w:rPr>
              <w:t>K</w:t>
            </w:r>
            <w:r>
              <w:rPr>
                <w:rFonts w:hAnsi="宋体"/>
                <w:sz w:val="21"/>
              </w:rPr>
              <w:t>线方案做为推荐方案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bCs/>
                <w:sz w:val="21"/>
              </w:rPr>
              <w:t>缺点</w:t>
            </w:r>
          </w:p>
        </w:tc>
        <w:tc>
          <w:tcPr>
            <w:tcW w:w="1334" w:type="pct"/>
            <w:vAlign w:val="center"/>
          </w:tcPr>
          <w:p>
            <w:pPr>
              <w:spacing w:line="240" w:lineRule="auto"/>
              <w:ind w:firstLine="0" w:firstLineChars="0"/>
              <w:jc w:val="left"/>
              <w:rPr>
                <w:sz w:val="21"/>
              </w:rPr>
            </w:pPr>
            <w:r>
              <w:rPr>
                <w:rFonts w:hint="eastAsia" w:hAnsi="宋体"/>
                <w:sz w:val="21"/>
              </w:rPr>
              <w:t>①</w:t>
            </w:r>
            <w:r>
              <w:rPr>
                <w:rFonts w:hAnsi="宋体"/>
                <w:sz w:val="21"/>
              </w:rPr>
              <w:t>路线在</w:t>
            </w:r>
            <w:r>
              <w:rPr>
                <w:sz w:val="21"/>
              </w:rPr>
              <w:t>K3+500</w:t>
            </w:r>
            <w:r>
              <w:rPr>
                <w:rFonts w:hAnsi="宋体"/>
                <w:sz w:val="21"/>
              </w:rPr>
              <w:t>右侧由于存在旧热电厂，既有</w:t>
            </w:r>
            <w:r>
              <w:rPr>
                <w:sz w:val="21"/>
              </w:rPr>
              <w:t>G230</w:t>
            </w:r>
            <w:r>
              <w:rPr>
                <w:rFonts w:hAnsi="宋体"/>
                <w:sz w:val="21"/>
              </w:rPr>
              <w:t>在此处向厂区东南绕行，并设置</w:t>
            </w:r>
            <w:r>
              <w:rPr>
                <w:sz w:val="21"/>
              </w:rPr>
              <w:t>T</w:t>
            </w:r>
            <w:r>
              <w:rPr>
                <w:rFonts w:hAnsi="宋体"/>
                <w:sz w:val="21"/>
              </w:rPr>
              <w:t>型交叉，路线连续性略差；</w:t>
            </w:r>
          </w:p>
          <w:p>
            <w:pPr>
              <w:spacing w:line="240" w:lineRule="auto"/>
              <w:ind w:firstLine="0" w:firstLineChars="0"/>
              <w:jc w:val="left"/>
              <w:rPr>
                <w:bCs/>
                <w:sz w:val="21"/>
              </w:rPr>
            </w:pPr>
            <w:r>
              <w:rPr>
                <w:rFonts w:hint="eastAsia" w:ascii="宋体" w:hAnsi="宋体" w:cs="宋体"/>
                <w:sz w:val="21"/>
              </w:rPr>
              <w:t>②</w:t>
            </w:r>
            <w:r>
              <w:rPr>
                <w:rFonts w:hAnsi="宋体"/>
                <w:sz w:val="21"/>
              </w:rPr>
              <w:t>既有</w:t>
            </w:r>
            <w:r>
              <w:rPr>
                <w:sz w:val="21"/>
              </w:rPr>
              <w:t>G230</w:t>
            </w:r>
            <w:r>
              <w:rPr>
                <w:rFonts w:hAnsi="宋体"/>
                <w:sz w:val="21"/>
              </w:rPr>
              <w:t>利用段虽然在遵化城区外侧绕行，但随着城市发展，目前已出现城市化现象。</w:t>
            </w:r>
          </w:p>
        </w:tc>
        <w:tc>
          <w:tcPr>
            <w:tcW w:w="1727" w:type="pct"/>
            <w:vAlign w:val="center"/>
          </w:tcPr>
          <w:p>
            <w:pPr>
              <w:spacing w:line="240" w:lineRule="auto"/>
              <w:ind w:firstLine="0" w:firstLineChars="0"/>
              <w:jc w:val="left"/>
              <w:rPr>
                <w:sz w:val="21"/>
              </w:rPr>
            </w:pPr>
            <w:r>
              <w:rPr>
                <w:rFonts w:hint="eastAsia" w:ascii="宋体" w:hAnsi="宋体" w:cs="宋体"/>
                <w:sz w:val="21"/>
              </w:rPr>
              <w:t>①</w:t>
            </w:r>
            <w:r>
              <w:rPr>
                <w:sz w:val="21"/>
              </w:rPr>
              <w:t>A</w:t>
            </w:r>
            <w:r>
              <w:rPr>
                <w:rFonts w:hAnsi="宋体"/>
                <w:sz w:val="21"/>
              </w:rPr>
              <w:t>比选方案沿遵化市城区北侧绕行，新改建里程较长；</w:t>
            </w:r>
          </w:p>
          <w:p>
            <w:pPr>
              <w:spacing w:line="240" w:lineRule="auto"/>
              <w:ind w:firstLine="0" w:firstLineChars="0"/>
              <w:jc w:val="left"/>
              <w:rPr>
                <w:sz w:val="21"/>
              </w:rPr>
            </w:pPr>
            <w:r>
              <w:rPr>
                <w:rFonts w:hint="eastAsia" w:ascii="宋体" w:hAnsi="宋体" w:cs="宋体"/>
                <w:sz w:val="21"/>
              </w:rPr>
              <w:t>②</w:t>
            </w:r>
            <w:r>
              <w:rPr>
                <w:sz w:val="21"/>
              </w:rPr>
              <w:t>A</w:t>
            </w:r>
            <w:r>
              <w:rPr>
                <w:rFonts w:hAnsi="宋体"/>
                <w:sz w:val="21"/>
              </w:rPr>
              <w:t>比选方案新增用地较多，尤其基本农田规模较大；</w:t>
            </w:r>
          </w:p>
          <w:p>
            <w:pPr>
              <w:spacing w:line="240" w:lineRule="auto"/>
              <w:ind w:firstLine="0" w:firstLineChars="0"/>
              <w:jc w:val="left"/>
              <w:rPr>
                <w:sz w:val="21"/>
              </w:rPr>
            </w:pPr>
            <w:r>
              <w:rPr>
                <w:rFonts w:hint="eastAsia" w:ascii="宋体" w:hAnsi="宋体" w:cs="宋体"/>
                <w:sz w:val="21"/>
              </w:rPr>
              <w:t>③</w:t>
            </w:r>
            <w:r>
              <w:rPr>
                <w:sz w:val="21"/>
              </w:rPr>
              <w:t>A</w:t>
            </w:r>
            <w:r>
              <w:rPr>
                <w:rFonts w:hAnsi="宋体"/>
                <w:sz w:val="21"/>
              </w:rPr>
              <w:t>比选方案拆迁巨大，拆迁难度巨大，影响建设工期；</w:t>
            </w:r>
          </w:p>
          <w:p>
            <w:pPr>
              <w:spacing w:line="240" w:lineRule="auto"/>
              <w:ind w:firstLine="0" w:firstLineChars="0"/>
              <w:jc w:val="left"/>
              <w:rPr>
                <w:sz w:val="21"/>
              </w:rPr>
            </w:pPr>
            <w:r>
              <w:rPr>
                <w:rFonts w:hint="eastAsia" w:ascii="宋体" w:hAnsi="宋体" w:cs="宋体"/>
                <w:sz w:val="21"/>
              </w:rPr>
              <w:t>④</w:t>
            </w:r>
            <w:r>
              <w:rPr>
                <w:rFonts w:hAnsi="宋体"/>
                <w:sz w:val="21"/>
              </w:rPr>
              <w:t>该方案在大秦铁路北侧布设，路线跨越唐遵铁路后穿过大秦铁路，需增设高架桥，建设规模较大</w:t>
            </w:r>
            <w:r>
              <w:rPr>
                <w:sz w:val="21"/>
              </w:rPr>
              <w:t>,</w:t>
            </w:r>
            <w:r>
              <w:rPr>
                <w:rFonts w:hAnsi="宋体"/>
                <w:sz w:val="21"/>
              </w:rPr>
              <w:t>该方案总造价约</w:t>
            </w:r>
            <w:r>
              <w:rPr>
                <w:sz w:val="21"/>
              </w:rPr>
              <w:t>5.5</w:t>
            </w:r>
            <w:r>
              <w:rPr>
                <w:rFonts w:hAnsi="宋体"/>
                <w:sz w:val="21"/>
              </w:rPr>
              <w:t>亿元，当地政府财政压力较大；</w:t>
            </w:r>
          </w:p>
          <w:p>
            <w:pPr>
              <w:spacing w:line="240" w:lineRule="auto"/>
              <w:ind w:firstLine="0" w:firstLineChars="0"/>
              <w:jc w:val="left"/>
              <w:rPr>
                <w:sz w:val="21"/>
              </w:rPr>
            </w:pPr>
            <w:r>
              <w:rPr>
                <w:rFonts w:hint="eastAsia" w:ascii="宋体" w:hAnsi="宋体" w:cs="宋体"/>
                <w:sz w:val="21"/>
              </w:rPr>
              <w:t>⑤</w:t>
            </w:r>
            <w:r>
              <w:rPr>
                <w:sz w:val="21"/>
              </w:rPr>
              <w:t>A</w:t>
            </w:r>
            <w:r>
              <w:rPr>
                <w:rFonts w:hAnsi="宋体"/>
                <w:sz w:val="21"/>
              </w:rPr>
              <w:t>线新建方案将会在通华西街与</w:t>
            </w:r>
            <w:r>
              <w:rPr>
                <w:sz w:val="21"/>
              </w:rPr>
              <w:t>G230</w:t>
            </w:r>
            <w:r>
              <w:rPr>
                <w:rFonts w:hAnsi="宋体"/>
                <w:sz w:val="21"/>
              </w:rPr>
              <w:t>交叉口处出现</w:t>
            </w:r>
            <w:r>
              <w:rPr>
                <w:sz w:val="21"/>
              </w:rPr>
              <w:t>5</w:t>
            </w:r>
            <w:r>
              <w:rPr>
                <w:rFonts w:hAnsi="宋体"/>
                <w:sz w:val="21"/>
              </w:rPr>
              <w:t>路交叉，交通组织困难；</w:t>
            </w:r>
          </w:p>
          <w:p>
            <w:pPr>
              <w:spacing w:line="240" w:lineRule="auto"/>
              <w:ind w:firstLine="0" w:firstLineChars="0"/>
              <w:jc w:val="left"/>
              <w:rPr>
                <w:bCs/>
                <w:sz w:val="21"/>
              </w:rPr>
            </w:pPr>
            <w:r>
              <w:rPr>
                <w:rFonts w:hint="eastAsia" w:ascii="宋体" w:hAnsi="宋体" w:cs="宋体"/>
                <w:sz w:val="21"/>
              </w:rPr>
              <w:t>⑥</w:t>
            </w:r>
            <w:r>
              <w:rPr>
                <w:rFonts w:hAnsi="宋体"/>
                <w:sz w:val="21"/>
              </w:rPr>
              <w:t>不符合地方政府和各部门的诉求，不利于本项目的顺利实施</w:t>
            </w:r>
          </w:p>
        </w:tc>
        <w:tc>
          <w:tcPr>
            <w:tcW w:w="1620" w:type="pct"/>
            <w:vMerge w:val="continue"/>
            <w:vAlign w:val="center"/>
          </w:tcPr>
          <w:p>
            <w:pPr>
              <w:spacing w:line="240" w:lineRule="auto"/>
              <w:ind w:firstLine="0" w:firstLineChars="0"/>
              <w:jc w:val="center"/>
              <w:rPr>
                <w:sz w:val="21"/>
              </w:rPr>
            </w:pPr>
          </w:p>
        </w:tc>
      </w:tr>
    </w:tbl>
    <w:p>
      <w:pPr>
        <w:ind w:firstLine="480"/>
        <w:rPr>
          <w:szCs w:val="24"/>
        </w:rPr>
      </w:pPr>
      <w:r>
        <w:rPr>
          <w:rFonts w:hint="eastAsia"/>
          <w:szCs w:val="24"/>
        </w:rPr>
        <w:t>3)环境影响分析综合比选</w:t>
      </w:r>
    </w:p>
    <w:p>
      <w:pPr>
        <w:adjustRightInd w:val="0"/>
        <w:snapToGrid w:val="0"/>
        <w:ind w:firstLine="0" w:firstLineChars="0"/>
        <w:jc w:val="center"/>
        <w:rPr>
          <w:b/>
          <w:sz w:val="21"/>
        </w:rPr>
      </w:pPr>
      <w:r>
        <w:rPr>
          <w:rFonts w:hint="eastAsia"/>
          <w:b/>
          <w:sz w:val="21"/>
        </w:rPr>
        <w:t>表3.3-2 A、K两方案环境影响分析比选方案</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675"/>
        <w:gridCol w:w="1178"/>
        <w:gridCol w:w="1765"/>
        <w:gridCol w:w="752"/>
        <w:gridCol w:w="1202"/>
        <w:gridCol w:w="1809"/>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sz w:val="21"/>
              </w:rPr>
              <w:t>序号</w:t>
            </w:r>
          </w:p>
        </w:tc>
        <w:tc>
          <w:tcPr>
            <w:tcW w:w="652" w:type="pct"/>
            <w:vAlign w:val="center"/>
          </w:tcPr>
          <w:p>
            <w:pPr>
              <w:spacing w:line="240" w:lineRule="auto"/>
              <w:ind w:firstLine="0" w:firstLineChars="0"/>
              <w:jc w:val="center"/>
              <w:rPr>
                <w:sz w:val="21"/>
              </w:rPr>
            </w:pPr>
            <w:r>
              <w:rPr>
                <w:rFonts w:hint="eastAsia"/>
                <w:sz w:val="21"/>
              </w:rPr>
              <w:t>环境要素</w:t>
            </w:r>
          </w:p>
        </w:tc>
        <w:tc>
          <w:tcPr>
            <w:tcW w:w="977" w:type="pct"/>
            <w:vAlign w:val="center"/>
          </w:tcPr>
          <w:p>
            <w:pPr>
              <w:spacing w:line="240" w:lineRule="auto"/>
              <w:ind w:firstLine="0" w:firstLineChars="0"/>
              <w:jc w:val="center"/>
              <w:rPr>
                <w:sz w:val="21"/>
              </w:rPr>
            </w:pPr>
            <w:r>
              <w:rPr>
                <w:sz w:val="21"/>
              </w:rPr>
              <w:t>比较项目</w:t>
            </w:r>
          </w:p>
        </w:tc>
        <w:tc>
          <w:tcPr>
            <w:tcW w:w="416" w:type="pct"/>
            <w:vAlign w:val="center"/>
          </w:tcPr>
          <w:p>
            <w:pPr>
              <w:spacing w:line="240" w:lineRule="auto"/>
              <w:ind w:firstLine="0" w:firstLineChars="0"/>
              <w:jc w:val="center"/>
              <w:rPr>
                <w:sz w:val="21"/>
              </w:rPr>
            </w:pPr>
            <w:r>
              <w:rPr>
                <w:sz w:val="21"/>
              </w:rPr>
              <w:t>单位</w:t>
            </w:r>
          </w:p>
        </w:tc>
        <w:tc>
          <w:tcPr>
            <w:tcW w:w="665" w:type="pct"/>
            <w:vAlign w:val="center"/>
          </w:tcPr>
          <w:p>
            <w:pPr>
              <w:spacing w:line="240" w:lineRule="auto"/>
              <w:ind w:firstLine="0" w:firstLineChars="0"/>
              <w:jc w:val="center"/>
              <w:rPr>
                <w:sz w:val="21"/>
              </w:rPr>
            </w:pPr>
            <w:r>
              <w:rPr>
                <w:rFonts w:hint="eastAsia"/>
                <w:sz w:val="21"/>
              </w:rPr>
              <w:t>K</w:t>
            </w:r>
            <w:r>
              <w:rPr>
                <w:sz w:val="21"/>
              </w:rPr>
              <w:t>线</w:t>
            </w:r>
          </w:p>
        </w:tc>
        <w:tc>
          <w:tcPr>
            <w:tcW w:w="1001" w:type="pct"/>
            <w:vAlign w:val="center"/>
          </w:tcPr>
          <w:p>
            <w:pPr>
              <w:spacing w:line="240" w:lineRule="auto"/>
              <w:ind w:firstLine="0" w:firstLineChars="0"/>
              <w:jc w:val="center"/>
              <w:rPr>
                <w:sz w:val="21"/>
              </w:rPr>
            </w:pPr>
            <w:r>
              <w:rPr>
                <w:sz w:val="21"/>
              </w:rPr>
              <w:t>A线</w:t>
            </w:r>
          </w:p>
        </w:tc>
        <w:tc>
          <w:tcPr>
            <w:tcW w:w="915" w:type="pct"/>
            <w:vAlign w:val="center"/>
          </w:tcPr>
          <w:p>
            <w:pPr>
              <w:spacing w:line="240" w:lineRule="auto"/>
              <w:ind w:firstLine="0" w:firstLineChars="0"/>
              <w:jc w:val="center"/>
              <w:rPr>
                <w:sz w:val="21"/>
              </w:rPr>
            </w:pPr>
            <w:r>
              <w:rPr>
                <w:rFonts w:hint="eastAsia"/>
                <w:sz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restart"/>
            <w:vAlign w:val="center"/>
          </w:tcPr>
          <w:p>
            <w:pPr>
              <w:spacing w:line="240" w:lineRule="auto"/>
              <w:ind w:firstLine="0" w:firstLineChars="0"/>
              <w:jc w:val="center"/>
              <w:rPr>
                <w:sz w:val="21"/>
              </w:rPr>
            </w:pPr>
            <w:r>
              <w:rPr>
                <w:sz w:val="21"/>
              </w:rPr>
              <w:t>1</w:t>
            </w:r>
          </w:p>
        </w:tc>
        <w:tc>
          <w:tcPr>
            <w:tcW w:w="652" w:type="pct"/>
            <w:vMerge w:val="restart"/>
            <w:vAlign w:val="center"/>
          </w:tcPr>
          <w:p>
            <w:pPr>
              <w:spacing w:line="240" w:lineRule="auto"/>
              <w:ind w:firstLine="0" w:firstLineChars="0"/>
              <w:jc w:val="center"/>
              <w:rPr>
                <w:sz w:val="21"/>
              </w:rPr>
            </w:pPr>
            <w:r>
              <w:rPr>
                <w:rFonts w:hint="eastAsia"/>
                <w:sz w:val="21"/>
              </w:rPr>
              <w:t>生态环境</w:t>
            </w:r>
          </w:p>
        </w:tc>
        <w:tc>
          <w:tcPr>
            <w:tcW w:w="977" w:type="pct"/>
            <w:vAlign w:val="center"/>
          </w:tcPr>
          <w:p>
            <w:pPr>
              <w:spacing w:line="240" w:lineRule="auto"/>
              <w:ind w:firstLine="0" w:firstLineChars="0"/>
              <w:jc w:val="center"/>
              <w:rPr>
                <w:sz w:val="21"/>
              </w:rPr>
            </w:pPr>
            <w:r>
              <w:rPr>
                <w:sz w:val="21"/>
              </w:rPr>
              <w:t>路线长度</w:t>
            </w:r>
          </w:p>
        </w:tc>
        <w:tc>
          <w:tcPr>
            <w:tcW w:w="416" w:type="pct"/>
            <w:vAlign w:val="center"/>
          </w:tcPr>
          <w:p>
            <w:pPr>
              <w:spacing w:line="240" w:lineRule="auto"/>
              <w:ind w:firstLine="0" w:firstLineChars="0"/>
              <w:jc w:val="center"/>
              <w:rPr>
                <w:sz w:val="21"/>
              </w:rPr>
            </w:pPr>
            <w:r>
              <w:rPr>
                <w:rFonts w:hint="eastAsia"/>
                <w:sz w:val="21"/>
              </w:rPr>
              <w:t>k</w:t>
            </w:r>
            <w:r>
              <w:rPr>
                <w:sz w:val="21"/>
              </w:rPr>
              <w:t>m</w:t>
            </w:r>
          </w:p>
        </w:tc>
        <w:tc>
          <w:tcPr>
            <w:tcW w:w="665" w:type="pct"/>
            <w:vAlign w:val="center"/>
          </w:tcPr>
          <w:p>
            <w:pPr>
              <w:spacing w:line="240" w:lineRule="auto"/>
              <w:ind w:firstLine="0" w:firstLineChars="0"/>
              <w:jc w:val="center"/>
              <w:rPr>
                <w:sz w:val="21"/>
              </w:rPr>
            </w:pPr>
            <w:r>
              <w:rPr>
                <w:rFonts w:hint="eastAsia"/>
                <w:sz w:val="21"/>
              </w:rPr>
              <w:t>7.7</w:t>
            </w:r>
          </w:p>
        </w:tc>
        <w:tc>
          <w:tcPr>
            <w:tcW w:w="1001" w:type="pct"/>
            <w:vAlign w:val="center"/>
          </w:tcPr>
          <w:p>
            <w:pPr>
              <w:spacing w:line="240" w:lineRule="auto"/>
              <w:ind w:firstLine="0" w:firstLineChars="0"/>
              <w:jc w:val="center"/>
              <w:rPr>
                <w:sz w:val="21"/>
              </w:rPr>
            </w:pPr>
            <w:r>
              <w:rPr>
                <w:rFonts w:hint="eastAsia"/>
                <w:sz w:val="21"/>
              </w:rPr>
              <w:t>8.821</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sz w:val="21"/>
              </w:rPr>
            </w:pPr>
          </w:p>
        </w:tc>
        <w:tc>
          <w:tcPr>
            <w:tcW w:w="652" w:type="pct"/>
            <w:vMerge w:val="continue"/>
            <w:vAlign w:val="center"/>
          </w:tcPr>
          <w:p>
            <w:pPr>
              <w:spacing w:line="240" w:lineRule="auto"/>
              <w:ind w:firstLine="0" w:firstLineChars="0"/>
              <w:jc w:val="center"/>
              <w:rPr>
                <w:sz w:val="21"/>
              </w:rPr>
            </w:pPr>
          </w:p>
        </w:tc>
        <w:tc>
          <w:tcPr>
            <w:tcW w:w="977" w:type="pct"/>
            <w:vAlign w:val="center"/>
          </w:tcPr>
          <w:p>
            <w:pPr>
              <w:spacing w:line="240" w:lineRule="auto"/>
              <w:ind w:firstLine="0" w:firstLineChars="0"/>
              <w:jc w:val="center"/>
              <w:rPr>
                <w:sz w:val="21"/>
              </w:rPr>
            </w:pPr>
            <w:r>
              <w:rPr>
                <w:rFonts w:hint="eastAsia"/>
                <w:sz w:val="21"/>
              </w:rPr>
              <w:t>占地</w:t>
            </w:r>
          </w:p>
        </w:tc>
        <w:tc>
          <w:tcPr>
            <w:tcW w:w="416" w:type="pct"/>
            <w:vAlign w:val="center"/>
          </w:tcPr>
          <w:p>
            <w:pPr>
              <w:spacing w:line="240" w:lineRule="auto"/>
              <w:ind w:firstLine="0" w:firstLineChars="0"/>
              <w:jc w:val="center"/>
              <w:rPr>
                <w:sz w:val="21"/>
              </w:rPr>
            </w:pPr>
            <w:r>
              <w:rPr>
                <w:rFonts w:hint="eastAsia"/>
                <w:sz w:val="21"/>
              </w:rPr>
              <w:t>亩</w:t>
            </w:r>
          </w:p>
        </w:tc>
        <w:tc>
          <w:tcPr>
            <w:tcW w:w="665" w:type="pct"/>
            <w:vAlign w:val="center"/>
          </w:tcPr>
          <w:p>
            <w:pPr>
              <w:spacing w:line="240" w:lineRule="auto"/>
              <w:ind w:firstLine="0" w:firstLineChars="0"/>
              <w:jc w:val="center"/>
              <w:rPr>
                <w:sz w:val="21"/>
              </w:rPr>
            </w:pPr>
            <w:r>
              <w:rPr>
                <w:rFonts w:hint="eastAsia"/>
                <w:sz w:val="21"/>
              </w:rPr>
              <w:t>0</w:t>
            </w:r>
          </w:p>
        </w:tc>
        <w:tc>
          <w:tcPr>
            <w:tcW w:w="1001" w:type="pct"/>
            <w:vAlign w:val="center"/>
          </w:tcPr>
          <w:p>
            <w:pPr>
              <w:spacing w:line="240" w:lineRule="auto"/>
              <w:ind w:firstLine="0" w:firstLineChars="0"/>
              <w:jc w:val="center"/>
              <w:rPr>
                <w:sz w:val="21"/>
              </w:rPr>
            </w:pPr>
            <w:r>
              <w:rPr>
                <w:rFonts w:hint="eastAsia"/>
                <w:sz w:val="21"/>
              </w:rPr>
              <w:t>337.74</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sz w:val="21"/>
              </w:rPr>
            </w:pPr>
          </w:p>
        </w:tc>
        <w:tc>
          <w:tcPr>
            <w:tcW w:w="652" w:type="pct"/>
            <w:vMerge w:val="continue"/>
            <w:vAlign w:val="center"/>
          </w:tcPr>
          <w:p>
            <w:pPr>
              <w:spacing w:line="240" w:lineRule="auto"/>
              <w:ind w:firstLine="0" w:firstLineChars="0"/>
              <w:jc w:val="center"/>
              <w:rPr>
                <w:sz w:val="21"/>
              </w:rPr>
            </w:pPr>
          </w:p>
        </w:tc>
        <w:tc>
          <w:tcPr>
            <w:tcW w:w="977" w:type="pct"/>
            <w:vAlign w:val="center"/>
          </w:tcPr>
          <w:p>
            <w:pPr>
              <w:spacing w:line="240" w:lineRule="auto"/>
              <w:ind w:firstLine="0" w:firstLineChars="0"/>
              <w:jc w:val="center"/>
              <w:rPr>
                <w:sz w:val="21"/>
              </w:rPr>
            </w:pPr>
            <w:r>
              <w:rPr>
                <w:rFonts w:hint="eastAsia"/>
                <w:sz w:val="21"/>
              </w:rPr>
              <w:t>水土流失</w:t>
            </w:r>
          </w:p>
        </w:tc>
        <w:tc>
          <w:tcPr>
            <w:tcW w:w="416" w:type="pct"/>
            <w:vAlign w:val="center"/>
          </w:tcPr>
          <w:p>
            <w:pPr>
              <w:spacing w:line="240" w:lineRule="auto"/>
              <w:ind w:firstLine="0" w:firstLineChars="0"/>
              <w:jc w:val="center"/>
              <w:rPr>
                <w:sz w:val="21"/>
              </w:rPr>
            </w:pPr>
            <w:r>
              <w:rPr>
                <w:rFonts w:hint="eastAsia"/>
                <w:sz w:val="21"/>
              </w:rPr>
              <w:t>/</w:t>
            </w:r>
          </w:p>
        </w:tc>
        <w:tc>
          <w:tcPr>
            <w:tcW w:w="665" w:type="pct"/>
            <w:vAlign w:val="center"/>
          </w:tcPr>
          <w:p>
            <w:pPr>
              <w:spacing w:line="240" w:lineRule="auto"/>
              <w:ind w:firstLine="0" w:firstLineChars="0"/>
              <w:jc w:val="center"/>
              <w:rPr>
                <w:sz w:val="21"/>
              </w:rPr>
            </w:pPr>
            <w:r>
              <w:rPr>
                <w:rFonts w:hint="eastAsia"/>
                <w:sz w:val="21"/>
              </w:rPr>
              <w:t>不涉及</w:t>
            </w:r>
          </w:p>
        </w:tc>
        <w:tc>
          <w:tcPr>
            <w:tcW w:w="1001" w:type="pct"/>
            <w:vAlign w:val="center"/>
          </w:tcPr>
          <w:p>
            <w:pPr>
              <w:spacing w:line="240" w:lineRule="auto"/>
              <w:ind w:firstLine="0" w:firstLineChars="0"/>
              <w:jc w:val="center"/>
              <w:rPr>
                <w:sz w:val="21"/>
              </w:rPr>
            </w:pPr>
            <w:r>
              <w:rPr>
                <w:rFonts w:hint="eastAsia"/>
                <w:sz w:val="21"/>
              </w:rPr>
              <w:t>该线</w:t>
            </w:r>
            <w:r>
              <w:rPr>
                <w:sz w:val="21"/>
              </w:rPr>
              <w:t>土石方</w:t>
            </w:r>
            <w:r>
              <w:rPr>
                <w:rFonts w:hint="eastAsia"/>
                <w:sz w:val="21"/>
              </w:rPr>
              <w:t>大量开挖</w:t>
            </w:r>
            <w:r>
              <w:rPr>
                <w:sz w:val="21"/>
              </w:rPr>
              <w:t>，引起水土流失严重</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rFonts w:hint="eastAsia"/>
                <w:sz w:val="21"/>
              </w:rPr>
              <w:t>2</w:t>
            </w:r>
          </w:p>
        </w:tc>
        <w:tc>
          <w:tcPr>
            <w:tcW w:w="652" w:type="pct"/>
            <w:vAlign w:val="center"/>
          </w:tcPr>
          <w:p>
            <w:pPr>
              <w:spacing w:line="240" w:lineRule="auto"/>
              <w:ind w:firstLine="0" w:firstLineChars="0"/>
              <w:jc w:val="center"/>
              <w:rPr>
                <w:sz w:val="21"/>
              </w:rPr>
            </w:pPr>
            <w:r>
              <w:rPr>
                <w:rFonts w:hint="eastAsia"/>
                <w:sz w:val="21"/>
              </w:rPr>
              <w:t>地表水</w:t>
            </w:r>
          </w:p>
        </w:tc>
        <w:tc>
          <w:tcPr>
            <w:tcW w:w="977" w:type="pct"/>
            <w:vAlign w:val="center"/>
          </w:tcPr>
          <w:p>
            <w:pPr>
              <w:spacing w:line="240" w:lineRule="auto"/>
              <w:ind w:firstLine="0" w:firstLineChars="0"/>
              <w:jc w:val="center"/>
              <w:rPr>
                <w:sz w:val="21"/>
              </w:rPr>
            </w:pPr>
            <w:r>
              <w:rPr>
                <w:rFonts w:hint="eastAsia"/>
                <w:sz w:val="21"/>
              </w:rPr>
              <w:t>河流</w:t>
            </w:r>
          </w:p>
        </w:tc>
        <w:tc>
          <w:tcPr>
            <w:tcW w:w="416" w:type="pct"/>
            <w:vAlign w:val="center"/>
          </w:tcPr>
          <w:p>
            <w:pPr>
              <w:spacing w:line="240" w:lineRule="auto"/>
              <w:ind w:firstLine="0" w:firstLineChars="0"/>
              <w:jc w:val="center"/>
              <w:rPr>
                <w:sz w:val="21"/>
              </w:rPr>
            </w:pPr>
            <w:r>
              <w:rPr>
                <w:rFonts w:hint="eastAsia"/>
                <w:sz w:val="21"/>
              </w:rPr>
              <w:t>条</w:t>
            </w:r>
          </w:p>
        </w:tc>
        <w:tc>
          <w:tcPr>
            <w:tcW w:w="665" w:type="pct"/>
            <w:vAlign w:val="center"/>
          </w:tcPr>
          <w:p>
            <w:pPr>
              <w:spacing w:line="240" w:lineRule="auto"/>
              <w:ind w:firstLine="0" w:firstLineChars="0"/>
              <w:jc w:val="center"/>
              <w:rPr>
                <w:sz w:val="21"/>
              </w:rPr>
            </w:pPr>
            <w:r>
              <w:rPr>
                <w:rFonts w:hint="eastAsia"/>
                <w:sz w:val="21"/>
              </w:rPr>
              <w:t>跨越1条河流，但利用已建成公路不施工</w:t>
            </w:r>
          </w:p>
        </w:tc>
        <w:tc>
          <w:tcPr>
            <w:tcW w:w="1001" w:type="pct"/>
            <w:vAlign w:val="center"/>
          </w:tcPr>
          <w:p>
            <w:pPr>
              <w:spacing w:line="240" w:lineRule="auto"/>
              <w:ind w:firstLine="0" w:firstLineChars="0"/>
              <w:jc w:val="center"/>
              <w:rPr>
                <w:sz w:val="21"/>
              </w:rPr>
            </w:pPr>
            <w:r>
              <w:rPr>
                <w:rFonts w:hint="eastAsia"/>
                <w:sz w:val="21"/>
              </w:rPr>
              <w:t>施工期涉及1条河流</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rFonts w:hint="eastAsia"/>
                <w:sz w:val="21"/>
              </w:rPr>
              <w:t>3</w:t>
            </w:r>
          </w:p>
        </w:tc>
        <w:tc>
          <w:tcPr>
            <w:tcW w:w="652" w:type="pct"/>
            <w:vAlign w:val="center"/>
          </w:tcPr>
          <w:p>
            <w:pPr>
              <w:spacing w:line="240" w:lineRule="auto"/>
              <w:ind w:firstLine="0" w:firstLineChars="0"/>
              <w:jc w:val="center"/>
              <w:rPr>
                <w:sz w:val="21"/>
              </w:rPr>
            </w:pPr>
            <w:r>
              <w:rPr>
                <w:rFonts w:hint="eastAsia"/>
                <w:sz w:val="21"/>
              </w:rPr>
              <w:t>环境空气</w:t>
            </w:r>
          </w:p>
        </w:tc>
        <w:tc>
          <w:tcPr>
            <w:tcW w:w="977" w:type="pct"/>
            <w:vAlign w:val="center"/>
          </w:tcPr>
          <w:p>
            <w:pPr>
              <w:spacing w:line="240" w:lineRule="auto"/>
              <w:ind w:firstLine="0" w:firstLineChars="0"/>
              <w:jc w:val="center"/>
              <w:rPr>
                <w:sz w:val="21"/>
              </w:rPr>
            </w:pPr>
            <w:r>
              <w:rPr>
                <w:rFonts w:hint="eastAsia"/>
                <w:sz w:val="21"/>
              </w:rPr>
              <w:t>敏感点个数（村）</w:t>
            </w:r>
          </w:p>
        </w:tc>
        <w:tc>
          <w:tcPr>
            <w:tcW w:w="416" w:type="pct"/>
            <w:vAlign w:val="center"/>
          </w:tcPr>
          <w:p>
            <w:pPr>
              <w:spacing w:line="240" w:lineRule="auto"/>
              <w:ind w:firstLine="0" w:firstLineChars="0"/>
              <w:jc w:val="center"/>
              <w:rPr>
                <w:sz w:val="21"/>
              </w:rPr>
            </w:pPr>
            <w:r>
              <w:rPr>
                <w:rFonts w:hint="eastAsia"/>
                <w:sz w:val="21"/>
              </w:rPr>
              <w:t>个</w:t>
            </w:r>
          </w:p>
        </w:tc>
        <w:tc>
          <w:tcPr>
            <w:tcW w:w="665" w:type="pct"/>
            <w:vAlign w:val="center"/>
          </w:tcPr>
          <w:p>
            <w:pPr>
              <w:spacing w:line="240" w:lineRule="auto"/>
              <w:ind w:firstLine="0" w:firstLineChars="0"/>
              <w:jc w:val="center"/>
              <w:rPr>
                <w:sz w:val="21"/>
              </w:rPr>
            </w:pPr>
            <w:r>
              <w:rPr>
                <w:rFonts w:hint="eastAsia"/>
                <w:sz w:val="21"/>
              </w:rPr>
              <w:t>该线路路段利旧，不施工，不对周边村庄产生影响</w:t>
            </w:r>
          </w:p>
        </w:tc>
        <w:tc>
          <w:tcPr>
            <w:tcW w:w="1001" w:type="pct"/>
            <w:vAlign w:val="center"/>
          </w:tcPr>
          <w:p>
            <w:pPr>
              <w:spacing w:line="240" w:lineRule="auto"/>
              <w:ind w:firstLine="0" w:firstLineChars="0"/>
              <w:jc w:val="center"/>
              <w:rPr>
                <w:sz w:val="21"/>
              </w:rPr>
            </w:pPr>
            <w:r>
              <w:rPr>
                <w:rFonts w:hint="eastAsia"/>
                <w:sz w:val="21"/>
              </w:rPr>
              <w:t>2</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rFonts w:hint="eastAsia"/>
                <w:sz w:val="21"/>
              </w:rPr>
              <w:t>4</w:t>
            </w:r>
          </w:p>
        </w:tc>
        <w:tc>
          <w:tcPr>
            <w:tcW w:w="652" w:type="pct"/>
            <w:vAlign w:val="center"/>
          </w:tcPr>
          <w:p>
            <w:pPr>
              <w:spacing w:line="240" w:lineRule="auto"/>
              <w:ind w:firstLine="0" w:firstLineChars="0"/>
              <w:jc w:val="center"/>
              <w:rPr>
                <w:sz w:val="21"/>
              </w:rPr>
            </w:pPr>
            <w:r>
              <w:rPr>
                <w:rFonts w:hint="eastAsia"/>
                <w:sz w:val="21"/>
              </w:rPr>
              <w:t>声环境</w:t>
            </w:r>
          </w:p>
        </w:tc>
        <w:tc>
          <w:tcPr>
            <w:tcW w:w="977" w:type="pct"/>
            <w:vAlign w:val="center"/>
          </w:tcPr>
          <w:p>
            <w:pPr>
              <w:spacing w:line="240" w:lineRule="auto"/>
              <w:ind w:firstLine="0" w:firstLineChars="0"/>
              <w:jc w:val="center"/>
              <w:rPr>
                <w:sz w:val="21"/>
              </w:rPr>
            </w:pPr>
            <w:r>
              <w:rPr>
                <w:rFonts w:hint="eastAsia"/>
                <w:sz w:val="21"/>
              </w:rPr>
              <w:t>声环境敏感点个数（村）</w:t>
            </w:r>
          </w:p>
        </w:tc>
        <w:tc>
          <w:tcPr>
            <w:tcW w:w="416" w:type="pct"/>
            <w:vAlign w:val="center"/>
          </w:tcPr>
          <w:p>
            <w:pPr>
              <w:spacing w:line="240" w:lineRule="auto"/>
              <w:ind w:firstLine="0" w:firstLineChars="0"/>
              <w:jc w:val="center"/>
              <w:rPr>
                <w:sz w:val="21"/>
              </w:rPr>
            </w:pPr>
            <w:r>
              <w:rPr>
                <w:rFonts w:hint="eastAsia"/>
                <w:sz w:val="21"/>
              </w:rPr>
              <w:t>个</w:t>
            </w:r>
          </w:p>
        </w:tc>
        <w:tc>
          <w:tcPr>
            <w:tcW w:w="665" w:type="pct"/>
            <w:vAlign w:val="center"/>
          </w:tcPr>
          <w:p>
            <w:pPr>
              <w:spacing w:line="240" w:lineRule="auto"/>
              <w:ind w:firstLine="0" w:firstLineChars="0"/>
              <w:jc w:val="center"/>
              <w:rPr>
                <w:sz w:val="21"/>
              </w:rPr>
            </w:pPr>
            <w:r>
              <w:rPr>
                <w:rFonts w:hint="eastAsia"/>
                <w:sz w:val="21"/>
              </w:rPr>
              <w:t>该线路路段利旧，不施工，不对周边村庄产生影响</w:t>
            </w:r>
          </w:p>
        </w:tc>
        <w:tc>
          <w:tcPr>
            <w:tcW w:w="1001" w:type="pct"/>
            <w:vAlign w:val="center"/>
          </w:tcPr>
          <w:p>
            <w:pPr>
              <w:spacing w:line="240" w:lineRule="auto"/>
              <w:ind w:firstLine="0" w:firstLineChars="0"/>
              <w:jc w:val="center"/>
              <w:rPr>
                <w:sz w:val="21"/>
              </w:rPr>
            </w:pPr>
            <w:r>
              <w:rPr>
                <w:rFonts w:hint="eastAsia"/>
                <w:sz w:val="21"/>
              </w:rPr>
              <w:t>1</w:t>
            </w:r>
          </w:p>
        </w:tc>
        <w:tc>
          <w:tcPr>
            <w:tcW w:w="915" w:type="pct"/>
            <w:vAlign w:val="center"/>
          </w:tcPr>
          <w:p>
            <w:pPr>
              <w:spacing w:line="240" w:lineRule="auto"/>
              <w:ind w:firstLine="0" w:firstLineChars="0"/>
              <w:jc w:val="center"/>
              <w:rPr>
                <w:sz w:val="21"/>
              </w:rPr>
            </w:pPr>
            <w:r>
              <w:rPr>
                <w:rFonts w:hint="eastAsia"/>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rFonts w:hint="eastAsia"/>
                <w:sz w:val="21"/>
              </w:rPr>
              <w:t>5</w:t>
            </w:r>
          </w:p>
        </w:tc>
        <w:tc>
          <w:tcPr>
            <w:tcW w:w="652" w:type="pct"/>
            <w:vAlign w:val="center"/>
          </w:tcPr>
          <w:p>
            <w:pPr>
              <w:spacing w:line="240" w:lineRule="auto"/>
              <w:ind w:firstLine="0" w:firstLineChars="0"/>
              <w:jc w:val="center"/>
              <w:rPr>
                <w:sz w:val="21"/>
              </w:rPr>
            </w:pPr>
            <w:r>
              <w:rPr>
                <w:rFonts w:hint="eastAsia"/>
                <w:sz w:val="21"/>
              </w:rPr>
              <w:t>遵化市堡子店水源地穿越情况</w:t>
            </w:r>
          </w:p>
        </w:tc>
        <w:tc>
          <w:tcPr>
            <w:tcW w:w="977" w:type="pct"/>
            <w:vAlign w:val="center"/>
          </w:tcPr>
          <w:p>
            <w:pPr>
              <w:spacing w:line="240" w:lineRule="auto"/>
              <w:ind w:firstLine="0" w:firstLineChars="0"/>
              <w:jc w:val="center"/>
              <w:rPr>
                <w:sz w:val="21"/>
              </w:rPr>
            </w:pPr>
            <w:r>
              <w:rPr>
                <w:rFonts w:hint="eastAsia"/>
                <w:sz w:val="21"/>
              </w:rPr>
              <w:t>穿越距离</w:t>
            </w:r>
          </w:p>
        </w:tc>
        <w:tc>
          <w:tcPr>
            <w:tcW w:w="416" w:type="pct"/>
            <w:vAlign w:val="center"/>
          </w:tcPr>
          <w:p>
            <w:pPr>
              <w:spacing w:line="240" w:lineRule="auto"/>
              <w:ind w:firstLine="0" w:firstLineChars="0"/>
              <w:jc w:val="center"/>
              <w:rPr>
                <w:sz w:val="21"/>
              </w:rPr>
            </w:pPr>
            <w:r>
              <w:rPr>
                <w:rFonts w:hint="eastAsia"/>
                <w:sz w:val="21"/>
              </w:rPr>
              <w:t>k</w:t>
            </w:r>
            <w:r>
              <w:rPr>
                <w:sz w:val="21"/>
              </w:rPr>
              <w:t>m</w:t>
            </w:r>
          </w:p>
        </w:tc>
        <w:tc>
          <w:tcPr>
            <w:tcW w:w="665" w:type="pct"/>
            <w:vAlign w:val="center"/>
          </w:tcPr>
          <w:p>
            <w:pPr>
              <w:spacing w:line="240" w:lineRule="auto"/>
              <w:ind w:firstLine="0" w:firstLineChars="0"/>
              <w:jc w:val="center"/>
              <w:rPr>
                <w:sz w:val="21"/>
              </w:rPr>
            </w:pPr>
            <w:r>
              <w:rPr>
                <w:sz w:val="21"/>
              </w:rPr>
              <w:t>3.77</w:t>
            </w:r>
          </w:p>
          <w:p>
            <w:pPr>
              <w:spacing w:line="240" w:lineRule="auto"/>
              <w:ind w:firstLine="0" w:firstLineChars="0"/>
              <w:jc w:val="center"/>
              <w:rPr>
                <w:sz w:val="21"/>
              </w:rPr>
            </w:pPr>
            <w:r>
              <w:rPr>
                <w:rFonts w:hint="eastAsia"/>
                <w:sz w:val="21"/>
              </w:rPr>
              <w:t>（全部利旧段）</w:t>
            </w:r>
          </w:p>
        </w:tc>
        <w:tc>
          <w:tcPr>
            <w:tcW w:w="1001" w:type="pct"/>
            <w:vAlign w:val="center"/>
          </w:tcPr>
          <w:p>
            <w:pPr>
              <w:spacing w:line="240" w:lineRule="auto"/>
              <w:ind w:firstLine="0" w:firstLineChars="0"/>
              <w:jc w:val="center"/>
              <w:rPr>
                <w:sz w:val="21"/>
              </w:rPr>
            </w:pPr>
            <w:r>
              <w:rPr>
                <w:rFonts w:hint="eastAsia"/>
                <w:sz w:val="21"/>
              </w:rPr>
              <w:t>2</w:t>
            </w:r>
            <w:r>
              <w:rPr>
                <w:sz w:val="21"/>
              </w:rPr>
              <w:t>.96</w:t>
            </w:r>
            <w:r>
              <w:rPr>
                <w:rFonts w:hint="eastAsia"/>
                <w:sz w:val="21"/>
              </w:rPr>
              <w:t>（全部新建）</w:t>
            </w:r>
          </w:p>
        </w:tc>
        <w:tc>
          <w:tcPr>
            <w:tcW w:w="915" w:type="pct"/>
            <w:vAlign w:val="center"/>
          </w:tcPr>
          <w:p>
            <w:pPr>
              <w:spacing w:line="240" w:lineRule="auto"/>
              <w:ind w:firstLine="0" w:firstLineChars="0"/>
              <w:jc w:val="center"/>
              <w:rPr>
                <w:sz w:val="21"/>
              </w:rPr>
            </w:pPr>
            <w:r>
              <w:rPr>
                <w:rFonts w:hint="eastAsia"/>
                <w:sz w:val="21"/>
              </w:rPr>
              <w:t>方案A虽然距离短，但是方案K穿越水源地段全部为利旧路段，方案K占优势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sz w:val="21"/>
              </w:rPr>
            </w:pPr>
            <w:r>
              <w:rPr>
                <w:sz w:val="21"/>
              </w:rPr>
              <w:t>6</w:t>
            </w:r>
          </w:p>
        </w:tc>
        <w:tc>
          <w:tcPr>
            <w:tcW w:w="652" w:type="pct"/>
            <w:vAlign w:val="center"/>
          </w:tcPr>
          <w:p>
            <w:pPr>
              <w:spacing w:line="240" w:lineRule="auto"/>
              <w:ind w:firstLine="0" w:firstLineChars="0"/>
              <w:jc w:val="center"/>
              <w:rPr>
                <w:sz w:val="21"/>
              </w:rPr>
            </w:pPr>
            <w:r>
              <w:rPr>
                <w:rFonts w:hint="eastAsia"/>
                <w:sz w:val="21"/>
              </w:rPr>
              <w:t>其他</w:t>
            </w:r>
          </w:p>
        </w:tc>
        <w:tc>
          <w:tcPr>
            <w:tcW w:w="977" w:type="pct"/>
            <w:vAlign w:val="center"/>
          </w:tcPr>
          <w:p>
            <w:pPr>
              <w:spacing w:line="240" w:lineRule="auto"/>
              <w:ind w:firstLine="0" w:firstLineChars="0"/>
              <w:jc w:val="center"/>
              <w:rPr>
                <w:sz w:val="21"/>
              </w:rPr>
            </w:pPr>
            <w:r>
              <w:rPr>
                <w:rFonts w:hint="eastAsia"/>
                <w:sz w:val="21"/>
              </w:rPr>
              <w:t>防洪影响</w:t>
            </w:r>
          </w:p>
        </w:tc>
        <w:tc>
          <w:tcPr>
            <w:tcW w:w="416" w:type="pct"/>
            <w:vAlign w:val="center"/>
          </w:tcPr>
          <w:p>
            <w:pPr>
              <w:spacing w:line="240" w:lineRule="auto"/>
              <w:ind w:firstLine="0" w:firstLineChars="0"/>
              <w:jc w:val="center"/>
              <w:rPr>
                <w:sz w:val="21"/>
              </w:rPr>
            </w:pPr>
            <w:r>
              <w:rPr>
                <w:rFonts w:hint="eastAsia"/>
                <w:sz w:val="21"/>
              </w:rPr>
              <w:t>/</w:t>
            </w:r>
          </w:p>
        </w:tc>
        <w:tc>
          <w:tcPr>
            <w:tcW w:w="665" w:type="pct"/>
            <w:vAlign w:val="center"/>
          </w:tcPr>
          <w:p>
            <w:pPr>
              <w:spacing w:line="240" w:lineRule="auto"/>
              <w:ind w:firstLine="0" w:firstLineChars="0"/>
              <w:jc w:val="center"/>
              <w:rPr>
                <w:sz w:val="21"/>
              </w:rPr>
            </w:pPr>
            <w:r>
              <w:rPr>
                <w:rFonts w:hint="eastAsia"/>
                <w:sz w:val="21"/>
              </w:rPr>
              <w:t>该线路路段利旧，不施工</w:t>
            </w:r>
            <w:r>
              <w:rPr>
                <w:sz w:val="21"/>
              </w:rPr>
              <w:t>，保证了河道的行洪安全</w:t>
            </w:r>
          </w:p>
        </w:tc>
        <w:tc>
          <w:tcPr>
            <w:tcW w:w="1001" w:type="pct"/>
            <w:vAlign w:val="center"/>
          </w:tcPr>
          <w:p>
            <w:pPr>
              <w:spacing w:line="240" w:lineRule="auto"/>
              <w:ind w:firstLine="0" w:firstLineChars="0"/>
              <w:jc w:val="center"/>
              <w:rPr>
                <w:sz w:val="21"/>
              </w:rPr>
            </w:pPr>
            <w:r>
              <w:rPr>
                <w:rFonts w:hint="eastAsia"/>
                <w:sz w:val="21"/>
              </w:rPr>
              <w:t>该项目施工过程对</w:t>
            </w:r>
            <w:r>
              <w:rPr>
                <w:sz w:val="21"/>
              </w:rPr>
              <w:t>河道的防洪</w:t>
            </w:r>
            <w:r>
              <w:rPr>
                <w:rFonts w:hint="eastAsia"/>
                <w:sz w:val="21"/>
              </w:rPr>
              <w:t>产生一些影响</w:t>
            </w:r>
          </w:p>
        </w:tc>
        <w:tc>
          <w:tcPr>
            <w:tcW w:w="915" w:type="pct"/>
            <w:vAlign w:val="center"/>
          </w:tcPr>
          <w:p>
            <w:pPr>
              <w:spacing w:line="240" w:lineRule="auto"/>
              <w:ind w:firstLine="0" w:firstLineChars="0"/>
              <w:jc w:val="center"/>
              <w:rPr>
                <w:sz w:val="21"/>
              </w:rPr>
            </w:pPr>
            <w:r>
              <w:rPr>
                <w:rFonts w:hint="eastAsia"/>
                <w:sz w:val="21"/>
              </w:rPr>
              <w:t>方案K占优势</w:t>
            </w:r>
          </w:p>
        </w:tc>
      </w:tr>
    </w:tbl>
    <w:p>
      <w:pPr>
        <w:ind w:firstLine="480"/>
        <w:rPr>
          <w:szCs w:val="24"/>
        </w:rPr>
      </w:pPr>
      <w:r>
        <w:rPr>
          <w:szCs w:val="24"/>
        </w:rPr>
        <w:t>经综合比较：</w:t>
      </w:r>
      <w:r>
        <w:rPr>
          <w:rFonts w:hint="eastAsia"/>
          <w:szCs w:val="24"/>
        </w:rPr>
        <w:t>K线路属于利旧线路，其不需要进行道路施工，不会对周边生态环境产生影响</w:t>
      </w:r>
      <w:r>
        <w:rPr>
          <w:szCs w:val="24"/>
        </w:rPr>
        <w:t>，保证了河道的行洪安全。</w:t>
      </w:r>
      <w:r>
        <w:rPr>
          <w:rFonts w:hint="eastAsia"/>
          <w:szCs w:val="24"/>
        </w:rPr>
        <w:t>同时，本项目方案A和方案K对比路段，均未穿越水源地二级保护区，仅有部分道路穿越遵化市堡子店水源地的准保护区，其中方案A穿越距离为2</w:t>
      </w:r>
      <w:r>
        <w:rPr>
          <w:szCs w:val="24"/>
        </w:rPr>
        <w:t>.96</w:t>
      </w:r>
      <w:r>
        <w:rPr>
          <w:rFonts w:hint="eastAsia"/>
          <w:szCs w:val="24"/>
        </w:rPr>
        <w:t>km，全部为新建路段，方案K穿越距离为3</w:t>
      </w:r>
      <w:r>
        <w:rPr>
          <w:szCs w:val="24"/>
        </w:rPr>
        <w:t>.77</w:t>
      </w:r>
      <w:r>
        <w:rPr>
          <w:rFonts w:hint="eastAsia"/>
          <w:szCs w:val="24"/>
        </w:rPr>
        <w:t>km，全部为利旧路段，不需要进行建设，不会产生施工期对水源地的影响，仅需加强运营期，过往车辆的监管、减速、路边防护等措施，不会对区域水源地产生影响。</w:t>
      </w:r>
      <w:r>
        <w:rPr>
          <w:szCs w:val="24"/>
        </w:rPr>
        <w:t>因此，拟定</w:t>
      </w:r>
      <w:r>
        <w:rPr>
          <w:rFonts w:hint="eastAsia"/>
          <w:szCs w:val="24"/>
        </w:rPr>
        <w:t>K</w:t>
      </w:r>
      <w:r>
        <w:rPr>
          <w:szCs w:val="24"/>
        </w:rPr>
        <w:t>线方案为推荐方案</w:t>
      </w:r>
      <w:r>
        <w:rPr>
          <w:rFonts w:hint="eastAsia"/>
          <w:szCs w:val="24"/>
        </w:rPr>
        <w:t>。</w:t>
      </w:r>
    </w:p>
    <w:p>
      <w:pPr>
        <w:ind w:firstLine="480"/>
        <w:rPr>
          <w:szCs w:val="24"/>
        </w:rPr>
      </w:pPr>
      <w:r>
        <w:rPr>
          <w:szCs w:val="24"/>
        </w:rPr>
        <w:t>2、终点路段</w:t>
      </w:r>
    </w:p>
    <w:p>
      <w:pPr>
        <w:ind w:firstLine="480"/>
        <w:rPr>
          <w:szCs w:val="24"/>
        </w:rPr>
      </w:pPr>
      <w:r>
        <w:rPr>
          <w:szCs w:val="24"/>
        </w:rPr>
        <w:t>1）方案建设情况</w:t>
      </w:r>
    </w:p>
    <w:p>
      <w:pPr>
        <w:ind w:firstLine="480"/>
      </w:pPr>
      <w:r>
        <w:rPr>
          <w:szCs w:val="24"/>
        </w:rPr>
        <w:t>①</w:t>
      </w:r>
      <w:r>
        <w:t>B</w:t>
      </w:r>
      <w:r>
        <w:rPr>
          <w:rFonts w:hAnsi="宋体"/>
        </w:rPr>
        <w:t>比选线</w:t>
      </w:r>
      <w:r>
        <w:t>(BK10+729.651</w:t>
      </w:r>
      <w:r>
        <w:rPr>
          <w:rFonts w:hAnsi="宋体"/>
        </w:rPr>
        <w:t>～</w:t>
      </w:r>
      <w:r>
        <w:t>BK18+461.677)</w:t>
      </w:r>
      <w:r>
        <w:rPr>
          <w:rFonts w:hAnsi="宋体"/>
        </w:rPr>
        <w:t>：</w:t>
      </w:r>
      <w:r>
        <w:t>B</w:t>
      </w:r>
      <w:r>
        <w:rPr>
          <w:rFonts w:hAnsi="宋体"/>
        </w:rPr>
        <w:t>比选方案（蓝色线）为</w:t>
      </w:r>
      <w:r>
        <w:t>K</w:t>
      </w:r>
      <w:r>
        <w:rPr>
          <w:rFonts w:hAnsi="宋体"/>
        </w:rPr>
        <w:t>线方案在新改建段的局部比选方案，该方案起点在浦池河村西侧，路线向南跨过清水河、沙河后转向南，沿矿产地西侧边缘布设，行至东杨庄村后路线转向东南，沿张唐铁路东侧，经笔架山和</w:t>
      </w:r>
      <w:r>
        <w:t>S211</w:t>
      </w:r>
      <w:r>
        <w:rPr>
          <w:rFonts w:hAnsi="宋体"/>
        </w:rPr>
        <w:t>（原</w:t>
      </w:r>
      <w:r>
        <w:t>S264</w:t>
      </w:r>
      <w:r>
        <w:rPr>
          <w:rFonts w:hAnsi="宋体"/>
        </w:rPr>
        <w:t>）后转向东，在</w:t>
      </w:r>
      <w:r>
        <w:t>K</w:t>
      </w:r>
      <w:r>
        <w:rPr>
          <w:rFonts w:hAnsi="宋体"/>
        </w:rPr>
        <w:t>线黎河大桥桥头处并入</w:t>
      </w:r>
      <w:r>
        <w:t>K</w:t>
      </w:r>
      <w:r>
        <w:rPr>
          <w:rFonts w:hAnsi="宋体"/>
        </w:rPr>
        <w:t>线，该比选方案长</w:t>
      </w:r>
      <w:r>
        <w:t>7.732km</w:t>
      </w:r>
      <w:r>
        <w:rPr>
          <w:rFonts w:hAnsi="宋体"/>
        </w:rPr>
        <w:t>。</w:t>
      </w:r>
    </w:p>
    <w:p>
      <w:pPr>
        <w:spacing w:line="336" w:lineRule="auto"/>
        <w:ind w:firstLine="480"/>
      </w:pPr>
      <w:r>
        <w:rPr>
          <w:szCs w:val="24"/>
        </w:rPr>
        <w:t>②</w:t>
      </w:r>
      <w:r>
        <w:t>B</w:t>
      </w:r>
      <w:r>
        <w:rPr>
          <w:rFonts w:hAnsi="宋体"/>
        </w:rPr>
        <w:t>比选线对应</w:t>
      </w:r>
      <w:r>
        <w:t>K</w:t>
      </w:r>
      <w:r>
        <w:rPr>
          <w:rFonts w:hAnsi="宋体"/>
        </w:rPr>
        <w:t>线方案（</w:t>
      </w:r>
      <w:r>
        <w:t>K10+729.651</w:t>
      </w:r>
      <w:r>
        <w:rPr>
          <w:rFonts w:hAnsi="宋体"/>
        </w:rPr>
        <w:t>～</w:t>
      </w:r>
      <w:r>
        <w:t>K17+012.337</w:t>
      </w:r>
      <w:r>
        <w:rPr>
          <w:rFonts w:hAnsi="宋体"/>
        </w:rPr>
        <w:t>）：该段</w:t>
      </w:r>
      <w:r>
        <w:t>K</w:t>
      </w:r>
      <w:r>
        <w:rPr>
          <w:rFonts w:hAnsi="宋体"/>
        </w:rPr>
        <w:t>线方案基于充分利用冷咀头河走向直线向东南布设，路线先后跨越清水河、沙河，在笔架山东侧空地经过，沿高铁新城规划区东北布设，经骆各庄南侧转向东，终点在黎河大桥处，该段</w:t>
      </w:r>
      <w:r>
        <w:t>K</w:t>
      </w:r>
      <w:r>
        <w:rPr>
          <w:rFonts w:hAnsi="宋体"/>
        </w:rPr>
        <w:t>线方案长</w:t>
      </w:r>
      <w:r>
        <w:t>6.283km</w:t>
      </w:r>
      <w:r>
        <w:rPr>
          <w:rFonts w:hAnsi="宋体"/>
        </w:rPr>
        <w:t>。</w:t>
      </w:r>
    </w:p>
    <w:p>
      <w:pPr>
        <w:spacing w:line="240" w:lineRule="auto"/>
        <w:ind w:firstLine="0" w:firstLineChars="0"/>
        <w:rPr>
          <w:szCs w:val="24"/>
        </w:rPr>
      </w:pPr>
      <w:r>
        <w:rPr>
          <w:szCs w:val="24"/>
        </w:rPr>
        <w:drawing>
          <wp:inline distT="0" distB="0" distL="0" distR="0">
            <wp:extent cx="5574030" cy="3307715"/>
            <wp:effectExtent l="19050" t="0" r="7620" b="0"/>
            <wp:docPr id="70" name="图片 2" descr="C:\Users\Administrator\Desktop\新建文件夹\挂图(2022.11.29仅截图用)-挂图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descr="C:\Users\Administrator\Desktop\新建文件夹\挂图(2022.11.29仅截图用)-挂图_01.jpg"/>
                    <pic:cNvPicPr>
                      <a:picLocks noChangeAspect="1" noChangeArrowheads="1"/>
                    </pic:cNvPicPr>
                  </pic:nvPicPr>
                  <pic:blipFill>
                    <a:blip r:embed="rId66" cstate="print"/>
                    <a:srcRect l="18184" t="41641" r="33020" b="21272"/>
                    <a:stretch>
                      <a:fillRect/>
                    </a:stretch>
                  </pic:blipFill>
                  <pic:spPr>
                    <a:xfrm>
                      <a:off x="0" y="0"/>
                      <a:ext cx="5574030" cy="3307715"/>
                    </a:xfrm>
                    <a:prstGeom prst="rect">
                      <a:avLst/>
                    </a:prstGeom>
                    <a:noFill/>
                    <a:ln w="9525" algn="ctr">
                      <a:noFill/>
                      <a:miter lim="800000"/>
                      <a:headEnd/>
                      <a:tailEnd/>
                    </a:ln>
                  </pic:spPr>
                </pic:pic>
              </a:graphicData>
            </a:graphic>
          </wp:inline>
        </w:drawing>
      </w:r>
    </w:p>
    <w:p>
      <w:pPr>
        <w:adjustRightInd w:val="0"/>
        <w:snapToGrid w:val="0"/>
        <w:ind w:firstLine="0" w:firstLineChars="0"/>
        <w:jc w:val="center"/>
        <w:rPr>
          <w:b/>
          <w:sz w:val="21"/>
        </w:rPr>
      </w:pPr>
      <w:r>
        <w:rPr>
          <w:rFonts w:hint="eastAsia"/>
          <w:b/>
          <w:sz w:val="21"/>
        </w:rPr>
        <w:t>图</w:t>
      </w:r>
      <w:r>
        <w:rPr>
          <w:b/>
          <w:sz w:val="21"/>
        </w:rPr>
        <w:t>3.</w:t>
      </w:r>
      <w:r>
        <w:rPr>
          <w:rFonts w:hint="eastAsia"/>
          <w:b/>
          <w:sz w:val="21"/>
        </w:rPr>
        <w:t>3</w:t>
      </w:r>
      <w:r>
        <w:rPr>
          <w:b/>
          <w:sz w:val="21"/>
        </w:rPr>
        <w:t>-</w:t>
      </w:r>
      <w:r>
        <w:rPr>
          <w:rFonts w:hint="eastAsia"/>
          <w:b/>
          <w:sz w:val="21"/>
        </w:rPr>
        <w:t>2</w:t>
      </w:r>
      <w:r>
        <w:rPr>
          <w:b/>
          <w:sz w:val="21"/>
        </w:rPr>
        <w:t xml:space="preserve"> </w:t>
      </w:r>
      <w:r>
        <w:rPr>
          <w:rFonts w:hint="eastAsia"/>
          <w:b/>
          <w:sz w:val="21"/>
        </w:rPr>
        <w:t>终点路段比较方案图</w:t>
      </w:r>
    </w:p>
    <w:p>
      <w:pPr>
        <w:ind w:firstLine="480"/>
        <w:rPr>
          <w:szCs w:val="24"/>
        </w:rPr>
      </w:pPr>
      <w:r>
        <w:rPr>
          <w:rFonts w:hint="eastAsia"/>
          <w:szCs w:val="24"/>
        </w:rPr>
        <w:t>2）工程优缺点综合比选</w:t>
      </w:r>
    </w:p>
    <w:p>
      <w:pPr>
        <w:adjustRightInd w:val="0"/>
        <w:snapToGrid w:val="0"/>
        <w:ind w:firstLine="0" w:firstLineChars="0"/>
        <w:jc w:val="center"/>
        <w:rPr>
          <w:b/>
          <w:sz w:val="21"/>
        </w:rPr>
      </w:pPr>
      <w:r>
        <w:rPr>
          <w:rFonts w:hint="eastAsia"/>
          <w:b/>
          <w:sz w:val="21"/>
        </w:rPr>
        <w:t>表3.3-3  B、K两方案工程规模及技术指标对比表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76"/>
        <w:gridCol w:w="2410"/>
        <w:gridCol w:w="3120"/>
        <w:gridCol w:w="2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sz w:val="21"/>
              </w:rPr>
              <w:t>项目</w:t>
            </w:r>
          </w:p>
        </w:tc>
        <w:tc>
          <w:tcPr>
            <w:tcW w:w="1334" w:type="pct"/>
            <w:vAlign w:val="center"/>
          </w:tcPr>
          <w:p>
            <w:pPr>
              <w:spacing w:line="240" w:lineRule="auto"/>
              <w:ind w:firstLine="0" w:firstLineChars="0"/>
              <w:jc w:val="center"/>
              <w:rPr>
                <w:bCs/>
                <w:sz w:val="21"/>
              </w:rPr>
            </w:pPr>
            <w:r>
              <w:rPr>
                <w:bCs/>
                <w:sz w:val="21"/>
              </w:rPr>
              <w:t>K</w:t>
            </w:r>
            <w:r>
              <w:rPr>
                <w:rFonts w:hAnsi="宋体"/>
                <w:sz w:val="21"/>
              </w:rPr>
              <w:t>线</w:t>
            </w:r>
          </w:p>
        </w:tc>
        <w:tc>
          <w:tcPr>
            <w:tcW w:w="1727" w:type="pct"/>
            <w:vAlign w:val="center"/>
          </w:tcPr>
          <w:p>
            <w:pPr>
              <w:spacing w:line="240" w:lineRule="auto"/>
              <w:ind w:firstLine="0" w:firstLineChars="0"/>
              <w:jc w:val="center"/>
              <w:rPr>
                <w:bCs/>
                <w:sz w:val="21"/>
              </w:rPr>
            </w:pPr>
            <w:r>
              <w:rPr>
                <w:rFonts w:hint="eastAsia"/>
                <w:bCs/>
                <w:sz w:val="21"/>
              </w:rPr>
              <w:t>B</w:t>
            </w:r>
            <w:r>
              <w:rPr>
                <w:rFonts w:hAnsi="宋体"/>
                <w:sz w:val="21"/>
              </w:rPr>
              <w:t>线</w:t>
            </w:r>
          </w:p>
        </w:tc>
        <w:tc>
          <w:tcPr>
            <w:tcW w:w="1620" w:type="pct"/>
            <w:vAlign w:val="center"/>
          </w:tcPr>
          <w:p>
            <w:pPr>
              <w:spacing w:line="240" w:lineRule="auto"/>
              <w:ind w:firstLine="0" w:firstLineChars="0"/>
              <w:jc w:val="center"/>
              <w:rPr>
                <w:bCs/>
                <w:sz w:val="21"/>
              </w:rPr>
            </w:pPr>
            <w:r>
              <w:rPr>
                <w:rFonts w:hAnsi="宋体"/>
                <w:bCs/>
                <w:sz w:val="21"/>
              </w:rPr>
              <w:t>比选结果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bCs/>
                <w:sz w:val="21"/>
              </w:rPr>
              <w:t>优点</w:t>
            </w:r>
          </w:p>
        </w:tc>
        <w:tc>
          <w:tcPr>
            <w:tcW w:w="1334" w:type="pct"/>
            <w:vAlign w:val="center"/>
          </w:tcPr>
          <w:p>
            <w:pPr>
              <w:spacing w:line="240" w:lineRule="auto"/>
              <w:ind w:firstLine="0" w:firstLineChars="0"/>
              <w:rPr>
                <w:sz w:val="21"/>
              </w:rPr>
            </w:pPr>
            <w:r>
              <w:rPr>
                <w:rFonts w:hint="eastAsia" w:ascii="宋体" w:hAnsi="宋体" w:cs="宋体"/>
                <w:sz w:val="21"/>
              </w:rPr>
              <w:t>①</w:t>
            </w:r>
            <w:r>
              <w:rPr>
                <w:sz w:val="21"/>
              </w:rPr>
              <w:t>K</w:t>
            </w:r>
            <w:r>
              <w:rPr>
                <w:rFonts w:hAnsi="宋体"/>
                <w:sz w:val="21"/>
              </w:rPr>
              <w:t>线方案符合本项目建设目的，符合各级单位相关路网规划；</w:t>
            </w:r>
          </w:p>
          <w:p>
            <w:pPr>
              <w:spacing w:line="240" w:lineRule="auto"/>
              <w:ind w:firstLine="0" w:firstLineChars="0"/>
              <w:rPr>
                <w:sz w:val="21"/>
              </w:rPr>
            </w:pPr>
            <w:r>
              <w:rPr>
                <w:rFonts w:hint="eastAsia" w:ascii="宋体" w:hAnsi="宋体" w:cs="宋体"/>
                <w:sz w:val="21"/>
              </w:rPr>
              <w:t>②</w:t>
            </w:r>
            <w:r>
              <w:rPr>
                <w:sz w:val="21"/>
              </w:rPr>
              <w:t>K</w:t>
            </w:r>
            <w:r>
              <w:rPr>
                <w:rFonts w:hAnsi="宋体"/>
                <w:sz w:val="21"/>
              </w:rPr>
              <w:t>线方案线形顺直，平纵面指标较高，行车更舒适，运营里程短；</w:t>
            </w:r>
          </w:p>
          <w:p>
            <w:pPr>
              <w:spacing w:line="240" w:lineRule="auto"/>
              <w:ind w:firstLine="0" w:firstLineChars="0"/>
              <w:rPr>
                <w:sz w:val="21"/>
              </w:rPr>
            </w:pPr>
            <w:r>
              <w:rPr>
                <w:rFonts w:hint="eastAsia" w:ascii="宋体" w:hAnsi="宋体" w:cs="宋体"/>
                <w:sz w:val="21"/>
              </w:rPr>
              <w:t>③</w:t>
            </w:r>
            <w:r>
              <w:rPr>
                <w:rFonts w:hAnsi="宋体"/>
                <w:sz w:val="21"/>
              </w:rPr>
              <w:t>方案新增占地少，拆迁规模较小，其中占用基本农田</w:t>
            </w:r>
            <w:r>
              <w:rPr>
                <w:sz w:val="21"/>
              </w:rPr>
              <w:t>20.79</w:t>
            </w:r>
            <w:r>
              <w:rPr>
                <w:rFonts w:hAnsi="宋体"/>
                <w:sz w:val="21"/>
              </w:rPr>
              <w:t>亩，较</w:t>
            </w:r>
            <w:r>
              <w:rPr>
                <w:sz w:val="21"/>
              </w:rPr>
              <w:t>B</w:t>
            </w:r>
            <w:r>
              <w:rPr>
                <w:rFonts w:hAnsi="宋体"/>
                <w:sz w:val="21"/>
              </w:rPr>
              <w:t>线方案少；</w:t>
            </w:r>
          </w:p>
          <w:p>
            <w:pPr>
              <w:spacing w:line="240" w:lineRule="auto"/>
              <w:ind w:firstLine="0" w:firstLineChars="0"/>
              <w:rPr>
                <w:sz w:val="21"/>
              </w:rPr>
            </w:pPr>
            <w:r>
              <w:rPr>
                <w:rFonts w:hint="eastAsia" w:ascii="宋体" w:hAnsi="宋体" w:cs="宋体"/>
                <w:sz w:val="21"/>
              </w:rPr>
              <w:t>④</w:t>
            </w:r>
            <w:r>
              <w:rPr>
                <w:rFonts w:hAnsi="宋体"/>
                <w:sz w:val="21"/>
              </w:rPr>
              <w:t>改方案沿高铁规划区东北侧布设，不影响该规划区；</w:t>
            </w:r>
          </w:p>
          <w:p>
            <w:pPr>
              <w:spacing w:line="240" w:lineRule="auto"/>
              <w:ind w:firstLine="0" w:firstLineChars="0"/>
              <w:rPr>
                <w:sz w:val="21"/>
              </w:rPr>
            </w:pPr>
            <w:r>
              <w:rPr>
                <w:rFonts w:hint="eastAsia" w:ascii="宋体" w:hAnsi="宋体" w:cs="宋体"/>
                <w:sz w:val="21"/>
              </w:rPr>
              <w:t>⑤</w:t>
            </w:r>
            <w:r>
              <w:rPr>
                <w:rFonts w:hAnsi="宋体"/>
                <w:sz w:val="21"/>
              </w:rPr>
              <w:t>该方案远离笔架山南侧机场</w:t>
            </w:r>
            <w:r>
              <w:rPr>
                <w:sz w:val="21"/>
              </w:rPr>
              <w:t>;</w:t>
            </w:r>
          </w:p>
          <w:p>
            <w:pPr>
              <w:spacing w:line="240" w:lineRule="auto"/>
              <w:ind w:firstLine="0" w:firstLineChars="0"/>
              <w:rPr>
                <w:sz w:val="21"/>
              </w:rPr>
            </w:pPr>
            <w:r>
              <w:rPr>
                <w:rFonts w:hint="eastAsia" w:ascii="宋体" w:hAnsi="宋体" w:cs="宋体"/>
                <w:sz w:val="21"/>
              </w:rPr>
              <w:t>⑥</w:t>
            </w:r>
            <w:r>
              <w:rPr>
                <w:rFonts w:hAnsi="宋体"/>
                <w:sz w:val="21"/>
              </w:rPr>
              <w:t>建设里程较</w:t>
            </w:r>
            <w:r>
              <w:rPr>
                <w:sz w:val="21"/>
              </w:rPr>
              <w:t>B</w:t>
            </w:r>
            <w:r>
              <w:rPr>
                <w:rFonts w:hAnsi="宋体"/>
                <w:sz w:val="21"/>
              </w:rPr>
              <w:t>线方案短</w:t>
            </w:r>
            <w:r>
              <w:rPr>
                <w:sz w:val="21"/>
              </w:rPr>
              <w:t>,</w:t>
            </w:r>
            <w:r>
              <w:rPr>
                <w:rFonts w:hAnsi="宋体"/>
                <w:sz w:val="21"/>
              </w:rPr>
              <w:t>工程总造价低，减少地方财政压力；</w:t>
            </w:r>
          </w:p>
          <w:p>
            <w:pPr>
              <w:spacing w:line="240" w:lineRule="auto"/>
              <w:ind w:firstLine="0" w:firstLineChars="0"/>
              <w:rPr>
                <w:sz w:val="21"/>
              </w:rPr>
            </w:pPr>
            <w:r>
              <w:rPr>
                <w:rFonts w:hint="eastAsia" w:ascii="宋体" w:hAnsi="宋体" w:cs="宋体"/>
                <w:sz w:val="21"/>
              </w:rPr>
              <w:t>⑦</w:t>
            </w:r>
            <w:r>
              <w:rPr>
                <w:rFonts w:hAnsi="宋体"/>
                <w:sz w:val="21"/>
              </w:rPr>
              <w:t>满足各地方政府和各部门的诉求，利于本项目的顺利实施；</w:t>
            </w:r>
          </w:p>
        </w:tc>
        <w:tc>
          <w:tcPr>
            <w:tcW w:w="1727" w:type="pct"/>
            <w:vAlign w:val="center"/>
          </w:tcPr>
          <w:p>
            <w:pPr>
              <w:spacing w:line="240" w:lineRule="auto"/>
              <w:ind w:firstLine="0" w:firstLineChars="0"/>
              <w:rPr>
                <w:sz w:val="21"/>
              </w:rPr>
            </w:pPr>
            <w:r>
              <w:rPr>
                <w:rFonts w:hint="eastAsia" w:ascii="宋体" w:hAnsi="宋体" w:cs="宋体"/>
                <w:sz w:val="21"/>
              </w:rPr>
              <w:t>①</w:t>
            </w:r>
            <w:r>
              <w:rPr>
                <w:sz w:val="21"/>
              </w:rPr>
              <w:t>B</w:t>
            </w:r>
            <w:r>
              <w:rPr>
                <w:rFonts w:hAnsi="宋体"/>
                <w:sz w:val="21"/>
              </w:rPr>
              <w:t>比选方案可以尽可能沿已探明矿产地西侧布设，避面横穿矿产地，减小对资源浪费的可能；</w:t>
            </w:r>
          </w:p>
          <w:p>
            <w:pPr>
              <w:spacing w:line="240" w:lineRule="auto"/>
              <w:ind w:firstLine="0" w:firstLineChars="0"/>
              <w:rPr>
                <w:sz w:val="21"/>
              </w:rPr>
            </w:pPr>
            <w:r>
              <w:rPr>
                <w:rFonts w:hint="eastAsia" w:ascii="宋体" w:hAnsi="宋体" w:cs="宋体"/>
                <w:sz w:val="21"/>
              </w:rPr>
              <w:t>②</w:t>
            </w:r>
            <w:r>
              <w:rPr>
                <w:sz w:val="21"/>
              </w:rPr>
              <w:t>B</w:t>
            </w:r>
            <w:r>
              <w:rPr>
                <w:rFonts w:hAnsi="宋体"/>
                <w:sz w:val="21"/>
              </w:rPr>
              <w:t>比选方案占用耕地为</w:t>
            </w:r>
            <w:r>
              <w:rPr>
                <w:sz w:val="21"/>
              </w:rPr>
              <w:t>12.11</w:t>
            </w:r>
            <w:r>
              <w:rPr>
                <w:rFonts w:hAnsi="宋体"/>
                <w:sz w:val="21"/>
              </w:rPr>
              <w:t>亩，较</w:t>
            </w:r>
            <w:r>
              <w:rPr>
                <w:sz w:val="21"/>
              </w:rPr>
              <w:t>K</w:t>
            </w:r>
            <w:r>
              <w:rPr>
                <w:rFonts w:hAnsi="宋体"/>
                <w:sz w:val="21"/>
              </w:rPr>
              <w:t>线方案少；</w:t>
            </w:r>
          </w:p>
          <w:p>
            <w:pPr>
              <w:spacing w:line="240" w:lineRule="auto"/>
              <w:ind w:firstLine="0" w:firstLineChars="0"/>
              <w:jc w:val="left"/>
              <w:rPr>
                <w:sz w:val="21"/>
              </w:rPr>
            </w:pPr>
            <w:r>
              <w:rPr>
                <w:rFonts w:hint="eastAsia" w:ascii="宋体" w:hAnsi="宋体" w:cs="宋体"/>
                <w:sz w:val="21"/>
              </w:rPr>
              <w:t>③</w:t>
            </w:r>
            <w:r>
              <w:rPr>
                <w:sz w:val="21"/>
              </w:rPr>
              <w:t>B</w:t>
            </w:r>
            <w:r>
              <w:rPr>
                <w:rFonts w:hAnsi="宋体"/>
                <w:sz w:val="21"/>
              </w:rPr>
              <w:t>比选方案可充分为遵化市最新提倡的</w:t>
            </w:r>
            <w:r>
              <w:rPr>
                <w:sz w:val="21"/>
              </w:rPr>
              <w:t>“</w:t>
            </w:r>
            <w:r>
              <w:rPr>
                <w:rFonts w:hAnsi="宋体"/>
                <w:sz w:val="21"/>
              </w:rPr>
              <w:t>西扩南移</w:t>
            </w:r>
            <w:r>
              <w:rPr>
                <w:sz w:val="21"/>
              </w:rPr>
              <w:t>”</w:t>
            </w:r>
            <w:r>
              <w:rPr>
                <w:rFonts w:hAnsi="宋体"/>
                <w:sz w:val="21"/>
              </w:rPr>
              <w:t>城市发展方向预留空间。</w:t>
            </w:r>
          </w:p>
        </w:tc>
        <w:tc>
          <w:tcPr>
            <w:tcW w:w="1620" w:type="pct"/>
            <w:vMerge w:val="restart"/>
            <w:vAlign w:val="center"/>
          </w:tcPr>
          <w:p>
            <w:pPr>
              <w:spacing w:line="240" w:lineRule="auto"/>
              <w:ind w:firstLine="0" w:firstLineChars="0"/>
              <w:jc w:val="center"/>
              <w:rPr>
                <w:sz w:val="21"/>
              </w:rPr>
            </w:pPr>
            <w:r>
              <w:rPr>
                <w:sz w:val="21"/>
              </w:rPr>
              <w:t>B</w:t>
            </w:r>
            <w:r>
              <w:rPr>
                <w:rFonts w:hAnsi="宋体"/>
                <w:sz w:val="21"/>
              </w:rPr>
              <w:t>比选线方案虽然充分避让矿产地，但经与遵化市自然资源和规划局沟通确认，该处矿产地由于探明为铁矿，品级较低，无开采价值，多年来一直无权属。另一方面</w:t>
            </w:r>
            <w:r>
              <w:rPr>
                <w:sz w:val="21"/>
              </w:rPr>
              <w:t>B</w:t>
            </w:r>
            <w:r>
              <w:rPr>
                <w:rFonts w:hAnsi="宋体"/>
                <w:sz w:val="21"/>
              </w:rPr>
              <w:t>比选路线向西绕行预留城市扩容的范围有限，对城市发展意义不大。再者该方案占用基本农田规模为</w:t>
            </w:r>
            <w:r>
              <w:rPr>
                <w:sz w:val="21"/>
              </w:rPr>
              <w:t>21.67</w:t>
            </w:r>
            <w:r>
              <w:rPr>
                <w:rFonts w:hAnsi="宋体"/>
                <w:sz w:val="21"/>
              </w:rPr>
              <w:t>亩，较</w:t>
            </w:r>
            <w:r>
              <w:rPr>
                <w:sz w:val="21"/>
              </w:rPr>
              <w:t>K</w:t>
            </w:r>
            <w:r>
              <w:rPr>
                <w:rFonts w:hAnsi="宋体"/>
                <w:sz w:val="21"/>
              </w:rPr>
              <w:t>线方案多</w:t>
            </w:r>
            <w:r>
              <w:rPr>
                <w:sz w:val="21"/>
              </w:rPr>
              <w:t>0.88</w:t>
            </w:r>
            <w:r>
              <w:rPr>
                <w:rFonts w:hAnsi="宋体"/>
                <w:sz w:val="21"/>
              </w:rPr>
              <w:t>亩，这与国家基本农田政策相悖。因此绕行矿产地的</w:t>
            </w:r>
            <w:r>
              <w:rPr>
                <w:sz w:val="21"/>
              </w:rPr>
              <w:t>B</w:t>
            </w:r>
            <w:r>
              <w:rPr>
                <w:rFonts w:hAnsi="宋体"/>
                <w:sz w:val="21"/>
              </w:rPr>
              <w:t>比选方案牺牲线形指标需付出大规模拆迁民房等代价，对积极推进本项目无实际意义。考虑到</w:t>
            </w:r>
            <w:r>
              <w:rPr>
                <w:sz w:val="21"/>
              </w:rPr>
              <w:t>K</w:t>
            </w:r>
            <w:r>
              <w:rPr>
                <w:rFonts w:hAnsi="宋体"/>
                <w:sz w:val="21"/>
              </w:rPr>
              <w:t>线方案线形指标较高，建设里程较短，占地征拆优势明显，同时该方案不影响高铁新城规划区的建设，符合遵化市的</w:t>
            </w:r>
            <w:r>
              <w:rPr>
                <w:rFonts w:hint="eastAsia"/>
                <w:sz w:val="21"/>
              </w:rPr>
              <w:t>“</w:t>
            </w:r>
            <w:r>
              <w:rPr>
                <w:rFonts w:hAnsi="宋体"/>
                <w:sz w:val="21"/>
              </w:rPr>
              <w:t>西扩南移</w:t>
            </w:r>
            <w:r>
              <w:rPr>
                <w:rFonts w:hint="eastAsia"/>
                <w:sz w:val="21"/>
              </w:rPr>
              <w:t>”</w:t>
            </w:r>
            <w:r>
              <w:rPr>
                <w:sz w:val="21"/>
              </w:rPr>
              <w:t>”</w:t>
            </w:r>
            <w:r>
              <w:rPr>
                <w:rFonts w:hAnsi="宋体"/>
                <w:sz w:val="21"/>
              </w:rPr>
              <w:t>城市发展战略，</w:t>
            </w:r>
            <w:r>
              <w:rPr>
                <w:sz w:val="21"/>
              </w:rPr>
              <w:t>K</w:t>
            </w:r>
            <w:r>
              <w:rPr>
                <w:rFonts w:hAnsi="宋体"/>
                <w:sz w:val="21"/>
              </w:rPr>
              <w:t>线方案优势明显，经综合分析及研判，本次工可阶段将K线方案做为推荐方案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319" w:type="pct"/>
            <w:vAlign w:val="center"/>
          </w:tcPr>
          <w:p>
            <w:pPr>
              <w:spacing w:line="240" w:lineRule="auto"/>
              <w:ind w:firstLine="0" w:firstLineChars="0"/>
              <w:jc w:val="center"/>
              <w:rPr>
                <w:bCs/>
                <w:sz w:val="21"/>
              </w:rPr>
            </w:pPr>
            <w:r>
              <w:rPr>
                <w:rFonts w:hAnsi="宋体"/>
                <w:bCs/>
                <w:sz w:val="21"/>
              </w:rPr>
              <w:t>缺点</w:t>
            </w:r>
          </w:p>
        </w:tc>
        <w:tc>
          <w:tcPr>
            <w:tcW w:w="1334" w:type="pct"/>
            <w:vAlign w:val="center"/>
          </w:tcPr>
          <w:p>
            <w:pPr>
              <w:spacing w:line="240" w:lineRule="auto"/>
              <w:ind w:firstLine="0" w:firstLineChars="0"/>
              <w:rPr>
                <w:sz w:val="21"/>
              </w:rPr>
            </w:pPr>
            <w:r>
              <w:rPr>
                <w:rFonts w:hint="eastAsia" w:ascii="宋体" w:hAnsi="宋体" w:cs="宋体"/>
                <w:sz w:val="21"/>
              </w:rPr>
              <w:t>①</w:t>
            </w:r>
            <w:r>
              <w:rPr>
                <w:sz w:val="21"/>
              </w:rPr>
              <w:t>K</w:t>
            </w:r>
            <w:r>
              <w:rPr>
                <w:rFonts w:hAnsi="宋体"/>
                <w:sz w:val="21"/>
              </w:rPr>
              <w:t>线方案占用耕地</w:t>
            </w:r>
            <w:r>
              <w:rPr>
                <w:sz w:val="21"/>
              </w:rPr>
              <w:t>15.6</w:t>
            </w:r>
            <w:r>
              <w:rPr>
                <w:rFonts w:hAnsi="宋体"/>
                <w:sz w:val="21"/>
              </w:rPr>
              <w:t>亩，较</w:t>
            </w:r>
            <w:r>
              <w:rPr>
                <w:sz w:val="21"/>
              </w:rPr>
              <w:t>B</w:t>
            </w:r>
            <w:r>
              <w:rPr>
                <w:rFonts w:hAnsi="宋体"/>
                <w:sz w:val="21"/>
              </w:rPr>
              <w:t>线方案略多；</w:t>
            </w:r>
          </w:p>
          <w:p>
            <w:pPr>
              <w:spacing w:line="240" w:lineRule="auto"/>
              <w:ind w:firstLine="0" w:firstLineChars="0"/>
              <w:rPr>
                <w:sz w:val="21"/>
              </w:rPr>
            </w:pPr>
            <w:r>
              <w:rPr>
                <w:rFonts w:hint="eastAsia" w:ascii="宋体" w:hAnsi="宋体" w:cs="宋体"/>
                <w:sz w:val="21"/>
              </w:rPr>
              <w:t>②</w:t>
            </w:r>
            <w:r>
              <w:rPr>
                <w:rFonts w:hAnsi="宋体"/>
                <w:sz w:val="21"/>
              </w:rPr>
              <w:t>横穿已探明矿产地，存在资源浪费可能。</w:t>
            </w:r>
          </w:p>
        </w:tc>
        <w:tc>
          <w:tcPr>
            <w:tcW w:w="1727" w:type="pct"/>
            <w:vAlign w:val="center"/>
          </w:tcPr>
          <w:p>
            <w:pPr>
              <w:spacing w:line="240" w:lineRule="auto"/>
              <w:ind w:firstLine="0" w:firstLineChars="0"/>
              <w:rPr>
                <w:sz w:val="21"/>
              </w:rPr>
            </w:pPr>
            <w:r>
              <w:rPr>
                <w:rFonts w:hint="eastAsia" w:ascii="宋体" w:hAnsi="宋体" w:cs="宋体"/>
                <w:sz w:val="21"/>
              </w:rPr>
              <w:t>①</w:t>
            </w:r>
            <w:r>
              <w:rPr>
                <w:sz w:val="21"/>
              </w:rPr>
              <w:t>B</w:t>
            </w:r>
            <w:r>
              <w:rPr>
                <w:rFonts w:hAnsi="宋体"/>
                <w:sz w:val="21"/>
              </w:rPr>
              <w:t>比选方案沿矿产地向西绕行，线形指标较差，新建里程较</w:t>
            </w:r>
            <w:r>
              <w:rPr>
                <w:sz w:val="21"/>
              </w:rPr>
              <w:t>K</w:t>
            </w:r>
            <w:r>
              <w:rPr>
                <w:rFonts w:hAnsi="宋体"/>
                <w:sz w:val="21"/>
              </w:rPr>
              <w:t>线方案长</w:t>
            </w:r>
            <w:r>
              <w:rPr>
                <w:sz w:val="21"/>
              </w:rPr>
              <w:t>1.449km</w:t>
            </w:r>
            <w:r>
              <w:rPr>
                <w:rFonts w:hAnsi="宋体"/>
                <w:sz w:val="21"/>
              </w:rPr>
              <w:t>；</w:t>
            </w:r>
          </w:p>
          <w:p>
            <w:pPr>
              <w:spacing w:line="240" w:lineRule="auto"/>
              <w:ind w:firstLine="0" w:firstLineChars="0"/>
              <w:rPr>
                <w:sz w:val="21"/>
              </w:rPr>
            </w:pPr>
            <w:r>
              <w:rPr>
                <w:rFonts w:hint="eastAsia" w:ascii="宋体" w:hAnsi="宋体" w:cs="宋体"/>
                <w:sz w:val="21"/>
              </w:rPr>
              <w:t>②</w:t>
            </w:r>
            <w:r>
              <w:rPr>
                <w:sz w:val="21"/>
              </w:rPr>
              <w:t>B</w:t>
            </w:r>
            <w:r>
              <w:rPr>
                <w:rFonts w:hAnsi="宋体"/>
                <w:sz w:val="21"/>
              </w:rPr>
              <w:t>比选方案新增用地较多，尤其基本农田规模较大，较</w:t>
            </w:r>
            <w:r>
              <w:rPr>
                <w:sz w:val="21"/>
              </w:rPr>
              <w:t>K</w:t>
            </w:r>
            <w:r>
              <w:rPr>
                <w:rFonts w:hAnsi="宋体"/>
                <w:sz w:val="21"/>
              </w:rPr>
              <w:t>线方案多</w:t>
            </w:r>
            <w:r>
              <w:rPr>
                <w:sz w:val="21"/>
              </w:rPr>
              <w:t>0.88</w:t>
            </w:r>
            <w:r>
              <w:rPr>
                <w:rFonts w:hAnsi="宋体"/>
                <w:sz w:val="21"/>
              </w:rPr>
              <w:t>亩；</w:t>
            </w:r>
          </w:p>
          <w:p>
            <w:pPr>
              <w:spacing w:line="240" w:lineRule="auto"/>
              <w:ind w:firstLine="0" w:firstLineChars="0"/>
              <w:rPr>
                <w:sz w:val="21"/>
              </w:rPr>
            </w:pPr>
            <w:r>
              <w:rPr>
                <w:rFonts w:hint="eastAsia" w:ascii="宋体" w:hAnsi="宋体" w:cs="宋体"/>
                <w:sz w:val="21"/>
              </w:rPr>
              <w:t>③</w:t>
            </w:r>
            <w:r>
              <w:rPr>
                <w:sz w:val="21"/>
              </w:rPr>
              <w:t>B</w:t>
            </w:r>
            <w:r>
              <w:rPr>
                <w:rFonts w:hAnsi="宋体"/>
                <w:sz w:val="21"/>
              </w:rPr>
              <w:t>比选方案横穿东杨庄村和山里各庄村，拆迁巨大（约</w:t>
            </w:r>
            <w:r>
              <w:rPr>
                <w:sz w:val="21"/>
              </w:rPr>
              <w:t>120</w:t>
            </w:r>
            <w:r>
              <w:rPr>
                <w:rFonts w:hAnsi="宋体"/>
                <w:sz w:val="21"/>
              </w:rPr>
              <w:t>户），拆迁难度巨大，拆迁费用占总投资比例较大，影响工期；</w:t>
            </w:r>
          </w:p>
          <w:p>
            <w:pPr>
              <w:spacing w:line="240" w:lineRule="auto"/>
              <w:ind w:firstLine="0" w:firstLineChars="0"/>
              <w:rPr>
                <w:sz w:val="21"/>
              </w:rPr>
            </w:pPr>
            <w:r>
              <w:rPr>
                <w:rFonts w:hint="eastAsia" w:ascii="宋体" w:hAnsi="宋体" w:cs="宋体"/>
                <w:sz w:val="21"/>
              </w:rPr>
              <w:t>④</w:t>
            </w:r>
            <w:r>
              <w:rPr>
                <w:rFonts w:hAnsi="宋体"/>
                <w:sz w:val="21"/>
              </w:rPr>
              <w:t>该方案在</w:t>
            </w:r>
            <w:r>
              <w:rPr>
                <w:sz w:val="21"/>
              </w:rPr>
              <w:t>BK15+500</w:t>
            </w:r>
            <w:r>
              <w:rPr>
                <w:rFonts w:hAnsi="宋体"/>
                <w:sz w:val="21"/>
              </w:rPr>
              <w:t>～</w:t>
            </w:r>
            <w:r>
              <w:rPr>
                <w:sz w:val="21"/>
              </w:rPr>
              <w:t>BK18+100</w:t>
            </w:r>
            <w:r>
              <w:rPr>
                <w:rFonts w:hAnsi="宋体"/>
                <w:sz w:val="21"/>
              </w:rPr>
              <w:t>段影响高铁新城规划区的设置</w:t>
            </w:r>
            <w:r>
              <w:rPr>
                <w:rFonts w:hint="eastAsia" w:hAnsi="宋体"/>
                <w:sz w:val="21"/>
              </w:rPr>
              <w:t>，</w:t>
            </w:r>
            <w:r>
              <w:rPr>
                <w:rFonts w:hAnsi="宋体"/>
                <w:sz w:val="21"/>
              </w:rPr>
              <w:t>不符合地方政府和各部门的诉求，不利于本项目的顺利实施；</w:t>
            </w:r>
          </w:p>
        </w:tc>
        <w:tc>
          <w:tcPr>
            <w:tcW w:w="1620" w:type="pct"/>
            <w:vMerge w:val="continue"/>
            <w:vAlign w:val="center"/>
          </w:tcPr>
          <w:p>
            <w:pPr>
              <w:spacing w:line="240" w:lineRule="auto"/>
              <w:ind w:firstLine="0" w:firstLineChars="0"/>
              <w:jc w:val="center"/>
              <w:rPr>
                <w:sz w:val="21"/>
              </w:rPr>
            </w:pPr>
          </w:p>
        </w:tc>
      </w:tr>
    </w:tbl>
    <w:p>
      <w:pPr>
        <w:adjustRightInd w:val="0"/>
        <w:snapToGrid w:val="0"/>
        <w:ind w:firstLine="0" w:firstLineChars="0"/>
        <w:jc w:val="center"/>
        <w:rPr>
          <w:b/>
          <w:sz w:val="21"/>
        </w:rPr>
      </w:pPr>
      <w:r>
        <w:rPr>
          <w:rFonts w:hint="eastAsia"/>
          <w:b/>
          <w:sz w:val="21"/>
        </w:rPr>
        <w:t>表3.3-4 B、K两方案环境影响分析比选方案</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675"/>
        <w:gridCol w:w="902"/>
        <w:gridCol w:w="1892"/>
        <w:gridCol w:w="752"/>
        <w:gridCol w:w="1503"/>
        <w:gridCol w:w="1500"/>
        <w:gridCol w:w="1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bCs/>
                <w:sz w:val="21"/>
              </w:rPr>
            </w:pPr>
            <w:r>
              <w:rPr>
                <w:sz w:val="21"/>
              </w:rPr>
              <w:t>序号</w:t>
            </w:r>
          </w:p>
        </w:tc>
        <w:tc>
          <w:tcPr>
            <w:tcW w:w="499" w:type="pct"/>
            <w:vAlign w:val="center"/>
          </w:tcPr>
          <w:p>
            <w:pPr>
              <w:spacing w:line="240" w:lineRule="auto"/>
              <w:ind w:firstLine="0" w:firstLineChars="0"/>
              <w:jc w:val="center"/>
              <w:rPr>
                <w:sz w:val="21"/>
              </w:rPr>
            </w:pPr>
            <w:r>
              <w:rPr>
                <w:rFonts w:hint="eastAsia"/>
                <w:sz w:val="21"/>
              </w:rPr>
              <w:t>环境要素</w:t>
            </w:r>
          </w:p>
        </w:tc>
        <w:tc>
          <w:tcPr>
            <w:tcW w:w="1047" w:type="pct"/>
            <w:vAlign w:val="center"/>
          </w:tcPr>
          <w:p>
            <w:pPr>
              <w:spacing w:line="240" w:lineRule="auto"/>
              <w:ind w:firstLine="0" w:firstLineChars="0"/>
              <w:jc w:val="center"/>
              <w:rPr>
                <w:bCs/>
                <w:sz w:val="21"/>
              </w:rPr>
            </w:pPr>
            <w:r>
              <w:rPr>
                <w:sz w:val="21"/>
              </w:rPr>
              <w:t>比较项目</w:t>
            </w:r>
          </w:p>
        </w:tc>
        <w:tc>
          <w:tcPr>
            <w:tcW w:w="416" w:type="pct"/>
            <w:vAlign w:val="center"/>
          </w:tcPr>
          <w:p>
            <w:pPr>
              <w:spacing w:line="240" w:lineRule="auto"/>
              <w:ind w:firstLine="0" w:firstLineChars="0"/>
              <w:jc w:val="center"/>
              <w:rPr>
                <w:bCs/>
                <w:sz w:val="21"/>
              </w:rPr>
            </w:pPr>
            <w:r>
              <w:rPr>
                <w:sz w:val="21"/>
              </w:rPr>
              <w:t>单位</w:t>
            </w:r>
          </w:p>
        </w:tc>
        <w:tc>
          <w:tcPr>
            <w:tcW w:w="832" w:type="pct"/>
            <w:vAlign w:val="center"/>
          </w:tcPr>
          <w:p>
            <w:pPr>
              <w:spacing w:line="240" w:lineRule="auto"/>
              <w:ind w:firstLine="0" w:firstLineChars="0"/>
              <w:jc w:val="center"/>
              <w:rPr>
                <w:bCs/>
                <w:sz w:val="21"/>
              </w:rPr>
            </w:pPr>
            <w:r>
              <w:rPr>
                <w:rFonts w:hint="eastAsia"/>
                <w:bCs/>
                <w:sz w:val="21"/>
              </w:rPr>
              <w:t>K</w:t>
            </w:r>
            <w:r>
              <w:rPr>
                <w:sz w:val="21"/>
              </w:rPr>
              <w:t>线</w:t>
            </w:r>
          </w:p>
        </w:tc>
        <w:tc>
          <w:tcPr>
            <w:tcW w:w="830" w:type="pct"/>
            <w:vAlign w:val="center"/>
          </w:tcPr>
          <w:p>
            <w:pPr>
              <w:spacing w:line="240" w:lineRule="auto"/>
              <w:ind w:firstLine="0" w:firstLineChars="0"/>
              <w:jc w:val="center"/>
              <w:rPr>
                <w:bCs/>
                <w:sz w:val="21"/>
              </w:rPr>
            </w:pPr>
            <w:r>
              <w:rPr>
                <w:rFonts w:hint="eastAsia"/>
                <w:bCs/>
                <w:sz w:val="21"/>
              </w:rPr>
              <w:t>B</w:t>
            </w:r>
            <w:r>
              <w:rPr>
                <w:sz w:val="21"/>
              </w:rPr>
              <w:t>线</w:t>
            </w:r>
          </w:p>
        </w:tc>
        <w:tc>
          <w:tcPr>
            <w:tcW w:w="1002" w:type="pct"/>
            <w:vAlign w:val="center"/>
          </w:tcPr>
          <w:p>
            <w:pPr>
              <w:spacing w:line="240" w:lineRule="auto"/>
              <w:ind w:firstLine="0" w:firstLineChars="0"/>
              <w:jc w:val="center"/>
              <w:rPr>
                <w:bCs/>
                <w:sz w:val="21"/>
              </w:rPr>
            </w:pPr>
            <w:r>
              <w:rPr>
                <w:rFonts w:hint="eastAsia"/>
                <w:bCs/>
                <w:sz w:val="21"/>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restart"/>
            <w:vAlign w:val="center"/>
          </w:tcPr>
          <w:p>
            <w:pPr>
              <w:spacing w:line="240" w:lineRule="auto"/>
              <w:ind w:firstLine="0" w:firstLineChars="0"/>
              <w:jc w:val="center"/>
              <w:rPr>
                <w:bCs/>
                <w:sz w:val="21"/>
              </w:rPr>
            </w:pPr>
            <w:r>
              <w:rPr>
                <w:bCs/>
                <w:sz w:val="21"/>
              </w:rPr>
              <w:t>1</w:t>
            </w:r>
          </w:p>
        </w:tc>
        <w:tc>
          <w:tcPr>
            <w:tcW w:w="499" w:type="pct"/>
            <w:vMerge w:val="restart"/>
            <w:vAlign w:val="center"/>
          </w:tcPr>
          <w:p>
            <w:pPr>
              <w:spacing w:line="240" w:lineRule="auto"/>
              <w:ind w:firstLine="0" w:firstLineChars="0"/>
              <w:jc w:val="center"/>
              <w:rPr>
                <w:sz w:val="21"/>
              </w:rPr>
            </w:pPr>
            <w:r>
              <w:rPr>
                <w:rFonts w:hint="eastAsia"/>
                <w:sz w:val="21"/>
              </w:rPr>
              <w:t>生态环境</w:t>
            </w:r>
          </w:p>
        </w:tc>
        <w:tc>
          <w:tcPr>
            <w:tcW w:w="1047" w:type="pct"/>
            <w:vAlign w:val="center"/>
          </w:tcPr>
          <w:p>
            <w:pPr>
              <w:spacing w:line="240" w:lineRule="auto"/>
              <w:ind w:firstLine="0" w:firstLineChars="0"/>
              <w:jc w:val="center"/>
              <w:rPr>
                <w:bCs/>
                <w:sz w:val="21"/>
              </w:rPr>
            </w:pPr>
            <w:r>
              <w:rPr>
                <w:sz w:val="21"/>
              </w:rPr>
              <w:t>路线长度</w:t>
            </w:r>
          </w:p>
        </w:tc>
        <w:tc>
          <w:tcPr>
            <w:tcW w:w="416" w:type="pct"/>
            <w:vAlign w:val="center"/>
          </w:tcPr>
          <w:p>
            <w:pPr>
              <w:spacing w:line="240" w:lineRule="auto"/>
              <w:ind w:firstLine="0" w:firstLineChars="0"/>
              <w:jc w:val="center"/>
              <w:rPr>
                <w:bCs/>
                <w:sz w:val="21"/>
              </w:rPr>
            </w:pPr>
            <w:r>
              <w:rPr>
                <w:rFonts w:hint="eastAsia"/>
                <w:bCs/>
                <w:sz w:val="21"/>
              </w:rPr>
              <w:t>k</w:t>
            </w:r>
            <w:r>
              <w:rPr>
                <w:bCs/>
                <w:sz w:val="21"/>
              </w:rPr>
              <w:t>m</w:t>
            </w:r>
          </w:p>
        </w:tc>
        <w:tc>
          <w:tcPr>
            <w:tcW w:w="832" w:type="pct"/>
            <w:vAlign w:val="center"/>
          </w:tcPr>
          <w:p>
            <w:pPr>
              <w:spacing w:line="240" w:lineRule="auto"/>
              <w:ind w:firstLine="0" w:firstLineChars="0"/>
              <w:jc w:val="center"/>
              <w:rPr>
                <w:bCs/>
                <w:sz w:val="21"/>
              </w:rPr>
            </w:pPr>
            <w:r>
              <w:rPr>
                <w:rFonts w:hint="eastAsia"/>
                <w:bCs/>
                <w:sz w:val="21"/>
              </w:rPr>
              <w:t>6.283</w:t>
            </w:r>
          </w:p>
        </w:tc>
        <w:tc>
          <w:tcPr>
            <w:tcW w:w="830" w:type="pct"/>
            <w:vAlign w:val="center"/>
          </w:tcPr>
          <w:p>
            <w:pPr>
              <w:spacing w:line="240" w:lineRule="auto"/>
              <w:ind w:firstLine="0" w:firstLineChars="0"/>
              <w:jc w:val="center"/>
              <w:rPr>
                <w:bCs/>
                <w:sz w:val="21"/>
              </w:rPr>
            </w:pPr>
            <w:r>
              <w:rPr>
                <w:rFonts w:hint="eastAsia"/>
                <w:bCs/>
                <w:sz w:val="21"/>
              </w:rPr>
              <w:t>7.732</w:t>
            </w:r>
          </w:p>
        </w:tc>
        <w:tc>
          <w:tcPr>
            <w:tcW w:w="1002" w:type="pct"/>
            <w:vAlign w:val="center"/>
          </w:tcPr>
          <w:p>
            <w:pPr>
              <w:spacing w:line="240" w:lineRule="auto"/>
              <w:ind w:firstLine="0" w:firstLineChars="0"/>
              <w:jc w:val="center"/>
              <w:rPr>
                <w:bCs/>
                <w:sz w:val="21"/>
              </w:rPr>
            </w:pPr>
            <w:r>
              <w:rPr>
                <w:rFonts w:hint="eastAsia"/>
                <w:bCs/>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bCs/>
                <w:sz w:val="21"/>
              </w:rPr>
            </w:pPr>
          </w:p>
        </w:tc>
        <w:tc>
          <w:tcPr>
            <w:tcW w:w="499" w:type="pct"/>
            <w:vMerge w:val="continue"/>
            <w:vAlign w:val="center"/>
          </w:tcPr>
          <w:p>
            <w:pPr>
              <w:spacing w:line="240" w:lineRule="auto"/>
              <w:ind w:firstLine="0" w:firstLineChars="0"/>
              <w:jc w:val="center"/>
              <w:rPr>
                <w:bCs/>
                <w:sz w:val="21"/>
              </w:rPr>
            </w:pPr>
          </w:p>
        </w:tc>
        <w:tc>
          <w:tcPr>
            <w:tcW w:w="1047" w:type="pct"/>
            <w:vAlign w:val="center"/>
          </w:tcPr>
          <w:p>
            <w:pPr>
              <w:spacing w:line="240" w:lineRule="auto"/>
              <w:ind w:firstLine="0" w:firstLineChars="0"/>
              <w:jc w:val="center"/>
              <w:rPr>
                <w:bCs/>
                <w:sz w:val="21"/>
              </w:rPr>
            </w:pPr>
            <w:r>
              <w:rPr>
                <w:rFonts w:hint="eastAsia"/>
                <w:bCs/>
                <w:sz w:val="21"/>
              </w:rPr>
              <w:t>占地</w:t>
            </w:r>
          </w:p>
        </w:tc>
        <w:tc>
          <w:tcPr>
            <w:tcW w:w="416" w:type="pct"/>
            <w:vAlign w:val="center"/>
          </w:tcPr>
          <w:p>
            <w:pPr>
              <w:spacing w:line="240" w:lineRule="auto"/>
              <w:ind w:firstLine="0" w:firstLineChars="0"/>
              <w:jc w:val="center"/>
              <w:rPr>
                <w:bCs/>
                <w:sz w:val="21"/>
              </w:rPr>
            </w:pPr>
            <w:r>
              <w:rPr>
                <w:rFonts w:hint="eastAsia"/>
                <w:bCs/>
                <w:sz w:val="21"/>
              </w:rPr>
              <w:t>亩</w:t>
            </w:r>
          </w:p>
        </w:tc>
        <w:tc>
          <w:tcPr>
            <w:tcW w:w="832" w:type="pct"/>
            <w:vAlign w:val="center"/>
          </w:tcPr>
          <w:p>
            <w:pPr>
              <w:spacing w:line="240" w:lineRule="auto"/>
              <w:ind w:firstLine="0" w:firstLineChars="0"/>
              <w:jc w:val="center"/>
              <w:rPr>
                <w:bCs/>
                <w:sz w:val="21"/>
              </w:rPr>
            </w:pPr>
            <w:r>
              <w:rPr>
                <w:rFonts w:hint="eastAsia"/>
                <w:bCs/>
                <w:sz w:val="21"/>
              </w:rPr>
              <w:t>240.57</w:t>
            </w:r>
          </w:p>
        </w:tc>
        <w:tc>
          <w:tcPr>
            <w:tcW w:w="830" w:type="pct"/>
            <w:vAlign w:val="center"/>
          </w:tcPr>
          <w:p>
            <w:pPr>
              <w:spacing w:line="240" w:lineRule="auto"/>
              <w:ind w:firstLine="0" w:firstLineChars="0"/>
              <w:jc w:val="center"/>
              <w:rPr>
                <w:bCs/>
                <w:sz w:val="21"/>
              </w:rPr>
            </w:pPr>
            <w:r>
              <w:rPr>
                <w:rFonts w:hint="eastAsia"/>
                <w:bCs/>
                <w:sz w:val="21"/>
              </w:rPr>
              <w:t>296.05</w:t>
            </w:r>
          </w:p>
        </w:tc>
        <w:tc>
          <w:tcPr>
            <w:tcW w:w="1002" w:type="pct"/>
            <w:vAlign w:val="center"/>
          </w:tcPr>
          <w:p>
            <w:pPr>
              <w:spacing w:line="240" w:lineRule="auto"/>
              <w:ind w:firstLine="0" w:firstLineChars="0"/>
              <w:jc w:val="center"/>
              <w:rPr>
                <w:bCs/>
                <w:sz w:val="21"/>
              </w:rPr>
            </w:pPr>
            <w:r>
              <w:rPr>
                <w:rFonts w:hint="eastAsia"/>
                <w:bCs/>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bCs/>
                <w:sz w:val="21"/>
              </w:rPr>
            </w:pPr>
          </w:p>
        </w:tc>
        <w:tc>
          <w:tcPr>
            <w:tcW w:w="499" w:type="pct"/>
            <w:vMerge w:val="continue"/>
            <w:vAlign w:val="center"/>
          </w:tcPr>
          <w:p>
            <w:pPr>
              <w:spacing w:line="240" w:lineRule="auto"/>
              <w:ind w:firstLine="0" w:firstLineChars="0"/>
              <w:jc w:val="center"/>
              <w:rPr>
                <w:bCs/>
                <w:sz w:val="21"/>
              </w:rPr>
            </w:pPr>
          </w:p>
        </w:tc>
        <w:tc>
          <w:tcPr>
            <w:tcW w:w="1047" w:type="pct"/>
            <w:vAlign w:val="center"/>
          </w:tcPr>
          <w:p>
            <w:pPr>
              <w:spacing w:line="240" w:lineRule="auto"/>
              <w:ind w:firstLine="0" w:firstLineChars="0"/>
              <w:jc w:val="center"/>
              <w:rPr>
                <w:bCs/>
                <w:sz w:val="21"/>
              </w:rPr>
            </w:pPr>
            <w:r>
              <w:rPr>
                <w:rFonts w:hint="eastAsia"/>
                <w:sz w:val="21"/>
              </w:rPr>
              <w:t>耕地</w:t>
            </w:r>
          </w:p>
        </w:tc>
        <w:tc>
          <w:tcPr>
            <w:tcW w:w="416" w:type="pct"/>
            <w:vAlign w:val="center"/>
          </w:tcPr>
          <w:p>
            <w:pPr>
              <w:spacing w:line="240" w:lineRule="auto"/>
              <w:ind w:firstLine="0" w:firstLineChars="0"/>
              <w:jc w:val="center"/>
              <w:rPr>
                <w:bCs/>
                <w:sz w:val="21"/>
              </w:rPr>
            </w:pPr>
            <w:r>
              <w:rPr>
                <w:rFonts w:hint="eastAsia"/>
                <w:sz w:val="21"/>
              </w:rPr>
              <w:t>亩</w:t>
            </w:r>
          </w:p>
        </w:tc>
        <w:tc>
          <w:tcPr>
            <w:tcW w:w="832" w:type="pct"/>
            <w:vAlign w:val="center"/>
          </w:tcPr>
          <w:p>
            <w:pPr>
              <w:spacing w:line="240" w:lineRule="auto"/>
              <w:ind w:firstLine="0" w:firstLineChars="0"/>
              <w:jc w:val="center"/>
              <w:rPr>
                <w:bCs/>
                <w:sz w:val="21"/>
              </w:rPr>
            </w:pPr>
            <w:r>
              <w:rPr>
                <w:rFonts w:hint="eastAsia"/>
                <w:sz w:val="21"/>
              </w:rPr>
              <w:t>15.6</w:t>
            </w:r>
          </w:p>
        </w:tc>
        <w:tc>
          <w:tcPr>
            <w:tcW w:w="830" w:type="pct"/>
            <w:vAlign w:val="center"/>
          </w:tcPr>
          <w:p>
            <w:pPr>
              <w:spacing w:line="240" w:lineRule="auto"/>
              <w:ind w:firstLine="0" w:firstLineChars="0"/>
              <w:jc w:val="center"/>
              <w:rPr>
                <w:bCs/>
                <w:sz w:val="21"/>
              </w:rPr>
            </w:pPr>
            <w:r>
              <w:rPr>
                <w:rFonts w:hint="eastAsia"/>
                <w:sz w:val="21"/>
              </w:rPr>
              <w:t>12.11</w:t>
            </w:r>
          </w:p>
        </w:tc>
        <w:tc>
          <w:tcPr>
            <w:tcW w:w="1002" w:type="pct"/>
            <w:vAlign w:val="center"/>
          </w:tcPr>
          <w:p>
            <w:pPr>
              <w:spacing w:line="240" w:lineRule="auto"/>
              <w:ind w:firstLine="0" w:firstLineChars="0"/>
              <w:jc w:val="center"/>
              <w:rPr>
                <w:bCs/>
                <w:sz w:val="21"/>
              </w:rPr>
            </w:pPr>
            <w:r>
              <w:rPr>
                <w:rFonts w:hint="eastAsia"/>
                <w:sz w:val="21"/>
              </w:rPr>
              <w:t>方案B占优势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bCs/>
                <w:sz w:val="21"/>
              </w:rPr>
            </w:pPr>
          </w:p>
        </w:tc>
        <w:tc>
          <w:tcPr>
            <w:tcW w:w="499" w:type="pct"/>
            <w:vMerge w:val="continue"/>
            <w:vAlign w:val="center"/>
          </w:tcPr>
          <w:p>
            <w:pPr>
              <w:spacing w:line="240" w:lineRule="auto"/>
              <w:ind w:firstLine="0" w:firstLineChars="0"/>
              <w:jc w:val="center"/>
              <w:rPr>
                <w:bCs/>
                <w:sz w:val="21"/>
              </w:rPr>
            </w:pPr>
          </w:p>
        </w:tc>
        <w:tc>
          <w:tcPr>
            <w:tcW w:w="1047" w:type="pct"/>
            <w:vAlign w:val="center"/>
          </w:tcPr>
          <w:p>
            <w:pPr>
              <w:spacing w:line="240" w:lineRule="auto"/>
              <w:ind w:firstLine="0" w:firstLineChars="0"/>
              <w:jc w:val="center"/>
              <w:rPr>
                <w:sz w:val="21"/>
              </w:rPr>
            </w:pPr>
            <w:r>
              <w:rPr>
                <w:rFonts w:hint="eastAsia"/>
                <w:sz w:val="21"/>
              </w:rPr>
              <w:t>拆迁量</w:t>
            </w:r>
          </w:p>
        </w:tc>
        <w:tc>
          <w:tcPr>
            <w:tcW w:w="416" w:type="pct"/>
            <w:vAlign w:val="center"/>
          </w:tcPr>
          <w:p>
            <w:pPr>
              <w:spacing w:line="240" w:lineRule="auto"/>
              <w:ind w:firstLine="0" w:firstLineChars="0"/>
              <w:jc w:val="center"/>
              <w:rPr>
                <w:sz w:val="21"/>
              </w:rPr>
            </w:pPr>
            <w:r>
              <w:rPr>
                <w:rFonts w:hint="eastAsia"/>
                <w:sz w:val="21"/>
              </w:rPr>
              <w:t>户</w:t>
            </w:r>
          </w:p>
        </w:tc>
        <w:tc>
          <w:tcPr>
            <w:tcW w:w="832" w:type="pct"/>
            <w:vAlign w:val="center"/>
          </w:tcPr>
          <w:p>
            <w:pPr>
              <w:spacing w:line="240" w:lineRule="auto"/>
              <w:ind w:firstLine="0" w:firstLineChars="0"/>
              <w:jc w:val="center"/>
              <w:rPr>
                <w:sz w:val="21"/>
              </w:rPr>
            </w:pPr>
            <w:r>
              <w:rPr>
                <w:rFonts w:hint="eastAsia"/>
                <w:sz w:val="21"/>
              </w:rPr>
              <w:t>10</w:t>
            </w:r>
          </w:p>
        </w:tc>
        <w:tc>
          <w:tcPr>
            <w:tcW w:w="830" w:type="pct"/>
            <w:vAlign w:val="center"/>
          </w:tcPr>
          <w:p>
            <w:pPr>
              <w:spacing w:line="240" w:lineRule="auto"/>
              <w:ind w:firstLine="0" w:firstLineChars="0"/>
              <w:jc w:val="center"/>
              <w:rPr>
                <w:sz w:val="21"/>
              </w:rPr>
            </w:pPr>
            <w:r>
              <w:rPr>
                <w:rFonts w:hint="eastAsia"/>
                <w:sz w:val="21"/>
              </w:rPr>
              <w:t>120</w:t>
            </w:r>
          </w:p>
        </w:tc>
        <w:tc>
          <w:tcPr>
            <w:tcW w:w="1002" w:type="pct"/>
            <w:vAlign w:val="center"/>
          </w:tcPr>
          <w:p>
            <w:pPr>
              <w:spacing w:line="240" w:lineRule="auto"/>
              <w:ind w:firstLine="0" w:firstLineChars="0"/>
              <w:jc w:val="center"/>
              <w:rPr>
                <w:bCs/>
                <w:sz w:val="21"/>
              </w:rPr>
            </w:pPr>
            <w:r>
              <w:rPr>
                <w:rFonts w:hint="eastAsia"/>
                <w:bCs/>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Merge w:val="continue"/>
            <w:vAlign w:val="center"/>
          </w:tcPr>
          <w:p>
            <w:pPr>
              <w:spacing w:line="240" w:lineRule="auto"/>
              <w:ind w:firstLine="0" w:firstLineChars="0"/>
              <w:jc w:val="center"/>
              <w:rPr>
                <w:bCs/>
                <w:sz w:val="21"/>
              </w:rPr>
            </w:pPr>
          </w:p>
        </w:tc>
        <w:tc>
          <w:tcPr>
            <w:tcW w:w="499" w:type="pct"/>
            <w:vMerge w:val="continue"/>
            <w:vAlign w:val="center"/>
          </w:tcPr>
          <w:p>
            <w:pPr>
              <w:spacing w:line="240" w:lineRule="auto"/>
              <w:ind w:firstLine="0" w:firstLineChars="0"/>
              <w:jc w:val="center"/>
              <w:rPr>
                <w:bCs/>
                <w:sz w:val="21"/>
              </w:rPr>
            </w:pPr>
          </w:p>
        </w:tc>
        <w:tc>
          <w:tcPr>
            <w:tcW w:w="1047" w:type="pct"/>
            <w:vAlign w:val="center"/>
          </w:tcPr>
          <w:p>
            <w:pPr>
              <w:spacing w:line="240" w:lineRule="auto"/>
              <w:ind w:firstLine="0" w:firstLineChars="0"/>
              <w:jc w:val="center"/>
              <w:rPr>
                <w:sz w:val="21"/>
              </w:rPr>
            </w:pPr>
            <w:r>
              <w:rPr>
                <w:rFonts w:hint="eastAsia"/>
                <w:sz w:val="21"/>
              </w:rPr>
              <w:t>基本农田</w:t>
            </w:r>
          </w:p>
        </w:tc>
        <w:tc>
          <w:tcPr>
            <w:tcW w:w="416" w:type="pct"/>
            <w:vAlign w:val="center"/>
          </w:tcPr>
          <w:p>
            <w:pPr>
              <w:spacing w:line="240" w:lineRule="auto"/>
              <w:ind w:firstLine="0" w:firstLineChars="0"/>
              <w:jc w:val="center"/>
              <w:rPr>
                <w:sz w:val="21"/>
              </w:rPr>
            </w:pPr>
            <w:r>
              <w:rPr>
                <w:rFonts w:hint="eastAsia"/>
                <w:sz w:val="21"/>
              </w:rPr>
              <w:t>亩</w:t>
            </w:r>
          </w:p>
        </w:tc>
        <w:tc>
          <w:tcPr>
            <w:tcW w:w="832" w:type="pct"/>
            <w:vAlign w:val="center"/>
          </w:tcPr>
          <w:p>
            <w:pPr>
              <w:spacing w:line="240" w:lineRule="auto"/>
              <w:ind w:firstLine="0" w:firstLineChars="0"/>
              <w:jc w:val="center"/>
              <w:rPr>
                <w:sz w:val="21"/>
              </w:rPr>
            </w:pPr>
            <w:r>
              <w:rPr>
                <w:rFonts w:hint="eastAsia"/>
                <w:sz w:val="21"/>
              </w:rPr>
              <w:t>20.79</w:t>
            </w:r>
          </w:p>
        </w:tc>
        <w:tc>
          <w:tcPr>
            <w:tcW w:w="830" w:type="pct"/>
            <w:vAlign w:val="center"/>
          </w:tcPr>
          <w:p>
            <w:pPr>
              <w:spacing w:line="240" w:lineRule="auto"/>
              <w:ind w:firstLine="0" w:firstLineChars="0"/>
              <w:jc w:val="center"/>
              <w:rPr>
                <w:sz w:val="21"/>
              </w:rPr>
            </w:pPr>
            <w:r>
              <w:rPr>
                <w:rFonts w:hint="eastAsia"/>
                <w:sz w:val="21"/>
              </w:rPr>
              <w:t>21.67</w:t>
            </w:r>
          </w:p>
        </w:tc>
        <w:tc>
          <w:tcPr>
            <w:tcW w:w="1002" w:type="pct"/>
            <w:vAlign w:val="center"/>
          </w:tcPr>
          <w:p>
            <w:pPr>
              <w:spacing w:line="240" w:lineRule="auto"/>
              <w:ind w:firstLine="0" w:firstLineChars="0"/>
              <w:jc w:val="center"/>
              <w:rPr>
                <w:sz w:val="21"/>
              </w:rPr>
            </w:pPr>
            <w:r>
              <w:rPr>
                <w:rFonts w:hint="eastAsia"/>
                <w:bCs/>
                <w:sz w:val="21"/>
              </w:rPr>
              <w:t>方案K占优势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bCs/>
                <w:sz w:val="21"/>
              </w:rPr>
            </w:pPr>
            <w:r>
              <w:rPr>
                <w:rFonts w:hint="eastAsia"/>
                <w:bCs/>
                <w:sz w:val="21"/>
              </w:rPr>
              <w:t>2</w:t>
            </w:r>
          </w:p>
        </w:tc>
        <w:tc>
          <w:tcPr>
            <w:tcW w:w="499" w:type="pct"/>
            <w:vAlign w:val="center"/>
          </w:tcPr>
          <w:p>
            <w:pPr>
              <w:spacing w:line="240" w:lineRule="auto"/>
              <w:ind w:firstLine="0" w:firstLineChars="0"/>
              <w:jc w:val="center"/>
              <w:rPr>
                <w:sz w:val="21"/>
              </w:rPr>
            </w:pPr>
            <w:r>
              <w:rPr>
                <w:rFonts w:hint="eastAsia"/>
                <w:sz w:val="21"/>
              </w:rPr>
              <w:t>地表水</w:t>
            </w:r>
          </w:p>
        </w:tc>
        <w:tc>
          <w:tcPr>
            <w:tcW w:w="1047" w:type="pct"/>
            <w:vAlign w:val="center"/>
          </w:tcPr>
          <w:p>
            <w:pPr>
              <w:spacing w:line="240" w:lineRule="auto"/>
              <w:ind w:firstLine="0" w:firstLineChars="0"/>
              <w:jc w:val="center"/>
              <w:rPr>
                <w:bCs/>
                <w:sz w:val="21"/>
              </w:rPr>
            </w:pPr>
            <w:r>
              <w:rPr>
                <w:rFonts w:hint="eastAsia"/>
                <w:sz w:val="21"/>
              </w:rPr>
              <w:t>河流</w:t>
            </w:r>
          </w:p>
        </w:tc>
        <w:tc>
          <w:tcPr>
            <w:tcW w:w="416" w:type="pct"/>
            <w:vAlign w:val="center"/>
          </w:tcPr>
          <w:p>
            <w:pPr>
              <w:spacing w:line="240" w:lineRule="auto"/>
              <w:ind w:firstLine="0" w:firstLineChars="0"/>
              <w:jc w:val="center"/>
              <w:rPr>
                <w:bCs/>
                <w:sz w:val="21"/>
              </w:rPr>
            </w:pPr>
            <w:r>
              <w:rPr>
                <w:rFonts w:hint="eastAsia"/>
                <w:bCs/>
                <w:sz w:val="21"/>
              </w:rPr>
              <w:t>条</w:t>
            </w:r>
          </w:p>
        </w:tc>
        <w:tc>
          <w:tcPr>
            <w:tcW w:w="832" w:type="pct"/>
            <w:vAlign w:val="center"/>
          </w:tcPr>
          <w:p>
            <w:pPr>
              <w:spacing w:line="240" w:lineRule="auto"/>
              <w:ind w:firstLine="0" w:firstLineChars="0"/>
              <w:jc w:val="center"/>
              <w:rPr>
                <w:bCs/>
                <w:sz w:val="21"/>
              </w:rPr>
            </w:pPr>
            <w:r>
              <w:rPr>
                <w:rFonts w:hint="eastAsia"/>
                <w:bCs/>
                <w:sz w:val="21"/>
              </w:rPr>
              <w:t>1</w:t>
            </w:r>
          </w:p>
        </w:tc>
        <w:tc>
          <w:tcPr>
            <w:tcW w:w="830" w:type="pct"/>
            <w:vAlign w:val="center"/>
          </w:tcPr>
          <w:p>
            <w:pPr>
              <w:spacing w:line="240" w:lineRule="auto"/>
              <w:ind w:firstLine="0" w:firstLineChars="0"/>
              <w:jc w:val="center"/>
              <w:rPr>
                <w:bCs/>
                <w:sz w:val="21"/>
              </w:rPr>
            </w:pPr>
            <w:r>
              <w:rPr>
                <w:rFonts w:hint="eastAsia"/>
                <w:bCs/>
                <w:sz w:val="21"/>
              </w:rPr>
              <w:t>1</w:t>
            </w:r>
          </w:p>
        </w:tc>
        <w:tc>
          <w:tcPr>
            <w:tcW w:w="1002" w:type="pct"/>
            <w:vAlign w:val="center"/>
          </w:tcPr>
          <w:p>
            <w:pPr>
              <w:spacing w:line="240" w:lineRule="auto"/>
              <w:ind w:firstLine="0" w:firstLineChars="0"/>
              <w:jc w:val="center"/>
              <w:rPr>
                <w:bCs/>
                <w:sz w:val="21"/>
              </w:rPr>
            </w:pPr>
            <w:r>
              <w:rPr>
                <w:rFonts w:hint="eastAsia"/>
                <w:bCs/>
                <w:sz w:val="21"/>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bCs/>
                <w:sz w:val="21"/>
              </w:rPr>
            </w:pPr>
            <w:r>
              <w:rPr>
                <w:rFonts w:hint="eastAsia"/>
                <w:bCs/>
                <w:sz w:val="21"/>
              </w:rPr>
              <w:t>3</w:t>
            </w:r>
          </w:p>
        </w:tc>
        <w:tc>
          <w:tcPr>
            <w:tcW w:w="499" w:type="pct"/>
            <w:vAlign w:val="center"/>
          </w:tcPr>
          <w:p>
            <w:pPr>
              <w:spacing w:line="240" w:lineRule="auto"/>
              <w:ind w:firstLine="0" w:firstLineChars="0"/>
              <w:jc w:val="center"/>
              <w:rPr>
                <w:sz w:val="21"/>
              </w:rPr>
            </w:pPr>
            <w:r>
              <w:rPr>
                <w:rFonts w:hint="eastAsia"/>
                <w:sz w:val="21"/>
              </w:rPr>
              <w:t>环境空气</w:t>
            </w:r>
          </w:p>
        </w:tc>
        <w:tc>
          <w:tcPr>
            <w:tcW w:w="1047" w:type="pct"/>
            <w:vAlign w:val="center"/>
          </w:tcPr>
          <w:p>
            <w:pPr>
              <w:spacing w:line="240" w:lineRule="auto"/>
              <w:ind w:firstLine="0" w:firstLineChars="0"/>
              <w:jc w:val="center"/>
              <w:rPr>
                <w:bCs/>
                <w:sz w:val="21"/>
              </w:rPr>
            </w:pPr>
            <w:r>
              <w:rPr>
                <w:rFonts w:hint="eastAsia"/>
                <w:sz w:val="21"/>
              </w:rPr>
              <w:t>敏感点个数（村）</w:t>
            </w:r>
          </w:p>
        </w:tc>
        <w:tc>
          <w:tcPr>
            <w:tcW w:w="416" w:type="pct"/>
            <w:vAlign w:val="center"/>
          </w:tcPr>
          <w:p>
            <w:pPr>
              <w:spacing w:line="240" w:lineRule="auto"/>
              <w:ind w:firstLine="0" w:firstLineChars="0"/>
              <w:jc w:val="center"/>
              <w:rPr>
                <w:bCs/>
                <w:sz w:val="21"/>
              </w:rPr>
            </w:pPr>
            <w:r>
              <w:rPr>
                <w:rFonts w:hint="eastAsia"/>
                <w:bCs/>
                <w:sz w:val="21"/>
              </w:rPr>
              <w:t>个</w:t>
            </w:r>
          </w:p>
        </w:tc>
        <w:tc>
          <w:tcPr>
            <w:tcW w:w="832" w:type="pct"/>
            <w:vAlign w:val="center"/>
          </w:tcPr>
          <w:p>
            <w:pPr>
              <w:spacing w:line="240" w:lineRule="auto"/>
              <w:ind w:firstLine="0" w:firstLineChars="0"/>
              <w:jc w:val="center"/>
              <w:rPr>
                <w:bCs/>
                <w:sz w:val="21"/>
              </w:rPr>
            </w:pPr>
            <w:r>
              <w:rPr>
                <w:rFonts w:hint="eastAsia"/>
                <w:bCs/>
                <w:sz w:val="21"/>
              </w:rPr>
              <w:t>4</w:t>
            </w:r>
          </w:p>
        </w:tc>
        <w:tc>
          <w:tcPr>
            <w:tcW w:w="830" w:type="pct"/>
            <w:vAlign w:val="center"/>
          </w:tcPr>
          <w:p>
            <w:pPr>
              <w:spacing w:line="240" w:lineRule="auto"/>
              <w:ind w:firstLine="0" w:firstLineChars="0"/>
              <w:jc w:val="center"/>
              <w:rPr>
                <w:bCs/>
                <w:sz w:val="21"/>
              </w:rPr>
            </w:pPr>
            <w:r>
              <w:rPr>
                <w:rFonts w:hint="eastAsia"/>
                <w:bCs/>
                <w:sz w:val="21"/>
              </w:rPr>
              <w:t>4</w:t>
            </w:r>
          </w:p>
        </w:tc>
        <w:tc>
          <w:tcPr>
            <w:tcW w:w="1002" w:type="pct"/>
            <w:vAlign w:val="center"/>
          </w:tcPr>
          <w:p>
            <w:pPr>
              <w:spacing w:line="240" w:lineRule="auto"/>
              <w:ind w:firstLine="0" w:firstLineChars="0"/>
              <w:jc w:val="center"/>
              <w:rPr>
                <w:bCs/>
                <w:sz w:val="21"/>
              </w:rPr>
            </w:pPr>
            <w:r>
              <w:rPr>
                <w:rFonts w:hint="eastAsia"/>
                <w:bCs/>
                <w:sz w:val="21"/>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bCs/>
                <w:sz w:val="21"/>
              </w:rPr>
            </w:pPr>
            <w:r>
              <w:rPr>
                <w:rFonts w:hint="eastAsia"/>
                <w:bCs/>
                <w:sz w:val="21"/>
              </w:rPr>
              <w:t>4</w:t>
            </w:r>
          </w:p>
        </w:tc>
        <w:tc>
          <w:tcPr>
            <w:tcW w:w="499" w:type="pct"/>
            <w:vAlign w:val="center"/>
          </w:tcPr>
          <w:p>
            <w:pPr>
              <w:spacing w:line="240" w:lineRule="auto"/>
              <w:ind w:firstLine="0" w:firstLineChars="0"/>
              <w:jc w:val="center"/>
              <w:rPr>
                <w:sz w:val="21"/>
              </w:rPr>
            </w:pPr>
            <w:r>
              <w:rPr>
                <w:rFonts w:hint="eastAsia"/>
                <w:sz w:val="21"/>
              </w:rPr>
              <w:t>声环境</w:t>
            </w:r>
          </w:p>
        </w:tc>
        <w:tc>
          <w:tcPr>
            <w:tcW w:w="1047" w:type="pct"/>
            <w:vAlign w:val="center"/>
          </w:tcPr>
          <w:p>
            <w:pPr>
              <w:spacing w:line="240" w:lineRule="auto"/>
              <w:ind w:firstLine="0" w:firstLineChars="0"/>
              <w:jc w:val="center"/>
              <w:rPr>
                <w:bCs/>
                <w:sz w:val="21"/>
              </w:rPr>
            </w:pPr>
            <w:r>
              <w:rPr>
                <w:rFonts w:hint="eastAsia"/>
                <w:sz w:val="21"/>
              </w:rPr>
              <w:t>声环境敏感点个数（村）</w:t>
            </w:r>
          </w:p>
        </w:tc>
        <w:tc>
          <w:tcPr>
            <w:tcW w:w="416" w:type="pct"/>
            <w:vAlign w:val="center"/>
          </w:tcPr>
          <w:p>
            <w:pPr>
              <w:spacing w:line="240" w:lineRule="auto"/>
              <w:ind w:firstLine="0" w:firstLineChars="0"/>
              <w:jc w:val="center"/>
              <w:rPr>
                <w:bCs/>
                <w:sz w:val="21"/>
              </w:rPr>
            </w:pPr>
            <w:r>
              <w:rPr>
                <w:rFonts w:hint="eastAsia"/>
                <w:bCs/>
                <w:sz w:val="21"/>
              </w:rPr>
              <w:t>个</w:t>
            </w:r>
          </w:p>
        </w:tc>
        <w:tc>
          <w:tcPr>
            <w:tcW w:w="832" w:type="pct"/>
            <w:vAlign w:val="center"/>
          </w:tcPr>
          <w:p>
            <w:pPr>
              <w:spacing w:line="240" w:lineRule="auto"/>
              <w:ind w:firstLine="0" w:firstLineChars="0"/>
              <w:jc w:val="center"/>
              <w:rPr>
                <w:bCs/>
                <w:sz w:val="21"/>
              </w:rPr>
            </w:pPr>
            <w:r>
              <w:rPr>
                <w:rFonts w:hint="eastAsia"/>
                <w:bCs/>
                <w:sz w:val="21"/>
              </w:rPr>
              <w:t>4</w:t>
            </w:r>
          </w:p>
        </w:tc>
        <w:tc>
          <w:tcPr>
            <w:tcW w:w="830" w:type="pct"/>
            <w:vAlign w:val="center"/>
          </w:tcPr>
          <w:p>
            <w:pPr>
              <w:spacing w:line="240" w:lineRule="auto"/>
              <w:ind w:firstLine="0" w:firstLineChars="0"/>
              <w:jc w:val="center"/>
              <w:rPr>
                <w:bCs/>
                <w:sz w:val="21"/>
              </w:rPr>
            </w:pPr>
            <w:r>
              <w:rPr>
                <w:rFonts w:hint="eastAsia"/>
                <w:bCs/>
                <w:sz w:val="21"/>
              </w:rPr>
              <w:t>3</w:t>
            </w:r>
          </w:p>
        </w:tc>
        <w:tc>
          <w:tcPr>
            <w:tcW w:w="1002" w:type="pct"/>
            <w:vAlign w:val="center"/>
          </w:tcPr>
          <w:p>
            <w:pPr>
              <w:spacing w:line="240" w:lineRule="auto"/>
              <w:ind w:firstLine="0" w:firstLineChars="0"/>
              <w:jc w:val="center"/>
              <w:rPr>
                <w:bCs/>
                <w:sz w:val="21"/>
              </w:rPr>
            </w:pPr>
            <w:r>
              <w:rPr>
                <w:rFonts w:hint="eastAsia"/>
                <w:bCs/>
                <w:sz w:val="21"/>
              </w:rPr>
              <w:t>方案B占优势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74" w:type="pct"/>
            <w:vAlign w:val="center"/>
          </w:tcPr>
          <w:p>
            <w:pPr>
              <w:spacing w:line="240" w:lineRule="auto"/>
              <w:ind w:firstLine="0" w:firstLineChars="0"/>
              <w:jc w:val="center"/>
              <w:rPr>
                <w:bCs/>
                <w:sz w:val="21"/>
              </w:rPr>
            </w:pPr>
            <w:r>
              <w:rPr>
                <w:rFonts w:hint="eastAsia"/>
                <w:bCs/>
                <w:sz w:val="21"/>
              </w:rPr>
              <w:t>5</w:t>
            </w:r>
          </w:p>
        </w:tc>
        <w:tc>
          <w:tcPr>
            <w:tcW w:w="499" w:type="pct"/>
            <w:vAlign w:val="center"/>
          </w:tcPr>
          <w:p>
            <w:pPr>
              <w:spacing w:line="240" w:lineRule="auto"/>
              <w:ind w:firstLine="0" w:firstLineChars="0"/>
              <w:jc w:val="center"/>
              <w:rPr>
                <w:sz w:val="21"/>
              </w:rPr>
            </w:pPr>
            <w:r>
              <w:rPr>
                <w:rFonts w:hint="eastAsia"/>
                <w:sz w:val="21"/>
              </w:rPr>
              <w:t>遵化市堡子店水源地穿越情况</w:t>
            </w:r>
          </w:p>
        </w:tc>
        <w:tc>
          <w:tcPr>
            <w:tcW w:w="1047" w:type="pct"/>
            <w:vAlign w:val="center"/>
          </w:tcPr>
          <w:p>
            <w:pPr>
              <w:spacing w:line="240" w:lineRule="auto"/>
              <w:ind w:firstLine="0" w:firstLineChars="0"/>
              <w:jc w:val="center"/>
              <w:rPr>
                <w:sz w:val="21"/>
              </w:rPr>
            </w:pPr>
            <w:r>
              <w:rPr>
                <w:rFonts w:hint="eastAsia"/>
                <w:sz w:val="21"/>
              </w:rPr>
              <w:t>穿越距离</w:t>
            </w:r>
          </w:p>
        </w:tc>
        <w:tc>
          <w:tcPr>
            <w:tcW w:w="416" w:type="pct"/>
            <w:vAlign w:val="center"/>
          </w:tcPr>
          <w:p>
            <w:pPr>
              <w:spacing w:line="240" w:lineRule="auto"/>
              <w:ind w:firstLine="0" w:firstLineChars="0"/>
              <w:jc w:val="center"/>
              <w:rPr>
                <w:bCs/>
                <w:sz w:val="21"/>
              </w:rPr>
            </w:pPr>
            <w:r>
              <w:rPr>
                <w:rFonts w:hint="eastAsia"/>
                <w:sz w:val="21"/>
              </w:rPr>
              <w:t>k</w:t>
            </w:r>
            <w:r>
              <w:rPr>
                <w:sz w:val="21"/>
              </w:rPr>
              <w:t>m</w:t>
            </w:r>
          </w:p>
        </w:tc>
        <w:tc>
          <w:tcPr>
            <w:tcW w:w="832" w:type="pct"/>
            <w:vAlign w:val="center"/>
          </w:tcPr>
          <w:p>
            <w:pPr>
              <w:spacing w:line="240" w:lineRule="auto"/>
              <w:ind w:firstLine="0" w:firstLineChars="0"/>
              <w:jc w:val="center"/>
              <w:rPr>
                <w:sz w:val="21"/>
              </w:rPr>
            </w:pPr>
            <w:r>
              <w:rPr>
                <w:sz w:val="21"/>
              </w:rPr>
              <w:t>3.19</w:t>
            </w:r>
          </w:p>
        </w:tc>
        <w:tc>
          <w:tcPr>
            <w:tcW w:w="830" w:type="pct"/>
            <w:vAlign w:val="center"/>
          </w:tcPr>
          <w:p>
            <w:pPr>
              <w:spacing w:line="240" w:lineRule="auto"/>
              <w:ind w:firstLine="0" w:firstLineChars="0"/>
              <w:jc w:val="center"/>
              <w:rPr>
                <w:bCs/>
                <w:sz w:val="21"/>
              </w:rPr>
            </w:pPr>
            <w:r>
              <w:rPr>
                <w:rFonts w:hint="eastAsia"/>
                <w:sz w:val="21"/>
              </w:rPr>
              <w:t>3</w:t>
            </w:r>
            <w:r>
              <w:rPr>
                <w:sz w:val="21"/>
              </w:rPr>
              <w:t>.20</w:t>
            </w:r>
          </w:p>
        </w:tc>
        <w:tc>
          <w:tcPr>
            <w:tcW w:w="1002" w:type="pct"/>
            <w:vAlign w:val="center"/>
          </w:tcPr>
          <w:p>
            <w:pPr>
              <w:spacing w:line="240" w:lineRule="auto"/>
              <w:ind w:firstLine="0" w:firstLineChars="0"/>
              <w:jc w:val="center"/>
              <w:rPr>
                <w:bCs/>
                <w:sz w:val="21"/>
              </w:rPr>
            </w:pPr>
            <w:r>
              <w:rPr>
                <w:rFonts w:hint="eastAsia"/>
                <w:sz w:val="21"/>
              </w:rPr>
              <w:t>方案K占优势</w:t>
            </w:r>
          </w:p>
        </w:tc>
      </w:tr>
    </w:tbl>
    <w:p>
      <w:pPr>
        <w:ind w:firstLine="480"/>
        <w:rPr>
          <w:szCs w:val="24"/>
          <w:highlight w:val="yellow"/>
        </w:rPr>
      </w:pPr>
      <w:r>
        <w:rPr>
          <w:szCs w:val="24"/>
        </w:rPr>
        <w:t>经综合比较：</w:t>
      </w:r>
      <w:r>
        <w:rPr>
          <w:rFonts w:hint="eastAsia"/>
          <w:szCs w:val="24"/>
        </w:rPr>
        <w:t>K线路符合道路规划，其土地占用量少，基本农田占用量也少，同时K线路的拆迁量很少，大大降低对生态环境破坏，同时，本项目方案</w:t>
      </w:r>
      <w:r>
        <w:rPr>
          <w:szCs w:val="24"/>
        </w:rPr>
        <w:t>B</w:t>
      </w:r>
      <w:r>
        <w:rPr>
          <w:rFonts w:hint="eastAsia"/>
          <w:szCs w:val="24"/>
        </w:rPr>
        <w:t>和方案K对比路段，均有部分道路穿越遵化市堡子店水源地的二级保护区和准保护区，其中方案</w:t>
      </w:r>
      <w:r>
        <w:rPr>
          <w:szCs w:val="24"/>
        </w:rPr>
        <w:t>B</w:t>
      </w:r>
      <w:r>
        <w:rPr>
          <w:rFonts w:hint="eastAsia"/>
          <w:szCs w:val="24"/>
        </w:rPr>
        <w:t>穿越距离为</w:t>
      </w:r>
      <w:r>
        <w:rPr>
          <w:szCs w:val="24"/>
        </w:rPr>
        <w:t>3.20</w:t>
      </w:r>
      <w:r>
        <w:rPr>
          <w:rFonts w:hint="eastAsia"/>
          <w:szCs w:val="24"/>
        </w:rPr>
        <w:t>km（其中</w:t>
      </w:r>
      <w:r>
        <w:rPr>
          <w:rFonts w:hint="eastAsia"/>
        </w:rPr>
        <w:t>二级水源地穿越1</w:t>
      </w:r>
      <w:r>
        <w:t>.7</w:t>
      </w:r>
      <w:r>
        <w:rPr>
          <w:rFonts w:hint="eastAsia"/>
        </w:rPr>
        <w:t>km，准保护区穿越1</w:t>
      </w:r>
      <w:r>
        <w:t>.5</w:t>
      </w:r>
      <w:r>
        <w:rPr>
          <w:rFonts w:hint="eastAsia"/>
        </w:rPr>
        <w:t>km</w:t>
      </w:r>
      <w:r>
        <w:rPr>
          <w:rFonts w:hint="eastAsia"/>
          <w:szCs w:val="24"/>
        </w:rPr>
        <w:t>），方案K穿越距离为</w:t>
      </w:r>
      <w:r>
        <w:rPr>
          <w:szCs w:val="24"/>
        </w:rPr>
        <w:t>3.19</w:t>
      </w:r>
      <w:r>
        <w:rPr>
          <w:rFonts w:hint="eastAsia"/>
          <w:szCs w:val="24"/>
        </w:rPr>
        <w:t>km（其中</w:t>
      </w:r>
      <w:r>
        <w:rPr>
          <w:rFonts w:hint="eastAsia"/>
        </w:rPr>
        <w:t>二级水源地穿越</w:t>
      </w:r>
      <w:r>
        <w:t>1.9</w:t>
      </w:r>
      <w:r>
        <w:rPr>
          <w:rFonts w:hint="eastAsia"/>
        </w:rPr>
        <w:t>km，准保护区穿越</w:t>
      </w:r>
      <w:r>
        <w:t>1.29</w:t>
      </w:r>
      <w:r>
        <w:rPr>
          <w:rFonts w:hint="eastAsia"/>
        </w:rPr>
        <w:t>km</w:t>
      </w:r>
      <w:r>
        <w:rPr>
          <w:rFonts w:hint="eastAsia"/>
          <w:szCs w:val="24"/>
        </w:rPr>
        <w:t>），两条线路跨越长度相近，方案K总跨越距离稍微短一点，施工期通过加强管理，禁止车辆长时间在水源地内停留，运营期通过加强过往车辆的监管、减速、路边防护等措施，不会对区域水源地产生影响。</w:t>
      </w:r>
      <w:r>
        <w:rPr>
          <w:szCs w:val="24"/>
        </w:rPr>
        <w:t>因此，拟定</w:t>
      </w:r>
      <w:r>
        <w:rPr>
          <w:rFonts w:hint="eastAsia"/>
          <w:szCs w:val="24"/>
        </w:rPr>
        <w:t>K</w:t>
      </w:r>
      <w:r>
        <w:rPr>
          <w:szCs w:val="24"/>
        </w:rPr>
        <w:t>线方案为推荐方案</w:t>
      </w:r>
      <w:r>
        <w:rPr>
          <w:rFonts w:hint="eastAsia"/>
          <w:szCs w:val="24"/>
        </w:rPr>
        <w:t>。</w:t>
      </w:r>
    </w:p>
    <w:p>
      <w:pPr>
        <w:pStyle w:val="5"/>
        <w:spacing w:beforeLines="0" w:afterLines="0"/>
      </w:pPr>
      <w:bookmarkStart w:id="77" w:name="_Toc141284059"/>
      <w:r>
        <w:t>3.</w:t>
      </w:r>
      <w:bookmarkEnd w:id="75"/>
      <w:r>
        <w:rPr>
          <w:rFonts w:hint="eastAsia"/>
        </w:rPr>
        <w:t>4</w:t>
      </w:r>
      <w:r>
        <w:t>主要工程概况</w:t>
      </w:r>
      <w:bookmarkEnd w:id="76"/>
      <w:bookmarkEnd w:id="77"/>
    </w:p>
    <w:p>
      <w:pPr>
        <w:pStyle w:val="204"/>
        <w:spacing w:line="480" w:lineRule="exact"/>
        <w:ind w:firstLine="0" w:firstLineChars="0"/>
        <w:outlineLvl w:val="2"/>
        <w:rPr>
          <w:b/>
          <w:sz w:val="28"/>
          <w:szCs w:val="28"/>
        </w:rPr>
      </w:pPr>
      <w:r>
        <w:rPr>
          <w:b/>
          <w:sz w:val="28"/>
          <w:szCs w:val="28"/>
        </w:rPr>
        <w:t>3.</w:t>
      </w:r>
      <w:r>
        <w:rPr>
          <w:rFonts w:hint="eastAsia"/>
          <w:b/>
          <w:sz w:val="28"/>
          <w:szCs w:val="28"/>
        </w:rPr>
        <w:t>4</w:t>
      </w:r>
      <w:r>
        <w:rPr>
          <w:b/>
          <w:sz w:val="28"/>
          <w:szCs w:val="28"/>
        </w:rPr>
        <w:t>.1路基工程</w:t>
      </w:r>
    </w:p>
    <w:p>
      <w:pPr>
        <w:ind w:firstLine="480"/>
        <w:rPr>
          <w:bCs/>
          <w:szCs w:val="24"/>
        </w:rPr>
      </w:pPr>
      <w:r>
        <w:rPr>
          <w:bCs/>
          <w:szCs w:val="24"/>
        </w:rPr>
        <w:t>路基设计遵循因地制宜、安全经济、造型美观、顺应自然、与沿线环境景观相协调的原则，合理采取经济有效的排水及防护措施，尽量减少工程投资，防治路基病害和保证路基的稳定性和耐久性，重视水土保持综合治理措施。</w:t>
      </w:r>
    </w:p>
    <w:p>
      <w:pPr>
        <w:ind w:firstLine="480"/>
        <w:rPr>
          <w:bCs/>
          <w:szCs w:val="24"/>
        </w:rPr>
      </w:pPr>
      <w:r>
        <w:rPr>
          <w:rFonts w:hint="eastAsia"/>
          <w:bCs/>
          <w:szCs w:val="24"/>
        </w:rPr>
        <w:t>（1）</w:t>
      </w:r>
      <w:r>
        <w:rPr>
          <w:bCs/>
          <w:szCs w:val="24"/>
        </w:rPr>
        <w:t>路基横断面</w:t>
      </w:r>
    </w:p>
    <w:p>
      <w:pPr>
        <w:ind w:firstLine="480"/>
        <w:rPr>
          <w:szCs w:val="24"/>
        </w:rPr>
      </w:pPr>
      <w:r>
        <w:rPr>
          <w:szCs w:val="24"/>
        </w:rPr>
        <w:t>根据《公路工程技术标准》（JTGB01-2014)中的相关规定，结合本项目在路网中的功能定位，</w:t>
      </w:r>
      <w:r>
        <w:rPr>
          <w:rFonts w:hint="eastAsia"/>
          <w:szCs w:val="24"/>
        </w:rPr>
        <w:t>项目新建路段（K7+774.608～K17+999.500），路基宽25.5m，路基横断面布置为0.75m</w:t>
      </w:r>
      <w:r>
        <w:rPr>
          <w:szCs w:val="24"/>
        </w:rPr>
        <w:t>土路肩</w:t>
      </w:r>
      <w:r>
        <w:rPr>
          <w:rFonts w:hint="eastAsia"/>
          <w:szCs w:val="24"/>
        </w:rPr>
        <w:t>+3.0m硬路肩+2×3.75m行车道+3.0m中间带+2×3.75m行车道+3.0m硬路肩+0.75m</w:t>
      </w:r>
      <w:r>
        <w:rPr>
          <w:szCs w:val="24"/>
        </w:rPr>
        <w:t>土路肩</w:t>
      </w:r>
      <w:r>
        <w:rPr>
          <w:rFonts w:hint="eastAsia"/>
          <w:szCs w:val="24"/>
        </w:rPr>
        <w:t>。</w:t>
      </w:r>
    </w:p>
    <w:p>
      <w:pPr>
        <w:ind w:firstLine="480"/>
        <w:rPr>
          <w:szCs w:val="24"/>
        </w:rPr>
      </w:pPr>
      <w:r>
        <w:rPr>
          <w:szCs w:val="24"/>
        </w:rPr>
        <w:t>路拱横坡：行车道、路缘带及硬路肩采用2%，土路肩采用3%。</w:t>
      </w:r>
    </w:p>
    <w:p>
      <w:pPr>
        <w:spacing w:line="240" w:lineRule="auto"/>
        <w:ind w:firstLine="0" w:firstLineChars="0"/>
        <w:jc w:val="center"/>
        <w:rPr>
          <w:bCs/>
          <w:szCs w:val="24"/>
          <w:highlight w:val="yellow"/>
        </w:rPr>
      </w:pPr>
      <w:r>
        <w:drawing>
          <wp:inline distT="0" distB="0" distL="0" distR="0">
            <wp:extent cx="5613400" cy="2544445"/>
            <wp:effectExtent l="19050" t="0" r="6350" b="0"/>
            <wp:docPr id="71" name="图片 108" descr="C:\Users\Administrator\Desktop\新建文件夹\桌面8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8" descr="C:\Users\Administrator\Desktop\新建文件夹\桌面8_08.jpg"/>
                    <pic:cNvPicPr>
                      <a:picLocks noChangeAspect="1" noChangeArrowheads="1"/>
                    </pic:cNvPicPr>
                  </pic:nvPicPr>
                  <pic:blipFill>
                    <a:blip r:embed="rId67" cstate="print"/>
                    <a:srcRect l="6781" t="21188" r="4710" b="22043"/>
                    <a:stretch>
                      <a:fillRect/>
                    </a:stretch>
                  </pic:blipFill>
                  <pic:spPr>
                    <a:xfrm>
                      <a:off x="0" y="0"/>
                      <a:ext cx="5613400" cy="2544445"/>
                    </a:xfrm>
                    <a:prstGeom prst="rect">
                      <a:avLst/>
                    </a:prstGeom>
                    <a:noFill/>
                    <a:ln w="9525" algn="ctr">
                      <a:noFill/>
                      <a:miter lim="800000"/>
                      <a:headEnd/>
                      <a:tailEnd/>
                    </a:ln>
                  </pic:spPr>
                </pic:pic>
              </a:graphicData>
            </a:graphic>
          </wp:inline>
        </w:drawing>
      </w:r>
    </w:p>
    <w:p>
      <w:pPr>
        <w:adjustRightInd w:val="0"/>
        <w:snapToGrid w:val="0"/>
        <w:ind w:firstLine="0" w:firstLineChars="0"/>
        <w:jc w:val="center"/>
        <w:rPr>
          <w:b/>
          <w:sz w:val="21"/>
        </w:rPr>
      </w:pPr>
      <w:r>
        <w:rPr>
          <w:b/>
          <w:sz w:val="21"/>
        </w:rPr>
        <w:t>图</w:t>
      </w:r>
      <w:r>
        <w:rPr>
          <w:rFonts w:hint="eastAsia"/>
          <w:b/>
          <w:sz w:val="21"/>
        </w:rPr>
        <w:t>3.4-1</w:t>
      </w:r>
      <w:r>
        <w:rPr>
          <w:b/>
          <w:sz w:val="21"/>
        </w:rPr>
        <w:t>路基</w:t>
      </w:r>
      <w:r>
        <w:rPr>
          <w:rFonts w:hint="eastAsia"/>
          <w:b/>
          <w:sz w:val="21"/>
        </w:rPr>
        <w:t>标准横断面</w:t>
      </w:r>
      <w:r>
        <w:rPr>
          <w:b/>
          <w:sz w:val="21"/>
        </w:rPr>
        <w:t>图</w:t>
      </w:r>
    </w:p>
    <w:p>
      <w:pPr>
        <w:ind w:firstLine="480"/>
        <w:rPr>
          <w:bCs/>
          <w:szCs w:val="24"/>
        </w:rPr>
      </w:pPr>
      <w:r>
        <w:rPr>
          <w:bCs/>
          <w:szCs w:val="24"/>
        </w:rPr>
        <w:t>（2）路基边坡</w:t>
      </w:r>
    </w:p>
    <w:p>
      <w:pPr>
        <w:ind w:firstLine="480"/>
        <w:rPr>
          <w:bCs/>
          <w:szCs w:val="24"/>
        </w:rPr>
      </w:pPr>
      <w:r>
        <w:rPr>
          <w:bCs/>
          <w:szCs w:val="24"/>
        </w:rPr>
        <w:t>①一般路段挖方边坡：</w:t>
      </w:r>
      <w:r>
        <w:rPr>
          <w:rFonts w:hint="eastAsia"/>
          <w:bCs/>
          <w:szCs w:val="24"/>
        </w:rPr>
        <w:t>挖方边坡均不高，坡率采用1:1</w:t>
      </w:r>
      <w:r>
        <w:rPr>
          <w:bCs/>
          <w:szCs w:val="24"/>
        </w:rPr>
        <w:t>.25。</w:t>
      </w:r>
    </w:p>
    <w:p>
      <w:pPr>
        <w:ind w:firstLine="480"/>
        <w:rPr>
          <w:bCs/>
          <w:szCs w:val="24"/>
        </w:rPr>
      </w:pPr>
      <w:r>
        <w:rPr>
          <w:bCs/>
          <w:szCs w:val="24"/>
        </w:rPr>
        <w:t>②填方边坡：路堤高度</w:t>
      </w:r>
      <w:r>
        <w:rPr>
          <w:rFonts w:hint="eastAsia"/>
          <w:bCs/>
          <w:szCs w:val="24"/>
        </w:rPr>
        <w:t>均小于8m，坡率</w:t>
      </w:r>
      <w:r>
        <w:rPr>
          <w:bCs/>
          <w:szCs w:val="24"/>
        </w:rPr>
        <w:t>采用1</w:t>
      </w:r>
      <w:r>
        <w:rPr>
          <w:rFonts w:hint="eastAsia"/>
          <w:bCs/>
          <w:szCs w:val="24"/>
        </w:rPr>
        <w:t>:</w:t>
      </w:r>
      <w:r>
        <w:rPr>
          <w:bCs/>
          <w:szCs w:val="24"/>
        </w:rPr>
        <w:t>1.5。</w:t>
      </w:r>
    </w:p>
    <w:p>
      <w:pPr>
        <w:ind w:firstLine="480"/>
        <w:rPr>
          <w:bCs/>
          <w:szCs w:val="24"/>
        </w:rPr>
      </w:pPr>
      <w:r>
        <w:rPr>
          <w:bCs/>
          <w:szCs w:val="24"/>
        </w:rPr>
        <w:t>（3）边坡防护</w:t>
      </w:r>
    </w:p>
    <w:p>
      <w:pPr>
        <w:ind w:firstLine="480"/>
        <w:rPr>
          <w:bCs/>
          <w:szCs w:val="24"/>
        </w:rPr>
      </w:pPr>
      <w:r>
        <w:rPr>
          <w:bCs/>
          <w:szCs w:val="24"/>
        </w:rPr>
        <w:t>按照“安全、耐久、美观、多变、经济”的原则确定路基防护方案。</w:t>
      </w:r>
    </w:p>
    <w:p>
      <w:pPr>
        <w:ind w:firstLine="480"/>
        <w:rPr>
          <w:bCs/>
          <w:szCs w:val="24"/>
        </w:rPr>
      </w:pPr>
      <w:r>
        <w:rPr>
          <w:bCs/>
          <w:szCs w:val="24"/>
        </w:rPr>
        <w:t>①路堑边坡：根据土体（或岩体）类型、边坡高度等因素确定是否防护及采取的防护型式。对于一般路段，当路基高度小于等于3m时，采用草灌结合防护；当填土高度大于3m小于等于</w:t>
      </w:r>
      <w:r>
        <w:rPr>
          <w:rFonts w:hint="eastAsia"/>
          <w:bCs/>
          <w:szCs w:val="24"/>
        </w:rPr>
        <w:t>6</w:t>
      </w:r>
      <w:r>
        <w:rPr>
          <w:bCs/>
          <w:szCs w:val="24"/>
        </w:rPr>
        <w:t>m时，采用</w:t>
      </w:r>
      <w:r>
        <w:rPr>
          <w:rFonts w:hint="eastAsia"/>
          <w:bCs/>
          <w:szCs w:val="24"/>
        </w:rPr>
        <w:t>三维网植草</w:t>
      </w:r>
      <w:r>
        <w:rPr>
          <w:bCs/>
          <w:szCs w:val="24"/>
        </w:rPr>
        <w:t>灌防护</w:t>
      </w:r>
      <w:r>
        <w:rPr>
          <w:rFonts w:hint="eastAsia"/>
          <w:bCs/>
          <w:szCs w:val="24"/>
        </w:rPr>
        <w:t>。</w:t>
      </w:r>
    </w:p>
    <w:p>
      <w:pPr>
        <w:ind w:firstLine="480"/>
        <w:rPr>
          <w:bCs/>
          <w:szCs w:val="24"/>
        </w:rPr>
      </w:pPr>
      <w:r>
        <w:rPr>
          <w:bCs/>
          <w:szCs w:val="24"/>
        </w:rPr>
        <w:t>②路堤边坡：</w:t>
      </w:r>
      <w:r>
        <w:rPr>
          <w:rFonts w:hint="eastAsia"/>
          <w:bCs/>
          <w:szCs w:val="24"/>
        </w:rPr>
        <w:t>本项目</w:t>
      </w:r>
      <w:r>
        <w:rPr>
          <w:bCs/>
          <w:szCs w:val="24"/>
        </w:rPr>
        <w:t>一般路段路基高度</w:t>
      </w:r>
      <w:r>
        <w:rPr>
          <w:rFonts w:hint="eastAsia"/>
          <w:bCs/>
          <w:szCs w:val="24"/>
        </w:rPr>
        <w:t>基本都</w:t>
      </w:r>
      <w:r>
        <w:rPr>
          <w:bCs/>
          <w:szCs w:val="24"/>
        </w:rPr>
        <w:t>小于等于3m，采用草灌结合防护；当填土高度大于3m时，</w:t>
      </w:r>
      <w:r>
        <w:rPr>
          <w:rFonts w:hint="eastAsia"/>
          <w:bCs/>
          <w:szCs w:val="24"/>
        </w:rPr>
        <w:t>一般位于桥头路段，为防止河流冲刷边坡，</w:t>
      </w:r>
      <w:r>
        <w:rPr>
          <w:bCs/>
          <w:szCs w:val="24"/>
        </w:rPr>
        <w:t>采用浆砌片石护坡。</w:t>
      </w:r>
    </w:p>
    <w:p>
      <w:pPr>
        <w:ind w:firstLine="480"/>
        <w:rPr>
          <w:bCs/>
          <w:szCs w:val="24"/>
        </w:rPr>
      </w:pPr>
      <w:r>
        <w:rPr>
          <w:bCs/>
          <w:szCs w:val="24"/>
        </w:rPr>
        <w:t>③对沿河路段，为防止水流冲刷，设计水位+壅水高度+波浪侵袭高度+0.5m安全值高度以下边坡采用浆砌片石护坡或设置浸水挡土墙，其余部分视高度不同分别采用植草</w:t>
      </w:r>
      <w:r>
        <w:rPr>
          <w:rFonts w:hint="eastAsia"/>
          <w:bCs/>
          <w:szCs w:val="24"/>
        </w:rPr>
        <w:t>等</w:t>
      </w:r>
      <w:r>
        <w:rPr>
          <w:bCs/>
          <w:szCs w:val="24"/>
        </w:rPr>
        <w:t>防护</w:t>
      </w:r>
      <w:r>
        <w:rPr>
          <w:rFonts w:hint="eastAsia"/>
          <w:bCs/>
          <w:szCs w:val="24"/>
        </w:rPr>
        <w:t>形式</w:t>
      </w:r>
      <w:r>
        <w:rPr>
          <w:bCs/>
          <w:szCs w:val="24"/>
        </w:rPr>
        <w:t>；对受地形、地质条件限制路基放坡挤占河道、房屋路段，</w:t>
      </w:r>
      <w:r>
        <w:rPr>
          <w:rFonts w:hint="eastAsia"/>
          <w:bCs/>
          <w:szCs w:val="24"/>
        </w:rPr>
        <w:t>设置挡</w:t>
      </w:r>
      <w:r>
        <w:rPr>
          <w:bCs/>
          <w:szCs w:val="24"/>
        </w:rPr>
        <w:t>土</w:t>
      </w:r>
      <w:r>
        <w:rPr>
          <w:rFonts w:hint="eastAsia"/>
          <w:bCs/>
          <w:szCs w:val="24"/>
        </w:rPr>
        <w:t>墙</w:t>
      </w:r>
      <w:r>
        <w:rPr>
          <w:bCs/>
          <w:szCs w:val="24"/>
        </w:rPr>
        <w:t>。</w:t>
      </w:r>
    </w:p>
    <w:p>
      <w:pPr>
        <w:ind w:firstLine="480"/>
        <w:rPr>
          <w:bCs/>
          <w:szCs w:val="24"/>
        </w:rPr>
      </w:pPr>
      <w:r>
        <w:rPr>
          <w:bCs/>
          <w:szCs w:val="24"/>
        </w:rPr>
        <w:t>（4）路基高度</w:t>
      </w:r>
    </w:p>
    <w:p>
      <w:pPr>
        <w:ind w:firstLine="480"/>
        <w:rPr>
          <w:bCs/>
          <w:szCs w:val="24"/>
        </w:rPr>
      </w:pPr>
      <w:r>
        <w:rPr>
          <w:bCs/>
          <w:szCs w:val="24"/>
        </w:rPr>
        <w:t>路基高度的设计，首先应满足《公路工程技术标准》规定的路基高度要求，对于一般公路，应使路基边缘高出路基两侧地面积水高度，同时要考虑地下水、毛细水和冰冻的作用，不致影响路基的强度和稳定性，沿河及受水浸淹的路基设计标高，应高出设计洪水频率1/100的计算水位加雍水高、波浪侵袭高和0.5m的安全高度。同时，公路路基高度还受到交叉构造物净高</w:t>
      </w:r>
      <w:r>
        <w:rPr>
          <w:rFonts w:hint="eastAsia"/>
          <w:bCs/>
          <w:szCs w:val="24"/>
        </w:rPr>
        <w:t>等</w:t>
      </w:r>
      <w:r>
        <w:rPr>
          <w:bCs/>
          <w:szCs w:val="24"/>
        </w:rPr>
        <w:t>要求的限制。在满足以上要求的前提下，路基高度应尽量降低，以减少工程占地，降低工程造价，同时有利于减小路基施工后沉降，防止路基出现病害。</w:t>
      </w:r>
    </w:p>
    <w:p>
      <w:pPr>
        <w:ind w:firstLine="480"/>
        <w:rPr>
          <w:bCs/>
          <w:szCs w:val="24"/>
        </w:rPr>
      </w:pPr>
      <w:r>
        <w:rPr>
          <w:bCs/>
          <w:szCs w:val="24"/>
        </w:rPr>
        <w:t>本项目位于平原区，</w:t>
      </w:r>
      <w:r>
        <w:rPr>
          <w:rFonts w:hint="eastAsia"/>
          <w:bCs/>
          <w:szCs w:val="24"/>
        </w:rPr>
        <w:t>地下水位埋深约2-6米，个别地段埋深15-25米，地质情况较好。</w:t>
      </w:r>
      <w:r>
        <w:rPr>
          <w:bCs/>
          <w:szCs w:val="24"/>
        </w:rPr>
        <w:t>在满足行洪要求的前提下，</w:t>
      </w:r>
      <w:r>
        <w:rPr>
          <w:rFonts w:hint="eastAsia"/>
          <w:bCs/>
          <w:szCs w:val="24"/>
        </w:rPr>
        <w:t>综合考虑工期、造价及景观等因素，路基最高填土高度控制在6.0米以下</w:t>
      </w:r>
      <w:r>
        <w:rPr>
          <w:bCs/>
          <w:szCs w:val="24"/>
        </w:rPr>
        <w:t>。</w:t>
      </w:r>
    </w:p>
    <w:p>
      <w:pPr>
        <w:ind w:firstLine="480"/>
        <w:rPr>
          <w:bCs/>
          <w:szCs w:val="24"/>
        </w:rPr>
      </w:pPr>
      <w:r>
        <w:rPr>
          <w:bCs/>
          <w:szCs w:val="24"/>
        </w:rPr>
        <w:t>（5）不良地质及特殊路基</w:t>
      </w:r>
    </w:p>
    <w:p>
      <w:pPr>
        <w:ind w:firstLine="480"/>
        <w:rPr>
          <w:bCs/>
          <w:szCs w:val="24"/>
        </w:rPr>
      </w:pPr>
      <w:r>
        <w:rPr>
          <w:rFonts w:hint="eastAsia"/>
          <w:bCs/>
          <w:szCs w:val="24"/>
        </w:rPr>
        <w:t>根据现场调查、收集相关资料，项目区不良地质为可液化砂土层，特别是近河渠附近和低洼积水路段，如沿</w:t>
      </w:r>
      <w:r>
        <w:rPr>
          <w:bCs/>
          <w:szCs w:val="24"/>
        </w:rPr>
        <w:t>冷咀头河、</w:t>
      </w:r>
      <w:r>
        <w:rPr>
          <w:rFonts w:hint="eastAsia"/>
          <w:bCs/>
          <w:szCs w:val="24"/>
        </w:rPr>
        <w:t>K10+305清水河大桥两侧各约50m、K11+325跨沙河大桥两侧各约50m、K16+850跨黎河大桥两侧约50m范围内，可能存在第四系全新统饱和砂土及粉土层。项目区特殊性岩土为软弱土，主要分布在路线K</w:t>
      </w:r>
      <w:r>
        <w:rPr>
          <w:bCs/>
          <w:szCs w:val="24"/>
        </w:rPr>
        <w:t>7</w:t>
      </w:r>
      <w:r>
        <w:rPr>
          <w:rFonts w:hint="eastAsia"/>
          <w:bCs/>
          <w:szCs w:val="24"/>
        </w:rPr>
        <w:t>+</w:t>
      </w:r>
      <w:r>
        <w:rPr>
          <w:bCs/>
          <w:szCs w:val="24"/>
        </w:rPr>
        <w:t>8</w:t>
      </w:r>
      <w:r>
        <w:rPr>
          <w:rFonts w:hint="eastAsia"/>
          <w:bCs/>
          <w:szCs w:val="24"/>
        </w:rPr>
        <w:t>00-K1</w:t>
      </w:r>
      <w:r>
        <w:rPr>
          <w:bCs/>
          <w:szCs w:val="24"/>
        </w:rPr>
        <w:t>1</w:t>
      </w:r>
      <w:r>
        <w:rPr>
          <w:rFonts w:hint="eastAsia"/>
          <w:bCs/>
          <w:szCs w:val="24"/>
        </w:rPr>
        <w:t>+</w:t>
      </w:r>
      <w:r>
        <w:rPr>
          <w:bCs/>
          <w:szCs w:val="24"/>
        </w:rPr>
        <w:t>480</w:t>
      </w:r>
      <w:r>
        <w:rPr>
          <w:rFonts w:hint="eastAsia"/>
          <w:bCs/>
          <w:szCs w:val="24"/>
        </w:rPr>
        <w:t>沿河路段低洼积水处，其它路段零星分布于灌溉的水沟及水塘内，如K11+480-K1</w:t>
      </w:r>
      <w:r>
        <w:rPr>
          <w:bCs/>
          <w:szCs w:val="24"/>
        </w:rPr>
        <w:t>2</w:t>
      </w:r>
      <w:r>
        <w:rPr>
          <w:rFonts w:hint="eastAsia"/>
          <w:bCs/>
          <w:szCs w:val="24"/>
        </w:rPr>
        <w:t>+</w:t>
      </w:r>
      <w:r>
        <w:rPr>
          <w:bCs/>
          <w:szCs w:val="24"/>
        </w:rPr>
        <w:t>80</w:t>
      </w:r>
      <w:r>
        <w:rPr>
          <w:rFonts w:hint="eastAsia"/>
          <w:bCs/>
          <w:szCs w:val="24"/>
        </w:rPr>
        <w:t>0段。软弱土厚度一般为0.30-3.00米，具有高压缩性，低承载力等特点，不能满足工程要求，需进行地基处理。综合考虑可液化砂土层、软弱土及项目区地质情况，需要对全线路基段进行基底处理</w:t>
      </w:r>
      <w:r>
        <w:rPr>
          <w:bCs/>
          <w:szCs w:val="24"/>
        </w:rPr>
        <w:t>，采用</w:t>
      </w:r>
      <w:r>
        <w:rPr>
          <w:rFonts w:hint="eastAsia"/>
          <w:bCs/>
          <w:szCs w:val="24"/>
        </w:rPr>
        <w:t>清表并</w:t>
      </w:r>
      <w:r>
        <w:rPr>
          <w:bCs/>
          <w:szCs w:val="24"/>
        </w:rPr>
        <w:t>换填</w:t>
      </w:r>
      <w:r>
        <w:rPr>
          <w:rFonts w:hint="eastAsia"/>
          <w:bCs/>
          <w:szCs w:val="24"/>
        </w:rPr>
        <w:t>山皮石的处理措施</w:t>
      </w:r>
      <w:r>
        <w:rPr>
          <w:bCs/>
          <w:szCs w:val="24"/>
        </w:rPr>
        <w:t>。</w:t>
      </w:r>
    </w:p>
    <w:p>
      <w:pPr>
        <w:ind w:firstLine="480"/>
        <w:rPr>
          <w:bCs/>
          <w:szCs w:val="24"/>
        </w:rPr>
      </w:pPr>
      <w:r>
        <w:rPr>
          <w:bCs/>
          <w:szCs w:val="24"/>
        </w:rPr>
        <w:t>（</w:t>
      </w:r>
      <w:r>
        <w:rPr>
          <w:rFonts w:hint="eastAsia"/>
          <w:bCs/>
          <w:szCs w:val="24"/>
        </w:rPr>
        <w:t>6</w:t>
      </w:r>
      <w:r>
        <w:rPr>
          <w:bCs/>
          <w:szCs w:val="24"/>
        </w:rPr>
        <w:t>）排水</w:t>
      </w:r>
    </w:p>
    <w:p>
      <w:pPr>
        <w:ind w:firstLine="480"/>
        <w:rPr>
          <w:bCs/>
          <w:szCs w:val="24"/>
        </w:rPr>
      </w:pPr>
      <w:r>
        <w:rPr>
          <w:bCs/>
          <w:szCs w:val="24"/>
        </w:rPr>
        <w:t>为确保路基稳定，防止边坡冲蚀，本项目全线范围进行了综合排水设计，路基、路面排水设施均与桥、涵、天然沟渠综合处理，形成完善的排水系统，以排除地表水流。</w:t>
      </w:r>
      <w:r>
        <w:rPr>
          <w:rFonts w:hint="eastAsia"/>
          <w:bCs/>
          <w:szCs w:val="24"/>
        </w:rPr>
        <w:t>另</w:t>
      </w:r>
      <w:r>
        <w:rPr>
          <w:bCs/>
          <w:szCs w:val="24"/>
        </w:rPr>
        <w:t>本项目穿越水源地保护区</w:t>
      </w:r>
      <w:r>
        <w:rPr>
          <w:rFonts w:hint="eastAsia"/>
          <w:bCs/>
          <w:szCs w:val="24"/>
        </w:rPr>
        <w:t>时</w:t>
      </w:r>
      <w:r>
        <w:rPr>
          <w:bCs/>
          <w:szCs w:val="24"/>
        </w:rPr>
        <w:t>，</w:t>
      </w:r>
      <w:r>
        <w:rPr>
          <w:rFonts w:hint="eastAsia"/>
          <w:bCs/>
          <w:szCs w:val="24"/>
        </w:rPr>
        <w:t>应设置</w:t>
      </w:r>
      <w:r>
        <w:rPr>
          <w:bCs/>
          <w:szCs w:val="24"/>
        </w:rPr>
        <w:t>必要的</w:t>
      </w:r>
      <w:r>
        <w:rPr>
          <w:rFonts w:hint="eastAsia"/>
          <w:bCs/>
          <w:szCs w:val="24"/>
        </w:rPr>
        <w:t>保护</w:t>
      </w:r>
      <w:r>
        <w:rPr>
          <w:bCs/>
          <w:szCs w:val="24"/>
        </w:rPr>
        <w:t>措施，</w:t>
      </w:r>
      <w:r>
        <w:rPr>
          <w:rFonts w:hint="eastAsia"/>
          <w:bCs/>
          <w:szCs w:val="24"/>
        </w:rPr>
        <w:t>避免</w:t>
      </w:r>
      <w:r>
        <w:rPr>
          <w:bCs/>
          <w:szCs w:val="24"/>
        </w:rPr>
        <w:t>对水源地</w:t>
      </w:r>
      <w:r>
        <w:rPr>
          <w:rFonts w:hint="eastAsia"/>
          <w:bCs/>
          <w:szCs w:val="24"/>
        </w:rPr>
        <w:t>水质</w:t>
      </w:r>
      <w:r>
        <w:rPr>
          <w:bCs/>
          <w:szCs w:val="24"/>
        </w:rPr>
        <w:t>的污染。</w:t>
      </w:r>
    </w:p>
    <w:p>
      <w:pPr>
        <w:ind w:firstLine="480"/>
        <w:rPr>
          <w:bCs/>
          <w:szCs w:val="24"/>
        </w:rPr>
      </w:pPr>
      <w:r>
        <w:rPr>
          <w:bCs/>
          <w:szCs w:val="24"/>
        </w:rPr>
        <w:t>公路路基排水设施主要采用</w:t>
      </w:r>
      <w:r>
        <w:rPr>
          <w:rFonts w:hint="eastAsia"/>
          <w:bCs/>
          <w:szCs w:val="24"/>
        </w:rPr>
        <w:t>边沟、</w:t>
      </w:r>
      <w:r>
        <w:rPr>
          <w:bCs/>
          <w:szCs w:val="24"/>
        </w:rPr>
        <w:t>排水沟、急流槽等排水设施，与桥涵构造物协调一致，组成有效的排水系统，为了防止集中水流对路基的冲刷，保证路基的安全与稳定，排水工程设施采用加固措施。设计中坚持“远接远送”的原则，注意进出水口的工程处理，各种排水措施紧密衔接。</w:t>
      </w:r>
    </w:p>
    <w:p>
      <w:pPr>
        <w:ind w:firstLine="480"/>
        <w:rPr>
          <w:bCs/>
          <w:szCs w:val="24"/>
        </w:rPr>
      </w:pPr>
      <w:r>
        <w:rPr>
          <w:bCs/>
          <w:szCs w:val="24"/>
        </w:rPr>
        <w:t>①</w:t>
      </w:r>
      <w:r>
        <w:rPr>
          <w:rFonts w:hint="eastAsia"/>
          <w:bCs/>
          <w:szCs w:val="24"/>
        </w:rPr>
        <w:t>材料对比</w:t>
      </w:r>
    </w:p>
    <w:p>
      <w:pPr>
        <w:ind w:firstLine="480"/>
        <w:rPr>
          <w:bCs/>
          <w:szCs w:val="24"/>
        </w:rPr>
      </w:pPr>
      <w:r>
        <w:rPr>
          <w:rFonts w:hint="eastAsia"/>
          <w:bCs/>
          <w:szCs w:val="24"/>
        </w:rPr>
        <w:t xml:space="preserve">浆砌片石排水设施：项目区石料较为丰富，采用浆砌片石能够就地取材，具有耐久性好，排水效果好，施工简单，造价较低等优点；同时，浆砌片石存在圬工量较大，景观效果差的缺点。 </w:t>
      </w:r>
    </w:p>
    <w:p>
      <w:pPr>
        <w:ind w:firstLine="480"/>
        <w:rPr>
          <w:bCs/>
          <w:szCs w:val="24"/>
        </w:rPr>
      </w:pPr>
      <w:r>
        <w:rPr>
          <w:rFonts w:hint="eastAsia"/>
          <w:bCs/>
          <w:szCs w:val="24"/>
        </w:rPr>
        <w:t>现浇混凝土排水设施：具有排水效果好，施工方便，质量便于控制，圬工量较少等优点；但是现浇混凝土耐久性不如浆砌片石，并且工程造价较高，景观效果较差。</w:t>
      </w:r>
    </w:p>
    <w:p>
      <w:pPr>
        <w:ind w:firstLine="480"/>
        <w:rPr>
          <w:bCs/>
          <w:szCs w:val="24"/>
        </w:rPr>
      </w:pPr>
      <w:r>
        <w:rPr>
          <w:rFonts w:hint="eastAsia"/>
          <w:bCs/>
          <w:szCs w:val="24"/>
        </w:rPr>
        <w:t>经对比，本项目采用浆砌片石排水设施。</w:t>
      </w:r>
    </w:p>
    <w:p>
      <w:pPr>
        <w:ind w:firstLine="480"/>
        <w:rPr>
          <w:bCs/>
          <w:szCs w:val="24"/>
        </w:rPr>
      </w:pPr>
      <w:r>
        <w:rPr>
          <w:bCs/>
          <w:szCs w:val="24"/>
        </w:rPr>
        <w:t>②路面排水</w:t>
      </w:r>
    </w:p>
    <w:p>
      <w:pPr>
        <w:ind w:firstLine="480"/>
        <w:rPr>
          <w:bCs/>
          <w:szCs w:val="24"/>
        </w:rPr>
      </w:pPr>
      <w:r>
        <w:rPr>
          <w:rFonts w:hint="eastAsia"/>
          <w:bCs/>
          <w:szCs w:val="24"/>
        </w:rPr>
        <w:t>本项目填高较低</w:t>
      </w:r>
      <w:r>
        <w:rPr>
          <w:bCs/>
          <w:szCs w:val="24"/>
        </w:rPr>
        <w:t>，路面</w:t>
      </w:r>
      <w:r>
        <w:rPr>
          <w:rFonts w:hint="eastAsia"/>
          <w:bCs/>
          <w:szCs w:val="24"/>
        </w:rPr>
        <w:t>排水采用散排</w:t>
      </w:r>
      <w:r>
        <w:rPr>
          <w:bCs/>
          <w:szCs w:val="24"/>
        </w:rPr>
        <w:t>。</w:t>
      </w:r>
      <w:r>
        <w:rPr>
          <w:rFonts w:hint="eastAsia"/>
          <w:bCs/>
          <w:szCs w:val="24"/>
        </w:rPr>
        <w:t>中央分隔带排水，通过设置中分带纵向排水渗沟与横向排水管排水，横向排水管排水出水口接边坡急流槽，然后汇入路堤边沟中。</w:t>
      </w:r>
    </w:p>
    <w:p>
      <w:pPr>
        <w:ind w:firstLine="480"/>
        <w:rPr>
          <w:bCs/>
          <w:szCs w:val="24"/>
        </w:rPr>
      </w:pPr>
      <w:r>
        <w:rPr>
          <w:rFonts w:hint="eastAsia"/>
          <w:bCs/>
          <w:szCs w:val="24"/>
        </w:rPr>
        <w:t>③</w:t>
      </w:r>
      <w:r>
        <w:rPr>
          <w:bCs/>
          <w:szCs w:val="24"/>
        </w:rPr>
        <w:t>路基排水</w:t>
      </w:r>
    </w:p>
    <w:p>
      <w:pPr>
        <w:ind w:firstLine="480"/>
        <w:rPr>
          <w:bCs/>
          <w:szCs w:val="24"/>
        </w:rPr>
      </w:pPr>
      <w:r>
        <w:rPr>
          <w:rFonts w:hint="eastAsia"/>
          <w:bCs/>
          <w:szCs w:val="24"/>
        </w:rPr>
        <w:t>填方路基段采用100×100cm浆砌片石梯形边沟</w:t>
      </w:r>
      <w:r>
        <w:rPr>
          <w:bCs/>
          <w:szCs w:val="24"/>
        </w:rPr>
        <w:t>。</w:t>
      </w:r>
    </w:p>
    <w:p>
      <w:pPr>
        <w:ind w:firstLine="480"/>
        <w:rPr>
          <w:bCs/>
          <w:szCs w:val="24"/>
        </w:rPr>
      </w:pPr>
      <w:r>
        <w:rPr>
          <w:rFonts w:hint="eastAsia"/>
          <w:bCs/>
          <w:szCs w:val="24"/>
        </w:rPr>
        <w:t>挖方路基段采用60×60cm矩型边沟，过村镇段采用60×60cm盖板边沟。</w:t>
      </w:r>
    </w:p>
    <w:p>
      <w:pPr>
        <w:ind w:firstLine="480"/>
        <w:rPr>
          <w:bCs/>
          <w:szCs w:val="24"/>
        </w:rPr>
      </w:pPr>
      <w:r>
        <w:rPr>
          <w:bCs/>
          <w:szCs w:val="24"/>
        </w:rPr>
        <w:t>急流槽采用</w:t>
      </w:r>
      <w:r>
        <w:rPr>
          <w:rFonts w:hint="eastAsia"/>
          <w:bCs/>
          <w:szCs w:val="24"/>
        </w:rPr>
        <w:t>M7.5浆砌片石</w:t>
      </w:r>
      <w:r>
        <w:rPr>
          <w:bCs/>
          <w:szCs w:val="24"/>
        </w:rPr>
        <w:t>加固，并在槽底设置防滑平台。</w:t>
      </w:r>
    </w:p>
    <w:p>
      <w:pPr>
        <w:pStyle w:val="204"/>
        <w:spacing w:line="480" w:lineRule="exact"/>
        <w:ind w:firstLine="0" w:firstLineChars="0"/>
        <w:outlineLvl w:val="2"/>
        <w:rPr>
          <w:b/>
          <w:sz w:val="28"/>
          <w:szCs w:val="28"/>
        </w:rPr>
      </w:pPr>
      <w:r>
        <w:rPr>
          <w:b/>
          <w:sz w:val="28"/>
          <w:szCs w:val="28"/>
        </w:rPr>
        <w:t>3.</w:t>
      </w:r>
      <w:r>
        <w:rPr>
          <w:rFonts w:hint="eastAsia"/>
          <w:b/>
          <w:sz w:val="28"/>
          <w:szCs w:val="28"/>
        </w:rPr>
        <w:t>4</w:t>
      </w:r>
      <w:r>
        <w:rPr>
          <w:b/>
          <w:sz w:val="28"/>
          <w:szCs w:val="28"/>
        </w:rPr>
        <w:t>.</w:t>
      </w:r>
      <w:r>
        <w:rPr>
          <w:rFonts w:hint="eastAsia"/>
          <w:b/>
          <w:sz w:val="28"/>
          <w:szCs w:val="28"/>
        </w:rPr>
        <w:t>2</w:t>
      </w:r>
      <w:r>
        <w:rPr>
          <w:b/>
          <w:sz w:val="28"/>
          <w:szCs w:val="28"/>
        </w:rPr>
        <w:t>路</w:t>
      </w:r>
      <w:r>
        <w:rPr>
          <w:rFonts w:hint="eastAsia"/>
          <w:b/>
          <w:sz w:val="28"/>
          <w:szCs w:val="28"/>
        </w:rPr>
        <w:t>面工程</w:t>
      </w:r>
    </w:p>
    <w:p>
      <w:pPr>
        <w:ind w:firstLine="480"/>
        <w:rPr>
          <w:bCs/>
          <w:szCs w:val="24"/>
        </w:rPr>
      </w:pPr>
      <w:r>
        <w:rPr>
          <w:rFonts w:hint="eastAsia"/>
          <w:bCs/>
          <w:szCs w:val="24"/>
        </w:rPr>
        <w:t>（1）路面类型比选</w:t>
      </w:r>
    </w:p>
    <w:p>
      <w:pPr>
        <w:ind w:firstLine="480"/>
        <w:rPr>
          <w:bCs/>
          <w:szCs w:val="24"/>
        </w:rPr>
      </w:pPr>
      <w:r>
        <w:rPr>
          <w:rFonts w:hint="eastAsia"/>
          <w:bCs/>
          <w:szCs w:val="24"/>
        </w:rPr>
        <w:t>路面结构类型主要有沥青混凝土路面和水泥混凝土路面，两者的主要特点如下：</w:t>
      </w:r>
    </w:p>
    <w:p>
      <w:pPr>
        <w:ind w:firstLine="480"/>
        <w:rPr>
          <w:bCs/>
          <w:szCs w:val="24"/>
        </w:rPr>
      </w:pPr>
      <w:r>
        <w:rPr>
          <w:rFonts w:hint="eastAsia"/>
          <w:bCs/>
          <w:szCs w:val="24"/>
        </w:rPr>
        <w:t>沥青混凝土路面属柔性路面，与水泥混凝土路面相比，沥青路面具有表面平整、无接缝、行车舒适、耐磨、振动小、噪声低、施工期短、养护维修简便、适宜于分期修建等优点；同时也存在低温开裂、高温宜产生车辙、抗弯强度较低等缺点。</w:t>
      </w:r>
    </w:p>
    <w:p>
      <w:pPr>
        <w:ind w:firstLine="480"/>
        <w:rPr>
          <w:bCs/>
          <w:szCs w:val="24"/>
        </w:rPr>
      </w:pPr>
      <w:r>
        <w:rPr>
          <w:rFonts w:hint="eastAsia"/>
          <w:bCs/>
          <w:szCs w:val="24"/>
        </w:rPr>
        <w:t>水泥混凝土路面属刚性路面。水泥混凝土路面具有很高的抗压强度和较高的抗弯拉强度以及抗磨耗能力；稳定性好，混凝土路面的水稳性、热稳性均较好，特别是它的强度能随着时间的延长而逐渐提高，不存在沥青路面的那种“老化”现象；耐久性好，由于混凝土路面的强度和稳定性好，所以它经久耐用，一般能使用20～40年，而且它能通行包括履带式车辆等在内的各种运输工具；有利于夜间行车，混凝土路面色泽鲜明，能见度好，对夜间行车有利。但是，混凝土路面也存在一些缺点，对水泥和水的需要量大，造价高；有接缝，不但增加施工和养护的复杂性，而且容易引起行车跳动，影响行车的舒适性；开放交通推迟；修复困难，混凝土路面损坏后，开挖很困难，修补工作量也大，且影响交通。</w:t>
      </w:r>
    </w:p>
    <w:p>
      <w:pPr>
        <w:ind w:firstLine="480"/>
        <w:rPr>
          <w:bCs/>
          <w:szCs w:val="24"/>
        </w:rPr>
      </w:pPr>
      <w:r>
        <w:rPr>
          <w:bCs/>
          <w:szCs w:val="24"/>
        </w:rPr>
        <w:t>根据本项目所在区域的材料情况及公路的建设经验，本</w:t>
      </w:r>
      <w:r>
        <w:rPr>
          <w:rFonts w:hint="eastAsia"/>
          <w:bCs/>
          <w:szCs w:val="24"/>
        </w:rPr>
        <w:t>项目</w:t>
      </w:r>
      <w:r>
        <w:rPr>
          <w:bCs/>
          <w:szCs w:val="24"/>
        </w:rPr>
        <w:t>拟采用</w:t>
      </w:r>
      <w:r>
        <w:rPr>
          <w:rFonts w:hint="eastAsia"/>
          <w:bCs/>
          <w:szCs w:val="24"/>
        </w:rPr>
        <w:t>沥青混凝土路面。</w:t>
      </w:r>
    </w:p>
    <w:p>
      <w:pPr>
        <w:ind w:firstLine="480"/>
        <w:rPr>
          <w:bCs/>
          <w:szCs w:val="24"/>
        </w:rPr>
      </w:pPr>
      <w:r>
        <w:rPr>
          <w:rFonts w:hint="eastAsia"/>
          <w:bCs/>
          <w:szCs w:val="24"/>
        </w:rPr>
        <w:t>2）</w:t>
      </w:r>
      <w:r>
        <w:rPr>
          <w:bCs/>
          <w:szCs w:val="24"/>
        </w:rPr>
        <w:t>推荐路面结构为：</w:t>
      </w:r>
    </w:p>
    <w:p>
      <w:pPr>
        <w:ind w:firstLine="480"/>
        <w:rPr>
          <w:bCs/>
          <w:szCs w:val="24"/>
        </w:rPr>
      </w:pPr>
      <w:r>
        <w:rPr>
          <w:rFonts w:hint="eastAsia"/>
          <w:bCs/>
          <w:szCs w:val="24"/>
        </w:rPr>
        <w:t>本公路设计使用年限内设计车道累计大型客车和货车交通量为16.2</w:t>
      </w:r>
      <w:r>
        <w:rPr>
          <w:rFonts w:hint="eastAsia" w:ascii="宋体" w:hAnsi="宋体"/>
          <w:bCs/>
          <w:szCs w:val="24"/>
        </w:rPr>
        <w:t>×</w:t>
      </w:r>
      <w:r>
        <w:rPr>
          <w:rFonts w:hint="eastAsia"/>
          <w:bCs/>
          <w:szCs w:val="24"/>
        </w:rPr>
        <w:t>10</w:t>
      </w:r>
      <w:r>
        <w:rPr>
          <w:rFonts w:hint="eastAsia"/>
          <w:bCs/>
          <w:szCs w:val="24"/>
          <w:vertAlign w:val="superscript"/>
        </w:rPr>
        <w:t>6</w:t>
      </w:r>
      <w:r>
        <w:rPr>
          <w:rFonts w:hint="eastAsia"/>
          <w:bCs/>
          <w:szCs w:val="24"/>
        </w:rPr>
        <w:t>，交通等级属于重交通荷载等级。</w:t>
      </w:r>
    </w:p>
    <w:p>
      <w:pPr>
        <w:ind w:firstLine="480"/>
        <w:rPr>
          <w:bCs/>
          <w:szCs w:val="24"/>
        </w:rPr>
      </w:pPr>
      <w:r>
        <w:rPr>
          <w:rFonts w:hint="eastAsia"/>
          <w:bCs/>
          <w:szCs w:val="24"/>
        </w:rPr>
        <w:t>4</w:t>
      </w:r>
      <w:r>
        <w:rPr>
          <w:bCs/>
          <w:szCs w:val="24"/>
        </w:rPr>
        <w:t>cmAC-13C细粒</w:t>
      </w:r>
      <w:r>
        <w:rPr>
          <w:rFonts w:hint="eastAsia"/>
          <w:bCs/>
          <w:szCs w:val="24"/>
        </w:rPr>
        <w:t>式改性</w:t>
      </w:r>
      <w:r>
        <w:rPr>
          <w:bCs/>
          <w:szCs w:val="24"/>
        </w:rPr>
        <w:t>沥青混凝土上面层</w:t>
      </w:r>
    </w:p>
    <w:p>
      <w:pPr>
        <w:ind w:firstLine="480"/>
        <w:rPr>
          <w:bCs/>
          <w:szCs w:val="24"/>
        </w:rPr>
      </w:pPr>
      <w:r>
        <w:rPr>
          <w:rFonts w:hint="eastAsia"/>
          <w:bCs/>
          <w:szCs w:val="24"/>
        </w:rPr>
        <w:t>6</w:t>
      </w:r>
      <w:r>
        <w:rPr>
          <w:bCs/>
          <w:szCs w:val="24"/>
        </w:rPr>
        <w:t>cmAC-</w:t>
      </w:r>
      <w:r>
        <w:rPr>
          <w:rFonts w:hint="eastAsia"/>
          <w:bCs/>
          <w:szCs w:val="24"/>
        </w:rPr>
        <w:t>16</w:t>
      </w:r>
      <w:r>
        <w:rPr>
          <w:bCs/>
          <w:szCs w:val="24"/>
        </w:rPr>
        <w:t>C中粒式沥青混凝土</w:t>
      </w:r>
      <w:r>
        <w:rPr>
          <w:rFonts w:hint="eastAsia"/>
          <w:bCs/>
          <w:szCs w:val="24"/>
        </w:rPr>
        <w:t>中</w:t>
      </w:r>
      <w:r>
        <w:rPr>
          <w:bCs/>
          <w:szCs w:val="24"/>
        </w:rPr>
        <w:t>面层</w:t>
      </w:r>
    </w:p>
    <w:p>
      <w:pPr>
        <w:ind w:firstLine="480"/>
        <w:rPr>
          <w:bCs/>
          <w:szCs w:val="24"/>
        </w:rPr>
      </w:pPr>
      <w:r>
        <w:rPr>
          <w:rFonts w:hint="eastAsia"/>
          <w:bCs/>
          <w:szCs w:val="24"/>
        </w:rPr>
        <w:t>8</w:t>
      </w:r>
      <w:r>
        <w:rPr>
          <w:bCs/>
          <w:szCs w:val="24"/>
        </w:rPr>
        <w:t>cmAC-2</w:t>
      </w:r>
      <w:r>
        <w:rPr>
          <w:rFonts w:hint="eastAsia"/>
          <w:bCs/>
          <w:szCs w:val="24"/>
        </w:rPr>
        <w:t>5</w:t>
      </w:r>
      <w:r>
        <w:rPr>
          <w:bCs/>
          <w:szCs w:val="24"/>
        </w:rPr>
        <w:t>C</w:t>
      </w:r>
      <w:r>
        <w:rPr>
          <w:rFonts w:hint="eastAsia"/>
          <w:bCs/>
          <w:szCs w:val="24"/>
        </w:rPr>
        <w:t>粗</w:t>
      </w:r>
      <w:r>
        <w:rPr>
          <w:bCs/>
          <w:szCs w:val="24"/>
        </w:rPr>
        <w:t>粒式沥青混凝土</w:t>
      </w:r>
      <w:r>
        <w:rPr>
          <w:rFonts w:hint="eastAsia"/>
          <w:bCs/>
          <w:szCs w:val="24"/>
        </w:rPr>
        <w:t>下</w:t>
      </w:r>
      <w:r>
        <w:rPr>
          <w:bCs/>
          <w:szCs w:val="24"/>
        </w:rPr>
        <w:t>面层</w:t>
      </w:r>
    </w:p>
    <w:p>
      <w:pPr>
        <w:ind w:firstLine="480"/>
        <w:rPr>
          <w:bCs/>
          <w:szCs w:val="24"/>
        </w:rPr>
      </w:pPr>
      <w:r>
        <w:rPr>
          <w:rFonts w:hint="eastAsia"/>
          <w:bCs/>
          <w:szCs w:val="24"/>
        </w:rPr>
        <w:t>18</w:t>
      </w:r>
      <w:r>
        <w:rPr>
          <w:bCs/>
          <w:szCs w:val="24"/>
        </w:rPr>
        <w:t>cm水泥稳定碎石上基层</w:t>
      </w:r>
    </w:p>
    <w:p>
      <w:pPr>
        <w:ind w:firstLine="480"/>
        <w:rPr>
          <w:bCs/>
          <w:szCs w:val="24"/>
        </w:rPr>
      </w:pPr>
      <w:r>
        <w:rPr>
          <w:rFonts w:hint="eastAsia"/>
          <w:bCs/>
          <w:szCs w:val="24"/>
        </w:rPr>
        <w:t>18</w:t>
      </w:r>
      <w:r>
        <w:rPr>
          <w:bCs/>
          <w:szCs w:val="24"/>
        </w:rPr>
        <w:t>cm水泥稳定碎石下基层</w:t>
      </w:r>
    </w:p>
    <w:p>
      <w:pPr>
        <w:ind w:firstLine="480"/>
        <w:rPr>
          <w:bCs/>
          <w:szCs w:val="24"/>
        </w:rPr>
      </w:pPr>
      <w:r>
        <w:rPr>
          <w:rFonts w:hint="eastAsia"/>
          <w:bCs/>
          <w:szCs w:val="24"/>
        </w:rPr>
        <w:t>18</w:t>
      </w:r>
      <w:r>
        <w:rPr>
          <w:bCs/>
          <w:szCs w:val="24"/>
        </w:rPr>
        <w:t>cm水泥稳定碎石</w:t>
      </w:r>
      <w:r>
        <w:rPr>
          <w:rFonts w:hint="eastAsia"/>
          <w:bCs/>
          <w:szCs w:val="24"/>
        </w:rPr>
        <w:t>底基层</w:t>
      </w:r>
    </w:p>
    <w:p>
      <w:pPr>
        <w:ind w:firstLine="480"/>
        <w:rPr>
          <w:bCs/>
          <w:szCs w:val="24"/>
        </w:rPr>
      </w:pPr>
      <w:r>
        <w:rPr>
          <w:bCs/>
          <w:szCs w:val="24"/>
        </w:rPr>
        <w:t>沥青层之间设置SBS改性沥青</w:t>
      </w:r>
      <w:r>
        <w:rPr>
          <w:rFonts w:hint="eastAsia"/>
          <w:bCs/>
          <w:szCs w:val="24"/>
        </w:rPr>
        <w:t>粘层</w:t>
      </w:r>
      <w:r>
        <w:rPr>
          <w:bCs/>
          <w:szCs w:val="24"/>
        </w:rPr>
        <w:t>，基层和路面之间设置透层和封层</w:t>
      </w:r>
      <w:r>
        <w:rPr>
          <w:rFonts w:hint="eastAsia"/>
          <w:bCs/>
          <w:szCs w:val="24"/>
        </w:rPr>
        <w:t>，封层采用改性乳化沥青封层</w:t>
      </w:r>
      <w:r>
        <w:rPr>
          <w:bCs/>
          <w:szCs w:val="24"/>
        </w:rPr>
        <w:t>。</w:t>
      </w:r>
    </w:p>
    <w:p>
      <w:pPr>
        <w:ind w:firstLine="480"/>
        <w:rPr>
          <w:bCs/>
          <w:szCs w:val="24"/>
        </w:rPr>
      </w:pPr>
      <w:r>
        <w:rPr>
          <w:rFonts w:hint="eastAsia"/>
          <w:bCs/>
          <w:szCs w:val="24"/>
        </w:rPr>
        <w:t>3）</w:t>
      </w:r>
      <w:r>
        <w:rPr>
          <w:bCs/>
          <w:szCs w:val="24"/>
        </w:rPr>
        <w:t>路面</w:t>
      </w:r>
      <w:r>
        <w:rPr>
          <w:rFonts w:hint="eastAsia"/>
          <w:bCs/>
          <w:szCs w:val="24"/>
        </w:rPr>
        <w:t>材料来源</w:t>
      </w:r>
      <w:r>
        <w:rPr>
          <w:bCs/>
          <w:szCs w:val="24"/>
        </w:rPr>
        <w:t>：</w:t>
      </w:r>
    </w:p>
    <w:p>
      <w:pPr>
        <w:ind w:firstLine="480"/>
        <w:rPr>
          <w:bCs/>
          <w:szCs w:val="24"/>
        </w:rPr>
      </w:pPr>
      <w:r>
        <w:rPr>
          <w:rFonts w:hint="eastAsia"/>
          <w:bCs/>
          <w:szCs w:val="24"/>
        </w:rPr>
        <w:t>沥青混凝土可用从唐山市购买，上面层采用改性沥青，能够满足面层使用。</w:t>
      </w:r>
    </w:p>
    <w:p>
      <w:pPr>
        <w:pStyle w:val="204"/>
        <w:spacing w:line="480" w:lineRule="exact"/>
        <w:ind w:firstLine="0" w:firstLineChars="0"/>
        <w:outlineLvl w:val="2"/>
        <w:rPr>
          <w:b/>
          <w:sz w:val="28"/>
          <w:szCs w:val="28"/>
        </w:rPr>
      </w:pPr>
      <w:r>
        <w:rPr>
          <w:b/>
          <w:sz w:val="28"/>
          <w:szCs w:val="28"/>
        </w:rPr>
        <w:t>3.</w:t>
      </w:r>
      <w:r>
        <w:rPr>
          <w:rFonts w:hint="eastAsia"/>
          <w:b/>
          <w:sz w:val="28"/>
          <w:szCs w:val="28"/>
        </w:rPr>
        <w:t>3</w:t>
      </w:r>
      <w:r>
        <w:rPr>
          <w:b/>
          <w:sz w:val="28"/>
          <w:szCs w:val="28"/>
        </w:rPr>
        <w:t>.</w:t>
      </w:r>
      <w:r>
        <w:rPr>
          <w:rFonts w:hint="eastAsia"/>
          <w:b/>
          <w:sz w:val="28"/>
          <w:szCs w:val="28"/>
        </w:rPr>
        <w:t>3桥涵工程</w:t>
      </w:r>
    </w:p>
    <w:p>
      <w:pPr>
        <w:ind w:firstLine="480"/>
        <w:rPr>
          <w:bCs/>
          <w:szCs w:val="24"/>
        </w:rPr>
      </w:pPr>
      <w:r>
        <w:rPr>
          <w:rFonts w:hint="eastAsia"/>
          <w:bCs/>
          <w:szCs w:val="24"/>
        </w:rPr>
        <w:t>（1）主线桥梁设计标准</w:t>
      </w:r>
    </w:p>
    <w:p>
      <w:pPr>
        <w:ind w:firstLine="480"/>
        <w:rPr>
          <w:bCs/>
          <w:szCs w:val="24"/>
        </w:rPr>
      </w:pPr>
      <w:r>
        <w:rPr>
          <w:rFonts w:hint="eastAsia"/>
          <w:bCs/>
          <w:szCs w:val="24"/>
        </w:rPr>
        <w:t>①道路等级：一级公路；</w:t>
      </w:r>
    </w:p>
    <w:p>
      <w:pPr>
        <w:ind w:firstLine="480"/>
        <w:rPr>
          <w:bCs/>
          <w:szCs w:val="24"/>
        </w:rPr>
      </w:pPr>
      <w:r>
        <w:rPr>
          <w:rFonts w:hint="eastAsia"/>
          <w:bCs/>
          <w:szCs w:val="24"/>
        </w:rPr>
        <w:t>②设计车速：</w:t>
      </w:r>
      <w:r>
        <w:rPr>
          <w:bCs/>
          <w:szCs w:val="24"/>
        </w:rPr>
        <w:t>80km/h</w:t>
      </w:r>
      <w:r>
        <w:rPr>
          <w:rFonts w:hint="eastAsia"/>
          <w:bCs/>
          <w:szCs w:val="24"/>
        </w:rPr>
        <w:t>；</w:t>
      </w:r>
    </w:p>
    <w:p>
      <w:pPr>
        <w:ind w:firstLine="480"/>
        <w:rPr>
          <w:bCs/>
          <w:szCs w:val="24"/>
        </w:rPr>
      </w:pPr>
      <w:r>
        <w:rPr>
          <w:rFonts w:hint="eastAsia"/>
          <w:bCs/>
          <w:szCs w:val="24"/>
        </w:rPr>
        <w:t>③汽车荷载等级：公路</w:t>
      </w:r>
      <w:r>
        <w:rPr>
          <w:bCs/>
          <w:szCs w:val="24"/>
        </w:rPr>
        <w:t xml:space="preserve"> -</w:t>
      </w:r>
      <w:r>
        <w:rPr>
          <w:rFonts w:hint="eastAsia"/>
          <w:bCs/>
          <w:szCs w:val="24"/>
        </w:rPr>
        <w:t>Ⅰ级；</w:t>
      </w:r>
    </w:p>
    <w:p>
      <w:pPr>
        <w:ind w:firstLine="480"/>
        <w:rPr>
          <w:bCs/>
          <w:szCs w:val="24"/>
        </w:rPr>
      </w:pPr>
      <w:r>
        <w:rPr>
          <w:rFonts w:hint="eastAsia"/>
          <w:bCs/>
          <w:szCs w:val="24"/>
        </w:rPr>
        <w:t>④桥梁标准宽度：</w:t>
      </w:r>
    </w:p>
    <w:p>
      <w:pPr>
        <w:ind w:firstLine="480"/>
        <w:rPr>
          <w:bCs/>
          <w:szCs w:val="24"/>
        </w:rPr>
      </w:pPr>
      <w:r>
        <w:rPr>
          <w:bCs/>
          <w:szCs w:val="24"/>
        </w:rPr>
        <w:t>0.5m</w:t>
      </w:r>
      <w:r>
        <w:rPr>
          <w:rFonts w:hint="eastAsia"/>
          <w:bCs/>
          <w:szCs w:val="24"/>
        </w:rPr>
        <w:t>（防撞护栏）</w:t>
      </w:r>
      <w:r>
        <w:rPr>
          <w:bCs/>
          <w:szCs w:val="24"/>
        </w:rPr>
        <w:t>+</w:t>
      </w:r>
      <w:r>
        <w:rPr>
          <w:rFonts w:hint="eastAsia"/>
          <w:bCs/>
          <w:szCs w:val="24"/>
        </w:rPr>
        <w:t>11.</w:t>
      </w:r>
      <w:r>
        <w:rPr>
          <w:bCs/>
          <w:szCs w:val="24"/>
        </w:rPr>
        <w:t>25m</w:t>
      </w:r>
      <w:r>
        <w:rPr>
          <w:rFonts w:hint="eastAsia"/>
          <w:bCs/>
          <w:szCs w:val="24"/>
        </w:rPr>
        <w:t>（桥面净宽）</w:t>
      </w:r>
      <w:r>
        <w:rPr>
          <w:bCs/>
          <w:szCs w:val="24"/>
        </w:rPr>
        <w:t>+2.0m</w:t>
      </w:r>
      <w:r>
        <w:rPr>
          <w:rFonts w:hint="eastAsia"/>
          <w:bCs/>
          <w:szCs w:val="24"/>
        </w:rPr>
        <w:t>（中央分隔带）</w:t>
      </w:r>
      <w:r>
        <w:rPr>
          <w:bCs/>
          <w:szCs w:val="24"/>
        </w:rPr>
        <w:t>+</w:t>
      </w:r>
      <w:r>
        <w:rPr>
          <w:rFonts w:hint="eastAsia"/>
          <w:bCs/>
          <w:szCs w:val="24"/>
        </w:rPr>
        <w:t>11.</w:t>
      </w:r>
      <w:r>
        <w:rPr>
          <w:bCs/>
          <w:szCs w:val="24"/>
        </w:rPr>
        <w:t>25m</w:t>
      </w:r>
      <w:r>
        <w:rPr>
          <w:rFonts w:hint="eastAsia"/>
          <w:bCs/>
          <w:szCs w:val="24"/>
        </w:rPr>
        <w:t>（行车道）</w:t>
      </w:r>
      <w:r>
        <w:rPr>
          <w:bCs/>
          <w:szCs w:val="24"/>
        </w:rPr>
        <w:t>+0.5m</w:t>
      </w:r>
      <w:r>
        <w:rPr>
          <w:rFonts w:hint="eastAsia"/>
          <w:bCs/>
          <w:szCs w:val="24"/>
        </w:rPr>
        <w:t>（防撞护栏）</w:t>
      </w:r>
      <w:r>
        <w:rPr>
          <w:bCs/>
          <w:szCs w:val="24"/>
        </w:rPr>
        <w:t>=</w:t>
      </w:r>
      <w:r>
        <w:rPr>
          <w:rFonts w:hint="eastAsia"/>
          <w:bCs/>
          <w:szCs w:val="24"/>
        </w:rPr>
        <w:t>25.5</w:t>
      </w:r>
      <w:r>
        <w:rPr>
          <w:bCs/>
          <w:szCs w:val="24"/>
        </w:rPr>
        <w:t>m</w:t>
      </w:r>
      <w:r>
        <w:rPr>
          <w:rFonts w:hint="eastAsia"/>
          <w:bCs/>
          <w:szCs w:val="24"/>
        </w:rPr>
        <w:t>；</w:t>
      </w:r>
    </w:p>
    <w:p>
      <w:pPr>
        <w:ind w:firstLine="480"/>
        <w:rPr>
          <w:bCs/>
          <w:szCs w:val="24"/>
        </w:rPr>
      </w:pPr>
      <w:r>
        <w:rPr>
          <w:rFonts w:hint="eastAsia"/>
          <w:bCs/>
          <w:szCs w:val="24"/>
        </w:rPr>
        <w:t>⑤设计洪水频率：大、中桥采用</w:t>
      </w:r>
      <w:r>
        <w:rPr>
          <w:bCs/>
          <w:szCs w:val="24"/>
        </w:rPr>
        <w:t>1/100</w:t>
      </w:r>
      <w:r>
        <w:rPr>
          <w:rFonts w:hint="eastAsia"/>
          <w:bCs/>
          <w:szCs w:val="24"/>
        </w:rPr>
        <w:t>，小桥及涵洞采用</w:t>
      </w:r>
      <w:r>
        <w:rPr>
          <w:bCs/>
          <w:szCs w:val="24"/>
        </w:rPr>
        <w:t>1/</w:t>
      </w:r>
      <w:r>
        <w:rPr>
          <w:rFonts w:hint="eastAsia"/>
          <w:bCs/>
          <w:szCs w:val="24"/>
        </w:rPr>
        <w:t>10</w:t>
      </w:r>
      <w:r>
        <w:rPr>
          <w:bCs/>
          <w:szCs w:val="24"/>
        </w:rPr>
        <w:t>0</w:t>
      </w:r>
      <w:r>
        <w:rPr>
          <w:rFonts w:hint="eastAsia"/>
          <w:bCs/>
          <w:szCs w:val="24"/>
        </w:rPr>
        <w:t>；</w:t>
      </w:r>
    </w:p>
    <w:p>
      <w:pPr>
        <w:ind w:firstLine="480"/>
        <w:rPr>
          <w:bCs/>
          <w:szCs w:val="24"/>
        </w:rPr>
      </w:pPr>
      <w:r>
        <w:rPr>
          <w:rFonts w:hint="eastAsia"/>
          <w:bCs/>
          <w:szCs w:val="24"/>
        </w:rPr>
        <w:t>⑥地震烈度：本项目沿线区域场地地震动峰值加速度为0.10g；对应的地震基本烈度为</w:t>
      </w:r>
      <w:r>
        <w:rPr>
          <w:bCs/>
          <w:szCs w:val="24"/>
        </w:rPr>
        <w:t>Ⅶ</w:t>
      </w:r>
      <w:r>
        <w:rPr>
          <w:rFonts w:hint="eastAsia"/>
          <w:bCs/>
          <w:szCs w:val="24"/>
        </w:rPr>
        <w:t>度区；</w:t>
      </w:r>
    </w:p>
    <w:p>
      <w:pPr>
        <w:ind w:firstLine="480"/>
        <w:rPr>
          <w:bCs/>
          <w:szCs w:val="24"/>
        </w:rPr>
      </w:pPr>
      <w:r>
        <w:rPr>
          <w:rFonts w:hint="eastAsia"/>
          <w:bCs/>
          <w:szCs w:val="24"/>
        </w:rPr>
        <w:t>⑦通航等级：无。</w:t>
      </w:r>
    </w:p>
    <w:p>
      <w:pPr>
        <w:ind w:firstLine="480"/>
        <w:rPr>
          <w:bCs/>
          <w:szCs w:val="24"/>
        </w:rPr>
      </w:pPr>
      <w:r>
        <w:rPr>
          <w:rFonts w:hint="eastAsia"/>
          <w:bCs/>
          <w:szCs w:val="24"/>
        </w:rPr>
        <w:t>（2）沿线气象、水文情况</w:t>
      </w:r>
    </w:p>
    <w:p>
      <w:pPr>
        <w:ind w:firstLine="480"/>
        <w:rPr>
          <w:bCs/>
          <w:szCs w:val="24"/>
        </w:rPr>
      </w:pPr>
      <w:r>
        <w:rPr>
          <w:rFonts w:hint="eastAsia"/>
          <w:bCs/>
          <w:szCs w:val="24"/>
        </w:rPr>
        <w:t>路线所在区域气候属东部季风北温带湿润区的大陆性气候，其特点是四季分明，春季（3－5月）干燥，多风缺雨，夏季（6－8月）炎热多雨，秋季（9－11月）昼暖夜寒温差大，冬季（12－2月）寒冷少雪。一月平均气温－6.3℃，七月平均气温25.4℃。资料显示：该区最低气温为零下25.7℃，最高为40.3℃。</w:t>
      </w:r>
    </w:p>
    <w:p>
      <w:pPr>
        <w:ind w:firstLine="480"/>
        <w:rPr>
          <w:bCs/>
          <w:szCs w:val="24"/>
        </w:rPr>
      </w:pPr>
      <w:r>
        <w:rPr>
          <w:rFonts w:hint="eastAsia"/>
          <w:bCs/>
          <w:szCs w:val="24"/>
        </w:rPr>
        <w:t>项目区属蓟运河水系，主要相关河流为清水河、沙河、黎河。黎河由北黎河与南黎河汇合后成黎河。主河北黎河发源于遵化市东北部的柴户场北沟，于黎河店村南与南黎河汇合成黎河，在蓟县苍山庄与沙河汇合成果河。</w:t>
      </w:r>
    </w:p>
    <w:p>
      <w:pPr>
        <w:ind w:firstLine="480"/>
        <w:rPr>
          <w:bCs/>
          <w:szCs w:val="24"/>
        </w:rPr>
      </w:pPr>
      <w:r>
        <w:rPr>
          <w:bCs/>
          <w:szCs w:val="24"/>
        </w:rPr>
        <w:t>在一年之内，随季节变化，各河水量也有很大差异，6－9月径流量占全年径流量的70％。其中，7－8月为洪水期，各河受地形坡降和暴雨的影响，洪水暴涨暴落，汛期常遇洪峰4、5次。据水平口水文站测定，1984年沙河洪峰流量高达5360立方米/秒，平均洪峰模数为每平方公里6.7立方米/秒。汛期后，河水减少，10月到翌年5月为枯水期，除沙河、黎河常年有水外，其它河流均为季节河，在枯水期间则断流或干涸。</w:t>
      </w:r>
    </w:p>
    <w:p>
      <w:pPr>
        <w:ind w:firstLine="480"/>
        <w:rPr>
          <w:bCs/>
          <w:szCs w:val="24"/>
        </w:rPr>
      </w:pPr>
      <w:r>
        <w:rPr>
          <w:rFonts w:hint="eastAsia"/>
          <w:bCs/>
          <w:szCs w:val="24"/>
        </w:rPr>
        <w:t>（3）沿线工程地质情况</w:t>
      </w:r>
    </w:p>
    <w:p>
      <w:pPr>
        <w:ind w:firstLine="480"/>
        <w:rPr>
          <w:bCs/>
          <w:szCs w:val="24"/>
        </w:rPr>
      </w:pPr>
      <w:r>
        <w:rPr>
          <w:rFonts w:hint="eastAsia"/>
          <w:bCs/>
          <w:szCs w:val="24"/>
        </w:rPr>
        <w:t>遵化</w:t>
      </w:r>
      <w:r>
        <w:rPr>
          <w:bCs/>
          <w:szCs w:val="24"/>
        </w:rPr>
        <w:t>市</w:t>
      </w:r>
      <w:r>
        <w:rPr>
          <w:rFonts w:hint="eastAsia"/>
          <w:bCs/>
          <w:szCs w:val="24"/>
        </w:rPr>
        <w:t>境内</w:t>
      </w:r>
      <w:r>
        <w:rPr>
          <w:bCs/>
          <w:szCs w:val="24"/>
        </w:rPr>
        <w:t>存在断裂构造</w:t>
      </w:r>
      <w:r>
        <w:rPr>
          <w:rFonts w:hint="eastAsia"/>
          <w:bCs/>
          <w:szCs w:val="24"/>
        </w:rPr>
        <w:t>带</w:t>
      </w:r>
      <w:r>
        <w:rPr>
          <w:bCs/>
          <w:szCs w:val="24"/>
        </w:rPr>
        <w:t>发育。北部有北东、北西或近南北向的断裂，多为晶岩和石英岩脉充填。南部也有北西向的断裂，其石门－龙山有近东西向的深大断裂大部已被后期的煌斑岩脉充填。</w:t>
      </w:r>
    </w:p>
    <w:p>
      <w:pPr>
        <w:ind w:firstLine="480"/>
        <w:rPr>
          <w:bCs/>
          <w:szCs w:val="24"/>
        </w:rPr>
      </w:pPr>
      <w:r>
        <w:rPr>
          <w:rFonts w:hint="eastAsia"/>
          <w:bCs/>
          <w:szCs w:val="24"/>
        </w:rPr>
        <w:t>项目区距断裂带较远，对路线影响较小。</w:t>
      </w:r>
    </w:p>
    <w:p>
      <w:pPr>
        <w:ind w:firstLine="480"/>
        <w:rPr>
          <w:bCs/>
          <w:szCs w:val="24"/>
        </w:rPr>
      </w:pPr>
      <w:r>
        <w:rPr>
          <w:rFonts w:hint="eastAsia"/>
          <w:bCs/>
          <w:szCs w:val="24"/>
        </w:rPr>
        <w:t>（4）桥梁设计原则</w:t>
      </w:r>
    </w:p>
    <w:p>
      <w:pPr>
        <w:ind w:firstLine="480"/>
        <w:rPr>
          <w:bCs/>
          <w:szCs w:val="24"/>
        </w:rPr>
      </w:pPr>
      <w:r>
        <w:rPr>
          <w:rFonts w:hint="eastAsia"/>
          <w:bCs/>
          <w:szCs w:val="24"/>
        </w:rPr>
        <w:t>①一般大桥桥位平面线形服从路线总体布设需要。</w:t>
      </w:r>
    </w:p>
    <w:p>
      <w:pPr>
        <w:ind w:firstLine="480"/>
        <w:rPr>
          <w:bCs/>
          <w:szCs w:val="24"/>
        </w:rPr>
      </w:pPr>
      <w:r>
        <w:rPr>
          <w:rFonts w:hint="eastAsia"/>
          <w:bCs/>
          <w:szCs w:val="24"/>
        </w:rPr>
        <w:t>②桥梁设计以“安全、经济、适用、美观和有利环保”为原则。</w:t>
      </w:r>
    </w:p>
    <w:p>
      <w:pPr>
        <w:ind w:firstLine="480"/>
        <w:rPr>
          <w:bCs/>
          <w:szCs w:val="24"/>
        </w:rPr>
      </w:pPr>
      <w:r>
        <w:rPr>
          <w:rFonts w:hint="eastAsia"/>
          <w:bCs/>
          <w:szCs w:val="24"/>
        </w:rPr>
        <w:t>③充分利用国内外先进技术和成功经验，特别是国内同类工程已有的成熟技术，以使设计方案技术合理、施工可靠、造价节省，充分体现“立足国内、自主建设”的经济建设基本原则。</w:t>
      </w:r>
    </w:p>
    <w:p>
      <w:pPr>
        <w:ind w:firstLine="480"/>
        <w:rPr>
          <w:bCs/>
          <w:szCs w:val="24"/>
        </w:rPr>
      </w:pPr>
      <w:r>
        <w:rPr>
          <w:rFonts w:hint="eastAsia"/>
          <w:bCs/>
          <w:szCs w:val="24"/>
        </w:rPr>
        <w:t>④重视施工方案的研究，充分应用国内现有设备，尽量减少混凝土现浇和水下施工的难度，以加快施工进度，保证工程质量，降低施工风险。</w:t>
      </w:r>
    </w:p>
    <w:p>
      <w:pPr>
        <w:ind w:firstLine="480"/>
        <w:rPr>
          <w:bCs/>
          <w:szCs w:val="24"/>
        </w:rPr>
      </w:pPr>
      <w:r>
        <w:rPr>
          <w:rFonts w:hint="eastAsia"/>
          <w:bCs/>
          <w:szCs w:val="24"/>
        </w:rPr>
        <w:t>⑤桥梁结构尽量做到标准化、系列化、工厂化和施工机械化，以方便施工、加快施工进度、降低工程造价、保证工程质量。</w:t>
      </w:r>
    </w:p>
    <w:p>
      <w:pPr>
        <w:ind w:firstLine="480"/>
        <w:rPr>
          <w:bCs/>
          <w:szCs w:val="24"/>
        </w:rPr>
      </w:pPr>
      <w:r>
        <w:rPr>
          <w:rFonts w:hint="eastAsia"/>
          <w:bCs/>
          <w:szCs w:val="24"/>
        </w:rPr>
        <w:t>⑥桥梁跨径、桥长选择：在满足泄洪、所跨道路净空等要求的前提下，综合考虑地形地貌、地质条件、水文以及桥梁高度、桥面线形等因素后确定桥梁跨径、桥长，桥孔布设时同时考虑施工便捷、与环境协调，兼顾养护方便等因素。</w:t>
      </w:r>
    </w:p>
    <w:p>
      <w:pPr>
        <w:ind w:firstLine="480"/>
        <w:rPr>
          <w:bCs/>
          <w:szCs w:val="24"/>
        </w:rPr>
      </w:pPr>
      <w:r>
        <w:rPr>
          <w:rFonts w:hint="eastAsia"/>
          <w:bCs/>
          <w:szCs w:val="24"/>
        </w:rPr>
        <w:t>⑦重视环境保护，尽可能减少建桥对周围自然环境的破坏，黎河大桥重视景观因素。</w:t>
      </w:r>
    </w:p>
    <w:p>
      <w:pPr>
        <w:ind w:firstLine="480"/>
        <w:rPr>
          <w:bCs/>
          <w:szCs w:val="24"/>
        </w:rPr>
      </w:pPr>
      <w:r>
        <w:rPr>
          <w:rFonts w:hint="eastAsia"/>
          <w:bCs/>
          <w:szCs w:val="24"/>
        </w:rPr>
        <w:t>⑧重视耐久性设计，确保结构安全、耐久。</w:t>
      </w:r>
    </w:p>
    <w:p>
      <w:pPr>
        <w:ind w:firstLine="480"/>
        <w:rPr>
          <w:bCs/>
          <w:szCs w:val="24"/>
        </w:rPr>
      </w:pPr>
      <w:r>
        <w:rPr>
          <w:bCs/>
          <w:szCs w:val="24"/>
        </w:rPr>
        <w:fldChar w:fldCharType="begin"/>
      </w:r>
      <w:r>
        <w:rPr>
          <w:bCs/>
          <w:szCs w:val="24"/>
        </w:rPr>
        <w:instrText xml:space="preserve"> </w:instrText>
      </w:r>
      <w:r>
        <w:rPr>
          <w:rFonts w:hint="eastAsia"/>
          <w:bCs/>
          <w:szCs w:val="24"/>
        </w:rPr>
        <w:instrText xml:space="preserve">= 9 \* GB3</w:instrText>
      </w:r>
      <w:r>
        <w:rPr>
          <w:bCs/>
          <w:szCs w:val="24"/>
        </w:rPr>
        <w:instrText xml:space="preserve"> </w:instrText>
      </w:r>
      <w:r>
        <w:rPr>
          <w:bCs/>
          <w:szCs w:val="24"/>
        </w:rPr>
        <w:fldChar w:fldCharType="separate"/>
      </w:r>
      <w:r>
        <w:rPr>
          <w:rFonts w:hint="eastAsia"/>
          <w:bCs/>
          <w:szCs w:val="24"/>
        </w:rPr>
        <w:t>⑨</w:t>
      </w:r>
      <w:r>
        <w:rPr>
          <w:bCs/>
          <w:szCs w:val="24"/>
        </w:rPr>
        <w:fldChar w:fldCharType="end"/>
      </w:r>
      <w:r>
        <w:rPr>
          <w:rFonts w:hint="eastAsia"/>
          <w:bCs/>
          <w:szCs w:val="24"/>
        </w:rPr>
        <w:t>在设置</w:t>
      </w:r>
      <w:r>
        <w:rPr>
          <w:bCs/>
          <w:szCs w:val="24"/>
        </w:rPr>
        <w:t>桥涵结构物时，应尽可能采用与河道或者沟渠水流方向一致的设置方案，保证道路不对当地水流体系产生改变</w:t>
      </w:r>
      <w:r>
        <w:rPr>
          <w:rFonts w:hint="eastAsia"/>
          <w:bCs/>
          <w:szCs w:val="24"/>
        </w:rPr>
        <w:t>。</w:t>
      </w:r>
    </w:p>
    <w:p>
      <w:pPr>
        <w:spacing w:line="360" w:lineRule="auto"/>
        <w:ind w:firstLine="0" w:firstLineChars="0"/>
        <w:jc w:val="center"/>
        <w:rPr>
          <w:bCs/>
          <w:szCs w:val="24"/>
        </w:rPr>
      </w:pPr>
      <w:r>
        <w:rPr>
          <w:bCs/>
          <w:szCs w:val="24"/>
        </w:rPr>
        <w:drawing>
          <wp:inline distT="0" distB="0" distL="0" distR="0">
            <wp:extent cx="5723890" cy="1593215"/>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68" cstate="print"/>
                    <a:srcRect/>
                    <a:stretch>
                      <a:fillRect/>
                    </a:stretch>
                  </pic:blipFill>
                  <pic:spPr>
                    <a:xfrm>
                      <a:off x="0" y="0"/>
                      <a:ext cx="5723890" cy="1593248"/>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b/>
          <w:sz w:val="21"/>
        </w:rPr>
        <w:t>图</w:t>
      </w:r>
      <w:r>
        <w:rPr>
          <w:rFonts w:hint="eastAsia"/>
          <w:b/>
          <w:sz w:val="21"/>
        </w:rPr>
        <w:t>3.4-2项目桥梁立面设计</w:t>
      </w:r>
      <w:r>
        <w:rPr>
          <w:b/>
          <w:sz w:val="21"/>
        </w:rPr>
        <w:t>示意图</w:t>
      </w:r>
    </w:p>
    <w:p>
      <w:pPr>
        <w:adjustRightInd w:val="0"/>
        <w:snapToGrid w:val="0"/>
        <w:spacing w:line="360" w:lineRule="auto"/>
        <w:ind w:firstLine="0" w:firstLineChars="0"/>
        <w:jc w:val="center"/>
        <w:rPr>
          <w:b/>
          <w:sz w:val="21"/>
        </w:rPr>
      </w:pPr>
      <w:r>
        <w:rPr>
          <w:b/>
          <w:sz w:val="21"/>
        </w:rPr>
        <w:drawing>
          <wp:inline distT="0" distB="0" distL="0" distR="0">
            <wp:extent cx="5723890" cy="110109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69" cstate="print"/>
                    <a:srcRect/>
                    <a:stretch>
                      <a:fillRect/>
                    </a:stretch>
                  </pic:blipFill>
                  <pic:spPr>
                    <a:xfrm>
                      <a:off x="0" y="0"/>
                      <a:ext cx="5723890" cy="1101305"/>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b/>
          <w:sz w:val="21"/>
        </w:rPr>
        <w:t>图</w:t>
      </w:r>
      <w:r>
        <w:rPr>
          <w:rFonts w:hint="eastAsia"/>
          <w:b/>
          <w:sz w:val="21"/>
        </w:rPr>
        <w:t>3.4-3项目桥梁平面设计</w:t>
      </w:r>
      <w:r>
        <w:rPr>
          <w:b/>
          <w:sz w:val="21"/>
        </w:rPr>
        <w:t>示意图</w:t>
      </w:r>
    </w:p>
    <w:tbl>
      <w:tblPr>
        <w:tblStyle w:val="53"/>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15"/>
        <w:gridCol w:w="46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15" w:type="dxa"/>
            <w:vAlign w:val="center"/>
          </w:tcPr>
          <w:p>
            <w:pPr>
              <w:spacing w:line="360" w:lineRule="auto"/>
              <w:ind w:firstLine="0" w:firstLineChars="0"/>
              <w:rPr>
                <w:bCs/>
                <w:szCs w:val="24"/>
                <w:highlight w:val="yellow"/>
              </w:rPr>
            </w:pPr>
            <w:r>
              <w:rPr>
                <w:bCs/>
                <w:szCs w:val="24"/>
              </w:rPr>
              <w:drawing>
                <wp:inline distT="0" distB="0" distL="0" distR="0">
                  <wp:extent cx="2735580" cy="3039745"/>
                  <wp:effectExtent l="19050" t="0" r="7200" b="0"/>
                  <wp:docPr id="1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5"/>
                          <pic:cNvPicPr>
                            <a:picLocks noChangeAspect="1" noChangeArrowheads="1"/>
                          </pic:cNvPicPr>
                        </pic:nvPicPr>
                        <pic:blipFill>
                          <a:blip r:embed="rId70" cstate="print"/>
                          <a:srcRect/>
                          <a:stretch>
                            <a:fillRect/>
                          </a:stretch>
                        </pic:blipFill>
                        <pic:spPr>
                          <a:xfrm>
                            <a:off x="0" y="0"/>
                            <a:ext cx="2736000" cy="3040357"/>
                          </a:xfrm>
                          <a:prstGeom prst="rect">
                            <a:avLst/>
                          </a:prstGeom>
                          <a:noFill/>
                          <a:ln w="9525">
                            <a:noFill/>
                            <a:miter lim="800000"/>
                            <a:headEnd/>
                            <a:tailEnd/>
                          </a:ln>
                        </pic:spPr>
                      </pic:pic>
                    </a:graphicData>
                  </a:graphic>
                </wp:inline>
              </w:drawing>
            </w:r>
          </w:p>
        </w:tc>
        <w:tc>
          <w:tcPr>
            <w:tcW w:w="4615" w:type="dxa"/>
            <w:vAlign w:val="center"/>
          </w:tcPr>
          <w:p>
            <w:pPr>
              <w:spacing w:line="360" w:lineRule="auto"/>
              <w:ind w:firstLine="0" w:firstLineChars="0"/>
              <w:rPr>
                <w:bCs/>
                <w:szCs w:val="24"/>
                <w:highlight w:val="yellow"/>
              </w:rPr>
            </w:pPr>
            <w:r>
              <w:rPr>
                <w:bCs/>
                <w:szCs w:val="24"/>
              </w:rPr>
              <w:drawing>
                <wp:inline distT="0" distB="0" distL="0" distR="0">
                  <wp:extent cx="2735580" cy="2646045"/>
                  <wp:effectExtent l="19050" t="0" r="7200" b="0"/>
                  <wp:docPr id="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noChangeArrowheads="1"/>
                          </pic:cNvPicPr>
                        </pic:nvPicPr>
                        <pic:blipFill>
                          <a:blip r:embed="rId71" cstate="print"/>
                          <a:srcRect/>
                          <a:stretch>
                            <a:fillRect/>
                          </a:stretch>
                        </pic:blipFill>
                        <pic:spPr>
                          <a:xfrm>
                            <a:off x="0" y="0"/>
                            <a:ext cx="2736000" cy="2646588"/>
                          </a:xfrm>
                          <a:prstGeom prst="rect">
                            <a:avLst/>
                          </a:prstGeom>
                          <a:noFill/>
                          <a:ln w="9525">
                            <a:noFill/>
                            <a:miter lim="800000"/>
                            <a:headEnd/>
                            <a:tailEnd/>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15" w:type="dxa"/>
            <w:vAlign w:val="center"/>
          </w:tcPr>
          <w:p>
            <w:pPr>
              <w:spacing w:line="360" w:lineRule="auto"/>
              <w:ind w:firstLine="0" w:firstLineChars="0"/>
              <w:rPr>
                <w:bCs/>
                <w:szCs w:val="24"/>
                <w:highlight w:val="yellow"/>
              </w:rPr>
            </w:pPr>
            <w:r>
              <w:rPr>
                <w:bCs/>
                <w:szCs w:val="24"/>
              </w:rPr>
              <w:drawing>
                <wp:inline distT="0" distB="0" distL="0" distR="0">
                  <wp:extent cx="2735580" cy="2669540"/>
                  <wp:effectExtent l="19050" t="0" r="7200" b="0"/>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8"/>
                          <pic:cNvPicPr>
                            <a:picLocks noChangeAspect="1" noChangeArrowheads="1"/>
                          </pic:cNvPicPr>
                        </pic:nvPicPr>
                        <pic:blipFill>
                          <a:blip r:embed="rId72" cstate="print"/>
                          <a:srcRect/>
                          <a:stretch>
                            <a:fillRect/>
                          </a:stretch>
                        </pic:blipFill>
                        <pic:spPr>
                          <a:xfrm>
                            <a:off x="0" y="0"/>
                            <a:ext cx="2736000" cy="2669574"/>
                          </a:xfrm>
                          <a:prstGeom prst="rect">
                            <a:avLst/>
                          </a:prstGeom>
                          <a:noFill/>
                          <a:ln w="9525">
                            <a:noFill/>
                            <a:miter lim="800000"/>
                            <a:headEnd/>
                            <a:tailEnd/>
                          </a:ln>
                        </pic:spPr>
                      </pic:pic>
                    </a:graphicData>
                  </a:graphic>
                </wp:inline>
              </w:drawing>
            </w:r>
          </w:p>
        </w:tc>
        <w:tc>
          <w:tcPr>
            <w:tcW w:w="4615" w:type="dxa"/>
            <w:vAlign w:val="center"/>
          </w:tcPr>
          <w:p>
            <w:pPr>
              <w:spacing w:line="360" w:lineRule="auto"/>
              <w:ind w:firstLine="0" w:firstLineChars="0"/>
              <w:rPr>
                <w:bCs/>
                <w:szCs w:val="24"/>
                <w:highlight w:val="yellow"/>
              </w:rPr>
            </w:pPr>
            <w:r>
              <w:rPr>
                <w:bCs/>
                <w:szCs w:val="24"/>
              </w:rPr>
              <w:drawing>
                <wp:inline distT="0" distB="0" distL="0" distR="0">
                  <wp:extent cx="2735580" cy="2425065"/>
                  <wp:effectExtent l="19050" t="0" r="7200" b="0"/>
                  <wp:docPr id="10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1"/>
                          <pic:cNvPicPr>
                            <a:picLocks noChangeAspect="1" noChangeArrowheads="1"/>
                          </pic:cNvPicPr>
                        </pic:nvPicPr>
                        <pic:blipFill>
                          <a:blip r:embed="rId73" cstate="print"/>
                          <a:srcRect/>
                          <a:stretch>
                            <a:fillRect/>
                          </a:stretch>
                        </pic:blipFill>
                        <pic:spPr>
                          <a:xfrm>
                            <a:off x="0" y="0"/>
                            <a:ext cx="2736000" cy="2425176"/>
                          </a:xfrm>
                          <a:prstGeom prst="rect">
                            <a:avLst/>
                          </a:prstGeom>
                          <a:noFill/>
                          <a:ln w="9525">
                            <a:noFill/>
                            <a:miter lim="800000"/>
                            <a:headEnd/>
                            <a:tailEnd/>
                          </a:ln>
                        </pic:spPr>
                      </pic:pic>
                    </a:graphicData>
                  </a:graphic>
                </wp:inline>
              </w:drawing>
            </w:r>
          </w:p>
        </w:tc>
      </w:tr>
    </w:tbl>
    <w:p>
      <w:pPr>
        <w:adjustRightInd w:val="0"/>
        <w:snapToGrid w:val="0"/>
        <w:ind w:firstLine="0" w:firstLineChars="0"/>
        <w:jc w:val="center"/>
        <w:rPr>
          <w:b/>
          <w:sz w:val="21"/>
        </w:rPr>
      </w:pPr>
      <w:r>
        <w:rPr>
          <w:b/>
          <w:sz w:val="21"/>
        </w:rPr>
        <w:t>图</w:t>
      </w:r>
      <w:r>
        <w:rPr>
          <w:rFonts w:hint="eastAsia"/>
          <w:b/>
          <w:sz w:val="21"/>
        </w:rPr>
        <w:t>3.4-4项目桥梁横断面设计</w:t>
      </w:r>
      <w:r>
        <w:rPr>
          <w:b/>
          <w:sz w:val="21"/>
        </w:rPr>
        <w:t>示意图</w:t>
      </w:r>
    </w:p>
    <w:p>
      <w:pPr>
        <w:ind w:firstLine="480"/>
        <w:rPr>
          <w:bCs/>
          <w:szCs w:val="24"/>
        </w:rPr>
      </w:pPr>
      <w:r>
        <w:rPr>
          <w:rFonts w:hint="eastAsia"/>
          <w:bCs/>
          <w:szCs w:val="24"/>
        </w:rPr>
        <w:t>（3）</w:t>
      </w:r>
      <w:r>
        <w:rPr>
          <w:bCs/>
          <w:szCs w:val="24"/>
        </w:rPr>
        <w:t>工程规模</w:t>
      </w:r>
    </w:p>
    <w:p>
      <w:pPr>
        <w:ind w:firstLine="480"/>
        <w:rPr>
          <w:szCs w:val="24"/>
        </w:rPr>
        <w:sectPr>
          <w:pgSz w:w="11906" w:h="16838"/>
          <w:pgMar w:top="1418" w:right="1418" w:bottom="1418" w:left="1474" w:header="964" w:footer="964" w:gutter="0"/>
          <w:cols w:space="720" w:num="1"/>
          <w:docGrid w:linePitch="326" w:charSpace="0"/>
        </w:sectPr>
      </w:pPr>
      <w:r>
        <w:rPr>
          <w:rFonts w:hint="eastAsia"/>
          <w:szCs w:val="20"/>
        </w:rPr>
        <w:t>本项目利旧路段，利用现有中桥83m/1座，小桥35m/2座，新建段设置大桥517m/3座，中桥65m/1座，涵洞51道</w:t>
      </w:r>
      <w:r>
        <w:rPr>
          <w:rFonts w:hint="eastAsia"/>
          <w:szCs w:val="24"/>
        </w:rPr>
        <w:t>。</w:t>
      </w:r>
    </w:p>
    <w:p>
      <w:pPr>
        <w:adjustRightInd w:val="0"/>
        <w:snapToGrid w:val="0"/>
        <w:ind w:firstLine="0" w:firstLineChars="0"/>
        <w:jc w:val="center"/>
        <w:rPr>
          <w:b/>
          <w:sz w:val="21"/>
        </w:rPr>
      </w:pPr>
      <w:r>
        <w:rPr>
          <w:b/>
          <w:sz w:val="21"/>
        </w:rPr>
        <w:t>表</w:t>
      </w:r>
      <w:r>
        <w:rPr>
          <w:rFonts w:hint="eastAsia"/>
          <w:b/>
          <w:sz w:val="21"/>
        </w:rPr>
        <w:t>3.4-1</w:t>
      </w:r>
      <w:r>
        <w:rPr>
          <w:b/>
          <w:sz w:val="21"/>
        </w:rPr>
        <w:t>大、中</w:t>
      </w:r>
      <w:r>
        <w:rPr>
          <w:rFonts w:hint="eastAsia"/>
          <w:b/>
          <w:sz w:val="21"/>
        </w:rPr>
        <w:t>、小</w:t>
      </w:r>
      <w:r>
        <w:rPr>
          <w:b/>
          <w:sz w:val="21"/>
        </w:rPr>
        <w:t>桥设置一览表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258"/>
        <w:gridCol w:w="816"/>
        <w:gridCol w:w="1304"/>
        <w:gridCol w:w="634"/>
        <w:gridCol w:w="639"/>
        <w:gridCol w:w="760"/>
        <w:gridCol w:w="763"/>
        <w:gridCol w:w="3203"/>
        <w:gridCol w:w="1212"/>
        <w:gridCol w:w="805"/>
        <w:gridCol w:w="973"/>
        <w:gridCol w:w="1329"/>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序号</w:t>
            </w:r>
          </w:p>
        </w:tc>
        <w:tc>
          <w:tcPr>
            <w:tcW w:w="291"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中心桩号</w:t>
            </w:r>
          </w:p>
        </w:tc>
        <w:tc>
          <w:tcPr>
            <w:tcW w:w="465"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桥名</w:t>
            </w:r>
          </w:p>
        </w:tc>
        <w:tc>
          <w:tcPr>
            <w:tcW w:w="226"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交角</w:t>
            </w:r>
          </w:p>
        </w:tc>
        <w:tc>
          <w:tcPr>
            <w:tcW w:w="228"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孔数孔径</w:t>
            </w:r>
          </w:p>
        </w:tc>
        <w:tc>
          <w:tcPr>
            <w:tcW w:w="271"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桥长</w:t>
            </w:r>
            <w:r>
              <w:rPr>
                <w:rStyle w:val="689"/>
                <w:rFonts w:hint="eastAsia" w:ascii="Times New Roman" w:hAnsi="Times New Roman" w:eastAsia="宋体" w:cs="Times New Roman"/>
                <w:color w:val="auto"/>
              </w:rPr>
              <w:t>(</w:t>
            </w:r>
            <w:r>
              <w:rPr>
                <w:rStyle w:val="688"/>
                <w:rFonts w:ascii="Times New Roman" w:hAnsi="Times New Roman" w:eastAsia="宋体" w:cs="Times New Roman"/>
                <w:color w:val="auto"/>
                <w:sz w:val="21"/>
                <w:szCs w:val="21"/>
                <w:shd w:val="clear" w:color="auto" w:fill="FFFFFF"/>
                <w:lang w:val="zh-TW"/>
              </w:rPr>
              <w:t>m)</w:t>
            </w:r>
          </w:p>
        </w:tc>
        <w:tc>
          <w:tcPr>
            <w:tcW w:w="272"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桥宽（m）</w:t>
            </w:r>
          </w:p>
        </w:tc>
        <w:tc>
          <w:tcPr>
            <w:tcW w:w="2208" w:type="pct"/>
            <w:gridSpan w:val="4"/>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结构型式</w:t>
            </w:r>
          </w:p>
        </w:tc>
        <w:tc>
          <w:tcPr>
            <w:tcW w:w="474"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面积（m</w:t>
            </w:r>
            <w:r>
              <w:rPr>
                <w:rStyle w:val="689"/>
                <w:rFonts w:hint="eastAsia" w:ascii="Times New Roman" w:hAnsi="Times New Roman" w:eastAsia="宋体" w:cs="Times New Roman"/>
                <w:color w:val="auto"/>
                <w:vertAlign w:val="superscript"/>
              </w:rPr>
              <w:t>2</w:t>
            </w:r>
            <w:r>
              <w:rPr>
                <w:rStyle w:val="689"/>
                <w:rFonts w:hint="eastAsia" w:ascii="Times New Roman" w:hAnsi="Times New Roman" w:eastAsia="宋体" w:cs="Times New Roman"/>
                <w:color w:val="auto"/>
              </w:rPr>
              <w:t>）</w:t>
            </w:r>
          </w:p>
        </w:tc>
        <w:tc>
          <w:tcPr>
            <w:tcW w:w="473"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91"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65"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26"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28"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71"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72"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142"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上部构造</w:t>
            </w:r>
          </w:p>
        </w:tc>
        <w:tc>
          <w:tcPr>
            <w:tcW w:w="719" w:type="pct"/>
            <w:gridSpan w:val="2"/>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下部构造</w:t>
            </w:r>
          </w:p>
        </w:tc>
        <w:tc>
          <w:tcPr>
            <w:tcW w:w="347"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基础</w:t>
            </w:r>
          </w:p>
        </w:tc>
        <w:tc>
          <w:tcPr>
            <w:tcW w:w="474"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91"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65"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26"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28"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71"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272"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142"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台</w:t>
            </w:r>
          </w:p>
        </w:tc>
        <w:tc>
          <w:tcPr>
            <w:tcW w:w="347"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74"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lang w:val="zh-TW"/>
              </w:rPr>
              <w:t>1</w:t>
            </w:r>
          </w:p>
        </w:tc>
        <w:tc>
          <w:tcPr>
            <w:tcW w:w="29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10</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147</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武庄子村中桥</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90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3</w:t>
            </w:r>
            <w:r>
              <w:rPr>
                <w:rStyle w:val="689"/>
                <w:rFonts w:hint="eastAsia" w:ascii="宋体" w:hAnsi="宋体" w:eastAsia="宋体" w:cs="Times New Roman"/>
                <w:color w:val="auto"/>
              </w:rPr>
              <w:t>×</w:t>
            </w:r>
            <w:r>
              <w:rPr>
                <w:rStyle w:val="689"/>
                <w:rFonts w:hint="eastAsia" w:ascii="Times New Roman" w:hAnsi="Times New Roman" w:eastAsia="宋体" w:cs="Times New Roman"/>
                <w:color w:val="auto"/>
              </w:rPr>
              <w:t>20</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65</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25.506</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预制组合箱梁</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肋板台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1657.9</w:t>
            </w:r>
          </w:p>
        </w:tc>
        <w:tc>
          <w:tcPr>
            <w:tcW w:w="473"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w:t>
            </w:r>
          </w:p>
        </w:tc>
        <w:tc>
          <w:tcPr>
            <w:tcW w:w="29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10</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305</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清水河大桥</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90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w:t>
            </w:r>
            <w:r>
              <w:rPr>
                <w:rStyle w:val="689"/>
                <w:rFonts w:hint="eastAsia" w:ascii="宋体" w:hAnsi="宋体" w:eastAsia="宋体" w:cs="Times New Roman"/>
                <w:color w:val="auto"/>
              </w:rPr>
              <w:t>×</w:t>
            </w:r>
            <w:r>
              <w:rPr>
                <w:rStyle w:val="689"/>
                <w:rFonts w:hint="eastAsia" w:ascii="Times New Roman" w:hAnsi="Times New Roman" w:eastAsia="宋体" w:cs="Times New Roman"/>
                <w:color w:val="auto"/>
              </w:rPr>
              <w:t>20</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125</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25.506</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预制组合箱梁</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肋板台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3188.3</w:t>
            </w: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3</w:t>
            </w:r>
          </w:p>
        </w:tc>
        <w:tc>
          <w:tcPr>
            <w:tcW w:w="29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11</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325</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沙河大桥</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110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7</w:t>
            </w:r>
            <w:r>
              <w:rPr>
                <w:rStyle w:val="689"/>
                <w:rFonts w:hint="eastAsia" w:ascii="宋体" w:hAnsi="宋体" w:eastAsia="宋体" w:cs="Times New Roman"/>
                <w:color w:val="auto"/>
              </w:rPr>
              <w:t>×</w:t>
            </w:r>
            <w:r>
              <w:rPr>
                <w:rStyle w:val="689"/>
                <w:rFonts w:hint="eastAsia" w:ascii="Times New Roman" w:hAnsi="Times New Roman" w:eastAsia="宋体" w:cs="Times New Roman"/>
                <w:color w:val="auto"/>
              </w:rPr>
              <w:t>20</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145</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25.506</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预制组合箱梁</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肋板台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3698.4</w:t>
            </w: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4</w:t>
            </w:r>
          </w:p>
        </w:tc>
        <w:tc>
          <w:tcPr>
            <w:tcW w:w="29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rPr>
              <w:t>K</w:t>
            </w:r>
            <w:r>
              <w:rPr>
                <w:rStyle w:val="688"/>
                <w:rFonts w:hint="eastAsia" w:ascii="Times New Roman" w:hAnsi="Times New Roman" w:eastAsia="宋体" w:cs="Times New Roman"/>
                <w:color w:val="auto"/>
                <w:sz w:val="21"/>
                <w:szCs w:val="21"/>
              </w:rPr>
              <w:t>16</w:t>
            </w:r>
            <w:r>
              <w:rPr>
                <w:rStyle w:val="688"/>
                <w:rFonts w:ascii="Times New Roman" w:hAnsi="Times New Roman" w:eastAsia="宋体" w:cs="Times New Roman"/>
                <w:color w:val="auto"/>
                <w:sz w:val="21"/>
                <w:szCs w:val="21"/>
              </w:rPr>
              <w:t>+</w:t>
            </w:r>
            <w:r>
              <w:rPr>
                <w:rStyle w:val="688"/>
                <w:rFonts w:hint="eastAsia" w:ascii="Times New Roman" w:hAnsi="Times New Roman" w:eastAsia="宋体" w:cs="Times New Roman"/>
                <w:color w:val="auto"/>
                <w:sz w:val="21"/>
                <w:szCs w:val="21"/>
              </w:rPr>
              <w:t>850</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黎河大桥</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90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8</w:t>
            </w:r>
            <w:r>
              <w:rPr>
                <w:rStyle w:val="689"/>
                <w:rFonts w:hint="eastAsia" w:ascii="宋体" w:hAnsi="宋体" w:eastAsia="宋体" w:cs="Times New Roman"/>
                <w:color w:val="auto"/>
              </w:rPr>
              <w:t>×</w:t>
            </w:r>
            <w:r>
              <w:rPr>
                <w:rStyle w:val="689"/>
                <w:rFonts w:hint="eastAsia" w:ascii="Times New Roman" w:hAnsi="Times New Roman" w:eastAsia="宋体" w:cs="Times New Roman"/>
                <w:color w:val="auto"/>
              </w:rPr>
              <w:t>20</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247</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25.506</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预制组合箱梁</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肋板台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6300.0</w:t>
            </w: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5</w:t>
            </w:r>
          </w:p>
        </w:tc>
        <w:tc>
          <w:tcPr>
            <w:tcW w:w="291"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K0+310</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90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w:t>
            </w:r>
            <w:r>
              <w:rPr>
                <w:rStyle w:val="689"/>
                <w:rFonts w:hint="eastAsia" w:ascii="宋体" w:hAnsi="宋体" w:eastAsia="宋体" w:cs="Times New Roman"/>
                <w:color w:val="auto"/>
              </w:rPr>
              <w:t>×13</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18</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24.5</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空心板</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薄壁台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441</w:t>
            </w:r>
          </w:p>
        </w:tc>
        <w:tc>
          <w:tcPr>
            <w:tcW w:w="473"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2012年建成，利旧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w:t>
            </w:r>
          </w:p>
        </w:tc>
        <w:tc>
          <w:tcPr>
            <w:tcW w:w="291"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K3+500</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90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w:t>
            </w:r>
            <w:r>
              <w:rPr>
                <w:rStyle w:val="689"/>
                <w:rFonts w:hint="eastAsia" w:ascii="宋体" w:hAnsi="宋体" w:eastAsia="宋体" w:cs="Times New Roman"/>
                <w:color w:val="auto"/>
              </w:rPr>
              <w:t>×6</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17</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24.5</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现浇板</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矩形墩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薄壁台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416.5</w:t>
            </w: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9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7</w:t>
            </w:r>
          </w:p>
        </w:tc>
        <w:tc>
          <w:tcPr>
            <w:tcW w:w="291"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K4+700</w:t>
            </w:r>
          </w:p>
        </w:tc>
        <w:tc>
          <w:tcPr>
            <w:tcW w:w="465"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22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60</w:t>
            </w:r>
          </w:p>
        </w:tc>
        <w:tc>
          <w:tcPr>
            <w:tcW w:w="228"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6</w:t>
            </w:r>
            <w:r>
              <w:rPr>
                <w:rStyle w:val="689"/>
                <w:rFonts w:hint="eastAsia" w:ascii="宋体" w:hAnsi="宋体" w:eastAsia="宋体" w:cs="Times New Roman"/>
                <w:color w:val="auto"/>
              </w:rPr>
              <w:t>×13</w:t>
            </w:r>
          </w:p>
        </w:tc>
        <w:tc>
          <w:tcPr>
            <w:tcW w:w="27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83</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24.5</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预应力混凝土</w:t>
            </w:r>
            <w:r>
              <w:rPr>
                <w:rStyle w:val="689"/>
                <w:rFonts w:hint="eastAsia" w:ascii="Times New Roman" w:hAnsi="Times New Roman" w:eastAsia="宋体" w:cs="Times New Roman"/>
                <w:color w:val="auto"/>
              </w:rPr>
              <w:t>空心板</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柱式墩</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柱式台</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桩基础</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2033.5</w:t>
            </w:r>
          </w:p>
        </w:tc>
        <w:tc>
          <w:tcPr>
            <w:tcW w:w="473"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302" w:type="pct"/>
            <w:gridSpan w:val="5"/>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合计</w:t>
            </w:r>
          </w:p>
        </w:tc>
        <w:tc>
          <w:tcPr>
            <w:tcW w:w="271"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700</w:t>
            </w:r>
          </w:p>
        </w:tc>
        <w:tc>
          <w:tcPr>
            <w:tcW w:w="27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114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432"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2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34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47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hint="eastAsia" w:ascii="Times New Roman" w:hAnsi="Times New Roman" w:eastAsia="宋体" w:cs="Times New Roman"/>
                <w:color w:val="auto"/>
              </w:rPr>
              <w:t>/</w:t>
            </w:r>
          </w:p>
        </w:tc>
        <w:tc>
          <w:tcPr>
            <w:tcW w:w="47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bl>
    <w:p>
      <w:pPr>
        <w:adjustRightInd w:val="0"/>
        <w:snapToGrid w:val="0"/>
        <w:ind w:firstLine="0" w:firstLineChars="0"/>
        <w:jc w:val="center"/>
        <w:rPr>
          <w:b/>
          <w:sz w:val="21"/>
        </w:rPr>
      </w:pPr>
      <w:r>
        <w:rPr>
          <w:b/>
          <w:sz w:val="21"/>
        </w:rPr>
        <w:t>表</w:t>
      </w:r>
      <w:r>
        <w:rPr>
          <w:rFonts w:hint="eastAsia"/>
          <w:b/>
          <w:sz w:val="21"/>
        </w:rPr>
        <w:t>3.4-2涵洞</w:t>
      </w:r>
      <w:r>
        <w:rPr>
          <w:b/>
          <w:sz w:val="21"/>
        </w:rPr>
        <w:t>设置一览表</w:t>
      </w:r>
      <w:r>
        <w:rPr>
          <w:rFonts w:hint="eastAsia"/>
          <w:b/>
          <w:sz w:val="21"/>
        </w:rPr>
        <w:t>（新建）</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569"/>
        <w:gridCol w:w="1599"/>
        <w:gridCol w:w="2841"/>
        <w:gridCol w:w="1391"/>
        <w:gridCol w:w="1399"/>
        <w:gridCol w:w="1666"/>
        <w:gridCol w:w="1666"/>
        <w:gridCol w:w="28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序号</w:t>
            </w:r>
          </w:p>
        </w:tc>
        <w:tc>
          <w:tcPr>
            <w:tcW w:w="570"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结构类型</w:t>
            </w:r>
          </w:p>
        </w:tc>
        <w:tc>
          <w:tcPr>
            <w:tcW w:w="1013"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孔数-孔径×</w:t>
            </w:r>
            <w:r>
              <w:rPr>
                <w:rStyle w:val="689"/>
                <w:rFonts w:ascii="Times New Roman" w:hAnsi="宋体" w:eastAsia="宋体" w:cs="Times New Roman"/>
                <w:color w:val="auto"/>
              </w:rPr>
              <w:t>净高</w:t>
            </w:r>
          </w:p>
        </w:tc>
        <w:tc>
          <w:tcPr>
            <w:tcW w:w="496"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道数</w:t>
            </w:r>
          </w:p>
        </w:tc>
        <w:tc>
          <w:tcPr>
            <w:tcW w:w="49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总涵长（m）</w:t>
            </w:r>
          </w:p>
        </w:tc>
        <w:tc>
          <w:tcPr>
            <w:tcW w:w="594"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净宽(</w:t>
            </w:r>
            <w:r>
              <w:rPr>
                <w:rStyle w:val="688"/>
                <w:rFonts w:ascii="Times New Roman" w:hAnsi="Times New Roman" w:eastAsia="宋体" w:cs="Times New Roman"/>
                <w:color w:val="auto"/>
                <w:sz w:val="21"/>
                <w:szCs w:val="21"/>
                <w:shd w:val="clear" w:color="auto" w:fill="FFFFFF"/>
                <w:lang w:val="zh-TW"/>
              </w:rPr>
              <w:t>m)</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净高（m）</w:t>
            </w: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lang w:val="zh-TW"/>
              </w:rPr>
              <w:t>1</w:t>
            </w:r>
          </w:p>
        </w:tc>
        <w:tc>
          <w:tcPr>
            <w:tcW w:w="570" w:type="pct"/>
            <w:vMerge w:val="restar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钢筋砼盖板涵洞</w:t>
            </w: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1-6.0×4.0</w:t>
            </w:r>
          </w:p>
        </w:tc>
        <w:tc>
          <w:tcPr>
            <w:tcW w:w="49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4</w:t>
            </w:r>
          </w:p>
        </w:tc>
        <w:tc>
          <w:tcPr>
            <w:tcW w:w="499"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132</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6</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4.0</w:t>
            </w: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2</w:t>
            </w:r>
          </w:p>
        </w:tc>
        <w:tc>
          <w:tcPr>
            <w:tcW w:w="570"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1-4.0×3.5</w:t>
            </w:r>
          </w:p>
        </w:tc>
        <w:tc>
          <w:tcPr>
            <w:tcW w:w="49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14</w:t>
            </w:r>
          </w:p>
        </w:tc>
        <w:tc>
          <w:tcPr>
            <w:tcW w:w="499"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462</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4</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3.5</w:t>
            </w: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3</w:t>
            </w:r>
          </w:p>
        </w:tc>
        <w:tc>
          <w:tcPr>
            <w:tcW w:w="570" w:type="pct"/>
            <w:vMerge w:val="continue"/>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1-2.0×2.0</w:t>
            </w:r>
          </w:p>
        </w:tc>
        <w:tc>
          <w:tcPr>
            <w:tcW w:w="49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7</w:t>
            </w:r>
          </w:p>
        </w:tc>
        <w:tc>
          <w:tcPr>
            <w:tcW w:w="499"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231</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2</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2.0</w:t>
            </w: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4</w:t>
            </w:r>
          </w:p>
        </w:tc>
        <w:tc>
          <w:tcPr>
            <w:tcW w:w="570"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钢筋砼圆管涵洞</w:t>
            </w: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1-1.5</w:t>
            </w:r>
          </w:p>
        </w:tc>
        <w:tc>
          <w:tcPr>
            <w:tcW w:w="49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20</w:t>
            </w:r>
          </w:p>
        </w:tc>
        <w:tc>
          <w:tcPr>
            <w:tcW w:w="499"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660</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20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5</w:t>
            </w:r>
          </w:p>
        </w:tc>
        <w:tc>
          <w:tcPr>
            <w:tcW w:w="570"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钢筋砼箱式通道</w:t>
            </w: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1-6.0×5.0</w:t>
            </w:r>
          </w:p>
        </w:tc>
        <w:tc>
          <w:tcPr>
            <w:tcW w:w="496"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6</w:t>
            </w:r>
          </w:p>
        </w:tc>
        <w:tc>
          <w:tcPr>
            <w:tcW w:w="499"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198</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6</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5.4</w:t>
            </w: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773" w:type="pct"/>
            <w:gridSpan w:val="2"/>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8"/>
                <w:rFonts w:ascii="Times New Roman" w:hAnsi="Times New Roman" w:eastAsia="宋体" w:cs="Times New Roman"/>
                <w:color w:val="auto"/>
                <w:sz w:val="21"/>
                <w:szCs w:val="21"/>
              </w:rPr>
              <w:t>合计</w:t>
            </w:r>
          </w:p>
        </w:tc>
        <w:tc>
          <w:tcPr>
            <w:tcW w:w="1013"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w:t>
            </w:r>
          </w:p>
        </w:tc>
        <w:tc>
          <w:tcPr>
            <w:tcW w:w="496" w:type="pct"/>
            <w:shd w:val="clear" w:color="auto" w:fill="FFFFFF"/>
            <w:vAlign w:val="center"/>
          </w:tcPr>
          <w:p>
            <w:pPr>
              <w:spacing w:line="240" w:lineRule="auto"/>
              <w:ind w:firstLine="0" w:firstLineChars="0"/>
              <w:jc w:val="center"/>
              <w:rPr>
                <w:sz w:val="21"/>
              </w:rPr>
            </w:pPr>
            <w:r>
              <w:rPr>
                <w:sz w:val="21"/>
                <w:lang w:eastAsia="zh-TW"/>
              </w:rPr>
              <w:t>51</w:t>
            </w:r>
          </w:p>
        </w:tc>
        <w:tc>
          <w:tcPr>
            <w:tcW w:w="499" w:type="pct"/>
            <w:shd w:val="clear" w:color="auto" w:fill="FFFFFF"/>
            <w:vAlign w:val="center"/>
          </w:tcPr>
          <w:p>
            <w:pPr>
              <w:spacing w:line="240" w:lineRule="auto"/>
              <w:ind w:firstLine="0" w:firstLineChars="0"/>
              <w:jc w:val="center"/>
              <w:rPr>
                <w:sz w:val="21"/>
              </w:rPr>
            </w:pPr>
            <w:r>
              <w:rPr>
                <w:sz w:val="21"/>
                <w:lang w:eastAsia="zh-TW"/>
              </w:rPr>
              <w:t>1683</w:t>
            </w: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594"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c>
          <w:tcPr>
            <w:tcW w:w="1031"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p>
        </w:tc>
      </w:tr>
    </w:tbl>
    <w:p>
      <w:pPr>
        <w:ind w:firstLine="480"/>
        <w:rPr>
          <w:bCs/>
          <w:szCs w:val="24"/>
          <w:highlight w:val="yellow"/>
        </w:rPr>
      </w:pPr>
    </w:p>
    <w:p>
      <w:pPr>
        <w:ind w:firstLine="480"/>
        <w:rPr>
          <w:bCs/>
          <w:szCs w:val="24"/>
          <w:highlight w:val="yellow"/>
        </w:rPr>
        <w:sectPr>
          <w:footerReference r:id="rId20" w:type="default"/>
          <w:pgSz w:w="16838" w:h="11906" w:orient="landscape"/>
          <w:pgMar w:top="1474" w:right="1418" w:bottom="1418" w:left="1418" w:header="964" w:footer="964" w:gutter="0"/>
          <w:cols w:space="720" w:num="1"/>
          <w:docGrid w:linePitch="326" w:charSpace="0"/>
        </w:sectPr>
      </w:pPr>
    </w:p>
    <w:p>
      <w:pPr>
        <w:pStyle w:val="204"/>
        <w:spacing w:line="480" w:lineRule="exact"/>
        <w:ind w:firstLine="0" w:firstLineChars="0"/>
        <w:outlineLvl w:val="2"/>
        <w:rPr>
          <w:b/>
          <w:sz w:val="28"/>
          <w:szCs w:val="28"/>
        </w:rPr>
      </w:pPr>
      <w:r>
        <w:rPr>
          <w:b/>
          <w:sz w:val="28"/>
          <w:szCs w:val="28"/>
        </w:rPr>
        <w:t>3.</w:t>
      </w:r>
      <w:r>
        <w:rPr>
          <w:rFonts w:hint="eastAsia"/>
          <w:b/>
          <w:sz w:val="28"/>
          <w:szCs w:val="28"/>
        </w:rPr>
        <w:t>4</w:t>
      </w:r>
      <w:r>
        <w:rPr>
          <w:b/>
          <w:sz w:val="28"/>
          <w:szCs w:val="28"/>
        </w:rPr>
        <w:t>.</w:t>
      </w:r>
      <w:r>
        <w:rPr>
          <w:rFonts w:hint="eastAsia"/>
          <w:b/>
          <w:sz w:val="28"/>
          <w:szCs w:val="28"/>
        </w:rPr>
        <w:t>4交叉工程</w:t>
      </w:r>
    </w:p>
    <w:p>
      <w:pPr>
        <w:ind w:firstLine="480"/>
        <w:rPr>
          <w:bCs/>
          <w:szCs w:val="24"/>
        </w:rPr>
      </w:pPr>
      <w:r>
        <w:rPr>
          <w:bCs/>
          <w:szCs w:val="24"/>
        </w:rPr>
        <w:t>本项目为一级公路，全线共</w:t>
      </w:r>
      <w:r>
        <w:rPr>
          <w:rFonts w:hint="eastAsia"/>
          <w:bCs/>
          <w:szCs w:val="24"/>
        </w:rPr>
        <w:t>设置</w:t>
      </w:r>
      <w:r>
        <w:rPr>
          <w:bCs/>
          <w:szCs w:val="24"/>
        </w:rPr>
        <w:t>平面交叉</w:t>
      </w:r>
      <w:r>
        <w:rPr>
          <w:rFonts w:hint="eastAsia"/>
          <w:bCs/>
          <w:szCs w:val="24"/>
        </w:rPr>
        <w:t>1</w:t>
      </w:r>
      <w:r>
        <w:rPr>
          <w:bCs/>
          <w:szCs w:val="24"/>
        </w:rPr>
        <w:t>2处</w:t>
      </w:r>
      <w:r>
        <w:rPr>
          <w:rFonts w:hint="eastAsia"/>
          <w:bCs/>
          <w:szCs w:val="24"/>
        </w:rPr>
        <w:t>，其中起、终点分别</w:t>
      </w:r>
      <w:r>
        <w:rPr>
          <w:bCs/>
          <w:szCs w:val="24"/>
        </w:rPr>
        <w:t>与既有</w:t>
      </w:r>
      <w:r>
        <w:rPr>
          <w:rFonts w:hint="eastAsia"/>
          <w:bCs/>
          <w:szCs w:val="24"/>
        </w:rPr>
        <w:t>G230</w:t>
      </w:r>
      <w:r>
        <w:rPr>
          <w:bCs/>
          <w:szCs w:val="24"/>
        </w:rPr>
        <w:t>和国道</w:t>
      </w:r>
      <w:r>
        <w:rPr>
          <w:rFonts w:hint="eastAsia"/>
          <w:bCs/>
          <w:szCs w:val="24"/>
        </w:rPr>
        <w:t>112线</w:t>
      </w:r>
      <w:r>
        <w:rPr>
          <w:bCs/>
          <w:szCs w:val="24"/>
        </w:rPr>
        <w:t>两处交叉</w:t>
      </w:r>
      <w:r>
        <w:rPr>
          <w:rFonts w:hint="eastAsia"/>
          <w:bCs/>
          <w:szCs w:val="24"/>
        </w:rPr>
        <w:t>的被交道均</w:t>
      </w:r>
      <w:r>
        <w:rPr>
          <w:bCs/>
          <w:szCs w:val="24"/>
        </w:rPr>
        <w:t>为一级公路，</w:t>
      </w:r>
      <w:r>
        <w:rPr>
          <w:rFonts w:hint="eastAsia"/>
          <w:bCs/>
          <w:szCs w:val="24"/>
        </w:rPr>
        <w:t>与S211（原S264）</w:t>
      </w:r>
      <w:r>
        <w:rPr>
          <w:bCs/>
          <w:szCs w:val="24"/>
        </w:rPr>
        <w:t>交叉的被交道为二级公路，</w:t>
      </w:r>
      <w:r>
        <w:rPr>
          <w:rFonts w:hint="eastAsia"/>
          <w:bCs/>
          <w:szCs w:val="24"/>
        </w:rPr>
        <w:t>其余</w:t>
      </w:r>
      <w:r>
        <w:rPr>
          <w:bCs/>
          <w:szCs w:val="24"/>
        </w:rPr>
        <w:t>均为地方道路</w:t>
      </w:r>
      <w:r>
        <w:rPr>
          <w:rFonts w:hint="eastAsia"/>
          <w:bCs/>
          <w:szCs w:val="24"/>
        </w:rPr>
        <w:t>。</w:t>
      </w:r>
    </w:p>
    <w:p>
      <w:pPr>
        <w:pStyle w:val="204"/>
        <w:spacing w:line="480" w:lineRule="exact"/>
        <w:ind w:firstLine="0" w:firstLineChars="0"/>
        <w:outlineLvl w:val="2"/>
        <w:rPr>
          <w:b/>
          <w:sz w:val="28"/>
          <w:szCs w:val="28"/>
        </w:rPr>
      </w:pPr>
      <w:r>
        <w:rPr>
          <w:b/>
          <w:sz w:val="28"/>
          <w:szCs w:val="28"/>
        </w:rPr>
        <w:t>3.</w:t>
      </w:r>
      <w:r>
        <w:rPr>
          <w:rFonts w:hint="eastAsia"/>
          <w:b/>
          <w:sz w:val="28"/>
          <w:szCs w:val="28"/>
        </w:rPr>
        <w:t>4</w:t>
      </w:r>
      <w:r>
        <w:rPr>
          <w:b/>
          <w:sz w:val="28"/>
          <w:szCs w:val="28"/>
        </w:rPr>
        <w:t>.</w:t>
      </w:r>
      <w:r>
        <w:rPr>
          <w:rFonts w:hint="eastAsia"/>
          <w:b/>
          <w:sz w:val="28"/>
          <w:szCs w:val="28"/>
        </w:rPr>
        <w:t>5其他工程</w:t>
      </w:r>
    </w:p>
    <w:p>
      <w:pPr>
        <w:ind w:firstLine="480"/>
        <w:rPr>
          <w:bCs/>
          <w:szCs w:val="24"/>
        </w:rPr>
      </w:pPr>
      <w:r>
        <w:rPr>
          <w:rFonts w:hint="eastAsia"/>
          <w:bCs/>
          <w:szCs w:val="24"/>
        </w:rPr>
        <w:t>本项目</w:t>
      </w:r>
      <w:r>
        <w:rPr>
          <w:bCs/>
          <w:szCs w:val="24"/>
        </w:rPr>
        <w:t>分别在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m，改路</w:t>
      </w:r>
      <w:r>
        <w:rPr>
          <w:bCs/>
          <w:szCs w:val="24"/>
        </w:rPr>
        <w:t>等级为四级公路，设计速度为</w:t>
      </w:r>
      <w:r>
        <w:rPr>
          <w:rFonts w:hint="eastAsia"/>
          <w:bCs/>
          <w:szCs w:val="24"/>
        </w:rPr>
        <w:t>20</w:t>
      </w:r>
      <w:r>
        <w:rPr>
          <w:bCs/>
          <w:szCs w:val="24"/>
        </w:rPr>
        <w:t>km/h</w:t>
      </w:r>
      <w:r>
        <w:rPr>
          <w:rFonts w:hint="eastAsia"/>
          <w:bCs/>
          <w:szCs w:val="24"/>
        </w:rPr>
        <w:t>，路面</w:t>
      </w:r>
      <w:r>
        <w:rPr>
          <w:bCs/>
          <w:szCs w:val="24"/>
        </w:rPr>
        <w:t>采用沥青</w:t>
      </w:r>
      <w:r>
        <w:rPr>
          <w:rFonts w:hint="eastAsia"/>
          <w:bCs/>
          <w:szCs w:val="24"/>
        </w:rPr>
        <w:t>混凝土</w:t>
      </w:r>
      <w:r>
        <w:rPr>
          <w:bCs/>
          <w:szCs w:val="24"/>
        </w:rPr>
        <w:t>路面</w:t>
      </w:r>
      <w:r>
        <w:rPr>
          <w:rFonts w:hint="eastAsia"/>
          <w:bCs/>
          <w:szCs w:val="24"/>
        </w:rPr>
        <w:t>。</w:t>
      </w:r>
      <w:r>
        <w:rPr>
          <w:bCs/>
          <w:szCs w:val="24"/>
        </w:rPr>
        <w:t>除K13+596</w:t>
      </w:r>
      <w:r>
        <w:rPr>
          <w:rFonts w:hint="eastAsia"/>
          <w:bCs/>
          <w:szCs w:val="24"/>
        </w:rPr>
        <w:t>处</w:t>
      </w:r>
      <w:r>
        <w:rPr>
          <w:bCs/>
          <w:szCs w:val="24"/>
        </w:rPr>
        <w:t>改路路基宽</w:t>
      </w:r>
      <w:r>
        <w:rPr>
          <w:rFonts w:hint="eastAsia"/>
          <w:bCs/>
          <w:szCs w:val="24"/>
        </w:rPr>
        <w:t>度</w:t>
      </w:r>
      <w:r>
        <w:rPr>
          <w:bCs/>
          <w:szCs w:val="24"/>
        </w:rPr>
        <w:t>采用</w:t>
      </w:r>
      <w:r>
        <w:rPr>
          <w:rFonts w:hint="eastAsia"/>
          <w:bCs/>
          <w:szCs w:val="24"/>
        </w:rPr>
        <w:t>8.</w:t>
      </w:r>
      <w:r>
        <w:rPr>
          <w:bCs/>
          <w:szCs w:val="24"/>
        </w:rPr>
        <w:t>0</w:t>
      </w:r>
      <w:r>
        <w:rPr>
          <w:rFonts w:hint="eastAsia"/>
          <w:bCs/>
          <w:szCs w:val="24"/>
        </w:rPr>
        <w:t>m，路面</w:t>
      </w:r>
      <w:r>
        <w:rPr>
          <w:bCs/>
          <w:szCs w:val="24"/>
        </w:rPr>
        <w:t>宽</w:t>
      </w:r>
      <w:r>
        <w:rPr>
          <w:rFonts w:hint="eastAsia"/>
          <w:bCs/>
          <w:szCs w:val="24"/>
        </w:rPr>
        <w:t>6m外</w:t>
      </w:r>
      <w:r>
        <w:rPr>
          <w:bCs/>
          <w:szCs w:val="24"/>
        </w:rPr>
        <w:t>，其余改路路基宽度均采用</w:t>
      </w:r>
      <w:r>
        <w:rPr>
          <w:rFonts w:hint="eastAsia"/>
          <w:bCs/>
          <w:szCs w:val="24"/>
        </w:rPr>
        <w:t>4.5m，路面</w:t>
      </w:r>
      <w:r>
        <w:rPr>
          <w:bCs/>
          <w:szCs w:val="24"/>
        </w:rPr>
        <w:t>宽度</w:t>
      </w:r>
      <w:r>
        <w:rPr>
          <w:rFonts w:hint="eastAsia"/>
          <w:bCs/>
          <w:szCs w:val="24"/>
        </w:rPr>
        <w:t>3.5m标准设置</w:t>
      </w:r>
      <w:r>
        <w:rPr>
          <w:bCs/>
          <w:szCs w:val="24"/>
        </w:rPr>
        <w:t>。</w:t>
      </w:r>
    </w:p>
    <w:p>
      <w:pPr>
        <w:pStyle w:val="204"/>
        <w:spacing w:line="480" w:lineRule="exact"/>
        <w:ind w:firstLine="0" w:firstLineChars="0"/>
        <w:outlineLvl w:val="2"/>
        <w:rPr>
          <w:b/>
          <w:sz w:val="28"/>
          <w:szCs w:val="28"/>
        </w:rPr>
      </w:pPr>
      <w:r>
        <w:rPr>
          <w:b/>
          <w:sz w:val="28"/>
          <w:szCs w:val="28"/>
        </w:rPr>
        <w:t>3.</w:t>
      </w:r>
      <w:r>
        <w:rPr>
          <w:rFonts w:hint="eastAsia"/>
          <w:b/>
          <w:sz w:val="28"/>
          <w:szCs w:val="28"/>
        </w:rPr>
        <w:t>4</w:t>
      </w:r>
      <w:r>
        <w:rPr>
          <w:b/>
          <w:sz w:val="28"/>
          <w:szCs w:val="28"/>
        </w:rPr>
        <w:t>.</w:t>
      </w:r>
      <w:r>
        <w:rPr>
          <w:rFonts w:hint="eastAsia"/>
          <w:b/>
          <w:sz w:val="28"/>
          <w:szCs w:val="28"/>
        </w:rPr>
        <w:t>6交通工程</w:t>
      </w:r>
    </w:p>
    <w:p>
      <w:pPr>
        <w:ind w:firstLine="480"/>
        <w:rPr>
          <w:bCs/>
          <w:szCs w:val="24"/>
        </w:rPr>
      </w:pPr>
      <w:r>
        <w:rPr>
          <w:rFonts w:hint="eastAsia"/>
          <w:bCs/>
          <w:szCs w:val="24"/>
        </w:rPr>
        <w:t>安全设施沿线设施的重要组成部分，是防止和减轻交通事故危害，保证交通流顺畅，行车高速、舒适的重要手段，本项目设置完备的交通安全设施，包含：交通标志、交通标线、护栏、轮廓标等。</w:t>
      </w:r>
    </w:p>
    <w:p>
      <w:pPr>
        <w:ind w:firstLine="480"/>
        <w:rPr>
          <w:bCs/>
          <w:szCs w:val="24"/>
        </w:rPr>
      </w:pPr>
      <w:r>
        <w:rPr>
          <w:bCs/>
          <w:szCs w:val="24"/>
        </w:rPr>
        <w:t>本项目交通安全设施和管理设施参照《公路交通安全设施设计技术规范》（JTJ0-47-2003）及《高速公路交通工程及沿线设施设计通用规范》</w:t>
      </w:r>
      <w:r>
        <w:rPr>
          <w:rFonts w:hint="eastAsia"/>
          <w:bCs/>
          <w:szCs w:val="24"/>
        </w:rPr>
        <w:t>（JTG D80-2006）等</w:t>
      </w:r>
      <w:r>
        <w:rPr>
          <w:bCs/>
          <w:szCs w:val="24"/>
        </w:rPr>
        <w:t>执行。本项目交通工程主要为安全设施。</w:t>
      </w:r>
    </w:p>
    <w:p>
      <w:pPr>
        <w:ind w:firstLine="480"/>
        <w:rPr>
          <w:bCs/>
          <w:szCs w:val="24"/>
        </w:rPr>
      </w:pPr>
      <w:r>
        <w:rPr>
          <w:rFonts w:hint="eastAsia"/>
          <w:bCs/>
          <w:szCs w:val="24"/>
        </w:rPr>
        <w:t>（1）</w:t>
      </w:r>
      <w:r>
        <w:rPr>
          <w:bCs/>
          <w:szCs w:val="24"/>
        </w:rPr>
        <w:t>交通安全设施</w:t>
      </w:r>
    </w:p>
    <w:p>
      <w:pPr>
        <w:ind w:firstLine="480"/>
        <w:rPr>
          <w:bCs/>
          <w:szCs w:val="24"/>
        </w:rPr>
      </w:pPr>
      <w:r>
        <w:rPr>
          <w:rFonts w:hint="eastAsia"/>
          <w:bCs/>
          <w:szCs w:val="24"/>
        </w:rPr>
        <w:t>本项目为主要集散的一级公路，全线设置的标志应符合以下要求：</w:t>
      </w:r>
    </w:p>
    <w:p>
      <w:pPr>
        <w:ind w:firstLine="480"/>
        <w:rPr>
          <w:bCs/>
          <w:szCs w:val="24"/>
        </w:rPr>
      </w:pPr>
      <w:r>
        <w:rPr>
          <w:bCs/>
          <w:szCs w:val="24"/>
        </w:rPr>
        <w:t>① 交通标志</w:t>
      </w:r>
      <w:r>
        <w:rPr>
          <w:rFonts w:hint="eastAsia"/>
          <w:bCs/>
          <w:szCs w:val="24"/>
        </w:rPr>
        <w:t>：</w:t>
      </w:r>
      <w:r>
        <w:rPr>
          <w:bCs/>
          <w:szCs w:val="24"/>
        </w:rPr>
        <w:t>为了提前预知前方道路与环境实际情况，提醒道路使用者及早识别、正确判断，设置指路标志、禁令标志、预告标志等交通标志。本项目无照明设施。因此，所设标志建议均采用反光材料制成，提高交通标志的夜间可见功能，保证交通安全。</w:t>
      </w:r>
    </w:p>
    <w:p>
      <w:pPr>
        <w:ind w:firstLine="480"/>
        <w:rPr>
          <w:bCs/>
          <w:szCs w:val="24"/>
        </w:rPr>
      </w:pPr>
      <w:r>
        <w:rPr>
          <w:bCs/>
          <w:szCs w:val="24"/>
        </w:rPr>
        <w:t>② 交通标线</w:t>
      </w:r>
      <w:r>
        <w:rPr>
          <w:rFonts w:hint="eastAsia"/>
          <w:bCs/>
          <w:szCs w:val="24"/>
        </w:rPr>
        <w:t>：</w:t>
      </w:r>
      <w:r>
        <w:rPr>
          <w:bCs/>
          <w:szCs w:val="24"/>
        </w:rPr>
        <w:t>为便于车辆和行人使用道路，需要将路面划出各种标线。路面标线主要包括宽度不同、虚实不一的车道边缘线、车道分界线、立交斑马线、导向箭头等。根据道路使用功能，分别标出右侧路缘带、车行道、硬路肩以及交叉口的渠化标线车道指向，以便车辆各行其道，完善交通流的组织，达到行车安全目的。</w:t>
      </w:r>
    </w:p>
    <w:p>
      <w:pPr>
        <w:ind w:firstLine="480"/>
        <w:rPr>
          <w:bCs/>
          <w:szCs w:val="24"/>
        </w:rPr>
      </w:pPr>
      <w:r>
        <w:rPr>
          <w:bCs/>
          <w:szCs w:val="24"/>
        </w:rPr>
        <w:t>③ 护栏</w:t>
      </w:r>
      <w:r>
        <w:rPr>
          <w:rFonts w:hint="eastAsia"/>
          <w:bCs/>
          <w:szCs w:val="24"/>
        </w:rPr>
        <w:t>：</w:t>
      </w:r>
      <w:r>
        <w:rPr>
          <w:bCs/>
          <w:szCs w:val="24"/>
        </w:rPr>
        <w:t>为使交通行驶安全，路基填方高度大于4.0m路段设置</w:t>
      </w:r>
      <w:r>
        <w:rPr>
          <w:rFonts w:hint="eastAsia"/>
          <w:bCs/>
          <w:szCs w:val="24"/>
        </w:rPr>
        <w:t>双</w:t>
      </w:r>
      <w:r>
        <w:rPr>
          <w:bCs/>
          <w:szCs w:val="24"/>
        </w:rPr>
        <w:t>侧</w:t>
      </w:r>
      <w:r>
        <w:rPr>
          <w:rFonts w:hint="eastAsia"/>
          <w:bCs/>
          <w:szCs w:val="24"/>
        </w:rPr>
        <w:t>SB</w:t>
      </w:r>
      <w:r>
        <w:rPr>
          <w:bCs/>
          <w:szCs w:val="24"/>
        </w:rPr>
        <w:t>波形柱式防撞护栏。全线均设置中分带波形梁护栏，一般路段用普通型护栏，中央分隔带开口段及桥头采用加强型护栏</w:t>
      </w:r>
      <w:r>
        <w:rPr>
          <w:rFonts w:hint="eastAsia"/>
          <w:bCs/>
          <w:szCs w:val="24"/>
        </w:rPr>
        <w:t>，防撞等级</w:t>
      </w:r>
      <w:r>
        <w:rPr>
          <w:bCs/>
          <w:szCs w:val="24"/>
        </w:rPr>
        <w:t>为</w:t>
      </w:r>
      <w:r>
        <w:rPr>
          <w:rFonts w:hint="eastAsia"/>
          <w:bCs/>
          <w:szCs w:val="24"/>
        </w:rPr>
        <w:t>A级</w:t>
      </w:r>
      <w:r>
        <w:rPr>
          <w:bCs/>
          <w:szCs w:val="24"/>
        </w:rPr>
        <w:t>。</w:t>
      </w:r>
    </w:p>
    <w:p>
      <w:pPr>
        <w:ind w:firstLine="480"/>
        <w:rPr>
          <w:bCs/>
          <w:szCs w:val="24"/>
        </w:rPr>
      </w:pPr>
      <w:r>
        <w:rPr>
          <w:bCs/>
          <w:szCs w:val="24"/>
        </w:rPr>
        <w:fldChar w:fldCharType="begin"/>
      </w:r>
      <w:r>
        <w:rPr>
          <w:rFonts w:hint="eastAsia"/>
          <w:bCs/>
          <w:szCs w:val="24"/>
        </w:rPr>
        <w:instrText xml:space="preserve">= 4 \* GB3</w:instrText>
      </w:r>
      <w:r>
        <w:rPr>
          <w:bCs/>
          <w:szCs w:val="24"/>
        </w:rPr>
        <w:fldChar w:fldCharType="separate"/>
      </w:r>
      <w:r>
        <w:rPr>
          <w:rFonts w:hint="eastAsia"/>
          <w:bCs/>
          <w:szCs w:val="24"/>
        </w:rPr>
        <w:t>④</w:t>
      </w:r>
      <w:r>
        <w:rPr>
          <w:bCs/>
          <w:szCs w:val="24"/>
        </w:rPr>
        <w:fldChar w:fldCharType="end"/>
      </w:r>
      <w:r>
        <w:rPr>
          <w:rFonts w:hint="eastAsia"/>
          <w:bCs/>
          <w:szCs w:val="24"/>
        </w:rPr>
        <w:t>轮廓标：轮廓标在正常情况下应能保持恒定的、充足的亮度，能满足大、小型车在近光和远光灯照射下的识别和照射要求；能满足降雨、降雪等特殊天气条件下显示公路轮廓的功能要求。本设计段采用柱式轮廓标和附着式轮廓标交替设置。</w:t>
      </w:r>
    </w:p>
    <w:p>
      <w:pPr>
        <w:ind w:firstLine="480"/>
        <w:rPr>
          <w:bCs/>
          <w:szCs w:val="24"/>
        </w:rPr>
      </w:pPr>
      <w:r>
        <w:rPr>
          <w:rFonts w:hint="eastAsia"/>
          <w:bCs/>
          <w:szCs w:val="24"/>
        </w:rPr>
        <w:t>（2）临时交通工程</w:t>
      </w:r>
    </w:p>
    <w:p>
      <w:pPr>
        <w:ind w:firstLine="480"/>
        <w:rPr>
          <w:bCs/>
          <w:szCs w:val="24"/>
        </w:rPr>
      </w:pPr>
      <w:r>
        <w:rPr>
          <w:rFonts w:hint="eastAsia"/>
          <w:bCs/>
          <w:szCs w:val="24"/>
        </w:rPr>
        <w:t>临时安全设施是指包括整个工程施工期间主线以及区域路网的临时标志、标线、临时隔离设施、施工及交通的警示标志、夜间施工的临时警告灯等，用于警告、提醒和引导公路使用者安全，顺畅通过改建工程作业区。</w:t>
      </w:r>
    </w:p>
    <w:p>
      <w:pPr>
        <w:ind w:firstLine="480"/>
        <w:rPr>
          <w:bCs/>
          <w:szCs w:val="24"/>
        </w:rPr>
      </w:pPr>
      <w:r>
        <w:rPr>
          <w:rFonts w:hint="eastAsia"/>
          <w:bCs/>
          <w:szCs w:val="24"/>
        </w:rPr>
        <w:t>临时安全设施应根据不同施工阶段交通组织管理的需要，做针对性设计。考虑满足本项目改建期间道路通行，临时安全设施设计应紧密配合保通方案做细部考虑，特殊路段还应做特殊设计，在满足使用功能的前提下，还应尽量经济适用。以下从临时隔离、临时标志、临时标线等方面概要叙述：</w:t>
      </w:r>
    </w:p>
    <w:p>
      <w:pPr>
        <w:ind w:firstLine="480"/>
        <w:rPr>
          <w:bCs/>
          <w:szCs w:val="24"/>
        </w:rPr>
      </w:pPr>
      <w:r>
        <w:rPr>
          <w:rFonts w:hint="eastAsia"/>
          <w:bCs/>
          <w:szCs w:val="24"/>
        </w:rPr>
        <w:t>1）临时隔离防护</w:t>
      </w:r>
    </w:p>
    <w:p>
      <w:pPr>
        <w:ind w:firstLine="480"/>
        <w:rPr>
          <w:bCs/>
          <w:szCs w:val="24"/>
        </w:rPr>
      </w:pPr>
      <w:r>
        <w:rPr>
          <w:rFonts w:hint="eastAsia"/>
          <w:bCs/>
          <w:szCs w:val="24"/>
        </w:rPr>
        <w:t>为了改建施工时主线的行车安全和改建工程的正常进行，应设置临隔离防护设施，在满足隔离设施辨认效果的前提下，隔离设施的形式可结合经济和改建工程特点而选取，且隔离设施应具备一定的防撞能力，并与诱导设施配合使用。为满足公路施工期间保通的目标，本项目路基施工组织配合交通组织设置了水马作为隔离设施。</w:t>
      </w:r>
    </w:p>
    <w:p>
      <w:pPr>
        <w:ind w:firstLine="480"/>
        <w:rPr>
          <w:bCs/>
          <w:szCs w:val="24"/>
        </w:rPr>
      </w:pPr>
      <w:r>
        <w:rPr>
          <w:rFonts w:hint="eastAsia"/>
          <w:bCs/>
          <w:szCs w:val="24"/>
        </w:rPr>
        <w:t>采用水（砂）马作临时隔离防护，设置间距2m。该材料应采用高强度环保塑胶，填砂后具有一定的缓冲弹性、吸收冲击的能力，降低交通事故。水马组合使用，整体承受力更强，更加稳固。</w:t>
      </w:r>
    </w:p>
    <w:p>
      <w:pPr>
        <w:ind w:firstLine="480"/>
        <w:rPr>
          <w:bCs/>
          <w:szCs w:val="24"/>
        </w:rPr>
      </w:pPr>
      <w:r>
        <w:rPr>
          <w:rFonts w:hint="eastAsia"/>
          <w:bCs/>
          <w:szCs w:val="24"/>
        </w:rPr>
        <w:t>2）临时标志</w:t>
      </w:r>
    </w:p>
    <w:p>
      <w:pPr>
        <w:ind w:firstLine="480"/>
        <w:rPr>
          <w:bCs/>
          <w:szCs w:val="24"/>
        </w:rPr>
      </w:pPr>
      <w:r>
        <w:rPr>
          <w:rFonts w:hint="eastAsia"/>
          <w:bCs/>
          <w:szCs w:val="24"/>
        </w:rPr>
        <w:t>临时标志方案主要是配合交通组织管理、施工等设置的警告、禁令、指示以及辅助类标志。临时交通标志主要分为两大类：</w:t>
      </w:r>
    </w:p>
    <w:p>
      <w:pPr>
        <w:ind w:firstLine="480"/>
        <w:rPr>
          <w:bCs/>
          <w:szCs w:val="24"/>
        </w:rPr>
      </w:pPr>
      <w:r>
        <w:rPr>
          <w:bCs/>
          <w:szCs w:val="24"/>
        </w:rPr>
        <w:fldChar w:fldCharType="begin"/>
      </w:r>
      <w:r>
        <w:rPr>
          <w:bCs/>
          <w:szCs w:val="24"/>
        </w:rPr>
        <w:instrText xml:space="preserve"> </w:instrText>
      </w:r>
      <w:r>
        <w:rPr>
          <w:rFonts w:hint="eastAsia"/>
          <w:bCs/>
          <w:szCs w:val="24"/>
        </w:rPr>
        <w:instrText xml:space="preserve">= 1 \* GB3</w:instrText>
      </w:r>
      <w:r>
        <w:rPr>
          <w:bCs/>
          <w:szCs w:val="24"/>
        </w:rPr>
        <w:instrText xml:space="preserve"> </w:instrText>
      </w:r>
      <w:r>
        <w:rPr>
          <w:bCs/>
          <w:szCs w:val="24"/>
        </w:rPr>
        <w:fldChar w:fldCharType="separate"/>
      </w:r>
      <w:r>
        <w:rPr>
          <w:rFonts w:hint="eastAsia"/>
          <w:bCs/>
          <w:szCs w:val="24"/>
        </w:rPr>
        <w:t>①</w:t>
      </w:r>
      <w:r>
        <w:rPr>
          <w:bCs/>
          <w:szCs w:val="24"/>
        </w:rPr>
        <w:fldChar w:fldCharType="end"/>
      </w:r>
      <w:r>
        <w:rPr>
          <w:rFonts w:hint="eastAsia"/>
          <w:bCs/>
          <w:szCs w:val="24"/>
        </w:rPr>
        <w:t>路网内的临时交通标志，主要是配合交通组织方案，设置诱导分流、禁令、指示标志；</w:t>
      </w:r>
    </w:p>
    <w:p>
      <w:pPr>
        <w:ind w:firstLine="480"/>
        <w:rPr>
          <w:bCs/>
          <w:szCs w:val="24"/>
        </w:rPr>
      </w:pPr>
      <w:r>
        <w:rPr>
          <w:bCs/>
          <w:szCs w:val="24"/>
        </w:rPr>
        <w:fldChar w:fldCharType="begin"/>
      </w:r>
      <w:r>
        <w:rPr>
          <w:bCs/>
          <w:szCs w:val="24"/>
        </w:rPr>
        <w:instrText xml:space="preserve"> </w:instrText>
      </w:r>
      <w:r>
        <w:rPr>
          <w:rFonts w:hint="eastAsia"/>
          <w:bCs/>
          <w:szCs w:val="24"/>
        </w:rPr>
        <w:instrText xml:space="preserve">= 2 \* GB3</w:instrText>
      </w:r>
      <w:r>
        <w:rPr>
          <w:bCs/>
          <w:szCs w:val="24"/>
        </w:rPr>
        <w:instrText xml:space="preserve"> </w:instrText>
      </w:r>
      <w:r>
        <w:rPr>
          <w:bCs/>
          <w:szCs w:val="24"/>
        </w:rPr>
        <w:fldChar w:fldCharType="separate"/>
      </w:r>
      <w:r>
        <w:rPr>
          <w:rFonts w:hint="eastAsia"/>
          <w:bCs/>
          <w:szCs w:val="24"/>
        </w:rPr>
        <w:t>②</w:t>
      </w:r>
      <w:r>
        <w:rPr>
          <w:bCs/>
          <w:szCs w:val="24"/>
        </w:rPr>
        <w:fldChar w:fldCharType="end"/>
      </w:r>
      <w:r>
        <w:rPr>
          <w:rFonts w:hint="eastAsia"/>
          <w:bCs/>
          <w:szCs w:val="24"/>
        </w:rPr>
        <w:t>路段上的临时标志，配合施工、交通管理等设置。</w:t>
      </w:r>
    </w:p>
    <w:p>
      <w:pPr>
        <w:ind w:firstLine="480"/>
        <w:rPr>
          <w:bCs/>
          <w:szCs w:val="24"/>
        </w:rPr>
      </w:pPr>
      <w:r>
        <w:rPr>
          <w:rFonts w:hint="eastAsia"/>
          <w:bCs/>
          <w:szCs w:val="24"/>
        </w:rPr>
        <w:t>路段上的临时交通标志主要有警告标志（如施工标志、危险标志等）、指示标志（如禁止掉头、禁止超车标志，诱导标等）、辅助标志（如：“道路施工，减速慢行”，“内有车辆出入，注意交通安全”等）。</w:t>
      </w:r>
    </w:p>
    <w:p>
      <w:pPr>
        <w:ind w:firstLine="480"/>
        <w:rPr>
          <w:bCs/>
          <w:szCs w:val="24"/>
        </w:rPr>
      </w:pPr>
      <w:r>
        <w:rPr>
          <w:rFonts w:hint="eastAsia"/>
          <w:bCs/>
          <w:szCs w:val="24"/>
        </w:rPr>
        <w:t>3）临时标线</w:t>
      </w:r>
    </w:p>
    <w:p>
      <w:pPr>
        <w:ind w:firstLine="480"/>
        <w:rPr>
          <w:bCs/>
          <w:szCs w:val="24"/>
        </w:rPr>
      </w:pPr>
      <w:r>
        <w:rPr>
          <w:rFonts w:hint="eastAsia"/>
          <w:bCs/>
          <w:szCs w:val="24"/>
        </w:rPr>
        <w:t>临时交通标线应与其他安全设施相互配合使用，保证清晰、醒目，在施工路段主动引导驾驶员行车。在改建公路的某些路段标画临时性标线时，宜采用醒目、易清除，如预成型标线带等。</w:t>
      </w:r>
    </w:p>
    <w:p>
      <w:pPr>
        <w:pStyle w:val="5"/>
        <w:spacing w:beforeLines="0" w:afterLines="0"/>
      </w:pPr>
      <w:bookmarkStart w:id="78" w:name="_Toc141284060"/>
      <w:r>
        <w:t>3.</w:t>
      </w:r>
      <w:r>
        <w:rPr>
          <w:rFonts w:hint="eastAsia"/>
        </w:rPr>
        <w:t>5临时工程</w:t>
      </w:r>
      <w:bookmarkEnd w:id="78"/>
    </w:p>
    <w:p>
      <w:pPr>
        <w:pStyle w:val="204"/>
        <w:spacing w:line="480" w:lineRule="exact"/>
        <w:ind w:firstLine="0" w:firstLineChars="0"/>
        <w:outlineLvl w:val="2"/>
        <w:rPr>
          <w:b/>
          <w:sz w:val="28"/>
          <w:szCs w:val="28"/>
        </w:rPr>
      </w:pPr>
      <w:r>
        <w:rPr>
          <w:b/>
          <w:sz w:val="28"/>
          <w:szCs w:val="28"/>
        </w:rPr>
        <w:t>3.</w:t>
      </w:r>
      <w:r>
        <w:rPr>
          <w:rFonts w:hint="eastAsia"/>
          <w:b/>
          <w:sz w:val="28"/>
          <w:szCs w:val="28"/>
        </w:rPr>
        <w:t>5</w:t>
      </w:r>
      <w:r>
        <w:rPr>
          <w:b/>
          <w:sz w:val="28"/>
          <w:szCs w:val="28"/>
        </w:rPr>
        <w:t>.</w:t>
      </w:r>
      <w:r>
        <w:rPr>
          <w:rFonts w:hint="eastAsia"/>
          <w:b/>
          <w:sz w:val="28"/>
          <w:szCs w:val="28"/>
        </w:rPr>
        <w:t>1取弃土场</w:t>
      </w:r>
    </w:p>
    <w:p>
      <w:pPr>
        <w:ind w:firstLine="480"/>
        <w:rPr>
          <w:bCs/>
          <w:szCs w:val="24"/>
        </w:rPr>
      </w:pPr>
      <w:r>
        <w:rPr>
          <w:rFonts w:hint="eastAsia"/>
          <w:bCs/>
          <w:szCs w:val="24"/>
        </w:rPr>
        <w:t>本项目挖方44172 m3，填方698426 m</w:t>
      </w:r>
      <w:r>
        <w:rPr>
          <w:rFonts w:hint="eastAsia"/>
          <w:bCs/>
          <w:szCs w:val="24"/>
          <w:vertAlign w:val="superscript"/>
        </w:rPr>
        <w:t>3</w:t>
      </w:r>
      <w:r>
        <w:rPr>
          <w:rFonts w:hint="eastAsia"/>
          <w:bCs/>
          <w:szCs w:val="24"/>
        </w:rPr>
        <w:t>，其中挖方就近用于周边道路垫路用土，项目不在设置弃土场。</w:t>
      </w:r>
    </w:p>
    <w:p>
      <w:pPr>
        <w:ind w:firstLine="480"/>
        <w:rPr>
          <w:bCs/>
          <w:szCs w:val="24"/>
        </w:rPr>
      </w:pPr>
      <w:r>
        <w:rPr>
          <w:rFonts w:hint="eastAsia"/>
          <w:bCs/>
          <w:szCs w:val="24"/>
        </w:rPr>
        <w:t>本项目修路路基用土从遵化市党峪东升石料厂购买，并通过汽车运输至施工场地。</w:t>
      </w:r>
    </w:p>
    <w:p>
      <w:pPr>
        <w:pStyle w:val="204"/>
        <w:spacing w:line="480" w:lineRule="exact"/>
        <w:ind w:firstLine="0" w:firstLineChars="0"/>
        <w:outlineLvl w:val="2"/>
        <w:rPr>
          <w:b/>
          <w:sz w:val="28"/>
          <w:szCs w:val="28"/>
        </w:rPr>
      </w:pPr>
      <w:r>
        <w:rPr>
          <w:b/>
          <w:sz w:val="28"/>
          <w:szCs w:val="28"/>
        </w:rPr>
        <w:t>3.</w:t>
      </w:r>
      <w:r>
        <w:rPr>
          <w:rFonts w:hint="eastAsia"/>
          <w:b/>
          <w:sz w:val="28"/>
          <w:szCs w:val="28"/>
        </w:rPr>
        <w:t>5</w:t>
      </w:r>
      <w:r>
        <w:rPr>
          <w:b/>
          <w:sz w:val="28"/>
          <w:szCs w:val="28"/>
        </w:rPr>
        <w:t>.</w:t>
      </w:r>
      <w:r>
        <w:rPr>
          <w:rFonts w:hint="eastAsia"/>
          <w:b/>
          <w:sz w:val="28"/>
          <w:szCs w:val="28"/>
        </w:rPr>
        <w:t>2施工生产生活区</w:t>
      </w:r>
    </w:p>
    <w:p>
      <w:pPr>
        <w:ind w:firstLine="480"/>
        <w:rPr>
          <w:bCs/>
          <w:szCs w:val="24"/>
        </w:rPr>
      </w:pPr>
      <w:r>
        <w:rPr>
          <w:rFonts w:hint="eastAsia"/>
          <w:bCs/>
          <w:szCs w:val="24"/>
        </w:rPr>
        <w:t>（1）生活区</w:t>
      </w:r>
    </w:p>
    <w:p>
      <w:pPr>
        <w:ind w:firstLine="480"/>
        <w:rPr>
          <w:bCs/>
          <w:szCs w:val="24"/>
        </w:rPr>
      </w:pPr>
      <w:r>
        <w:rPr>
          <w:rFonts w:hint="eastAsia"/>
          <w:bCs/>
          <w:szCs w:val="24"/>
        </w:rPr>
        <w:t>根据</w:t>
      </w:r>
      <w:r>
        <w:rPr>
          <w:bCs/>
          <w:szCs w:val="24"/>
        </w:rPr>
        <w:t>因工程建设需要</w:t>
      </w:r>
      <w:r>
        <w:rPr>
          <w:rFonts w:hint="eastAsia"/>
          <w:bCs/>
          <w:szCs w:val="24"/>
        </w:rPr>
        <w:t>及建设项目周边情况</w:t>
      </w:r>
      <w:r>
        <w:rPr>
          <w:bCs/>
          <w:szCs w:val="24"/>
        </w:rPr>
        <w:t>，</w:t>
      </w:r>
      <w:r>
        <w:rPr>
          <w:rFonts w:hint="eastAsia"/>
          <w:bCs/>
          <w:szCs w:val="24"/>
        </w:rPr>
        <w:t>建设单位将施工生活区设置在学汉坨村，租赁该区域的房舍作为施工人员住所。</w:t>
      </w:r>
      <w:r>
        <w:rPr>
          <w:kern w:val="24"/>
          <w:szCs w:val="24"/>
        </w:rPr>
        <w:t>本项目施工生产生活区远离</w:t>
      </w:r>
      <w:r>
        <w:rPr>
          <w:rFonts w:ascii="Arial" w:hAnsi="Arial" w:cs="Arial"/>
        </w:rPr>
        <w:t>遵化市堡子店地下水源地</w:t>
      </w:r>
      <w:r>
        <w:rPr>
          <w:kern w:val="24"/>
          <w:szCs w:val="24"/>
        </w:rPr>
        <w:t>，对周边敏感目标影响较小，选址合理。</w:t>
      </w:r>
    </w:p>
    <w:p>
      <w:pPr>
        <w:ind w:firstLine="480"/>
        <w:rPr>
          <w:bCs/>
          <w:szCs w:val="24"/>
        </w:rPr>
      </w:pPr>
      <w:r>
        <w:rPr>
          <w:rFonts w:hint="eastAsia"/>
          <w:bCs/>
          <w:szCs w:val="24"/>
        </w:rPr>
        <w:t>（2）生产区</w:t>
      </w:r>
    </w:p>
    <w:p>
      <w:pPr>
        <w:ind w:firstLine="480"/>
        <w:rPr>
          <w:bCs/>
          <w:szCs w:val="24"/>
        </w:rPr>
      </w:pPr>
      <w:r>
        <w:rPr>
          <w:rFonts w:hint="eastAsia"/>
          <w:bCs/>
          <w:szCs w:val="24"/>
        </w:rPr>
        <w:t>本项目由于施工道路比较短，建设过程中，基层混合料、水泥混凝土、沥青混凝土及桥梁预制板等均为外购，本项目不设施基层混合料、水泥混凝土、沥青混凝土的拌合站。</w:t>
      </w:r>
    </w:p>
    <w:p>
      <w:pPr>
        <w:ind w:firstLine="480"/>
        <w:rPr>
          <w:kern w:val="24"/>
          <w:szCs w:val="24"/>
        </w:rPr>
      </w:pPr>
      <w:r>
        <w:rPr>
          <w:rFonts w:hint="eastAsia"/>
          <w:kern w:val="24"/>
          <w:szCs w:val="24"/>
        </w:rPr>
        <w:t>（3）</w:t>
      </w:r>
      <w:r>
        <w:rPr>
          <w:kern w:val="24"/>
          <w:szCs w:val="24"/>
        </w:rPr>
        <w:t>施工便道</w:t>
      </w:r>
    </w:p>
    <w:p>
      <w:pPr>
        <w:pStyle w:val="473"/>
        <w:rPr>
          <w:rFonts w:ascii="Times New Roman"/>
          <w:kern w:val="24"/>
        </w:rPr>
      </w:pPr>
      <w:r>
        <w:rPr>
          <w:rFonts w:ascii="Times New Roman"/>
          <w:kern w:val="24"/>
        </w:rPr>
        <w:t>本项目施工道路利用现有</w:t>
      </w:r>
      <w:r>
        <w:rPr>
          <w:rFonts w:hint="eastAsia" w:ascii="Times New Roman"/>
          <w:kern w:val="24"/>
        </w:rPr>
        <w:t>地方道路</w:t>
      </w:r>
      <w:r>
        <w:rPr>
          <w:rFonts w:ascii="Times New Roman"/>
          <w:kern w:val="24"/>
        </w:rPr>
        <w:t>，不修建新的临时施工道路。</w:t>
      </w:r>
    </w:p>
    <w:p>
      <w:pPr>
        <w:pStyle w:val="473"/>
        <w:rPr>
          <w:rFonts w:ascii="Times New Roman" w:hAnsi="Times New Roman"/>
          <w:kern w:val="24"/>
        </w:rPr>
      </w:pPr>
      <w:r>
        <w:rPr>
          <w:rFonts w:hint="eastAsia" w:ascii="Times New Roman"/>
          <w:kern w:val="24"/>
        </w:rPr>
        <w:t>本项目施工过程中利用现有地方道路进行施工，不修建新的临时施工道路。项目不设置取土场、弃土场。施工人员生活区租赁</w:t>
      </w:r>
      <w:r>
        <w:rPr>
          <w:rFonts w:hint="eastAsia"/>
          <w:bCs/>
        </w:rPr>
        <w:t>学汉坨村房舍，不设置施工营地。项目基层混合料、水泥混凝土、沥青混凝土及桥梁预制板等均为外购，本项目不设施基层混合料、水泥混凝土、沥青混凝土的拌合站，不设置施工生产场地，项目表层土、施工使用预制板、钢材等材料均安置在道路占地区域，无临时占地工程，不新增临时占地。</w:t>
      </w:r>
    </w:p>
    <w:p>
      <w:pPr>
        <w:pStyle w:val="5"/>
        <w:spacing w:beforeLines="0" w:afterLines="0"/>
      </w:pPr>
      <w:bookmarkStart w:id="79" w:name="_Toc141284061"/>
      <w:r>
        <w:t>3.6</w:t>
      </w:r>
      <w:r>
        <w:rPr>
          <w:rFonts w:hint="eastAsia"/>
        </w:rPr>
        <w:t>土石方平衡</w:t>
      </w:r>
      <w:bookmarkEnd w:id="79"/>
    </w:p>
    <w:p>
      <w:pPr>
        <w:adjustRightInd w:val="0"/>
        <w:snapToGrid w:val="0"/>
        <w:ind w:firstLine="480"/>
        <w:rPr>
          <w:szCs w:val="24"/>
        </w:rPr>
      </w:pPr>
      <w:r>
        <w:rPr>
          <w:rFonts w:cs="宋体"/>
        </w:rPr>
        <w:t>本工程挖方</w:t>
      </w:r>
      <w:r>
        <w:rPr>
          <w:rFonts w:hint="eastAsia"/>
        </w:rPr>
        <w:t>44172m</w:t>
      </w:r>
      <w:r>
        <w:rPr>
          <w:rFonts w:hint="eastAsia"/>
          <w:vertAlign w:val="superscript"/>
        </w:rPr>
        <w:t>3</w:t>
      </w:r>
      <w:r>
        <w:rPr>
          <w:rFonts w:hint="eastAsia"/>
        </w:rPr>
        <w:t>（</w:t>
      </w:r>
      <w:r>
        <w:rPr>
          <w:rFonts w:cs="宋体"/>
        </w:rPr>
        <w:t>自然方</w:t>
      </w:r>
      <w:r>
        <w:rPr>
          <w:rFonts w:hint="eastAsia"/>
        </w:rPr>
        <w:t>），</w:t>
      </w:r>
      <w:r>
        <w:rPr>
          <w:rFonts w:cs="宋体"/>
        </w:rPr>
        <w:t>填</w:t>
      </w:r>
      <w:r>
        <w:rPr>
          <w:rFonts w:cs="宋体"/>
          <w:szCs w:val="24"/>
        </w:rPr>
        <w:t>方</w:t>
      </w:r>
      <w:r>
        <w:rPr>
          <w:szCs w:val="24"/>
        </w:rPr>
        <w:t>818119</w:t>
      </w:r>
      <w:r>
        <w:rPr>
          <w:rFonts w:eastAsia="Times New Roman"/>
          <w:szCs w:val="24"/>
        </w:rPr>
        <w:t>m</w:t>
      </w:r>
      <w:r>
        <w:rPr>
          <w:rFonts w:hint="eastAsia" w:eastAsiaTheme="minorEastAsia"/>
          <w:szCs w:val="24"/>
          <w:vertAlign w:val="superscript"/>
        </w:rPr>
        <w:t>3</w:t>
      </w:r>
      <w:r>
        <w:rPr>
          <w:rFonts w:hint="eastAsia"/>
          <w:szCs w:val="24"/>
        </w:rPr>
        <w:t>（</w:t>
      </w:r>
      <w:r>
        <w:rPr>
          <w:rFonts w:hint="eastAsia" w:cs="宋体"/>
          <w:szCs w:val="24"/>
        </w:rPr>
        <w:t>自然方</w:t>
      </w:r>
      <w:r>
        <w:rPr>
          <w:rFonts w:hint="eastAsia"/>
          <w:szCs w:val="24"/>
        </w:rPr>
        <w:t>），</w:t>
      </w:r>
      <w:r>
        <w:rPr>
          <w:rFonts w:cs="宋体"/>
          <w:szCs w:val="24"/>
        </w:rPr>
        <w:t>需借方</w:t>
      </w:r>
      <w:r>
        <w:rPr>
          <w:szCs w:val="24"/>
        </w:rPr>
        <w:t>773947</w:t>
      </w:r>
      <w:r>
        <w:rPr>
          <w:rFonts w:eastAsia="Times New Roman"/>
          <w:szCs w:val="24"/>
        </w:rPr>
        <w:t>m</w:t>
      </w:r>
      <w:r>
        <w:rPr>
          <w:rFonts w:hint="eastAsia" w:eastAsiaTheme="minorEastAsia"/>
          <w:szCs w:val="24"/>
          <w:vertAlign w:val="superscript"/>
        </w:rPr>
        <w:t>3</w:t>
      </w:r>
      <w:r>
        <w:rPr>
          <w:rFonts w:cs="宋体"/>
          <w:szCs w:val="24"/>
        </w:rPr>
        <w:t>（</w:t>
      </w:r>
      <w:r>
        <w:rPr>
          <w:rFonts w:hint="eastAsia" w:cs="宋体"/>
        </w:rPr>
        <w:t>自然方</w:t>
      </w:r>
      <w:r>
        <w:rPr>
          <w:rFonts w:cs="宋体"/>
        </w:rPr>
        <w:t>）</w:t>
      </w:r>
      <w:r>
        <w:rPr>
          <w:rFonts w:hint="eastAsia" w:cs="宋体"/>
        </w:rPr>
        <w:t>，项目不再设置取弃土场，</w:t>
      </w:r>
      <w:r>
        <w:rPr>
          <w:rFonts w:cs="宋体"/>
        </w:rPr>
        <w:t>项目所需土方</w:t>
      </w:r>
      <w:r>
        <w:rPr>
          <w:rFonts w:hint="eastAsia" w:cs="宋体"/>
        </w:rPr>
        <w:t>均外购</w:t>
      </w:r>
      <w:r>
        <w:rPr>
          <w:rFonts w:cs="宋体"/>
        </w:rPr>
        <w:t>。</w:t>
      </w:r>
      <w:r>
        <w:rPr>
          <w:rFonts w:hint="eastAsia" w:cs="宋体"/>
        </w:rPr>
        <w:t>本项目挖方量中有2</w:t>
      </w:r>
      <w:r>
        <w:rPr>
          <w:rFonts w:cs="宋体"/>
        </w:rPr>
        <w:t>7772</w:t>
      </w:r>
      <w:r>
        <w:rPr>
          <w:rFonts w:hint="eastAsia"/>
        </w:rPr>
        <w:t>m</w:t>
      </w:r>
      <w:r>
        <w:rPr>
          <w:rFonts w:hint="eastAsia"/>
          <w:vertAlign w:val="superscript"/>
        </w:rPr>
        <w:t>3</w:t>
      </w:r>
      <w:r>
        <w:rPr>
          <w:rFonts w:hint="eastAsia" w:cs="宋体"/>
        </w:rPr>
        <w:t>用于路基垫土，剩余1</w:t>
      </w:r>
      <w:r>
        <w:rPr>
          <w:rFonts w:cs="宋体"/>
        </w:rPr>
        <w:t>6400</w:t>
      </w:r>
      <w:r>
        <w:rPr>
          <w:rFonts w:hint="eastAsia" w:cs="宋体"/>
        </w:rPr>
        <w:t>m</w:t>
      </w:r>
      <w:r>
        <w:rPr>
          <w:rFonts w:hint="eastAsia" w:cs="宋体"/>
          <w:vertAlign w:val="superscript"/>
        </w:rPr>
        <w:t>3</w:t>
      </w:r>
      <w:r>
        <w:rPr>
          <w:rFonts w:hint="eastAsia" w:cs="宋体"/>
        </w:rPr>
        <w:t>属于表土，安置在路基边坡区域用于后期边坡绿化用土，本项目土石方平衡表3.5-1。</w:t>
      </w:r>
    </w:p>
    <w:p>
      <w:pPr>
        <w:ind w:firstLine="480"/>
        <w:rPr>
          <w:bCs/>
          <w:szCs w:val="24"/>
          <w:highlight w:val="yellow"/>
        </w:rPr>
        <w:sectPr>
          <w:footerReference r:id="rId21" w:type="default"/>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rFonts w:hint="eastAsia"/>
          <w:b/>
          <w:sz w:val="21"/>
        </w:rPr>
        <w:t>表3.6-1 本项目土石方平衡表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2"/>
        <w:gridCol w:w="1779"/>
        <w:gridCol w:w="620"/>
        <w:gridCol w:w="1414"/>
        <w:gridCol w:w="2228"/>
        <w:gridCol w:w="2404"/>
        <w:gridCol w:w="1599"/>
        <w:gridCol w:w="1394"/>
        <w:gridCol w:w="1305"/>
        <w:gridCol w:w="1121"/>
        <w:gridCol w:w="1360"/>
        <w:gridCol w:w="693"/>
        <w:gridCol w:w="798"/>
        <w:gridCol w:w="902"/>
        <w:gridCol w:w="663"/>
        <w:gridCol w:w="663"/>
        <w:gridCol w:w="667"/>
        <w:gridCol w:w="2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起讫桩号</w:t>
            </w:r>
          </w:p>
        </w:tc>
        <w:tc>
          <w:tcPr>
            <w:tcW w:w="148"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长度</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p>
        </w:tc>
        <w:tc>
          <w:tcPr>
            <w:tcW w:w="1441" w:type="pct"/>
            <w:gridSpan w:val="3"/>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挖方（m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024" w:type="pct"/>
            <w:gridSpan w:val="3"/>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填方（m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591"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路基垫土</w:t>
            </w:r>
            <w:r>
              <w:rPr>
                <w:rFonts w:ascii="Times New Roman" w:hAnsi="Times New Roman" w:cs="Times New Roman"/>
                <w:sz w:val="21"/>
                <w:szCs w:val="21"/>
                <w:lang w:eastAsia="zh-CN"/>
              </w:rPr>
              <w:t>利用</w:t>
            </w:r>
          </w:p>
        </w:tc>
        <w:tc>
          <w:tcPr>
            <w:tcW w:w="355"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后期绿化</w:t>
            </w:r>
            <w:r>
              <w:rPr>
                <w:rFonts w:ascii="Times New Roman" w:hAnsi="Times New Roman" w:cs="Times New Roman"/>
                <w:sz w:val="21"/>
                <w:szCs w:val="21"/>
                <w:lang w:eastAsia="zh-CN"/>
              </w:rPr>
              <w:t>利用</w:t>
            </w:r>
          </w:p>
        </w:tc>
        <w:tc>
          <w:tcPr>
            <w:tcW w:w="373" w:type="pct"/>
            <w:gridSpan w:val="2"/>
            <w:vAlign w:val="center"/>
          </w:tcPr>
          <w:p>
            <w:pPr>
              <w:pStyle w:val="675"/>
              <w:tabs>
                <w:tab w:val="left" w:pos="435"/>
              </w:tabs>
              <w:jc w:val="center"/>
              <w:rPr>
                <w:rFonts w:ascii="Times New Roman" w:hAnsi="Times New Roman" w:cs="Times New Roman"/>
                <w:w w:val="105"/>
                <w:sz w:val="21"/>
                <w:szCs w:val="21"/>
                <w:lang w:eastAsia="zh-CN"/>
              </w:rPr>
            </w:pPr>
            <w:r>
              <w:rPr>
                <w:rFonts w:ascii="Times New Roman" w:hAnsi="Times New Roman" w:cs="Times New Roman"/>
                <w:w w:val="105"/>
                <w:sz w:val="21"/>
                <w:szCs w:val="21"/>
                <w:lang w:eastAsia="zh-CN"/>
              </w:rPr>
              <w:t>借方</w:t>
            </w:r>
          </w:p>
        </w:tc>
        <w:tc>
          <w:tcPr>
            <w:tcW w:w="317" w:type="pct"/>
            <w:gridSpan w:val="2"/>
            <w:vAlign w:val="center"/>
          </w:tcPr>
          <w:p>
            <w:pPr>
              <w:pStyle w:val="675"/>
              <w:jc w:val="center"/>
              <w:rPr>
                <w:rFonts w:ascii="Times New Roman" w:hAnsi="Times New Roman" w:cs="Times New Roman"/>
                <w:w w:val="103"/>
                <w:sz w:val="21"/>
                <w:szCs w:val="21"/>
              </w:rPr>
            </w:pPr>
            <w:r>
              <w:rPr>
                <w:rFonts w:ascii="Times New Roman" w:hAnsi="Times New Roman" w:cs="Times New Roman"/>
                <w:w w:val="103"/>
                <w:sz w:val="21"/>
                <w:szCs w:val="21"/>
                <w:lang w:eastAsia="zh-CN"/>
              </w:rPr>
              <w:t>废方</w:t>
            </w:r>
          </w:p>
        </w:tc>
        <w:tc>
          <w:tcPr>
            <w:tcW w:w="57" w:type="pct"/>
            <w:vMerge w:val="restart"/>
            <w:vAlign w:val="center"/>
          </w:tcPr>
          <w:p>
            <w:pPr>
              <w:pStyle w:val="675"/>
              <w:jc w:val="center"/>
              <w:rPr>
                <w:rFonts w:ascii="Times New Roman" w:hAnsi="Times New Roman" w:cs="Times New Roman"/>
                <w:spacing w:val="12"/>
                <w:w w:val="101"/>
                <w:sz w:val="21"/>
                <w:szCs w:val="21"/>
                <w:lang w:eastAsia="zh-CN"/>
              </w:rPr>
            </w:pPr>
            <w:r>
              <w:rPr>
                <w:rFonts w:ascii="Times New Roman" w:hAnsi="Times New Roman" w:cs="Times New Roman"/>
                <w:spacing w:val="12"/>
                <w:w w:val="101"/>
                <w:sz w:val="21"/>
                <w:szCs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Merge w:val="continue"/>
            <w:vAlign w:val="center"/>
          </w:tcPr>
          <w:p>
            <w:pPr>
              <w:pStyle w:val="675"/>
              <w:jc w:val="center"/>
              <w:rPr>
                <w:rFonts w:ascii="Times New Roman" w:hAnsi="Times New Roman" w:cs="Times New Roman"/>
                <w:sz w:val="21"/>
                <w:szCs w:val="21"/>
                <w:lang w:eastAsia="zh-CN"/>
              </w:rPr>
            </w:pPr>
          </w:p>
        </w:tc>
        <w:tc>
          <w:tcPr>
            <w:tcW w:w="148" w:type="pct"/>
            <w:vMerge w:val="continue"/>
            <w:vAlign w:val="center"/>
          </w:tcPr>
          <w:p>
            <w:pPr>
              <w:pStyle w:val="675"/>
              <w:jc w:val="center"/>
              <w:rPr>
                <w:rFonts w:ascii="Times New Roman" w:hAnsi="Times New Roman" w:cs="Times New Roman"/>
                <w:sz w:val="21"/>
                <w:szCs w:val="21"/>
                <w:lang w:eastAsia="zh-CN"/>
              </w:rPr>
            </w:pP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总数量</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土方</w:t>
            </w:r>
          </w:p>
        </w:tc>
        <w:tc>
          <w:tcPr>
            <w:tcW w:w="573"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石方</w:t>
            </w: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总数量</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土方</w:t>
            </w:r>
          </w:p>
        </w:tc>
        <w:tc>
          <w:tcPr>
            <w:tcW w:w="31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石方</w:t>
            </w:r>
          </w:p>
        </w:tc>
        <w:tc>
          <w:tcPr>
            <w:tcW w:w="2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土方</w:t>
            </w:r>
          </w:p>
        </w:tc>
        <w:tc>
          <w:tcPr>
            <w:tcW w:w="3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石方</w:t>
            </w:r>
          </w:p>
        </w:tc>
        <w:tc>
          <w:tcPr>
            <w:tcW w:w="16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土方</w:t>
            </w:r>
          </w:p>
        </w:tc>
        <w:tc>
          <w:tcPr>
            <w:tcW w:w="1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石方</w:t>
            </w:r>
          </w:p>
        </w:tc>
        <w:tc>
          <w:tcPr>
            <w:tcW w:w="215" w:type="pct"/>
            <w:vAlign w:val="center"/>
          </w:tcPr>
          <w:p>
            <w:pPr>
              <w:pStyle w:val="675"/>
              <w:tabs>
                <w:tab w:val="left" w:pos="417"/>
              </w:tabs>
              <w:jc w:val="center"/>
              <w:rPr>
                <w:rFonts w:ascii="Times New Roman" w:hAnsi="Times New Roman" w:cs="Times New Roman"/>
                <w:sz w:val="21"/>
                <w:szCs w:val="21"/>
              </w:rPr>
            </w:pPr>
            <w:r>
              <w:rPr>
                <w:rFonts w:ascii="Times New Roman" w:hAnsi="Times New Roman" w:cs="Times New Roman"/>
                <w:sz w:val="21"/>
                <w:szCs w:val="21"/>
              </w:rPr>
              <w:t>土方</w:t>
            </w:r>
          </w:p>
        </w:tc>
        <w:tc>
          <w:tcPr>
            <w:tcW w:w="158" w:type="pct"/>
            <w:vAlign w:val="center"/>
          </w:tcPr>
          <w:p>
            <w:pPr>
              <w:pStyle w:val="675"/>
              <w:tabs>
                <w:tab w:val="left" w:pos="435"/>
              </w:tabs>
              <w:jc w:val="center"/>
              <w:rPr>
                <w:rFonts w:ascii="Times New Roman" w:hAnsi="Times New Roman" w:cs="Times New Roman"/>
                <w:sz w:val="21"/>
                <w:szCs w:val="21"/>
              </w:rPr>
            </w:pPr>
            <w:r>
              <w:rPr>
                <w:rFonts w:ascii="Times New Roman" w:hAnsi="Times New Roman" w:cs="Times New Roman"/>
                <w:w w:val="105"/>
                <w:sz w:val="21"/>
                <w:szCs w:val="21"/>
              </w:rPr>
              <w:t>石方</w:t>
            </w:r>
          </w:p>
        </w:tc>
        <w:tc>
          <w:tcPr>
            <w:tcW w:w="158" w:type="pct"/>
            <w:vAlign w:val="center"/>
          </w:tcPr>
          <w:p>
            <w:pPr>
              <w:pStyle w:val="675"/>
              <w:jc w:val="center"/>
              <w:rPr>
                <w:rFonts w:ascii="Times New Roman" w:hAnsi="Times New Roman" w:cs="Times New Roman"/>
                <w:sz w:val="21"/>
                <w:szCs w:val="21"/>
              </w:rPr>
            </w:pPr>
            <w:r>
              <w:rPr>
                <w:rFonts w:ascii="Times New Roman" w:hAnsi="Times New Roman" w:cs="Times New Roman"/>
                <w:w w:val="103"/>
                <w:sz w:val="21"/>
                <w:szCs w:val="21"/>
              </w:rPr>
              <w:t>土</w:t>
            </w:r>
          </w:p>
        </w:tc>
        <w:tc>
          <w:tcPr>
            <w:tcW w:w="159" w:type="pct"/>
            <w:vAlign w:val="center"/>
          </w:tcPr>
          <w:p>
            <w:pPr>
              <w:pStyle w:val="675"/>
              <w:jc w:val="center"/>
              <w:rPr>
                <w:rFonts w:ascii="Times New Roman" w:hAnsi="Times New Roman" w:cs="Times New Roman"/>
                <w:sz w:val="21"/>
                <w:szCs w:val="21"/>
              </w:rPr>
            </w:pPr>
            <w:r>
              <w:rPr>
                <w:rFonts w:ascii="Times New Roman" w:hAnsi="Times New Roman" w:cs="Times New Roman"/>
                <w:w w:val="103"/>
                <w:sz w:val="21"/>
                <w:szCs w:val="21"/>
              </w:rPr>
              <w:t>石</w:t>
            </w:r>
          </w:p>
        </w:tc>
        <w:tc>
          <w:tcPr>
            <w:tcW w:w="57" w:type="pct"/>
            <w:vMerge w:val="continue"/>
            <w:vAlign w:val="center"/>
          </w:tcPr>
          <w:p>
            <w:pPr>
              <w:pStyle w:val="675"/>
              <w:jc w:val="center"/>
              <w:rPr>
                <w:rFonts w:ascii="Times New Roman" w:hAnsi="Times New Roman" w:cs="Times New Roman"/>
                <w:spacing w:val="12"/>
                <w:w w:val="101"/>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Merge w:val="continue"/>
            <w:vAlign w:val="center"/>
          </w:tcPr>
          <w:p>
            <w:pPr>
              <w:pStyle w:val="675"/>
              <w:jc w:val="center"/>
              <w:rPr>
                <w:rFonts w:ascii="Times New Roman" w:hAnsi="Times New Roman" w:cs="Times New Roman"/>
                <w:sz w:val="21"/>
                <w:szCs w:val="21"/>
                <w:lang w:eastAsia="zh-CN"/>
              </w:rPr>
            </w:pPr>
          </w:p>
        </w:tc>
        <w:tc>
          <w:tcPr>
            <w:tcW w:w="148" w:type="pct"/>
            <w:vMerge w:val="continue"/>
            <w:vAlign w:val="center"/>
          </w:tcPr>
          <w:p>
            <w:pPr>
              <w:pStyle w:val="675"/>
              <w:jc w:val="center"/>
              <w:rPr>
                <w:rFonts w:ascii="Times New Roman" w:hAnsi="Times New Roman" w:cs="Times New Roman"/>
                <w:sz w:val="21"/>
                <w:szCs w:val="21"/>
                <w:lang w:eastAsia="zh-CN"/>
              </w:rPr>
            </w:pP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573"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31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2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3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6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21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5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5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15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w:t>
            </w:r>
          </w:p>
        </w:tc>
        <w:tc>
          <w:tcPr>
            <w:tcW w:w="57" w:type="pct"/>
            <w:vMerge w:val="continue"/>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Align w:val="center"/>
          </w:tcPr>
          <w:p>
            <w:pPr>
              <w:pStyle w:val="675"/>
              <w:jc w:val="center"/>
              <w:rPr>
                <w:rFonts w:ascii="Times New Roman" w:hAnsi="Times New Roman" w:cs="Times New Roman"/>
                <w:sz w:val="19"/>
              </w:rPr>
            </w:pPr>
            <w:r>
              <w:rPr>
                <w:rFonts w:ascii="Times New Roman" w:hAnsi="Times New Roman" w:cs="Times New Roman"/>
                <w:sz w:val="21"/>
                <w:szCs w:val="21"/>
                <w:lang w:eastAsia="zh-CN"/>
              </w:rPr>
              <w:t>K7+774.608~K8+600</w:t>
            </w:r>
          </w:p>
        </w:tc>
        <w:tc>
          <w:tcPr>
            <w:tcW w:w="148" w:type="pct"/>
            <w:vAlign w:val="center"/>
          </w:tcPr>
          <w:p>
            <w:pPr>
              <w:pStyle w:val="675"/>
              <w:jc w:val="center"/>
              <w:rPr>
                <w:rFonts w:ascii="Times New Roman" w:hAnsi="Times New Roman" w:cs="Times New Roman"/>
                <w:sz w:val="19"/>
                <w:lang w:eastAsia="zh-CN"/>
              </w:rPr>
            </w:pPr>
            <w:r>
              <w:rPr>
                <w:rFonts w:ascii="Times New Roman" w:hAnsi="Times New Roman" w:cs="Times New Roman"/>
                <w:w w:val="105"/>
                <w:sz w:val="19"/>
                <w:lang w:eastAsia="zh-CN"/>
              </w:rPr>
              <w:t>825</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3566</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3566</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39854</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39854</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2242</w:t>
            </w: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324</w:t>
            </w: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36288</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K8+600~K12+124.424</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3524</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15226</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15226</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381860</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381860</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9573</w:t>
            </w: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w:t>
            </w:r>
            <w:r>
              <w:rPr>
                <w:rFonts w:ascii="Times New Roman" w:hAnsi="Times New Roman" w:cs="Times New Roman"/>
                <w:sz w:val="21"/>
                <w:szCs w:val="21"/>
                <w:lang w:eastAsia="zh-CN"/>
              </w:rPr>
              <w:t>653</w:t>
            </w: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366634</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K12+124.424~K17+999.5</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5875</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25380</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25380</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388460</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388460</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15957</w:t>
            </w: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9</w:t>
            </w:r>
            <w:r>
              <w:rPr>
                <w:rFonts w:ascii="Times New Roman" w:hAnsi="Times New Roman" w:cs="Times New Roman"/>
                <w:sz w:val="21"/>
                <w:szCs w:val="21"/>
                <w:lang w:eastAsia="zh-CN"/>
              </w:rPr>
              <w:t>423</w:t>
            </w: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363080</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70"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改路路段</w:t>
            </w:r>
          </w:p>
        </w:tc>
        <w:tc>
          <w:tcPr>
            <w:tcW w:w="4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Cs w:val="24"/>
              </w:rPr>
              <w:t>K8+380</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154</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1559</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1559</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1559</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70" w:type="pct"/>
            <w:vMerge w:val="continue"/>
            <w:vAlign w:val="center"/>
          </w:tcPr>
          <w:p>
            <w:pPr>
              <w:pStyle w:val="675"/>
              <w:jc w:val="center"/>
              <w:rPr>
                <w:rFonts w:ascii="Times New Roman" w:hAnsi="Times New Roman" w:cs="Times New Roman"/>
                <w:sz w:val="21"/>
                <w:szCs w:val="21"/>
                <w:lang w:eastAsia="zh-CN"/>
              </w:rPr>
            </w:pPr>
          </w:p>
        </w:tc>
        <w:tc>
          <w:tcPr>
            <w:tcW w:w="4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Cs w:val="24"/>
              </w:rPr>
              <w:t>K11+942</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208</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2116</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2116</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2116</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70" w:type="pct"/>
            <w:vMerge w:val="continue"/>
            <w:vAlign w:val="center"/>
          </w:tcPr>
          <w:p>
            <w:pPr>
              <w:pStyle w:val="675"/>
              <w:jc w:val="center"/>
              <w:rPr>
                <w:rFonts w:ascii="Times New Roman" w:hAnsi="Times New Roman" w:cs="Times New Roman"/>
                <w:sz w:val="21"/>
                <w:szCs w:val="21"/>
                <w:lang w:eastAsia="zh-CN"/>
              </w:rPr>
            </w:pPr>
          </w:p>
        </w:tc>
        <w:tc>
          <w:tcPr>
            <w:tcW w:w="4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Cs w:val="24"/>
              </w:rPr>
              <w:t>K13+596</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200</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3075</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3075</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3075</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70" w:type="pct"/>
            <w:vMerge w:val="continue"/>
            <w:vAlign w:val="center"/>
          </w:tcPr>
          <w:p>
            <w:pPr>
              <w:pStyle w:val="675"/>
              <w:jc w:val="center"/>
              <w:rPr>
                <w:rFonts w:ascii="Times New Roman" w:hAnsi="Times New Roman" w:cs="Times New Roman"/>
                <w:sz w:val="21"/>
                <w:szCs w:val="21"/>
                <w:lang w:eastAsia="zh-CN"/>
              </w:rPr>
            </w:pPr>
          </w:p>
        </w:tc>
        <w:tc>
          <w:tcPr>
            <w:tcW w:w="42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Cs w:val="24"/>
              </w:rPr>
              <w:t>K14+380</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118</w:t>
            </w:r>
          </w:p>
        </w:tc>
        <w:tc>
          <w:tcPr>
            <w:tcW w:w="33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73" w:type="pct"/>
            <w:vAlign w:val="center"/>
          </w:tcPr>
          <w:p>
            <w:pPr>
              <w:pStyle w:val="675"/>
              <w:jc w:val="center"/>
              <w:rPr>
                <w:rFonts w:ascii="Times New Roman" w:hAnsi="Times New Roman" w:cs="Times New Roman"/>
                <w:sz w:val="21"/>
                <w:szCs w:val="21"/>
                <w:lang w:eastAsia="zh-CN"/>
              </w:rPr>
            </w:pPr>
          </w:p>
        </w:tc>
        <w:tc>
          <w:tcPr>
            <w:tcW w:w="38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1195</w:t>
            </w:r>
          </w:p>
        </w:tc>
        <w:tc>
          <w:tcPr>
            <w:tcW w:w="33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1195</w:t>
            </w:r>
          </w:p>
        </w:tc>
        <w:tc>
          <w:tcPr>
            <w:tcW w:w="311" w:type="pct"/>
            <w:vAlign w:val="center"/>
          </w:tcPr>
          <w:p>
            <w:pPr>
              <w:pStyle w:val="675"/>
              <w:jc w:val="center"/>
              <w:rPr>
                <w:rFonts w:ascii="Times New Roman" w:hAnsi="Times New Roman" w:cs="Times New Roman"/>
                <w:sz w:val="21"/>
                <w:szCs w:val="21"/>
                <w:lang w:eastAsia="zh-CN"/>
              </w:rPr>
            </w:pPr>
          </w:p>
        </w:tc>
        <w:tc>
          <w:tcPr>
            <w:tcW w:w="267" w:type="pct"/>
            <w:vAlign w:val="center"/>
          </w:tcPr>
          <w:p>
            <w:pPr>
              <w:pStyle w:val="675"/>
              <w:jc w:val="center"/>
              <w:rPr>
                <w:rFonts w:ascii="Times New Roman" w:hAnsi="Times New Roman" w:cs="Times New Roman"/>
                <w:sz w:val="21"/>
                <w:szCs w:val="21"/>
                <w:lang w:eastAsia="zh-CN"/>
              </w:rPr>
            </w:pPr>
          </w:p>
        </w:tc>
        <w:tc>
          <w:tcPr>
            <w:tcW w:w="324" w:type="pct"/>
            <w:vAlign w:val="center"/>
          </w:tcPr>
          <w:p>
            <w:pPr>
              <w:pStyle w:val="675"/>
              <w:jc w:val="center"/>
              <w:rPr>
                <w:rFonts w:ascii="Times New Roman" w:hAnsi="Times New Roman" w:cs="Times New Roman"/>
                <w:sz w:val="21"/>
                <w:szCs w:val="21"/>
                <w:lang w:eastAsia="zh-CN"/>
              </w:rPr>
            </w:pPr>
          </w:p>
        </w:tc>
        <w:tc>
          <w:tcPr>
            <w:tcW w:w="165" w:type="pct"/>
            <w:vAlign w:val="center"/>
          </w:tcPr>
          <w:p>
            <w:pPr>
              <w:pStyle w:val="675"/>
              <w:jc w:val="center"/>
              <w:rPr>
                <w:rFonts w:ascii="Times New Roman" w:hAnsi="Times New Roman" w:cs="Times New Roman"/>
                <w:sz w:val="21"/>
                <w:szCs w:val="21"/>
                <w:lang w:eastAsia="zh-CN"/>
              </w:rPr>
            </w:pPr>
          </w:p>
        </w:tc>
        <w:tc>
          <w:tcPr>
            <w:tcW w:w="190" w:type="pct"/>
            <w:vAlign w:val="center"/>
          </w:tcPr>
          <w:p>
            <w:pPr>
              <w:pStyle w:val="675"/>
              <w:jc w:val="center"/>
              <w:rPr>
                <w:rFonts w:ascii="Times New Roman" w:hAnsi="Times New Roman" w:cs="Times New Roman"/>
                <w:sz w:val="21"/>
                <w:szCs w:val="21"/>
                <w:lang w:eastAsia="zh-CN"/>
              </w:rPr>
            </w:pPr>
          </w:p>
        </w:tc>
        <w:tc>
          <w:tcPr>
            <w:tcW w:w="21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1195</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94" w:type="pct"/>
            <w:gridSpan w:val="2"/>
            <w:vAlign w:val="center"/>
          </w:tcPr>
          <w:p>
            <w:pPr>
              <w:pStyle w:val="675"/>
              <w:tabs>
                <w:tab w:val="left" w:pos="909"/>
              </w:tabs>
              <w:jc w:val="center"/>
              <w:rPr>
                <w:rFonts w:ascii="Times New Roman" w:hAnsi="Times New Roman" w:cs="Times New Roman"/>
                <w:sz w:val="21"/>
                <w:szCs w:val="21"/>
                <w:lang w:eastAsia="zh-CN"/>
              </w:rPr>
            </w:pPr>
            <w:r>
              <w:rPr>
                <w:rFonts w:ascii="Times New Roman" w:hAnsi="Times New Roman" w:cs="Times New Roman"/>
                <w:sz w:val="21"/>
                <w:szCs w:val="21"/>
                <w:lang w:eastAsia="zh-CN"/>
              </w:rPr>
              <w:t>合</w:t>
            </w:r>
            <w:r>
              <w:rPr>
                <w:rFonts w:ascii="Times New Roman" w:hAnsi="Times New Roman" w:cs="Times New Roman"/>
                <w:sz w:val="21"/>
                <w:szCs w:val="21"/>
                <w:lang w:eastAsia="zh-CN"/>
              </w:rPr>
              <w:tab/>
            </w:r>
            <w:r>
              <w:rPr>
                <w:rFonts w:ascii="Times New Roman" w:hAnsi="Times New Roman" w:cs="Times New Roman"/>
                <w:sz w:val="21"/>
                <w:szCs w:val="21"/>
                <w:lang w:eastAsia="zh-CN"/>
              </w:rPr>
              <w:t>计</w:t>
            </w:r>
          </w:p>
        </w:tc>
        <w:tc>
          <w:tcPr>
            <w:tcW w:w="148"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337" w:type="pct"/>
            <w:vAlign w:val="center"/>
          </w:tcPr>
          <w:p>
            <w:pPr>
              <w:spacing w:line="240" w:lineRule="auto"/>
              <w:ind w:firstLine="0" w:firstLineChars="0"/>
              <w:jc w:val="center"/>
              <w:rPr>
                <w:sz w:val="21"/>
              </w:rPr>
            </w:pPr>
            <w:r>
              <w:rPr>
                <w:sz w:val="21"/>
              </w:rPr>
              <w:t>44172</w:t>
            </w:r>
          </w:p>
        </w:tc>
        <w:tc>
          <w:tcPr>
            <w:tcW w:w="531" w:type="pct"/>
            <w:vAlign w:val="center"/>
          </w:tcPr>
          <w:p>
            <w:pPr>
              <w:spacing w:line="240" w:lineRule="auto"/>
              <w:ind w:firstLine="0" w:firstLineChars="0"/>
              <w:jc w:val="center"/>
              <w:rPr>
                <w:sz w:val="21"/>
              </w:rPr>
            </w:pPr>
            <w:r>
              <w:rPr>
                <w:sz w:val="21"/>
              </w:rPr>
              <w:t>44172</w:t>
            </w:r>
          </w:p>
        </w:tc>
        <w:tc>
          <w:tcPr>
            <w:tcW w:w="573" w:type="pct"/>
            <w:vAlign w:val="center"/>
          </w:tcPr>
          <w:p>
            <w:pPr>
              <w:spacing w:line="240" w:lineRule="auto"/>
              <w:ind w:firstLine="0" w:firstLineChars="0"/>
              <w:jc w:val="center"/>
              <w:rPr>
                <w:sz w:val="21"/>
              </w:rPr>
            </w:pPr>
          </w:p>
        </w:tc>
        <w:tc>
          <w:tcPr>
            <w:tcW w:w="381" w:type="pct"/>
            <w:vAlign w:val="center"/>
          </w:tcPr>
          <w:p>
            <w:pPr>
              <w:spacing w:line="240" w:lineRule="auto"/>
              <w:ind w:firstLine="0" w:firstLineChars="0"/>
              <w:jc w:val="center"/>
              <w:rPr>
                <w:sz w:val="21"/>
              </w:rPr>
            </w:pPr>
            <w:r>
              <w:rPr>
                <w:sz w:val="21"/>
              </w:rPr>
              <w:t>818119</w:t>
            </w:r>
          </w:p>
        </w:tc>
        <w:tc>
          <w:tcPr>
            <w:tcW w:w="332" w:type="pct"/>
            <w:vAlign w:val="center"/>
          </w:tcPr>
          <w:p>
            <w:pPr>
              <w:spacing w:line="240" w:lineRule="auto"/>
              <w:ind w:firstLine="0" w:firstLineChars="0"/>
              <w:jc w:val="center"/>
              <w:rPr>
                <w:sz w:val="21"/>
              </w:rPr>
            </w:pPr>
            <w:r>
              <w:rPr>
                <w:sz w:val="21"/>
              </w:rPr>
              <w:t>818119</w:t>
            </w:r>
          </w:p>
        </w:tc>
        <w:tc>
          <w:tcPr>
            <w:tcW w:w="311" w:type="pct"/>
            <w:vAlign w:val="center"/>
          </w:tcPr>
          <w:p>
            <w:pPr>
              <w:spacing w:line="240" w:lineRule="auto"/>
              <w:ind w:firstLine="0" w:firstLineChars="0"/>
              <w:jc w:val="center"/>
              <w:rPr>
                <w:sz w:val="21"/>
              </w:rPr>
            </w:pPr>
          </w:p>
        </w:tc>
        <w:tc>
          <w:tcPr>
            <w:tcW w:w="267" w:type="pct"/>
            <w:vAlign w:val="center"/>
          </w:tcPr>
          <w:p>
            <w:pPr>
              <w:spacing w:line="240" w:lineRule="auto"/>
              <w:ind w:firstLine="0" w:firstLineChars="0"/>
              <w:jc w:val="center"/>
              <w:rPr>
                <w:sz w:val="21"/>
              </w:rPr>
            </w:pPr>
            <w:r>
              <w:rPr>
                <w:sz w:val="21"/>
              </w:rPr>
              <w:t>27772</w:t>
            </w:r>
          </w:p>
        </w:tc>
        <w:tc>
          <w:tcPr>
            <w:tcW w:w="324" w:type="pct"/>
            <w:vAlign w:val="center"/>
          </w:tcPr>
          <w:p>
            <w:pPr>
              <w:spacing w:line="240" w:lineRule="auto"/>
              <w:ind w:firstLine="0" w:firstLineChars="0"/>
              <w:jc w:val="center"/>
              <w:rPr>
                <w:sz w:val="21"/>
              </w:rPr>
            </w:pPr>
          </w:p>
        </w:tc>
        <w:tc>
          <w:tcPr>
            <w:tcW w:w="165" w:type="pct"/>
            <w:vAlign w:val="center"/>
          </w:tcPr>
          <w:p>
            <w:pPr>
              <w:spacing w:line="240" w:lineRule="auto"/>
              <w:ind w:firstLine="0" w:firstLineChars="0"/>
              <w:jc w:val="center"/>
              <w:rPr>
                <w:sz w:val="21"/>
              </w:rPr>
            </w:pPr>
            <w:r>
              <w:rPr>
                <w:rFonts w:hint="eastAsia"/>
                <w:sz w:val="21"/>
              </w:rPr>
              <w:t>1</w:t>
            </w:r>
            <w:r>
              <w:rPr>
                <w:sz w:val="21"/>
              </w:rPr>
              <w:t>6400</w:t>
            </w:r>
          </w:p>
        </w:tc>
        <w:tc>
          <w:tcPr>
            <w:tcW w:w="190" w:type="pct"/>
            <w:vAlign w:val="center"/>
          </w:tcPr>
          <w:p>
            <w:pPr>
              <w:spacing w:line="240" w:lineRule="auto"/>
              <w:ind w:firstLine="0" w:firstLineChars="0"/>
              <w:jc w:val="center"/>
              <w:rPr>
                <w:sz w:val="21"/>
              </w:rPr>
            </w:pPr>
          </w:p>
        </w:tc>
        <w:tc>
          <w:tcPr>
            <w:tcW w:w="215" w:type="pct"/>
            <w:vAlign w:val="center"/>
          </w:tcPr>
          <w:p>
            <w:pPr>
              <w:spacing w:line="240" w:lineRule="auto"/>
              <w:ind w:firstLine="0" w:firstLineChars="0"/>
              <w:jc w:val="center"/>
              <w:rPr>
                <w:sz w:val="21"/>
              </w:rPr>
            </w:pPr>
            <w:r>
              <w:rPr>
                <w:sz w:val="21"/>
              </w:rPr>
              <w:t>773947</w:t>
            </w:r>
          </w:p>
        </w:tc>
        <w:tc>
          <w:tcPr>
            <w:tcW w:w="158" w:type="pct"/>
            <w:vAlign w:val="center"/>
          </w:tcPr>
          <w:p>
            <w:pPr>
              <w:pStyle w:val="675"/>
              <w:jc w:val="center"/>
              <w:rPr>
                <w:rFonts w:ascii="Times New Roman" w:hAnsi="Times New Roman" w:cs="Times New Roman"/>
                <w:sz w:val="21"/>
                <w:szCs w:val="21"/>
                <w:lang w:eastAsia="zh-CN"/>
              </w:rPr>
            </w:pPr>
          </w:p>
        </w:tc>
        <w:tc>
          <w:tcPr>
            <w:tcW w:w="158" w:type="pct"/>
            <w:vAlign w:val="center"/>
          </w:tcPr>
          <w:p>
            <w:pPr>
              <w:pStyle w:val="675"/>
              <w:jc w:val="center"/>
              <w:rPr>
                <w:rFonts w:ascii="Times New Roman" w:hAnsi="Times New Roman" w:cs="Times New Roman"/>
                <w:sz w:val="21"/>
                <w:szCs w:val="21"/>
                <w:lang w:eastAsia="zh-CN"/>
              </w:rPr>
            </w:pPr>
          </w:p>
        </w:tc>
        <w:tc>
          <w:tcPr>
            <w:tcW w:w="159" w:type="pct"/>
            <w:vAlign w:val="center"/>
          </w:tcPr>
          <w:p>
            <w:pPr>
              <w:pStyle w:val="675"/>
              <w:jc w:val="center"/>
              <w:rPr>
                <w:rFonts w:ascii="Times New Roman" w:hAnsi="Times New Roman" w:cs="Times New Roman"/>
                <w:sz w:val="21"/>
                <w:szCs w:val="21"/>
                <w:lang w:eastAsia="zh-CN"/>
              </w:rPr>
            </w:pPr>
          </w:p>
        </w:tc>
        <w:tc>
          <w:tcPr>
            <w:tcW w:w="57" w:type="pct"/>
            <w:vAlign w:val="center"/>
          </w:tcPr>
          <w:p>
            <w:pPr>
              <w:pStyle w:val="675"/>
              <w:jc w:val="center"/>
              <w:rPr>
                <w:rFonts w:ascii="Times New Roman" w:hAnsi="Times New Roman" w:cs="Times New Roman"/>
                <w:sz w:val="21"/>
                <w:szCs w:val="21"/>
                <w:lang w:eastAsia="zh-CN"/>
              </w:rPr>
            </w:pPr>
          </w:p>
        </w:tc>
      </w:tr>
    </w:tbl>
    <w:p>
      <w:pPr>
        <w:adjustRightInd w:val="0"/>
        <w:snapToGrid w:val="0"/>
        <w:ind w:firstLine="0" w:firstLineChars="0"/>
        <w:jc w:val="center"/>
        <w:rPr>
          <w:b/>
          <w:sz w:val="21"/>
          <w:highlight w:val="yellow"/>
        </w:rPr>
      </w:pPr>
    </w:p>
    <w:p>
      <w:pPr>
        <w:adjustRightInd w:val="0"/>
        <w:snapToGrid w:val="0"/>
        <w:ind w:firstLine="0" w:firstLineChars="0"/>
        <w:jc w:val="center"/>
        <w:rPr>
          <w:b/>
          <w:sz w:val="21"/>
          <w:highlight w:val="yellow"/>
        </w:rPr>
        <w:sectPr>
          <w:footerReference r:id="rId22" w:type="default"/>
          <w:pgSz w:w="23814" w:h="16839" w:orient="landscape"/>
          <w:pgMar w:top="1474" w:right="1418" w:bottom="1418" w:left="1418" w:header="964" w:footer="964" w:gutter="0"/>
          <w:cols w:space="720" w:num="1"/>
          <w:docGrid w:linePitch="326" w:charSpace="0"/>
        </w:sectPr>
      </w:pPr>
    </w:p>
    <w:p>
      <w:pPr>
        <w:pStyle w:val="5"/>
        <w:spacing w:beforeLines="0" w:afterLines="0"/>
      </w:pPr>
      <w:bookmarkStart w:id="80" w:name="_TOC_250048"/>
      <w:bookmarkStart w:id="81" w:name="_Toc141284062"/>
      <w:r>
        <w:t>3.</w:t>
      </w:r>
      <w:r>
        <w:rPr>
          <w:rFonts w:hint="eastAsia"/>
        </w:rPr>
        <w:t>7</w:t>
      </w:r>
      <w:r>
        <w:t>征地及拆迁</w:t>
      </w:r>
      <w:bookmarkEnd w:id="80"/>
      <w:bookmarkEnd w:id="81"/>
    </w:p>
    <w:p>
      <w:pPr>
        <w:pStyle w:val="204"/>
        <w:spacing w:line="480" w:lineRule="exact"/>
        <w:ind w:firstLine="0" w:firstLineChars="0"/>
        <w:outlineLvl w:val="2"/>
        <w:rPr>
          <w:b/>
          <w:sz w:val="28"/>
          <w:szCs w:val="28"/>
        </w:rPr>
      </w:pPr>
      <w:r>
        <w:rPr>
          <w:b/>
          <w:sz w:val="28"/>
          <w:szCs w:val="28"/>
        </w:rPr>
        <w:t>3.</w:t>
      </w:r>
      <w:r>
        <w:rPr>
          <w:rFonts w:hint="eastAsia"/>
          <w:b/>
          <w:sz w:val="28"/>
          <w:szCs w:val="28"/>
        </w:rPr>
        <w:t>7</w:t>
      </w:r>
      <w:r>
        <w:rPr>
          <w:b/>
          <w:sz w:val="28"/>
          <w:szCs w:val="28"/>
        </w:rPr>
        <w:t>.1征地</w:t>
      </w:r>
    </w:p>
    <w:p>
      <w:pPr>
        <w:ind w:firstLine="480"/>
        <w:rPr>
          <w:rFonts w:cs="宋体"/>
        </w:rPr>
      </w:pPr>
      <w:r>
        <w:rPr>
          <w:rFonts w:cs="宋体"/>
        </w:rPr>
        <w:t>本项目</w:t>
      </w:r>
      <w:r>
        <w:rPr>
          <w:rFonts w:hint="eastAsia"/>
        </w:rPr>
        <w:t>总</w:t>
      </w:r>
      <w:r>
        <w:t>占地面积</w:t>
      </w:r>
      <w:r>
        <w:rPr>
          <w:rFonts w:hint="eastAsia"/>
        </w:rPr>
        <w:t>680.9974亩（新增用地规模为648.746亩），其中旱地93.3</w:t>
      </w:r>
      <w:r>
        <w:t>39</w:t>
      </w:r>
      <w:r>
        <w:rPr>
          <w:rFonts w:hint="eastAsia"/>
        </w:rPr>
        <w:t>亩、果园379.</w:t>
      </w:r>
      <w:r>
        <w:t>150</w:t>
      </w:r>
      <w:r>
        <w:rPr>
          <w:rFonts w:hint="eastAsia"/>
        </w:rPr>
        <w:t>亩、林地60.</w:t>
      </w:r>
      <w:r>
        <w:t>584</w:t>
      </w:r>
      <w:r>
        <w:rPr>
          <w:rFonts w:hint="eastAsia"/>
        </w:rPr>
        <w:t>亩、水域9.7</w:t>
      </w:r>
      <w:r>
        <w:t>36</w:t>
      </w:r>
      <w:r>
        <w:rPr>
          <w:rFonts w:hint="eastAsia"/>
        </w:rPr>
        <w:t>亩、住宅用地73.5</w:t>
      </w:r>
      <w:r>
        <w:t>42</w:t>
      </w:r>
      <w:r>
        <w:rPr>
          <w:rFonts w:hint="eastAsia"/>
        </w:rPr>
        <w:t>亩、公路铁路用地</w:t>
      </w:r>
      <w:r>
        <w:t>32.252</w:t>
      </w:r>
      <w:r>
        <w:rPr>
          <w:rFonts w:hint="eastAsia"/>
        </w:rPr>
        <w:t>亩、未利用地24.1</w:t>
      </w:r>
      <w:r>
        <w:t>35</w:t>
      </w:r>
      <w:r>
        <w:rPr>
          <w:rFonts w:hint="eastAsia"/>
        </w:rPr>
        <w:t>亩、其它土地8.</w:t>
      </w:r>
      <w:r>
        <w:t>260</w:t>
      </w:r>
      <w:r>
        <w:rPr>
          <w:rFonts w:hint="eastAsia"/>
        </w:rPr>
        <w:t>亩</w:t>
      </w:r>
      <w:r>
        <w:rPr>
          <w:rFonts w:hint="eastAsia" w:cs="宋体"/>
        </w:rPr>
        <w:t>。</w:t>
      </w:r>
    </w:p>
    <w:p>
      <w:pPr>
        <w:ind w:firstLine="480"/>
        <w:rPr>
          <w:rFonts w:cs="宋体"/>
        </w:rPr>
      </w:pPr>
      <w:r>
        <w:t>根据《土地管理法》的相关规定，非农业建设经批准占用耕地的，应按照“占一补一”的原则，必须补充质量相当、数量相等的耕地。建设单位可以采取两种方法落实耕地占补任务。一是自行开垦数量相等、质量相当的耕地，用于该项目的占补平衡；二是以缴纳耕地开垦费的方式，委托当地国土资源部门进行补充。本项目需占用耕地面积为</w:t>
      </w:r>
      <w:r>
        <w:rPr>
          <w:rFonts w:hint="eastAsia"/>
        </w:rPr>
        <w:t>93.339</w:t>
      </w:r>
      <w:r>
        <w:t>亩(该数量是工可阶段的统计数量，最终数量以国土部门核实的为准)，建设单位承诺在本项目征地时以缴纳耕地开垦费的方式，委托当地国土资源部门补充质量相当、数量相等的耕地，落实耕地占补任务。根据项目沿线用地情况，以及项目所在区域土地利用规划，本项目占用耕地保有量的比例极小，因此就耕地保有量目标而言，本项目占用农业用地面积较少，本项目的建设对耕地保有量目标的实现不会产生制约性影响</w:t>
      </w:r>
      <w:r>
        <w:rPr>
          <w:rFonts w:cs="宋体"/>
        </w:rPr>
        <w:t>。</w:t>
      </w:r>
    </w:p>
    <w:p>
      <w:pPr>
        <w:pStyle w:val="204"/>
        <w:spacing w:line="480" w:lineRule="exact"/>
        <w:ind w:firstLine="0" w:firstLineChars="0"/>
        <w:outlineLvl w:val="2"/>
        <w:rPr>
          <w:b/>
          <w:sz w:val="28"/>
          <w:szCs w:val="28"/>
        </w:rPr>
      </w:pPr>
      <w:r>
        <w:rPr>
          <w:b/>
          <w:sz w:val="28"/>
          <w:szCs w:val="28"/>
        </w:rPr>
        <w:t>3.</w:t>
      </w:r>
      <w:r>
        <w:rPr>
          <w:rFonts w:hint="eastAsia"/>
          <w:b/>
          <w:sz w:val="28"/>
          <w:szCs w:val="28"/>
        </w:rPr>
        <w:t>7</w:t>
      </w:r>
      <w:r>
        <w:rPr>
          <w:b/>
          <w:sz w:val="28"/>
          <w:szCs w:val="28"/>
        </w:rPr>
        <w:t>.</w:t>
      </w:r>
      <w:r>
        <w:rPr>
          <w:rFonts w:hint="eastAsia"/>
          <w:b/>
          <w:sz w:val="28"/>
          <w:szCs w:val="28"/>
        </w:rPr>
        <w:t>2拆迁和树木砍伐</w:t>
      </w:r>
    </w:p>
    <w:p>
      <w:pPr>
        <w:ind w:firstLine="480"/>
        <w:rPr>
          <w:rFonts w:cs="宋体"/>
        </w:rPr>
      </w:pPr>
      <w:r>
        <w:rPr>
          <w:rFonts w:cs="宋体"/>
        </w:rPr>
        <w:t>本工程尽量绕避村庄，但仍涉及一定的拆迁量。本项目主要拆迁内容包括</w:t>
      </w:r>
      <w:r>
        <w:rPr>
          <w:rFonts w:hint="eastAsia" w:cs="宋体"/>
        </w:rPr>
        <w:t>钢架棚、砖屋、简易房、水泥坪、围墙、水井、鱼塘、蔬菜大棚、电力、电讯</w:t>
      </w:r>
      <w:r>
        <w:rPr>
          <w:rFonts w:cs="宋体"/>
        </w:rPr>
        <w:t>等。本工程</w:t>
      </w:r>
      <w:r>
        <w:rPr>
          <w:rFonts w:hint="eastAsia" w:cs="宋体"/>
        </w:rPr>
        <w:t>建筑物</w:t>
      </w:r>
      <w:r>
        <w:rPr>
          <w:rFonts w:cs="宋体"/>
        </w:rPr>
        <w:t>拆迁情况见表</w:t>
      </w:r>
      <w:r>
        <w:rPr>
          <w:rFonts w:hint="eastAsia" w:cs="宋体"/>
        </w:rPr>
        <w:t>3.7-2</w:t>
      </w:r>
      <w:r>
        <w:rPr>
          <w:rFonts w:cs="宋体"/>
        </w:rPr>
        <w:t>。本项目房屋为工程拆迁。沿线村民房屋拆迁安置采取本村、镇就地安置，各安置点由本地政府负责安排。本项目拆迁安置采用货币拆迁制，即建设单位一次性将拆迁安置费交地方政府，由地方政府解决拆迁问题。</w:t>
      </w:r>
      <w:r>
        <w:rPr>
          <w:rFonts w:hint="eastAsia" w:cs="宋体"/>
        </w:rPr>
        <w:t>本项目沿线拆迁电力、电讯及其他管线设施情况见表3.7-3。</w:t>
      </w:r>
      <w:r>
        <w:rPr>
          <w:rFonts w:cs="宋体"/>
        </w:rPr>
        <w:t>沿线占用部分林地，需要对树木进行赔偿，沿线共需砍伐树木情况见表</w:t>
      </w:r>
      <w:r>
        <w:rPr>
          <w:rFonts w:hint="eastAsia" w:cs="宋体"/>
        </w:rPr>
        <w:t>3.7-3。</w:t>
      </w:r>
    </w:p>
    <w:p>
      <w:pPr>
        <w:ind w:firstLine="480"/>
        <w:rPr>
          <w:rFonts w:cs="宋体"/>
          <w:highlight w:val="yellow"/>
        </w:rPr>
        <w:sectPr>
          <w:footerReference r:id="rId23" w:type="default"/>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3.7-1</w:t>
      </w:r>
      <w:r>
        <w:rPr>
          <w:b/>
          <w:sz w:val="21"/>
        </w:rPr>
        <w:tab/>
      </w:r>
      <w:r>
        <w:rPr>
          <w:rFonts w:hint="eastAsia"/>
          <w:b/>
          <w:sz w:val="21"/>
        </w:rPr>
        <w:t>项目工程建筑物拆迁情况一览</w:t>
      </w:r>
      <w:r>
        <w:rPr>
          <w:b/>
          <w:sz w:val="21"/>
        </w:rPr>
        <w:t>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25"/>
        <w:gridCol w:w="1111"/>
        <w:gridCol w:w="945"/>
        <w:gridCol w:w="691"/>
        <w:gridCol w:w="635"/>
        <w:gridCol w:w="655"/>
        <w:gridCol w:w="1056"/>
        <w:gridCol w:w="1103"/>
        <w:gridCol w:w="966"/>
        <w:gridCol w:w="761"/>
        <w:gridCol w:w="543"/>
        <w:gridCol w:w="430"/>
        <w:gridCol w:w="1025"/>
        <w:gridCol w:w="520"/>
        <w:gridCol w:w="714"/>
        <w:gridCol w:w="458"/>
        <w:gridCol w:w="901"/>
        <w:gridCol w:w="11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Merge w:val="restar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序号</w:t>
            </w:r>
          </w:p>
        </w:tc>
        <w:tc>
          <w:tcPr>
            <w:tcW w:w="399" w:type="pct"/>
            <w:vMerge w:val="restar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起讫里程</w:t>
            </w:r>
          </w:p>
        </w:tc>
        <w:tc>
          <w:tcPr>
            <w:tcW w:w="340" w:type="pct"/>
            <w:vMerge w:val="restar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所有者</w:t>
            </w:r>
          </w:p>
        </w:tc>
        <w:tc>
          <w:tcPr>
            <w:tcW w:w="4183" w:type="pct"/>
            <w:gridSpan w:val="15"/>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建筑物种类及数量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Merge w:val="continue"/>
            <w:vAlign w:val="center"/>
          </w:tcPr>
          <w:p>
            <w:pPr>
              <w:pStyle w:val="675"/>
              <w:jc w:val="center"/>
              <w:rPr>
                <w:rFonts w:ascii="Times New Roman" w:hAnsi="Times New Roman" w:cs="Times New Roman" w:eastAsiaTheme="minorEastAsia"/>
                <w:sz w:val="21"/>
                <w:szCs w:val="21"/>
                <w:lang w:eastAsia="zh-CN"/>
              </w:rPr>
            </w:pPr>
          </w:p>
        </w:tc>
        <w:tc>
          <w:tcPr>
            <w:tcW w:w="399" w:type="pct"/>
            <w:vMerge w:val="continue"/>
            <w:vAlign w:val="center"/>
          </w:tcPr>
          <w:p>
            <w:pPr>
              <w:pStyle w:val="675"/>
              <w:jc w:val="center"/>
              <w:rPr>
                <w:rFonts w:ascii="Times New Roman" w:hAnsi="Times New Roman" w:cs="Times New Roman" w:eastAsiaTheme="minorEastAsia"/>
                <w:sz w:val="21"/>
                <w:szCs w:val="21"/>
                <w:lang w:eastAsia="zh-CN"/>
              </w:rPr>
            </w:pPr>
          </w:p>
        </w:tc>
        <w:tc>
          <w:tcPr>
            <w:tcW w:w="340" w:type="pct"/>
            <w:vMerge w:val="continue"/>
            <w:vAlign w:val="center"/>
          </w:tcPr>
          <w:p>
            <w:pPr>
              <w:pStyle w:val="675"/>
              <w:jc w:val="center"/>
              <w:rPr>
                <w:rFonts w:ascii="Times New Roman" w:hAnsi="Times New Roman" w:cs="Times New Roman" w:eastAsiaTheme="minorEastAsia"/>
                <w:sz w:val="21"/>
                <w:szCs w:val="21"/>
                <w:lang w:eastAsia="zh-CN"/>
              </w:rPr>
            </w:pPr>
          </w:p>
        </w:tc>
        <w:tc>
          <w:tcPr>
            <w:tcW w:w="24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钢架棚</w:t>
            </w:r>
          </w:p>
        </w:tc>
        <w:tc>
          <w:tcPr>
            <w:tcW w:w="22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砖混屋</w:t>
            </w:r>
          </w:p>
        </w:tc>
        <w:tc>
          <w:tcPr>
            <w:tcW w:w="23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砖屋</w:t>
            </w:r>
          </w:p>
        </w:tc>
        <w:tc>
          <w:tcPr>
            <w:tcW w:w="37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简易房</w:t>
            </w:r>
          </w:p>
        </w:tc>
        <w:tc>
          <w:tcPr>
            <w:tcW w:w="39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水泥坪</w:t>
            </w:r>
          </w:p>
        </w:tc>
        <w:tc>
          <w:tcPr>
            <w:tcW w:w="347"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围墙</w:t>
            </w:r>
          </w:p>
        </w:tc>
        <w:tc>
          <w:tcPr>
            <w:tcW w:w="274"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水井</w:t>
            </w:r>
          </w:p>
        </w:tc>
        <w:tc>
          <w:tcPr>
            <w:tcW w:w="19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水池</w:t>
            </w:r>
          </w:p>
        </w:tc>
        <w:tc>
          <w:tcPr>
            <w:tcW w:w="153"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鱼塘</w:t>
            </w:r>
          </w:p>
        </w:tc>
        <w:tc>
          <w:tcPr>
            <w:tcW w:w="368"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蔬菜大棚</w:t>
            </w:r>
          </w:p>
        </w:tc>
        <w:tc>
          <w:tcPr>
            <w:tcW w:w="188"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地称</w:t>
            </w:r>
          </w:p>
        </w:tc>
        <w:tc>
          <w:tcPr>
            <w:tcW w:w="257"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坟墓</w:t>
            </w:r>
          </w:p>
        </w:tc>
        <w:tc>
          <w:tcPr>
            <w:tcW w:w="16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地窖</w:t>
            </w:r>
          </w:p>
        </w:tc>
        <w:tc>
          <w:tcPr>
            <w:tcW w:w="324"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厕所</w:t>
            </w:r>
          </w:p>
        </w:tc>
        <w:tc>
          <w:tcPr>
            <w:tcW w:w="417"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Merge w:val="continue"/>
            <w:vAlign w:val="center"/>
          </w:tcPr>
          <w:p>
            <w:pPr>
              <w:pStyle w:val="675"/>
              <w:jc w:val="center"/>
              <w:rPr>
                <w:rFonts w:ascii="Times New Roman" w:hAnsi="Times New Roman" w:cs="Times New Roman" w:eastAsiaTheme="minorEastAsia"/>
                <w:sz w:val="21"/>
                <w:szCs w:val="21"/>
                <w:lang w:eastAsia="zh-CN"/>
              </w:rPr>
            </w:pPr>
          </w:p>
        </w:tc>
        <w:tc>
          <w:tcPr>
            <w:tcW w:w="399" w:type="pct"/>
            <w:vMerge w:val="continue"/>
            <w:vAlign w:val="center"/>
          </w:tcPr>
          <w:p>
            <w:pPr>
              <w:pStyle w:val="675"/>
              <w:jc w:val="center"/>
              <w:rPr>
                <w:rFonts w:ascii="Times New Roman" w:hAnsi="Times New Roman" w:cs="Times New Roman" w:eastAsiaTheme="minorEastAsia"/>
                <w:sz w:val="21"/>
                <w:szCs w:val="21"/>
                <w:lang w:eastAsia="zh-CN"/>
              </w:rPr>
            </w:pPr>
          </w:p>
        </w:tc>
        <w:tc>
          <w:tcPr>
            <w:tcW w:w="340" w:type="pct"/>
            <w:vMerge w:val="continue"/>
            <w:vAlign w:val="center"/>
          </w:tcPr>
          <w:p>
            <w:pPr>
              <w:pStyle w:val="675"/>
              <w:jc w:val="center"/>
              <w:rPr>
                <w:rFonts w:ascii="Times New Roman" w:hAnsi="Times New Roman" w:cs="Times New Roman" w:eastAsiaTheme="minorEastAsia"/>
                <w:sz w:val="21"/>
                <w:szCs w:val="21"/>
                <w:lang w:eastAsia="zh-CN"/>
              </w:rPr>
            </w:pPr>
          </w:p>
        </w:tc>
        <w:tc>
          <w:tcPr>
            <w:tcW w:w="249"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229"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23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379"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39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347"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p>
        </w:tc>
        <w:tc>
          <w:tcPr>
            <w:tcW w:w="274"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口</w:t>
            </w:r>
          </w:p>
        </w:tc>
        <w:tc>
          <w:tcPr>
            <w:tcW w:w="19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个</w:t>
            </w:r>
          </w:p>
        </w:tc>
        <w:tc>
          <w:tcPr>
            <w:tcW w:w="153"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368"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m</w:t>
            </w:r>
            <w:r>
              <w:rPr>
                <w:rFonts w:hint="eastAsia" w:ascii="Times New Roman" w:hAnsi="Times New Roman" w:cs="Times New Roman" w:eastAsiaTheme="minorEastAsia"/>
                <w:sz w:val="21"/>
                <w:szCs w:val="21"/>
                <w:vertAlign w:val="superscript"/>
                <w:lang w:eastAsia="zh-CN"/>
              </w:rPr>
              <w:t>2</w:t>
            </w:r>
          </w:p>
        </w:tc>
        <w:tc>
          <w:tcPr>
            <w:tcW w:w="188"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个</w:t>
            </w:r>
          </w:p>
        </w:tc>
        <w:tc>
          <w:tcPr>
            <w:tcW w:w="257"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座</w:t>
            </w:r>
          </w:p>
        </w:tc>
        <w:tc>
          <w:tcPr>
            <w:tcW w:w="16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个</w:t>
            </w:r>
          </w:p>
        </w:tc>
        <w:tc>
          <w:tcPr>
            <w:tcW w:w="324"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个</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K7+850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z w:val="21"/>
              </w:rPr>
              <w:t>24</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2"/>
                <w:sz w:val="21"/>
              </w:rPr>
              <w:t>200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K8+150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360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2"/>
                <w:sz w:val="21"/>
              </w:rPr>
              <w:t>210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K8+155</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800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1"/>
                <w:sz w:val="21"/>
              </w:rPr>
              <w:t>330</w:t>
            </w: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K8+210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115</w:t>
            </w: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K8+220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500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115</w:t>
            </w: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K8+260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520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K8+310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250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K8+380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K8+450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K8+550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760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200</w:t>
            </w: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K8+600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z w:val="21"/>
              </w:rPr>
              <w:t>24</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K8+760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160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K10+250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K10+400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K10+780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200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K10+800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K11+150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K11+500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2500</w:t>
            </w: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K11+650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240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K11+960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K12+110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4"/>
                <w:sz w:val="21"/>
              </w:rPr>
              <w:t>16</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K12+310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1"/>
                <w:sz w:val="21"/>
              </w:rPr>
              <w:t>1000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K12+520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K12+890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K13+000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K13+580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z w:val="21"/>
              </w:rPr>
              <w:t>80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1"/>
                <w:sz w:val="21"/>
              </w:rPr>
              <w:t>1000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K13+900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240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2"/>
                <w:sz w:val="21"/>
              </w:rPr>
              <w:t>600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K14+120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K14+380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300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2"/>
                <w:sz w:val="21"/>
              </w:rPr>
              <w:t>680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K14+450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40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K14+710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K14+760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r>
              <w:rPr>
                <w:rFonts w:ascii="Times New Roman" w:hAnsi="Times New Roman" w:cs="Times New Roman" w:eastAsiaTheme="minorEastAsia"/>
                <w:spacing w:val="-9"/>
                <w:sz w:val="21"/>
                <w:szCs w:val="21"/>
                <w:lang w:eastAsia="zh-CN"/>
              </w:rPr>
              <w:t>900</w:t>
            </w: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K14+860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2"/>
                <w:sz w:val="21"/>
              </w:rPr>
              <w:t>640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K15+020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170</w:t>
            </w: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K15+060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300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K15+060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K15+100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104</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K15+140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r>
              <w:rPr>
                <w:rFonts w:ascii="Times New Roman" w:hAnsi="Times New Roman" w:cs="Times New Roman" w:eastAsiaTheme="minorEastAsia"/>
                <w:spacing w:val="-9"/>
                <w:sz w:val="21"/>
                <w:szCs w:val="21"/>
                <w:lang w:eastAsia="zh-CN"/>
              </w:rPr>
              <w:t>1800</w:t>
            </w: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1"/>
                <w:sz w:val="21"/>
              </w:rPr>
              <w:t>1200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K15+250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80</w:t>
            </w: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K15+250</w:t>
            </w:r>
          </w:p>
        </w:tc>
        <w:tc>
          <w:tcPr>
            <w:tcW w:w="340" w:type="pct"/>
            <w:vAlign w:val="center"/>
          </w:tcPr>
          <w:p>
            <w:pPr>
              <w:spacing w:line="240" w:lineRule="auto"/>
              <w:ind w:firstLine="0" w:firstLineChars="0"/>
              <w:jc w:val="center"/>
              <w:rPr>
                <w:rFonts w:eastAsiaTheme="minorEastAsia"/>
                <w:sz w:val="21"/>
              </w:rPr>
            </w:pPr>
            <w:r>
              <w:rPr>
                <w:rFonts w:eastAsiaTheme="minorEastAsia"/>
                <w:spacing w:val="6"/>
                <w:sz w:val="21"/>
              </w:rPr>
              <w:t>西留村镇</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K15+680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K15+780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48</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3"/>
                <w:sz w:val="21"/>
              </w:rPr>
              <w:t>480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K16+215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180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K16+260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2"/>
                <w:sz w:val="21"/>
              </w:rPr>
              <w:t>120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K16+300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1"/>
                <w:sz w:val="21"/>
              </w:rPr>
              <w:t>70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spacing w:line="240" w:lineRule="auto"/>
              <w:ind w:firstLine="0" w:firstLineChars="0"/>
              <w:jc w:val="center"/>
              <w:rPr>
                <w:rFonts w:eastAsiaTheme="minorEastAsia"/>
                <w:sz w:val="21"/>
              </w:rPr>
            </w:pPr>
            <w:r>
              <w:rPr>
                <w:rFonts w:eastAsiaTheme="minorEastAsia"/>
                <w:spacing w:val="2"/>
                <w:sz w:val="21"/>
              </w:rPr>
              <w:t>600</w:t>
            </w: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K16+370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120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2"/>
                <w:sz w:val="21"/>
              </w:rPr>
              <w:t>100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K16+400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120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1"/>
                <w:sz w:val="21"/>
              </w:rPr>
              <w:t>40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K16+440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spacing w:line="240" w:lineRule="auto"/>
              <w:ind w:firstLine="0" w:firstLineChars="0"/>
              <w:jc w:val="center"/>
              <w:rPr>
                <w:rFonts w:eastAsiaTheme="minorEastAsia"/>
                <w:sz w:val="21"/>
              </w:rPr>
            </w:pPr>
            <w:r>
              <w:rPr>
                <w:rFonts w:eastAsiaTheme="minorEastAsia"/>
                <w:spacing w:val="1"/>
                <w:sz w:val="21"/>
              </w:rPr>
              <w:t>40</w:t>
            </w: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K16+720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z w:val="21"/>
              </w:rPr>
              <w:t>2</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K16+750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z w:val="21"/>
              </w:rPr>
              <w:t>2</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K16+920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z w:val="21"/>
              </w:rPr>
              <w:t>4</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pacing w:val="-4"/>
                <w:sz w:val="21"/>
              </w:rPr>
              <w:t>12</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K17+060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z w:val="21"/>
              </w:rPr>
              <w:t>4</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K17+065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spacing w:line="240" w:lineRule="auto"/>
              <w:ind w:firstLine="0" w:firstLineChars="0"/>
              <w:jc w:val="center"/>
              <w:rPr>
                <w:rFonts w:eastAsiaTheme="minorEastAsia"/>
                <w:sz w:val="21"/>
              </w:rPr>
            </w:pPr>
          </w:p>
        </w:tc>
        <w:tc>
          <w:tcPr>
            <w:tcW w:w="257" w:type="pct"/>
            <w:vAlign w:val="center"/>
          </w:tcPr>
          <w:p>
            <w:pPr>
              <w:spacing w:line="240" w:lineRule="auto"/>
              <w:ind w:firstLine="0" w:firstLineChars="0"/>
              <w:jc w:val="center"/>
              <w:rPr>
                <w:rFonts w:eastAsiaTheme="minorEastAsia"/>
                <w:sz w:val="21"/>
              </w:rPr>
            </w:pPr>
            <w:r>
              <w:rPr>
                <w:rFonts w:eastAsiaTheme="minorEastAsia"/>
                <w:sz w:val="21"/>
              </w:rPr>
              <w:t>4</w:t>
            </w: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K17+080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z w:val="21"/>
              </w:rPr>
              <w:t>80</w:t>
            </w:r>
          </w:p>
        </w:tc>
        <w:tc>
          <w:tcPr>
            <w:tcW w:w="379" w:type="pct"/>
            <w:vAlign w:val="center"/>
          </w:tcPr>
          <w:p>
            <w:pPr>
              <w:spacing w:line="240" w:lineRule="auto"/>
              <w:ind w:firstLine="0" w:firstLineChars="0"/>
              <w:jc w:val="center"/>
              <w:rPr>
                <w:rFonts w:eastAsiaTheme="minorEastAsia"/>
                <w:sz w:val="21"/>
              </w:rPr>
            </w:pPr>
            <w:r>
              <w:rPr>
                <w:rFonts w:eastAsiaTheme="minorEastAsia"/>
                <w:spacing w:val="-2"/>
                <w:sz w:val="21"/>
              </w:rPr>
              <w:t>120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160</w:t>
            </w: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56</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K17+085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40</w:t>
            </w:r>
          </w:p>
        </w:tc>
        <w:tc>
          <w:tcPr>
            <w:tcW w:w="379" w:type="pct"/>
            <w:vAlign w:val="center"/>
          </w:tcPr>
          <w:p>
            <w:pPr>
              <w:spacing w:line="240" w:lineRule="auto"/>
              <w:ind w:firstLine="0" w:firstLineChars="0"/>
              <w:jc w:val="center"/>
              <w:rPr>
                <w:rFonts w:eastAsiaTheme="minorEastAsia"/>
                <w:sz w:val="21"/>
              </w:rPr>
            </w:pPr>
            <w:r>
              <w:rPr>
                <w:rFonts w:eastAsiaTheme="minorEastAsia"/>
                <w:spacing w:val="-2"/>
                <w:sz w:val="21"/>
              </w:rPr>
              <w:t>140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160</w:t>
            </w: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57</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K17+200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z w:val="21"/>
              </w:rPr>
              <w:t>80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58</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K17+250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675"/>
              <w:jc w:val="center"/>
              <w:rPr>
                <w:rFonts w:ascii="Times New Roman" w:hAnsi="Times New Roman" w:cs="Times New Roman" w:eastAsiaTheme="minorEastAsia"/>
                <w:sz w:val="21"/>
                <w:szCs w:val="21"/>
                <w:lang w:eastAsia="zh-CN"/>
              </w:rPr>
            </w:pP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spacing w:line="240" w:lineRule="auto"/>
              <w:ind w:firstLine="0" w:firstLineChars="0"/>
              <w:jc w:val="center"/>
              <w:rPr>
                <w:rFonts w:eastAsiaTheme="minorEastAsia"/>
                <w:sz w:val="21"/>
              </w:rPr>
            </w:pPr>
            <w:r>
              <w:rPr>
                <w:rFonts w:eastAsiaTheme="minorEastAsia"/>
                <w:sz w:val="21"/>
              </w:rPr>
              <w:t>60</w:t>
            </w: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59</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K17+320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60</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K17+330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105</w:t>
            </w:r>
          </w:p>
        </w:tc>
        <w:tc>
          <w:tcPr>
            <w:tcW w:w="379" w:type="pct"/>
            <w:vAlign w:val="center"/>
          </w:tcPr>
          <w:p>
            <w:pPr>
              <w:spacing w:line="240" w:lineRule="auto"/>
              <w:ind w:firstLine="0" w:firstLineChars="0"/>
              <w:jc w:val="center"/>
              <w:rPr>
                <w:rFonts w:eastAsiaTheme="minorEastAsia"/>
                <w:sz w:val="21"/>
              </w:rPr>
            </w:pPr>
            <w:r>
              <w:rPr>
                <w:rFonts w:eastAsiaTheme="minorEastAsia"/>
                <w:spacing w:val="2"/>
                <w:sz w:val="21"/>
              </w:rPr>
              <w:t>240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61</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K17+420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pacing w:val="2"/>
                <w:sz w:val="21"/>
              </w:rPr>
              <w:t>200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spacing w:line="240" w:lineRule="auto"/>
              <w:ind w:firstLine="0" w:firstLineChars="0"/>
              <w:jc w:val="center"/>
              <w:rPr>
                <w:rFonts w:eastAsiaTheme="minorEastAsia"/>
                <w:sz w:val="21"/>
              </w:rPr>
            </w:pPr>
            <w:r>
              <w:rPr>
                <w:rFonts w:eastAsiaTheme="minorEastAsia"/>
                <w:sz w:val="21"/>
              </w:rPr>
              <w:t>1</w:t>
            </w: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1</w:t>
            </w: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62</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K17+440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79" w:type="pct"/>
            <w:vAlign w:val="center"/>
          </w:tcPr>
          <w:p>
            <w:pPr>
              <w:spacing w:line="240" w:lineRule="auto"/>
              <w:ind w:firstLine="0" w:firstLineChars="0"/>
              <w:jc w:val="center"/>
              <w:rPr>
                <w:rFonts w:eastAsiaTheme="minorEastAsia"/>
                <w:sz w:val="21"/>
              </w:rPr>
            </w:pPr>
            <w:r>
              <w:rPr>
                <w:rFonts w:eastAsiaTheme="minorEastAsia"/>
                <w:spacing w:val="-2"/>
                <w:sz w:val="21"/>
              </w:rPr>
              <w:t>120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63</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K17+445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240</w:t>
            </w:r>
          </w:p>
        </w:tc>
        <w:tc>
          <w:tcPr>
            <w:tcW w:w="379"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64</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K17+460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65</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K17+460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K17+475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K17+475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K17+490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K17+490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70</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K17+505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71</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K17+505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72</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73</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74</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K17+535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75</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K17+535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K17+550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K17+550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K17+565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79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K17+565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80</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K17+580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81</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K17+580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82</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K17+595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83</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K17+595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300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84</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K17+610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85</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K17+610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K17+625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K17+625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K17+640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89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K17+640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90</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K17+655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91</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K17+655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92</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K17+670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93</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K17+670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94</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K17+685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95</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K17+685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K17+715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99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K17+715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100</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K17+730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600</w:t>
            </w:r>
          </w:p>
        </w:tc>
        <w:tc>
          <w:tcPr>
            <w:tcW w:w="379"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101</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K17+730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102</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K17+745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1100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103</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K17+745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104</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105</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K17+760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K17+775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K17+775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K17+790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109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K17+790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110</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K17+805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111</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K17+805</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112</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K17+820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113</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K17+820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spacing w:line="240" w:lineRule="auto"/>
              <w:ind w:firstLine="0" w:firstLineChars="0"/>
              <w:jc w:val="center"/>
              <w:rPr>
                <w:rFonts w:eastAsiaTheme="minorEastAsia"/>
                <w:sz w:val="21"/>
              </w:rPr>
            </w:pPr>
            <w:r>
              <w:rPr>
                <w:rFonts w:eastAsiaTheme="minorEastAsia"/>
                <w:sz w:val="21"/>
              </w:rPr>
              <w:t>90</w:t>
            </w: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703"/>
              <w:spacing w:line="240" w:lineRule="auto"/>
              <w:ind w:firstLine="0" w:firstLineChars="0"/>
              <w:jc w:val="center"/>
              <w:rPr>
                <w:rFonts w:ascii="Times New Roman" w:hAnsi="Times New Roman" w:cs="Times New Roman" w:eastAsiaTheme="minorEastAsia"/>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114</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K17+850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2"/>
                <w:sz w:val="21"/>
              </w:rPr>
              <w:t>150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spacing w:line="240" w:lineRule="auto"/>
              <w:ind w:firstLine="0" w:firstLineChars="0"/>
              <w:jc w:val="center"/>
              <w:rPr>
                <w:rFonts w:eastAsiaTheme="minorEastAsia"/>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115</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K18+000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1"/>
                <w:sz w:val="21"/>
              </w:rPr>
              <w:t>560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116</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K18+000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z w:val="21"/>
              </w:rPr>
            </w:pPr>
            <w:r>
              <w:rPr>
                <w:rFonts w:eastAsiaTheme="minorEastAsia"/>
                <w:spacing w:val="3"/>
                <w:sz w:val="21"/>
              </w:rPr>
              <w:t>400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117</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K18+000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pacing w:val="3"/>
                <w:sz w:val="21"/>
              </w:rPr>
            </w:pPr>
            <w:r>
              <w:rPr>
                <w:rFonts w:eastAsiaTheme="minorEastAsia"/>
                <w:spacing w:val="3"/>
                <w:sz w:val="21"/>
              </w:rPr>
              <w:t>150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118</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K18+000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pacing w:val="3"/>
                <w:sz w:val="21"/>
              </w:rPr>
            </w:pPr>
            <w:r>
              <w:rPr>
                <w:rFonts w:eastAsiaTheme="minorEastAsia"/>
                <w:spacing w:val="3"/>
                <w:sz w:val="21"/>
              </w:rPr>
              <w:t>200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119</w:t>
            </w:r>
          </w:p>
        </w:tc>
        <w:tc>
          <w:tcPr>
            <w:tcW w:w="399" w:type="pct"/>
            <w:vAlign w:val="center"/>
          </w:tcPr>
          <w:p>
            <w:pPr>
              <w:spacing w:line="240" w:lineRule="auto"/>
              <w:ind w:firstLine="0" w:firstLineChars="0"/>
              <w:jc w:val="center"/>
              <w:rPr>
                <w:rFonts w:eastAsiaTheme="minorEastAsia"/>
                <w:sz w:val="21"/>
              </w:rPr>
            </w:pPr>
            <w:r>
              <w:rPr>
                <w:rFonts w:eastAsiaTheme="minorEastAsia"/>
                <w:spacing w:val="4"/>
                <w:sz w:val="21"/>
              </w:rPr>
              <w:t>K18+000</w:t>
            </w:r>
          </w:p>
        </w:tc>
        <w:tc>
          <w:tcPr>
            <w:tcW w:w="340" w:type="pct"/>
            <w:vAlign w:val="center"/>
          </w:tcPr>
          <w:p>
            <w:pPr>
              <w:spacing w:line="240" w:lineRule="auto"/>
              <w:ind w:firstLine="0" w:firstLineChars="0"/>
              <w:jc w:val="center"/>
              <w:rPr>
                <w:rFonts w:eastAsiaTheme="minorEastAsia"/>
                <w:sz w:val="21"/>
              </w:rPr>
            </w:pPr>
            <w:r>
              <w:rPr>
                <w:rFonts w:eastAsiaTheme="minorEastAsia"/>
                <w:spacing w:val="2"/>
                <w:sz w:val="21"/>
              </w:rPr>
              <w:t>团瓢庄乡</w:t>
            </w:r>
          </w:p>
        </w:tc>
        <w:tc>
          <w:tcPr>
            <w:tcW w:w="249" w:type="pct"/>
            <w:vAlign w:val="center"/>
          </w:tcPr>
          <w:p>
            <w:pPr>
              <w:pStyle w:val="675"/>
              <w:jc w:val="center"/>
              <w:rPr>
                <w:rFonts w:ascii="Times New Roman" w:hAnsi="Times New Roman" w:cs="Times New Roman" w:eastAsiaTheme="minorEastAsia"/>
                <w:spacing w:val="-9"/>
                <w:sz w:val="21"/>
                <w:szCs w:val="21"/>
                <w:lang w:eastAsia="zh-CN"/>
              </w:rPr>
            </w:pPr>
            <w:r>
              <w:rPr>
                <w:rFonts w:ascii="Times New Roman" w:hAnsi="Times New Roman" w:cs="Times New Roman" w:eastAsiaTheme="minorEastAsia"/>
                <w:spacing w:val="-9"/>
                <w:sz w:val="21"/>
                <w:szCs w:val="21"/>
                <w:lang w:eastAsia="zh-CN"/>
              </w:rPr>
              <w:t>600</w:t>
            </w:r>
          </w:p>
        </w:tc>
        <w:tc>
          <w:tcPr>
            <w:tcW w:w="229" w:type="pct"/>
            <w:vAlign w:val="center"/>
          </w:tcPr>
          <w:p>
            <w:pPr>
              <w:pStyle w:val="675"/>
              <w:jc w:val="center"/>
              <w:rPr>
                <w:rFonts w:ascii="Times New Roman" w:hAnsi="Times New Roman" w:cs="Times New Roman" w:eastAsiaTheme="minorEastAsia"/>
                <w:sz w:val="21"/>
                <w:szCs w:val="21"/>
                <w:lang w:eastAsia="zh-CN"/>
              </w:rPr>
            </w:pPr>
          </w:p>
        </w:tc>
        <w:tc>
          <w:tcPr>
            <w:tcW w:w="236" w:type="pct"/>
            <w:vAlign w:val="center"/>
          </w:tcPr>
          <w:p>
            <w:pPr>
              <w:spacing w:line="240" w:lineRule="auto"/>
              <w:ind w:firstLine="0" w:firstLineChars="0"/>
              <w:jc w:val="center"/>
              <w:rPr>
                <w:rFonts w:eastAsiaTheme="minorEastAsia"/>
                <w:spacing w:val="3"/>
                <w:sz w:val="21"/>
              </w:rPr>
            </w:pPr>
            <w:r>
              <w:rPr>
                <w:rFonts w:eastAsiaTheme="minorEastAsia"/>
                <w:spacing w:val="3"/>
                <w:sz w:val="21"/>
              </w:rPr>
              <w:t>300</w:t>
            </w:r>
          </w:p>
        </w:tc>
        <w:tc>
          <w:tcPr>
            <w:tcW w:w="379" w:type="pct"/>
            <w:vAlign w:val="center"/>
          </w:tcPr>
          <w:p>
            <w:pPr>
              <w:pStyle w:val="675"/>
              <w:jc w:val="center"/>
              <w:rPr>
                <w:rFonts w:ascii="Times New Roman" w:hAnsi="Times New Roman" w:cs="Times New Roman" w:eastAsiaTheme="minorEastAsia"/>
                <w:sz w:val="21"/>
                <w:szCs w:val="21"/>
                <w:lang w:eastAsia="zh-CN"/>
              </w:rPr>
            </w:pPr>
          </w:p>
        </w:tc>
        <w:tc>
          <w:tcPr>
            <w:tcW w:w="396" w:type="pct"/>
            <w:vAlign w:val="center"/>
          </w:tcPr>
          <w:p>
            <w:pPr>
              <w:pStyle w:val="675"/>
              <w:jc w:val="center"/>
              <w:rPr>
                <w:rFonts w:ascii="Times New Roman" w:hAnsi="Times New Roman" w:cs="Times New Roman" w:eastAsiaTheme="minorEastAsia"/>
                <w:sz w:val="21"/>
                <w:szCs w:val="21"/>
                <w:lang w:eastAsia="zh-CN"/>
              </w:rPr>
            </w:pPr>
          </w:p>
        </w:tc>
        <w:tc>
          <w:tcPr>
            <w:tcW w:w="347" w:type="pct"/>
            <w:vAlign w:val="center"/>
          </w:tcPr>
          <w:p>
            <w:pPr>
              <w:pStyle w:val="675"/>
              <w:jc w:val="center"/>
              <w:rPr>
                <w:rFonts w:ascii="Times New Roman" w:hAnsi="Times New Roman" w:cs="Times New Roman" w:eastAsiaTheme="minorEastAsia"/>
                <w:sz w:val="21"/>
                <w:szCs w:val="21"/>
                <w:lang w:eastAsia="zh-CN"/>
              </w:rPr>
            </w:pPr>
          </w:p>
        </w:tc>
        <w:tc>
          <w:tcPr>
            <w:tcW w:w="274" w:type="pct"/>
            <w:vAlign w:val="center"/>
          </w:tcPr>
          <w:p>
            <w:pPr>
              <w:pStyle w:val="675"/>
              <w:jc w:val="center"/>
              <w:rPr>
                <w:rFonts w:ascii="Times New Roman" w:hAnsi="Times New Roman" w:cs="Times New Roman" w:eastAsiaTheme="minorEastAsia"/>
                <w:sz w:val="21"/>
                <w:szCs w:val="21"/>
                <w:lang w:eastAsia="zh-CN"/>
              </w:rPr>
            </w:pPr>
          </w:p>
        </w:tc>
        <w:tc>
          <w:tcPr>
            <w:tcW w:w="196" w:type="pct"/>
            <w:vAlign w:val="center"/>
          </w:tcPr>
          <w:p>
            <w:pPr>
              <w:pStyle w:val="675"/>
              <w:jc w:val="center"/>
              <w:rPr>
                <w:rFonts w:ascii="Times New Roman" w:hAnsi="Times New Roman" w:cs="Times New Roman" w:eastAsiaTheme="minorEastAsia"/>
                <w:sz w:val="21"/>
                <w:szCs w:val="21"/>
                <w:lang w:eastAsia="zh-CN"/>
              </w:rPr>
            </w:pPr>
          </w:p>
        </w:tc>
        <w:tc>
          <w:tcPr>
            <w:tcW w:w="153" w:type="pct"/>
            <w:vAlign w:val="center"/>
          </w:tcPr>
          <w:p>
            <w:pPr>
              <w:pStyle w:val="675"/>
              <w:jc w:val="center"/>
              <w:rPr>
                <w:rFonts w:ascii="Times New Roman" w:hAnsi="Times New Roman" w:cs="Times New Roman" w:eastAsiaTheme="minorEastAsia"/>
                <w:sz w:val="21"/>
                <w:szCs w:val="21"/>
                <w:lang w:eastAsia="zh-CN"/>
              </w:rPr>
            </w:pPr>
          </w:p>
        </w:tc>
        <w:tc>
          <w:tcPr>
            <w:tcW w:w="368" w:type="pct"/>
            <w:vAlign w:val="center"/>
          </w:tcPr>
          <w:p>
            <w:pPr>
              <w:pStyle w:val="675"/>
              <w:jc w:val="center"/>
              <w:rPr>
                <w:rFonts w:ascii="Times New Roman" w:hAnsi="Times New Roman" w:cs="Times New Roman" w:eastAsiaTheme="minorEastAsia"/>
                <w:sz w:val="21"/>
                <w:szCs w:val="21"/>
                <w:lang w:eastAsia="zh-CN"/>
              </w:rPr>
            </w:pPr>
          </w:p>
        </w:tc>
        <w:tc>
          <w:tcPr>
            <w:tcW w:w="188"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1</w:t>
            </w:r>
          </w:p>
        </w:tc>
        <w:tc>
          <w:tcPr>
            <w:tcW w:w="257" w:type="pct"/>
            <w:vAlign w:val="center"/>
          </w:tcPr>
          <w:p>
            <w:pPr>
              <w:pStyle w:val="675"/>
              <w:jc w:val="center"/>
              <w:rPr>
                <w:rFonts w:ascii="Times New Roman" w:hAnsi="Times New Roman" w:cs="Times New Roman" w:eastAsiaTheme="minorEastAsia"/>
                <w:sz w:val="21"/>
                <w:szCs w:val="21"/>
                <w:lang w:eastAsia="zh-CN"/>
              </w:rPr>
            </w:pPr>
          </w:p>
        </w:tc>
        <w:tc>
          <w:tcPr>
            <w:tcW w:w="166" w:type="pct"/>
            <w:vAlign w:val="center"/>
          </w:tcPr>
          <w:p>
            <w:pPr>
              <w:pStyle w:val="675"/>
              <w:jc w:val="center"/>
              <w:rPr>
                <w:rFonts w:ascii="Times New Roman" w:hAnsi="Times New Roman" w:cs="Times New Roman" w:eastAsiaTheme="minorEastAsia"/>
                <w:sz w:val="21"/>
                <w:szCs w:val="21"/>
                <w:lang w:eastAsia="zh-CN"/>
              </w:rPr>
            </w:pPr>
          </w:p>
        </w:tc>
        <w:tc>
          <w:tcPr>
            <w:tcW w:w="324" w:type="pct"/>
            <w:vAlign w:val="center"/>
          </w:tcPr>
          <w:p>
            <w:pPr>
              <w:pStyle w:val="675"/>
              <w:jc w:val="center"/>
              <w:rPr>
                <w:rFonts w:ascii="Times New Roman" w:hAnsi="Times New Roman" w:cs="Times New Roman" w:eastAsiaTheme="minorEastAsia"/>
                <w:sz w:val="21"/>
                <w:szCs w:val="21"/>
                <w:lang w:eastAsia="zh-CN"/>
              </w:rPr>
            </w:pPr>
          </w:p>
        </w:tc>
        <w:tc>
          <w:tcPr>
            <w:tcW w:w="417" w:type="pct"/>
            <w:vAlign w:val="center"/>
          </w:tcPr>
          <w:p>
            <w:pPr>
              <w:pStyle w:val="675"/>
              <w:jc w:val="center"/>
              <w:rPr>
                <w:rFonts w:ascii="Times New Roman" w:hAnsi="Times New Roman" w:cs="Times New Roman" w:eastAsiaTheme="minorEastAsia"/>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76" w:type="pc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w:t>
            </w:r>
          </w:p>
        </w:tc>
        <w:tc>
          <w:tcPr>
            <w:tcW w:w="399" w:type="pct"/>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合</w:t>
            </w:r>
            <w:r>
              <w:rPr>
                <w:rFonts w:ascii="Times New Roman" w:hAnsi="Times New Roman" w:cs="Times New Roman" w:eastAsiaTheme="minorEastAsia"/>
                <w:sz w:val="21"/>
                <w:szCs w:val="21"/>
                <w:lang w:eastAsia="zh-CN"/>
              </w:rPr>
              <w:tab/>
            </w:r>
            <w:r>
              <w:rPr>
                <w:rFonts w:ascii="Times New Roman" w:hAnsi="Times New Roman" w:cs="Times New Roman" w:eastAsiaTheme="minorEastAsia"/>
                <w:sz w:val="21"/>
                <w:szCs w:val="21"/>
                <w:lang w:eastAsia="zh-CN"/>
              </w:rPr>
              <w:t>计</w:t>
            </w:r>
          </w:p>
        </w:tc>
        <w:tc>
          <w:tcPr>
            <w:tcW w:w="340" w:type="pct"/>
            <w:vAlign w:val="center"/>
          </w:tcPr>
          <w:p>
            <w:pPr>
              <w:pStyle w:val="675"/>
              <w:jc w:val="center"/>
              <w:rPr>
                <w:rFonts w:ascii="Times New Roman" w:hAnsi="Times New Roman" w:cs="Times New Roman" w:eastAsiaTheme="minorEastAsia"/>
                <w:sz w:val="21"/>
                <w:szCs w:val="21"/>
                <w:lang w:eastAsia="zh-CN"/>
              </w:rPr>
            </w:pPr>
          </w:p>
        </w:tc>
        <w:tc>
          <w:tcPr>
            <w:tcW w:w="249" w:type="pct"/>
            <w:vAlign w:val="center"/>
          </w:tcPr>
          <w:p>
            <w:pPr>
              <w:widowControl/>
              <w:spacing w:line="240" w:lineRule="auto"/>
              <w:ind w:firstLine="0" w:firstLineChars="0"/>
              <w:jc w:val="center"/>
              <w:textAlignment w:val="center"/>
              <w:rPr>
                <w:rFonts w:eastAsiaTheme="minorEastAsia"/>
                <w:sz w:val="21"/>
              </w:rPr>
            </w:pPr>
            <w:r>
              <w:rPr>
                <w:kern w:val="0"/>
                <w:sz w:val="21"/>
              </w:rPr>
              <w:t>3300</w:t>
            </w:r>
          </w:p>
        </w:tc>
        <w:tc>
          <w:tcPr>
            <w:tcW w:w="229" w:type="pct"/>
            <w:vAlign w:val="center"/>
          </w:tcPr>
          <w:p>
            <w:pPr>
              <w:widowControl/>
              <w:spacing w:line="240" w:lineRule="auto"/>
              <w:ind w:firstLine="0" w:firstLineChars="0"/>
              <w:jc w:val="center"/>
              <w:textAlignment w:val="center"/>
              <w:rPr>
                <w:rFonts w:eastAsiaTheme="minorEastAsia"/>
                <w:sz w:val="21"/>
              </w:rPr>
            </w:pPr>
            <w:r>
              <w:rPr>
                <w:kern w:val="0"/>
                <w:sz w:val="21"/>
              </w:rPr>
              <w:t>0</w:t>
            </w:r>
          </w:p>
        </w:tc>
        <w:tc>
          <w:tcPr>
            <w:tcW w:w="236" w:type="pct"/>
            <w:vAlign w:val="center"/>
          </w:tcPr>
          <w:p>
            <w:pPr>
              <w:widowControl/>
              <w:spacing w:line="240" w:lineRule="auto"/>
              <w:ind w:firstLine="0" w:firstLineChars="0"/>
              <w:jc w:val="center"/>
              <w:textAlignment w:val="center"/>
              <w:rPr>
                <w:rFonts w:eastAsiaTheme="minorEastAsia"/>
                <w:sz w:val="21"/>
              </w:rPr>
            </w:pPr>
            <w:r>
              <w:rPr>
                <w:kern w:val="0"/>
                <w:sz w:val="21"/>
              </w:rPr>
              <w:t>18591</w:t>
            </w:r>
          </w:p>
        </w:tc>
        <w:tc>
          <w:tcPr>
            <w:tcW w:w="379" w:type="pct"/>
            <w:vAlign w:val="center"/>
          </w:tcPr>
          <w:p>
            <w:pPr>
              <w:widowControl/>
              <w:spacing w:line="240" w:lineRule="auto"/>
              <w:ind w:firstLine="0" w:firstLineChars="0"/>
              <w:jc w:val="center"/>
              <w:textAlignment w:val="center"/>
              <w:rPr>
                <w:rFonts w:eastAsiaTheme="minorEastAsia"/>
                <w:sz w:val="21"/>
              </w:rPr>
            </w:pPr>
            <w:r>
              <w:rPr>
                <w:kern w:val="0"/>
                <w:sz w:val="21"/>
              </w:rPr>
              <w:t>5230</w:t>
            </w:r>
          </w:p>
        </w:tc>
        <w:tc>
          <w:tcPr>
            <w:tcW w:w="396" w:type="pct"/>
            <w:vAlign w:val="center"/>
          </w:tcPr>
          <w:p>
            <w:pPr>
              <w:widowControl/>
              <w:spacing w:line="240" w:lineRule="auto"/>
              <w:ind w:firstLine="0" w:firstLineChars="0"/>
              <w:jc w:val="center"/>
              <w:textAlignment w:val="center"/>
              <w:rPr>
                <w:rFonts w:eastAsiaTheme="minorEastAsia"/>
                <w:sz w:val="21"/>
              </w:rPr>
            </w:pPr>
            <w:r>
              <w:rPr>
                <w:kern w:val="0"/>
                <w:sz w:val="21"/>
              </w:rPr>
              <w:t>2660</w:t>
            </w:r>
          </w:p>
        </w:tc>
        <w:tc>
          <w:tcPr>
            <w:tcW w:w="347" w:type="pct"/>
            <w:vAlign w:val="center"/>
          </w:tcPr>
          <w:p>
            <w:pPr>
              <w:widowControl/>
              <w:spacing w:line="240" w:lineRule="auto"/>
              <w:ind w:firstLine="0" w:firstLineChars="0"/>
              <w:jc w:val="center"/>
              <w:textAlignment w:val="center"/>
              <w:rPr>
                <w:rFonts w:eastAsiaTheme="minorEastAsia"/>
                <w:sz w:val="21"/>
              </w:rPr>
            </w:pPr>
            <w:r>
              <w:rPr>
                <w:kern w:val="0"/>
                <w:sz w:val="21"/>
              </w:rPr>
              <w:t>1460</w:t>
            </w:r>
          </w:p>
        </w:tc>
        <w:tc>
          <w:tcPr>
            <w:tcW w:w="274" w:type="pct"/>
            <w:vAlign w:val="center"/>
          </w:tcPr>
          <w:p>
            <w:pPr>
              <w:widowControl/>
              <w:spacing w:line="240" w:lineRule="auto"/>
              <w:ind w:firstLine="0" w:firstLineChars="0"/>
              <w:jc w:val="center"/>
              <w:textAlignment w:val="center"/>
              <w:rPr>
                <w:rFonts w:eastAsiaTheme="minorEastAsia"/>
                <w:sz w:val="21"/>
              </w:rPr>
            </w:pPr>
            <w:r>
              <w:rPr>
                <w:kern w:val="0"/>
                <w:sz w:val="21"/>
              </w:rPr>
              <w:t>25</w:t>
            </w:r>
          </w:p>
        </w:tc>
        <w:tc>
          <w:tcPr>
            <w:tcW w:w="196" w:type="pct"/>
            <w:vAlign w:val="center"/>
          </w:tcPr>
          <w:p>
            <w:pPr>
              <w:widowControl/>
              <w:spacing w:line="240" w:lineRule="auto"/>
              <w:ind w:firstLine="0" w:firstLineChars="0"/>
              <w:jc w:val="center"/>
              <w:textAlignment w:val="center"/>
              <w:rPr>
                <w:rFonts w:eastAsiaTheme="minorEastAsia"/>
                <w:sz w:val="21"/>
              </w:rPr>
            </w:pPr>
            <w:r>
              <w:rPr>
                <w:kern w:val="0"/>
                <w:sz w:val="21"/>
              </w:rPr>
              <w:t>80</w:t>
            </w:r>
          </w:p>
        </w:tc>
        <w:tc>
          <w:tcPr>
            <w:tcW w:w="153" w:type="pct"/>
            <w:vAlign w:val="center"/>
          </w:tcPr>
          <w:p>
            <w:pPr>
              <w:widowControl/>
              <w:spacing w:line="240" w:lineRule="auto"/>
              <w:ind w:firstLine="0" w:firstLineChars="0"/>
              <w:jc w:val="center"/>
              <w:textAlignment w:val="center"/>
              <w:rPr>
                <w:rFonts w:eastAsiaTheme="minorEastAsia"/>
                <w:sz w:val="21"/>
              </w:rPr>
            </w:pPr>
            <w:r>
              <w:rPr>
                <w:kern w:val="0"/>
                <w:sz w:val="21"/>
              </w:rPr>
              <w:t>250</w:t>
            </w:r>
            <w:r>
              <w:rPr>
                <w:rFonts w:hint="eastAsia"/>
                <w:kern w:val="0"/>
                <w:sz w:val="21"/>
              </w:rPr>
              <w:t>0</w:t>
            </w:r>
          </w:p>
        </w:tc>
        <w:tc>
          <w:tcPr>
            <w:tcW w:w="368" w:type="pct"/>
            <w:vAlign w:val="center"/>
          </w:tcPr>
          <w:p>
            <w:pPr>
              <w:widowControl/>
              <w:spacing w:line="240" w:lineRule="auto"/>
              <w:ind w:firstLine="0" w:firstLineChars="0"/>
              <w:jc w:val="center"/>
              <w:textAlignment w:val="center"/>
              <w:rPr>
                <w:rFonts w:eastAsiaTheme="minorEastAsia"/>
                <w:sz w:val="21"/>
              </w:rPr>
            </w:pPr>
            <w:r>
              <w:rPr>
                <w:kern w:val="0"/>
                <w:sz w:val="21"/>
              </w:rPr>
              <w:t>5520</w:t>
            </w:r>
          </w:p>
        </w:tc>
        <w:tc>
          <w:tcPr>
            <w:tcW w:w="188" w:type="pct"/>
            <w:vAlign w:val="center"/>
          </w:tcPr>
          <w:p>
            <w:pPr>
              <w:widowControl/>
              <w:spacing w:line="240" w:lineRule="auto"/>
              <w:ind w:firstLine="0" w:firstLineChars="0"/>
              <w:jc w:val="center"/>
              <w:textAlignment w:val="center"/>
              <w:rPr>
                <w:rFonts w:eastAsiaTheme="minorEastAsia"/>
                <w:sz w:val="21"/>
              </w:rPr>
            </w:pPr>
            <w:r>
              <w:rPr>
                <w:rFonts w:hint="eastAsia"/>
                <w:kern w:val="0"/>
                <w:sz w:val="21"/>
              </w:rPr>
              <w:t>1</w:t>
            </w:r>
          </w:p>
        </w:tc>
        <w:tc>
          <w:tcPr>
            <w:tcW w:w="257" w:type="pct"/>
            <w:vAlign w:val="center"/>
          </w:tcPr>
          <w:p>
            <w:pPr>
              <w:widowControl/>
              <w:spacing w:line="240" w:lineRule="auto"/>
              <w:ind w:firstLine="0" w:firstLineChars="0"/>
              <w:jc w:val="center"/>
              <w:textAlignment w:val="center"/>
              <w:rPr>
                <w:rFonts w:eastAsiaTheme="minorEastAsia"/>
                <w:sz w:val="21"/>
              </w:rPr>
            </w:pPr>
            <w:r>
              <w:rPr>
                <w:kern w:val="0"/>
                <w:sz w:val="21"/>
              </w:rPr>
              <w:t>28</w:t>
            </w:r>
          </w:p>
        </w:tc>
        <w:tc>
          <w:tcPr>
            <w:tcW w:w="166" w:type="pct"/>
            <w:vAlign w:val="center"/>
          </w:tcPr>
          <w:p>
            <w:pPr>
              <w:widowControl/>
              <w:spacing w:line="240" w:lineRule="auto"/>
              <w:ind w:firstLine="0" w:firstLineChars="0"/>
              <w:jc w:val="center"/>
              <w:textAlignment w:val="center"/>
              <w:rPr>
                <w:rFonts w:eastAsiaTheme="minorEastAsia"/>
                <w:sz w:val="21"/>
              </w:rPr>
            </w:pPr>
            <w:r>
              <w:rPr>
                <w:kern w:val="0"/>
                <w:sz w:val="21"/>
              </w:rPr>
              <w:t>0</w:t>
            </w:r>
          </w:p>
        </w:tc>
        <w:tc>
          <w:tcPr>
            <w:tcW w:w="324" w:type="pct"/>
            <w:vAlign w:val="center"/>
          </w:tcPr>
          <w:p>
            <w:pPr>
              <w:widowControl/>
              <w:spacing w:line="240" w:lineRule="auto"/>
              <w:ind w:firstLine="0" w:firstLineChars="0"/>
              <w:jc w:val="center"/>
              <w:textAlignment w:val="center"/>
              <w:rPr>
                <w:rFonts w:eastAsiaTheme="minorEastAsia"/>
                <w:sz w:val="21"/>
              </w:rPr>
            </w:pPr>
            <w:r>
              <w:rPr>
                <w:kern w:val="0"/>
                <w:sz w:val="21"/>
              </w:rPr>
              <w:t>17</w:t>
            </w:r>
          </w:p>
        </w:tc>
        <w:tc>
          <w:tcPr>
            <w:tcW w:w="417" w:type="pct"/>
            <w:vAlign w:val="center"/>
          </w:tcPr>
          <w:p>
            <w:pPr>
              <w:pStyle w:val="675"/>
              <w:jc w:val="center"/>
              <w:rPr>
                <w:rFonts w:ascii="Times New Roman" w:hAnsi="Times New Roman" w:cs="Times New Roman" w:eastAsiaTheme="minorEastAsia"/>
                <w:sz w:val="21"/>
                <w:szCs w:val="21"/>
                <w:lang w:eastAsia="zh-CN"/>
              </w:rPr>
            </w:pPr>
          </w:p>
        </w:tc>
      </w:tr>
    </w:tbl>
    <w:p>
      <w:pPr>
        <w:adjustRightInd w:val="0"/>
        <w:snapToGrid w:val="0"/>
        <w:ind w:firstLine="0" w:firstLineChars="0"/>
        <w:jc w:val="center"/>
        <w:rPr>
          <w:b/>
          <w:sz w:val="21"/>
        </w:rPr>
      </w:pPr>
      <w:r>
        <w:rPr>
          <w:b/>
          <w:sz w:val="21"/>
        </w:rPr>
        <w:t>表</w:t>
      </w:r>
      <w:r>
        <w:rPr>
          <w:rFonts w:hint="eastAsia"/>
          <w:b/>
          <w:sz w:val="21"/>
        </w:rPr>
        <w:t>3.7-2</w:t>
      </w:r>
      <w:r>
        <w:rPr>
          <w:b/>
          <w:sz w:val="21"/>
        </w:rPr>
        <w:tab/>
      </w:r>
      <w:r>
        <w:rPr>
          <w:rFonts w:hint="eastAsia"/>
          <w:b/>
          <w:sz w:val="21"/>
        </w:rPr>
        <w:t>项目拆迁电力、电讯及其他管线设施情况一览</w:t>
      </w:r>
      <w:r>
        <w:rPr>
          <w:b/>
          <w:sz w:val="21"/>
        </w:rPr>
        <w:t>表</w:t>
      </w:r>
    </w:p>
    <w:tbl>
      <w:tblPr>
        <w:tblStyle w:val="52"/>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0"/>
        <w:gridCol w:w="1035"/>
        <w:gridCol w:w="594"/>
        <w:gridCol w:w="2400"/>
        <w:gridCol w:w="477"/>
        <w:gridCol w:w="479"/>
        <w:gridCol w:w="675"/>
        <w:gridCol w:w="420"/>
        <w:gridCol w:w="731"/>
        <w:gridCol w:w="627"/>
        <w:gridCol w:w="543"/>
        <w:gridCol w:w="731"/>
        <w:gridCol w:w="804"/>
        <w:gridCol w:w="734"/>
        <w:gridCol w:w="594"/>
        <w:gridCol w:w="781"/>
        <w:gridCol w:w="725"/>
        <w:gridCol w:w="725"/>
        <w:gridCol w:w="7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序号</w:t>
            </w:r>
          </w:p>
        </w:tc>
        <w:tc>
          <w:tcPr>
            <w:tcW w:w="370" w:type="pct"/>
            <w:vMerge w:val="restart"/>
            <w:vAlign w:val="center"/>
          </w:tcPr>
          <w:p>
            <w:pPr>
              <w:pStyle w:val="675"/>
              <w:jc w:val="center"/>
              <w:rPr>
                <w:rFonts w:ascii="Times New Roman" w:cs="Times New Roman"/>
                <w:sz w:val="21"/>
                <w:szCs w:val="21"/>
                <w:lang w:eastAsia="zh-CN"/>
              </w:rPr>
            </w:pPr>
            <w:r>
              <w:rPr>
                <w:rFonts w:ascii="Times New Roman" w:hAnsi="Times New Roman" w:cs="Times New Roman" w:eastAsiaTheme="minorEastAsia"/>
                <w:sz w:val="21"/>
                <w:szCs w:val="21"/>
                <w:lang w:eastAsia="zh-CN"/>
              </w:rPr>
              <w:t>起讫里程</w:t>
            </w:r>
          </w:p>
        </w:tc>
        <w:tc>
          <w:tcPr>
            <w:tcW w:w="212"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拆迁长度（m）</w:t>
            </w:r>
          </w:p>
        </w:tc>
        <w:tc>
          <w:tcPr>
            <w:tcW w:w="857"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所有者</w:t>
            </w:r>
          </w:p>
        </w:tc>
        <w:tc>
          <w:tcPr>
            <w:tcW w:w="1217" w:type="pct"/>
            <w:gridSpan w:val="6"/>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电杆（根）</w:t>
            </w:r>
          </w:p>
        </w:tc>
        <w:tc>
          <w:tcPr>
            <w:tcW w:w="1494" w:type="pct"/>
            <w:gridSpan w:val="6"/>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电线</w:t>
            </w:r>
          </w:p>
        </w:tc>
        <w:tc>
          <w:tcPr>
            <w:tcW w:w="259"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变压器（个）</w:t>
            </w:r>
          </w:p>
        </w:tc>
        <w:tc>
          <w:tcPr>
            <w:tcW w:w="259"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路灯（盏）</w:t>
            </w:r>
          </w:p>
        </w:tc>
        <w:tc>
          <w:tcPr>
            <w:tcW w:w="254"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Merge w:val="continue"/>
            <w:vAlign w:val="center"/>
          </w:tcPr>
          <w:p>
            <w:pPr>
              <w:pStyle w:val="675"/>
              <w:jc w:val="center"/>
              <w:rPr>
                <w:rFonts w:ascii="Times New Roman" w:cs="Times New Roman"/>
                <w:sz w:val="21"/>
                <w:szCs w:val="21"/>
                <w:lang w:eastAsia="zh-CN"/>
              </w:rPr>
            </w:pPr>
          </w:p>
        </w:tc>
        <w:tc>
          <w:tcPr>
            <w:tcW w:w="370" w:type="pct"/>
            <w:vMerge w:val="continue"/>
            <w:vAlign w:val="center"/>
          </w:tcPr>
          <w:p>
            <w:pPr>
              <w:pStyle w:val="675"/>
              <w:jc w:val="center"/>
              <w:rPr>
                <w:rFonts w:ascii="Times New Roman" w:hAnsi="Times New Roman" w:cs="Times New Roman" w:eastAsiaTheme="minorEastAsia"/>
                <w:sz w:val="21"/>
                <w:szCs w:val="21"/>
                <w:lang w:eastAsia="zh-CN"/>
              </w:rPr>
            </w:pPr>
          </w:p>
        </w:tc>
        <w:tc>
          <w:tcPr>
            <w:tcW w:w="212" w:type="pct"/>
            <w:vMerge w:val="continue"/>
            <w:vAlign w:val="center"/>
          </w:tcPr>
          <w:p>
            <w:pPr>
              <w:pStyle w:val="675"/>
              <w:jc w:val="center"/>
              <w:rPr>
                <w:rFonts w:ascii="Times New Roman" w:cs="Times New Roman"/>
                <w:sz w:val="21"/>
                <w:szCs w:val="21"/>
                <w:lang w:eastAsia="zh-CN"/>
              </w:rPr>
            </w:pPr>
          </w:p>
        </w:tc>
        <w:tc>
          <w:tcPr>
            <w:tcW w:w="857" w:type="pct"/>
            <w:vMerge w:val="continue"/>
            <w:vAlign w:val="center"/>
          </w:tcPr>
          <w:p>
            <w:pPr>
              <w:pStyle w:val="675"/>
              <w:jc w:val="center"/>
              <w:rPr>
                <w:rFonts w:ascii="Times New Roman" w:cs="Times New Roman"/>
                <w:sz w:val="21"/>
                <w:szCs w:val="21"/>
                <w:lang w:eastAsia="zh-CN"/>
              </w:rPr>
            </w:pPr>
          </w:p>
        </w:tc>
        <w:tc>
          <w:tcPr>
            <w:tcW w:w="170" w:type="pct"/>
            <w:vMerge w:val="restar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用途</w:t>
            </w:r>
          </w:p>
        </w:tc>
        <w:tc>
          <w:tcPr>
            <w:tcW w:w="562" w:type="pct"/>
            <w:gridSpan w:val="3"/>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485" w:type="pct"/>
            <w:gridSpan w:val="2"/>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电力</w:t>
            </w:r>
          </w:p>
        </w:tc>
        <w:tc>
          <w:tcPr>
            <w:tcW w:w="742" w:type="pct"/>
            <w:gridSpan w:val="3"/>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通讯线总长（m）</w:t>
            </w:r>
          </w:p>
        </w:tc>
        <w:tc>
          <w:tcPr>
            <w:tcW w:w="752" w:type="pct"/>
            <w:gridSpan w:val="3"/>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电力线总长（m）</w:t>
            </w:r>
          </w:p>
        </w:tc>
        <w:tc>
          <w:tcPr>
            <w:tcW w:w="259"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cs="Times New Roman"/>
                <w:sz w:val="21"/>
                <w:szCs w:val="21"/>
                <w:lang w:eastAsia="zh-CN"/>
              </w:rPr>
            </w:pPr>
          </w:p>
        </w:tc>
        <w:tc>
          <w:tcPr>
            <w:tcW w:w="254" w:type="pct"/>
            <w:vMerge w:val="continue"/>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Merge w:val="continue"/>
            <w:vAlign w:val="center"/>
          </w:tcPr>
          <w:p>
            <w:pPr>
              <w:pStyle w:val="675"/>
              <w:jc w:val="center"/>
              <w:rPr>
                <w:rFonts w:ascii="Times New Roman" w:cs="Times New Roman"/>
                <w:sz w:val="21"/>
                <w:szCs w:val="21"/>
                <w:lang w:eastAsia="zh-CN"/>
              </w:rPr>
            </w:pPr>
          </w:p>
        </w:tc>
        <w:tc>
          <w:tcPr>
            <w:tcW w:w="370" w:type="pct"/>
            <w:vMerge w:val="continue"/>
            <w:vAlign w:val="center"/>
          </w:tcPr>
          <w:p>
            <w:pPr>
              <w:pStyle w:val="675"/>
              <w:jc w:val="center"/>
              <w:rPr>
                <w:rFonts w:ascii="Times New Roman" w:cs="Times New Roman"/>
                <w:sz w:val="21"/>
                <w:szCs w:val="21"/>
                <w:lang w:eastAsia="zh-CN"/>
              </w:rPr>
            </w:pPr>
          </w:p>
        </w:tc>
        <w:tc>
          <w:tcPr>
            <w:tcW w:w="212" w:type="pct"/>
            <w:vMerge w:val="continue"/>
            <w:vAlign w:val="center"/>
          </w:tcPr>
          <w:p>
            <w:pPr>
              <w:pStyle w:val="675"/>
              <w:jc w:val="center"/>
              <w:rPr>
                <w:rFonts w:ascii="Times New Roman" w:cs="Times New Roman"/>
                <w:sz w:val="21"/>
                <w:szCs w:val="21"/>
                <w:lang w:eastAsia="zh-CN"/>
              </w:rPr>
            </w:pPr>
          </w:p>
        </w:tc>
        <w:tc>
          <w:tcPr>
            <w:tcW w:w="857" w:type="pct"/>
            <w:vMerge w:val="continue"/>
            <w:vAlign w:val="center"/>
          </w:tcPr>
          <w:p>
            <w:pPr>
              <w:pStyle w:val="675"/>
              <w:jc w:val="center"/>
              <w:rPr>
                <w:rFonts w:ascii="Times New Roman" w:cs="Times New Roman"/>
                <w:sz w:val="21"/>
                <w:szCs w:val="21"/>
                <w:lang w:eastAsia="zh-CN"/>
              </w:rPr>
            </w:pPr>
          </w:p>
        </w:tc>
        <w:tc>
          <w:tcPr>
            <w:tcW w:w="170" w:type="pct"/>
            <w:vMerge w:val="continue"/>
            <w:vAlign w:val="center"/>
          </w:tcPr>
          <w:p>
            <w:pPr>
              <w:pStyle w:val="675"/>
              <w:jc w:val="center"/>
              <w:rPr>
                <w:rFonts w:ascii="Times New Roman" w:cs="Times New Roman"/>
                <w:sz w:val="21"/>
                <w:szCs w:val="21"/>
                <w:lang w:eastAsia="zh-CN"/>
              </w:rPr>
            </w:pPr>
          </w:p>
        </w:tc>
        <w:tc>
          <w:tcPr>
            <w:tcW w:w="17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木质</w:t>
            </w: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钢筋砼杆</w:t>
            </w:r>
          </w:p>
        </w:tc>
        <w:tc>
          <w:tcPr>
            <w:tcW w:w="15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塔</w:t>
            </w: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钢筋砼杆</w:t>
            </w:r>
          </w:p>
        </w:tc>
        <w:tc>
          <w:tcPr>
            <w:tcW w:w="22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塔</w:t>
            </w: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光缆</w:t>
            </w: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铜线</w:t>
            </w:r>
          </w:p>
        </w:tc>
        <w:tc>
          <w:tcPr>
            <w:tcW w:w="28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电缆</w:t>
            </w: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铝绞线</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电缆</w:t>
            </w:r>
          </w:p>
        </w:tc>
        <w:tc>
          <w:tcPr>
            <w:tcW w:w="2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皮线</w:t>
            </w:r>
          </w:p>
        </w:tc>
        <w:tc>
          <w:tcPr>
            <w:tcW w:w="259"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cs="Times New Roman"/>
                <w:sz w:val="21"/>
                <w:szCs w:val="21"/>
                <w:lang w:eastAsia="zh-CN"/>
              </w:rPr>
            </w:pPr>
          </w:p>
        </w:tc>
        <w:tc>
          <w:tcPr>
            <w:tcW w:w="254" w:type="pct"/>
            <w:vMerge w:val="continue"/>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K7+800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2</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K7+800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110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440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3</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K7+800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遵化市西留村乡中国移动</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1500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4</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K7+900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照明</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5</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K7+900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w:t>
            </w: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6</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K8+200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130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520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7</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K8+200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130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遵化市西留村乡中国移动</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260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8</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K8+600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120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840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w:t>
            </w: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9</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K10+880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10</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K10+880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遵化市西留村乡中国移动</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11</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K11+750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35kV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870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12</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K12+080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160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3200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13</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K12+180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110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15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w:t>
            </w: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ascii="Times New Roman" w:cs="Times New Roman"/>
                <w:sz w:val="21"/>
                <w:szCs w:val="21"/>
                <w:lang w:eastAsia="zh-CN"/>
              </w:rPr>
              <w:t>14</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K12+450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125</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35kV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375</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15</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K12+750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110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330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16</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K13+350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17</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K13+600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35kV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18</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K13+700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19</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K14+500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20</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K14+500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120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480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21</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K14+800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K15+050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380V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23</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K15+050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10kV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1260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w:t>
            </w: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24</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K15+050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2000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25</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K15+150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遵化市西留村乡中国电信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15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w:t>
            </w: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900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26</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K15+680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27</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K15+780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280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28</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K16+200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29</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K16+620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30</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K16+650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31</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K17+300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spacing w:line="240" w:lineRule="auto"/>
              <w:ind w:firstLine="0" w:firstLineChars="0"/>
              <w:jc w:val="center"/>
            </w:pPr>
            <w:r>
              <w:rPr>
                <w:rFonts w:hint="eastAsia"/>
                <w:sz w:val="21"/>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32</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K17+600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spacing w:line="240" w:lineRule="auto"/>
              <w:ind w:firstLine="0" w:firstLineChars="0"/>
              <w:jc w:val="center"/>
            </w:pPr>
            <w:r>
              <w:rPr>
                <w:rFonts w:hint="eastAsia"/>
                <w:sz w:val="21"/>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33</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K17+600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120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480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34</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K17+700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spacing w:line="240" w:lineRule="auto"/>
              <w:ind w:firstLine="0" w:firstLineChars="0"/>
              <w:jc w:val="center"/>
            </w:pPr>
            <w:r>
              <w:rPr>
                <w:rFonts w:hint="eastAsia"/>
                <w:sz w:val="21"/>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35</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K17+750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100</w:t>
            </w:r>
          </w:p>
        </w:tc>
        <w:tc>
          <w:tcPr>
            <w:tcW w:w="857" w:type="pct"/>
            <w:vAlign w:val="center"/>
          </w:tcPr>
          <w:p>
            <w:pPr>
              <w:spacing w:line="240" w:lineRule="auto"/>
              <w:ind w:firstLine="0" w:firstLineChars="0"/>
              <w:jc w:val="center"/>
            </w:pPr>
            <w:r>
              <w:rPr>
                <w:rFonts w:hint="eastAsia"/>
                <w:sz w:val="21"/>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6</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200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36</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K17+750</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190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4750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37</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K17+999</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560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38</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K17+999</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照明</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280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w:t>
            </w: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39</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K17+999</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遵化市团瓢庄乡中国电信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通讯</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26</w:t>
            </w: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7040</w:t>
            </w: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40</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K17+999</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照明</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480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18</w:t>
            </w: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41</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K17+999</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340</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遵化市团瓢庄乡电力局</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220V</w:t>
            </w:r>
          </w:p>
        </w:tc>
        <w:tc>
          <w:tcPr>
            <w:tcW w:w="171" w:type="pct"/>
            <w:vAlign w:val="center"/>
          </w:tcPr>
          <w:p>
            <w:pPr>
              <w:pStyle w:val="675"/>
              <w:jc w:val="center"/>
              <w:rPr>
                <w:rFonts w:ascii="Times New Roman" w:cs="Times New Roman"/>
                <w:sz w:val="21"/>
                <w:szCs w:val="21"/>
                <w:lang w:eastAsia="zh-CN"/>
              </w:rPr>
            </w:pPr>
          </w:p>
        </w:tc>
        <w:tc>
          <w:tcPr>
            <w:tcW w:w="241" w:type="pct"/>
            <w:vAlign w:val="center"/>
          </w:tcPr>
          <w:p>
            <w:pPr>
              <w:pStyle w:val="675"/>
              <w:jc w:val="center"/>
              <w:rPr>
                <w:rFonts w:ascii="Times New Roman" w:cs="Times New Roman"/>
                <w:sz w:val="21"/>
                <w:szCs w:val="21"/>
                <w:lang w:eastAsia="zh-CN"/>
              </w:rPr>
            </w:pPr>
          </w:p>
        </w:tc>
        <w:tc>
          <w:tcPr>
            <w:tcW w:w="150"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8</w:t>
            </w:r>
          </w:p>
        </w:tc>
        <w:tc>
          <w:tcPr>
            <w:tcW w:w="224" w:type="pct"/>
            <w:vAlign w:val="center"/>
          </w:tcPr>
          <w:p>
            <w:pPr>
              <w:pStyle w:val="675"/>
              <w:jc w:val="center"/>
              <w:rPr>
                <w:rFonts w:ascii="Times New Roman" w:cs="Times New Roman"/>
                <w:sz w:val="21"/>
                <w:szCs w:val="21"/>
                <w:lang w:eastAsia="zh-CN"/>
              </w:rPr>
            </w:pPr>
          </w:p>
        </w:tc>
        <w:tc>
          <w:tcPr>
            <w:tcW w:w="194" w:type="pct"/>
            <w:vAlign w:val="center"/>
          </w:tcPr>
          <w:p>
            <w:pPr>
              <w:pStyle w:val="675"/>
              <w:jc w:val="center"/>
              <w:rPr>
                <w:rFonts w:ascii="Times New Roman" w:cs="Times New Roman"/>
                <w:sz w:val="21"/>
                <w:szCs w:val="21"/>
                <w:lang w:eastAsia="zh-CN"/>
              </w:rPr>
            </w:pPr>
          </w:p>
        </w:tc>
        <w:tc>
          <w:tcPr>
            <w:tcW w:w="261" w:type="pct"/>
            <w:vAlign w:val="center"/>
          </w:tcPr>
          <w:p>
            <w:pPr>
              <w:pStyle w:val="675"/>
              <w:jc w:val="center"/>
              <w:rPr>
                <w:rFonts w:ascii="Times New Roman" w:cs="Times New Roman"/>
                <w:sz w:val="21"/>
                <w:szCs w:val="21"/>
                <w:lang w:eastAsia="zh-CN"/>
              </w:rPr>
            </w:pPr>
          </w:p>
        </w:tc>
        <w:tc>
          <w:tcPr>
            <w:tcW w:w="287" w:type="pct"/>
            <w:vAlign w:val="center"/>
          </w:tcPr>
          <w:p>
            <w:pPr>
              <w:pStyle w:val="675"/>
              <w:jc w:val="center"/>
              <w:rPr>
                <w:rFonts w:ascii="Times New Roman" w:cs="Times New Roman"/>
                <w:sz w:val="21"/>
                <w:szCs w:val="21"/>
                <w:lang w:eastAsia="zh-CN"/>
              </w:rPr>
            </w:pPr>
          </w:p>
        </w:tc>
        <w:tc>
          <w:tcPr>
            <w:tcW w:w="26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1360</w:t>
            </w:r>
          </w:p>
        </w:tc>
        <w:tc>
          <w:tcPr>
            <w:tcW w:w="212" w:type="pct"/>
            <w:vAlign w:val="center"/>
          </w:tcPr>
          <w:p>
            <w:pPr>
              <w:pStyle w:val="675"/>
              <w:jc w:val="center"/>
              <w:rPr>
                <w:rFonts w:ascii="Times New Roman" w:cs="Times New Roman"/>
                <w:sz w:val="21"/>
                <w:szCs w:val="21"/>
                <w:lang w:eastAsia="zh-CN"/>
              </w:rPr>
            </w:pPr>
          </w:p>
        </w:tc>
        <w:tc>
          <w:tcPr>
            <w:tcW w:w="27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9" w:type="pct"/>
            <w:vAlign w:val="center"/>
          </w:tcPr>
          <w:p>
            <w:pPr>
              <w:pStyle w:val="675"/>
              <w:jc w:val="center"/>
              <w:rPr>
                <w:rFonts w:ascii="Times New Roman" w:cs="Times New Roman"/>
                <w:sz w:val="21"/>
                <w:szCs w:val="21"/>
                <w:lang w:eastAsia="zh-CN"/>
              </w:rPr>
            </w:pPr>
          </w:p>
        </w:tc>
        <w:tc>
          <w:tcPr>
            <w:tcW w:w="254" w:type="pct"/>
            <w:vAlign w:val="center"/>
          </w:tcPr>
          <w:p>
            <w:pPr>
              <w:pStyle w:val="675"/>
              <w:jc w:val="center"/>
              <w:rPr>
                <w:rFonts w:asci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9"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w:t>
            </w:r>
          </w:p>
        </w:tc>
        <w:tc>
          <w:tcPr>
            <w:tcW w:w="3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合</w:t>
            </w:r>
            <w:r>
              <w:rPr>
                <w:rFonts w:hint="eastAsia" w:ascii="Times New Roman" w:cs="Times New Roman"/>
                <w:sz w:val="21"/>
                <w:szCs w:val="21"/>
                <w:lang w:eastAsia="zh-CN"/>
              </w:rPr>
              <w:tab/>
            </w:r>
            <w:r>
              <w:rPr>
                <w:rFonts w:hint="eastAsia" w:ascii="Times New Roman" w:cs="Times New Roman"/>
                <w:sz w:val="21"/>
                <w:szCs w:val="21"/>
                <w:lang w:eastAsia="zh-CN"/>
              </w:rPr>
              <w:t>计</w:t>
            </w:r>
          </w:p>
        </w:tc>
        <w:tc>
          <w:tcPr>
            <w:tcW w:w="212"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w:t>
            </w:r>
          </w:p>
        </w:tc>
        <w:tc>
          <w:tcPr>
            <w:tcW w:w="857"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w:t>
            </w:r>
          </w:p>
        </w:tc>
        <w:tc>
          <w:tcPr>
            <w:tcW w:w="170" w:type="pct"/>
            <w:vAlign w:val="center"/>
          </w:tcPr>
          <w:p>
            <w:pPr>
              <w:pStyle w:val="675"/>
              <w:jc w:val="center"/>
              <w:rPr>
                <w:rFonts w:ascii="Times New Roman" w:cs="Times New Roman"/>
                <w:sz w:val="21"/>
                <w:szCs w:val="21"/>
                <w:lang w:eastAsia="zh-CN"/>
              </w:rPr>
            </w:pPr>
            <w:r>
              <w:rPr>
                <w:rFonts w:hint="eastAsia" w:ascii="Times New Roman" w:cs="Times New Roman"/>
                <w:sz w:val="21"/>
                <w:szCs w:val="21"/>
                <w:lang w:eastAsia="zh-CN"/>
              </w:rPr>
              <w:t>/</w:t>
            </w:r>
          </w:p>
        </w:tc>
        <w:tc>
          <w:tcPr>
            <w:tcW w:w="171" w:type="pct"/>
            <w:vAlign w:val="center"/>
          </w:tcPr>
          <w:p>
            <w:pPr>
              <w:spacing w:line="240" w:lineRule="auto"/>
              <w:ind w:firstLine="0" w:firstLineChars="0"/>
              <w:jc w:val="center"/>
              <w:rPr>
                <w:sz w:val="21"/>
              </w:rPr>
            </w:pPr>
          </w:p>
        </w:tc>
        <w:tc>
          <w:tcPr>
            <w:tcW w:w="241" w:type="pct"/>
            <w:vAlign w:val="center"/>
          </w:tcPr>
          <w:p>
            <w:pPr>
              <w:spacing w:line="240" w:lineRule="auto"/>
              <w:ind w:firstLine="0" w:firstLineChars="0"/>
              <w:jc w:val="center"/>
              <w:rPr>
                <w:sz w:val="21"/>
              </w:rPr>
            </w:pPr>
            <w:r>
              <w:rPr>
                <w:sz w:val="21"/>
              </w:rPr>
              <w:t>60</w:t>
            </w:r>
          </w:p>
        </w:tc>
        <w:tc>
          <w:tcPr>
            <w:tcW w:w="150" w:type="pct"/>
            <w:vAlign w:val="center"/>
          </w:tcPr>
          <w:p>
            <w:pPr>
              <w:spacing w:line="240" w:lineRule="auto"/>
              <w:ind w:firstLine="0" w:firstLineChars="0"/>
              <w:jc w:val="center"/>
              <w:rPr>
                <w:sz w:val="21"/>
              </w:rPr>
            </w:pPr>
            <w:r>
              <w:rPr>
                <w:sz w:val="21"/>
              </w:rPr>
              <w:t>2</w:t>
            </w:r>
          </w:p>
        </w:tc>
        <w:tc>
          <w:tcPr>
            <w:tcW w:w="261" w:type="pct"/>
            <w:vAlign w:val="center"/>
          </w:tcPr>
          <w:p>
            <w:pPr>
              <w:spacing w:line="240" w:lineRule="auto"/>
              <w:ind w:firstLine="0" w:firstLineChars="0"/>
              <w:jc w:val="center"/>
              <w:rPr>
                <w:sz w:val="21"/>
              </w:rPr>
            </w:pPr>
            <w:r>
              <w:rPr>
                <w:sz w:val="21"/>
              </w:rPr>
              <w:t>127</w:t>
            </w:r>
          </w:p>
        </w:tc>
        <w:tc>
          <w:tcPr>
            <w:tcW w:w="224" w:type="pct"/>
            <w:vAlign w:val="center"/>
          </w:tcPr>
          <w:p>
            <w:pPr>
              <w:spacing w:line="240" w:lineRule="auto"/>
              <w:ind w:firstLine="0" w:firstLineChars="0"/>
              <w:jc w:val="center"/>
              <w:rPr>
                <w:sz w:val="21"/>
              </w:rPr>
            </w:pPr>
          </w:p>
        </w:tc>
        <w:tc>
          <w:tcPr>
            <w:tcW w:w="194" w:type="pct"/>
            <w:vAlign w:val="center"/>
          </w:tcPr>
          <w:p>
            <w:pPr>
              <w:spacing w:line="240" w:lineRule="auto"/>
              <w:ind w:firstLine="0" w:firstLineChars="0"/>
              <w:jc w:val="center"/>
              <w:rPr>
                <w:sz w:val="21"/>
              </w:rPr>
            </w:pPr>
            <w:r>
              <w:rPr>
                <w:sz w:val="21"/>
              </w:rPr>
              <w:t>24470</w:t>
            </w:r>
          </w:p>
        </w:tc>
        <w:tc>
          <w:tcPr>
            <w:tcW w:w="261" w:type="pct"/>
            <w:vAlign w:val="center"/>
          </w:tcPr>
          <w:p>
            <w:pPr>
              <w:spacing w:line="240" w:lineRule="auto"/>
              <w:ind w:firstLine="0" w:firstLineChars="0"/>
              <w:jc w:val="center"/>
              <w:rPr>
                <w:sz w:val="21"/>
              </w:rPr>
            </w:pPr>
          </w:p>
        </w:tc>
        <w:tc>
          <w:tcPr>
            <w:tcW w:w="287" w:type="pct"/>
            <w:vAlign w:val="center"/>
          </w:tcPr>
          <w:p>
            <w:pPr>
              <w:spacing w:line="240" w:lineRule="auto"/>
              <w:ind w:firstLine="0" w:firstLineChars="0"/>
              <w:jc w:val="center"/>
              <w:rPr>
                <w:sz w:val="21"/>
              </w:rPr>
            </w:pPr>
          </w:p>
        </w:tc>
        <w:tc>
          <w:tcPr>
            <w:tcW w:w="262" w:type="pct"/>
            <w:vAlign w:val="center"/>
          </w:tcPr>
          <w:p>
            <w:pPr>
              <w:spacing w:line="240" w:lineRule="auto"/>
              <w:ind w:firstLine="0" w:firstLineChars="0"/>
              <w:jc w:val="center"/>
              <w:rPr>
                <w:sz w:val="21"/>
              </w:rPr>
            </w:pPr>
            <w:r>
              <w:rPr>
                <w:sz w:val="21"/>
              </w:rPr>
              <w:t>14895</w:t>
            </w:r>
          </w:p>
        </w:tc>
        <w:tc>
          <w:tcPr>
            <w:tcW w:w="212" w:type="pct"/>
            <w:vAlign w:val="center"/>
          </w:tcPr>
          <w:p>
            <w:pPr>
              <w:spacing w:line="240" w:lineRule="auto"/>
              <w:ind w:firstLine="0" w:firstLineChars="0"/>
              <w:jc w:val="center"/>
              <w:rPr>
                <w:sz w:val="21"/>
              </w:rPr>
            </w:pPr>
          </w:p>
        </w:tc>
        <w:tc>
          <w:tcPr>
            <w:tcW w:w="279" w:type="pct"/>
            <w:vAlign w:val="center"/>
          </w:tcPr>
          <w:p>
            <w:pPr>
              <w:spacing w:line="240" w:lineRule="auto"/>
              <w:ind w:firstLine="0" w:firstLineChars="0"/>
              <w:jc w:val="center"/>
              <w:rPr>
                <w:sz w:val="21"/>
              </w:rPr>
            </w:pPr>
          </w:p>
        </w:tc>
        <w:tc>
          <w:tcPr>
            <w:tcW w:w="259" w:type="pct"/>
            <w:vAlign w:val="center"/>
          </w:tcPr>
          <w:p>
            <w:pPr>
              <w:spacing w:line="240" w:lineRule="auto"/>
              <w:ind w:firstLine="0" w:firstLineChars="0"/>
              <w:jc w:val="center"/>
              <w:rPr>
                <w:sz w:val="21"/>
              </w:rPr>
            </w:pPr>
            <w:r>
              <w:rPr>
                <w:sz w:val="21"/>
              </w:rPr>
              <w:t>7</w:t>
            </w:r>
          </w:p>
        </w:tc>
        <w:tc>
          <w:tcPr>
            <w:tcW w:w="259" w:type="pct"/>
            <w:vAlign w:val="center"/>
          </w:tcPr>
          <w:p>
            <w:pPr>
              <w:spacing w:line="240" w:lineRule="auto"/>
              <w:ind w:firstLine="0" w:firstLineChars="0"/>
              <w:jc w:val="center"/>
              <w:rPr>
                <w:sz w:val="21"/>
              </w:rPr>
            </w:pPr>
            <w:r>
              <w:rPr>
                <w:sz w:val="21"/>
              </w:rPr>
              <w:t>30</w:t>
            </w:r>
          </w:p>
        </w:tc>
        <w:tc>
          <w:tcPr>
            <w:tcW w:w="254" w:type="pct"/>
            <w:vAlign w:val="center"/>
          </w:tcPr>
          <w:p>
            <w:pPr>
              <w:pStyle w:val="675"/>
              <w:jc w:val="center"/>
              <w:rPr>
                <w:rFonts w:ascii="Times New Roman" w:cs="Times New Roman"/>
                <w:sz w:val="21"/>
                <w:szCs w:val="21"/>
                <w:lang w:eastAsia="zh-CN"/>
              </w:rPr>
            </w:pPr>
          </w:p>
        </w:tc>
      </w:tr>
    </w:tbl>
    <w:p>
      <w:pPr>
        <w:adjustRightInd w:val="0"/>
        <w:snapToGrid w:val="0"/>
        <w:ind w:firstLine="0" w:firstLineChars="0"/>
        <w:jc w:val="center"/>
        <w:rPr>
          <w:b/>
          <w:sz w:val="21"/>
        </w:rPr>
      </w:pPr>
      <w:r>
        <w:rPr>
          <w:b/>
          <w:sz w:val="21"/>
        </w:rPr>
        <w:t>表</w:t>
      </w:r>
      <w:r>
        <w:rPr>
          <w:rFonts w:hint="eastAsia"/>
          <w:b/>
          <w:sz w:val="21"/>
        </w:rPr>
        <w:t>3.7-</w:t>
      </w:r>
      <w:r>
        <w:rPr>
          <w:b/>
          <w:sz w:val="21"/>
        </w:rPr>
        <w:t>3</w:t>
      </w:r>
      <w:r>
        <w:rPr>
          <w:b/>
          <w:sz w:val="21"/>
        </w:rPr>
        <w:tab/>
      </w:r>
      <w:r>
        <w:rPr>
          <w:rFonts w:hint="eastAsia"/>
          <w:b/>
          <w:sz w:val="21"/>
        </w:rPr>
        <w:t>项目树木砍伐情况一览</w:t>
      </w:r>
      <w:r>
        <w:rPr>
          <w:b/>
          <w:sz w:val="21"/>
        </w:rPr>
        <w:t>表</w:t>
      </w:r>
    </w:p>
    <w:tbl>
      <w:tblPr>
        <w:tblStyle w:val="52"/>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41"/>
        <w:gridCol w:w="1714"/>
        <w:gridCol w:w="1588"/>
        <w:gridCol w:w="784"/>
        <w:gridCol w:w="885"/>
        <w:gridCol w:w="731"/>
        <w:gridCol w:w="801"/>
        <w:gridCol w:w="781"/>
        <w:gridCol w:w="798"/>
        <w:gridCol w:w="829"/>
        <w:gridCol w:w="823"/>
        <w:gridCol w:w="644"/>
        <w:gridCol w:w="812"/>
        <w:gridCol w:w="644"/>
        <w:gridCol w:w="644"/>
        <w:gridCol w:w="644"/>
        <w:gridCol w:w="63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序号</w:t>
            </w:r>
          </w:p>
        </w:tc>
        <w:tc>
          <w:tcPr>
            <w:tcW w:w="612"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起讫里程</w:t>
            </w:r>
          </w:p>
        </w:tc>
        <w:tc>
          <w:tcPr>
            <w:tcW w:w="567"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所有者</w:t>
            </w:r>
          </w:p>
        </w:tc>
        <w:tc>
          <w:tcPr>
            <w:tcW w:w="3734" w:type="pct"/>
            <w:gridSpan w:val="14"/>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树木种类及数量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Merge w:val="continue"/>
            <w:vAlign w:val="center"/>
          </w:tcPr>
          <w:p>
            <w:pPr>
              <w:pStyle w:val="675"/>
              <w:jc w:val="center"/>
              <w:rPr>
                <w:rFonts w:ascii="Times New Roman" w:hAnsi="Times New Roman" w:cs="Times New Roman"/>
                <w:sz w:val="21"/>
                <w:szCs w:val="21"/>
                <w:lang w:eastAsia="zh-CN"/>
              </w:rPr>
            </w:pPr>
          </w:p>
        </w:tc>
        <w:tc>
          <w:tcPr>
            <w:tcW w:w="612" w:type="pct"/>
            <w:vMerge w:val="continue"/>
            <w:vAlign w:val="center"/>
          </w:tcPr>
          <w:p>
            <w:pPr>
              <w:pStyle w:val="675"/>
              <w:jc w:val="center"/>
              <w:rPr>
                <w:rFonts w:ascii="Times New Roman" w:hAnsi="Times New Roman" w:cs="Times New Roman"/>
                <w:sz w:val="21"/>
                <w:szCs w:val="21"/>
                <w:lang w:eastAsia="zh-CN"/>
              </w:rPr>
            </w:pPr>
          </w:p>
        </w:tc>
        <w:tc>
          <w:tcPr>
            <w:tcW w:w="567" w:type="pct"/>
            <w:vMerge w:val="continue"/>
            <w:vAlign w:val="center"/>
          </w:tcPr>
          <w:p>
            <w:pPr>
              <w:pStyle w:val="675"/>
              <w:jc w:val="center"/>
              <w:rPr>
                <w:rFonts w:ascii="Times New Roman" w:hAnsi="Times New Roman" w:cs="Times New Roman"/>
                <w:sz w:val="21"/>
                <w:szCs w:val="21"/>
                <w:lang w:eastAsia="zh-CN"/>
              </w:rPr>
            </w:pP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杨树</w:t>
            </w:r>
          </w:p>
        </w:tc>
        <w:tc>
          <w:tcPr>
            <w:tcW w:w="31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松树</w:t>
            </w:r>
          </w:p>
        </w:tc>
        <w:tc>
          <w:tcPr>
            <w:tcW w:w="26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槐树</w:t>
            </w:r>
          </w:p>
        </w:tc>
        <w:tc>
          <w:tcPr>
            <w:tcW w:w="2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桦树</w:t>
            </w:r>
          </w:p>
        </w:tc>
        <w:tc>
          <w:tcPr>
            <w:tcW w:w="279"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枣树</w:t>
            </w:r>
          </w:p>
        </w:tc>
        <w:tc>
          <w:tcPr>
            <w:tcW w:w="2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桃树</w:t>
            </w: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板栗树</w:t>
            </w:r>
          </w:p>
        </w:tc>
        <w:tc>
          <w:tcPr>
            <w:tcW w:w="29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榆树</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菜树</w:t>
            </w:r>
          </w:p>
        </w:tc>
        <w:tc>
          <w:tcPr>
            <w:tcW w:w="2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柳树</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山检</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苹果</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核桃</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梨树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Merge w:val="continue"/>
            <w:vAlign w:val="center"/>
          </w:tcPr>
          <w:p>
            <w:pPr>
              <w:pStyle w:val="675"/>
              <w:jc w:val="center"/>
              <w:rPr>
                <w:rFonts w:ascii="Times New Roman" w:hAnsi="Times New Roman" w:cs="Times New Roman"/>
                <w:sz w:val="21"/>
                <w:szCs w:val="21"/>
                <w:lang w:eastAsia="zh-CN"/>
              </w:rPr>
            </w:pPr>
          </w:p>
        </w:tc>
        <w:tc>
          <w:tcPr>
            <w:tcW w:w="612" w:type="pct"/>
            <w:vMerge w:val="continue"/>
            <w:vAlign w:val="center"/>
          </w:tcPr>
          <w:p>
            <w:pPr>
              <w:pStyle w:val="675"/>
              <w:jc w:val="center"/>
              <w:rPr>
                <w:rFonts w:ascii="Times New Roman" w:hAnsi="Times New Roman" w:cs="Times New Roman"/>
                <w:sz w:val="21"/>
                <w:szCs w:val="21"/>
                <w:lang w:eastAsia="zh-CN"/>
              </w:rPr>
            </w:pPr>
          </w:p>
        </w:tc>
        <w:tc>
          <w:tcPr>
            <w:tcW w:w="567" w:type="pct"/>
            <w:vMerge w:val="continue"/>
            <w:vAlign w:val="center"/>
          </w:tcPr>
          <w:p>
            <w:pPr>
              <w:pStyle w:val="675"/>
              <w:jc w:val="center"/>
              <w:rPr>
                <w:rFonts w:ascii="Times New Roman" w:hAnsi="Times New Roman" w:cs="Times New Roman"/>
                <w:sz w:val="21"/>
                <w:szCs w:val="21"/>
                <w:lang w:eastAsia="zh-CN"/>
              </w:rPr>
            </w:pP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31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6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79"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8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9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K7+775~K10+348</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遵化市西留村镇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2461</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6348</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K10+348~K10+566</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遵化市堡子店镇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50</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1250</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K10+566~K10+950</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遵化市西留村镇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96</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1182</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K10+950~K11+138</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遵化市堡子店镇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15</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1075</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5</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K11+138~K15+410</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遵化市西留村镇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3036</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12579</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6</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K15+410~K17+847</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遵化市团瓢庄乡</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3055</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3032</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7</w:t>
            </w: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K17+847~K17+999</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遵化市新店子镇</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235</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6" w:type="pct"/>
            <w:vAlign w:val="center"/>
          </w:tcPr>
          <w:p>
            <w:pPr>
              <w:pStyle w:val="675"/>
              <w:jc w:val="center"/>
              <w:rPr>
                <w:rFonts w:ascii="Times New Roman" w:hAnsi="Times New Roman" w:cs="Times New Roman"/>
                <w:sz w:val="21"/>
                <w:szCs w:val="21"/>
                <w:lang w:eastAsia="zh-CN"/>
              </w:rPr>
            </w:pPr>
          </w:p>
        </w:tc>
        <w:tc>
          <w:tcPr>
            <w:tcW w:w="61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合</w:t>
            </w:r>
            <w:r>
              <w:rPr>
                <w:rFonts w:ascii="Times New Roman" w:hAnsi="Times New Roman" w:cs="Times New Roman"/>
                <w:sz w:val="21"/>
                <w:szCs w:val="21"/>
                <w:lang w:eastAsia="zh-CN"/>
              </w:rPr>
              <w:tab/>
            </w:r>
            <w:r>
              <w:rPr>
                <w:rFonts w:ascii="Times New Roman" w:hAnsi="Times New Roman" w:cs="Times New Roman"/>
                <w:sz w:val="21"/>
                <w:szCs w:val="21"/>
                <w:lang w:eastAsia="zh-CN"/>
              </w:rPr>
              <w:t>计</w:t>
            </w:r>
          </w:p>
        </w:tc>
        <w:tc>
          <w:tcPr>
            <w:tcW w:w="56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28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8948</w:t>
            </w:r>
          </w:p>
        </w:tc>
        <w:tc>
          <w:tcPr>
            <w:tcW w:w="316" w:type="pct"/>
            <w:vAlign w:val="center"/>
          </w:tcPr>
          <w:p>
            <w:pPr>
              <w:pStyle w:val="675"/>
              <w:jc w:val="center"/>
              <w:rPr>
                <w:rFonts w:ascii="Times New Roman" w:hAnsi="Times New Roman" w:cs="Times New Roman"/>
                <w:sz w:val="21"/>
                <w:szCs w:val="21"/>
                <w:lang w:eastAsia="zh-CN"/>
              </w:rPr>
            </w:pPr>
          </w:p>
        </w:tc>
        <w:tc>
          <w:tcPr>
            <w:tcW w:w="261" w:type="pct"/>
            <w:vAlign w:val="center"/>
          </w:tcPr>
          <w:p>
            <w:pPr>
              <w:pStyle w:val="675"/>
              <w:jc w:val="center"/>
              <w:rPr>
                <w:rFonts w:ascii="Times New Roman" w:hAnsi="Times New Roman" w:cs="Times New Roman"/>
                <w:sz w:val="21"/>
                <w:szCs w:val="21"/>
                <w:lang w:eastAsia="zh-CN"/>
              </w:rPr>
            </w:pPr>
          </w:p>
        </w:tc>
        <w:tc>
          <w:tcPr>
            <w:tcW w:w="286" w:type="pct"/>
            <w:vAlign w:val="center"/>
          </w:tcPr>
          <w:p>
            <w:pPr>
              <w:pStyle w:val="675"/>
              <w:jc w:val="center"/>
              <w:rPr>
                <w:rFonts w:ascii="Times New Roman" w:hAnsi="Times New Roman" w:cs="Times New Roman"/>
                <w:sz w:val="21"/>
                <w:szCs w:val="21"/>
                <w:lang w:eastAsia="zh-CN"/>
              </w:rPr>
            </w:pPr>
          </w:p>
        </w:tc>
        <w:tc>
          <w:tcPr>
            <w:tcW w:w="279" w:type="pct"/>
            <w:vAlign w:val="center"/>
          </w:tcPr>
          <w:p>
            <w:pPr>
              <w:pStyle w:val="675"/>
              <w:jc w:val="center"/>
              <w:rPr>
                <w:rFonts w:ascii="Times New Roman" w:hAnsi="Times New Roman" w:cs="Times New Roman"/>
                <w:sz w:val="21"/>
                <w:szCs w:val="21"/>
                <w:lang w:eastAsia="zh-CN"/>
              </w:rPr>
            </w:pPr>
          </w:p>
        </w:tc>
        <w:tc>
          <w:tcPr>
            <w:tcW w:w="285" w:type="pct"/>
            <w:vAlign w:val="center"/>
          </w:tcPr>
          <w:p>
            <w:pPr>
              <w:pStyle w:val="675"/>
              <w:jc w:val="center"/>
              <w:rPr>
                <w:rFonts w:ascii="Times New Roman" w:hAnsi="Times New Roman" w:cs="Times New Roman"/>
                <w:sz w:val="21"/>
                <w:szCs w:val="21"/>
                <w:lang w:eastAsia="zh-CN"/>
              </w:rPr>
            </w:pPr>
          </w:p>
        </w:tc>
        <w:tc>
          <w:tcPr>
            <w:tcW w:w="29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25466</w:t>
            </w:r>
          </w:p>
        </w:tc>
        <w:tc>
          <w:tcPr>
            <w:tcW w:w="294"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9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c>
          <w:tcPr>
            <w:tcW w:w="230" w:type="pct"/>
            <w:vAlign w:val="center"/>
          </w:tcPr>
          <w:p>
            <w:pPr>
              <w:pStyle w:val="675"/>
              <w:jc w:val="center"/>
              <w:rPr>
                <w:rFonts w:ascii="Times New Roman" w:hAnsi="Times New Roman" w:cs="Times New Roman"/>
                <w:sz w:val="21"/>
                <w:szCs w:val="21"/>
                <w:lang w:eastAsia="zh-CN"/>
              </w:rPr>
            </w:pPr>
          </w:p>
        </w:tc>
      </w:tr>
    </w:tbl>
    <w:p>
      <w:pPr>
        <w:ind w:firstLine="480"/>
        <w:rPr>
          <w:rFonts w:cs="宋体"/>
          <w:highlight w:val="yellow"/>
        </w:rPr>
      </w:pPr>
    </w:p>
    <w:p>
      <w:pPr>
        <w:ind w:firstLine="480"/>
        <w:rPr>
          <w:rFonts w:cs="宋体"/>
          <w:highlight w:val="yellow"/>
        </w:rPr>
        <w:sectPr>
          <w:footerReference r:id="rId24" w:type="default"/>
          <w:pgSz w:w="16838" w:h="11906" w:orient="landscape"/>
          <w:pgMar w:top="1418" w:right="1418" w:bottom="1474" w:left="1418" w:header="964" w:footer="964" w:gutter="0"/>
          <w:cols w:space="720" w:num="1"/>
          <w:docGrid w:linePitch="326" w:charSpace="0"/>
        </w:sectPr>
      </w:pPr>
    </w:p>
    <w:p>
      <w:pPr>
        <w:pStyle w:val="5"/>
        <w:spacing w:beforeLines="0" w:afterLines="0"/>
      </w:pPr>
      <w:bookmarkStart w:id="82" w:name="_Toc141284063"/>
      <w:r>
        <w:t>3.</w:t>
      </w:r>
      <w:r>
        <w:rPr>
          <w:rFonts w:hint="eastAsia"/>
        </w:rPr>
        <w:t>8沿线筑路材料</w:t>
      </w:r>
      <w:bookmarkEnd w:id="82"/>
      <w:r>
        <w:rPr>
          <w:rFonts w:hint="eastAsia"/>
        </w:rPr>
        <w:t>及施工设备</w:t>
      </w:r>
    </w:p>
    <w:p>
      <w:pPr>
        <w:ind w:firstLine="480"/>
        <w:rPr>
          <w:rFonts w:cs="宋体"/>
        </w:rPr>
      </w:pPr>
      <w:r>
        <w:rPr>
          <w:rFonts w:cs="宋体"/>
        </w:rPr>
        <w:t>（1）沿线筑路材料</w:t>
      </w:r>
    </w:p>
    <w:p>
      <w:pPr>
        <w:ind w:firstLine="480"/>
        <w:rPr>
          <w:rFonts w:cs="宋体"/>
        </w:rPr>
      </w:pPr>
      <w:r>
        <w:rPr>
          <w:rFonts w:hint="eastAsia" w:cs="宋体"/>
        </w:rPr>
        <w:t>①路基用土</w:t>
      </w:r>
    </w:p>
    <w:p>
      <w:pPr>
        <w:ind w:firstLine="480"/>
        <w:rPr>
          <w:rFonts w:cs="宋体"/>
        </w:rPr>
      </w:pPr>
      <w:r>
        <w:rPr>
          <w:rFonts w:hint="eastAsia"/>
          <w:bCs/>
          <w:szCs w:val="24"/>
        </w:rPr>
        <w:t>本项目修路路基用土从遵化市党峪东升石料厂购买，并通过汽车运输至施工场地</w:t>
      </w:r>
      <w:r>
        <w:rPr>
          <w:rFonts w:hint="eastAsia" w:cs="宋体"/>
        </w:rPr>
        <w:t>。</w:t>
      </w:r>
    </w:p>
    <w:p>
      <w:pPr>
        <w:ind w:firstLine="480"/>
        <w:rPr>
          <w:rFonts w:ascii="宋体" w:hAnsi="宋体" w:cs="宋体"/>
        </w:rPr>
      </w:pPr>
      <w:r>
        <w:rPr>
          <w:rFonts w:hint="eastAsia" w:ascii="宋体" w:hAnsi="宋体" w:cs="宋体"/>
        </w:rPr>
        <w:t>②基层混合料</w:t>
      </w:r>
    </w:p>
    <w:p>
      <w:pPr>
        <w:ind w:firstLine="480"/>
        <w:rPr>
          <w:rFonts w:ascii="宋体" w:hAnsi="宋体" w:cs="宋体"/>
        </w:rPr>
      </w:pPr>
      <w:r>
        <w:rPr>
          <w:rFonts w:hint="eastAsia" w:ascii="宋体" w:hAnsi="宋体" w:cs="宋体"/>
        </w:rPr>
        <w:t>本项目不设置单独基层混合料搅拌站，其底层垫水泥稳定级碎石是由遵化市鑫实工贸有限公司提供，通过现有道路运输至施工区域。</w:t>
      </w:r>
    </w:p>
    <w:p>
      <w:pPr>
        <w:ind w:firstLine="480"/>
        <w:rPr>
          <w:rFonts w:ascii="宋体" w:hAnsi="宋体" w:cs="宋体"/>
        </w:rPr>
      </w:pPr>
      <w:r>
        <w:rPr>
          <w:rFonts w:hint="eastAsia" w:ascii="宋体" w:hAnsi="宋体" w:cs="宋体"/>
        </w:rPr>
        <w:t>③水泥混凝土</w:t>
      </w:r>
    </w:p>
    <w:p>
      <w:pPr>
        <w:ind w:firstLine="480"/>
        <w:rPr>
          <w:rFonts w:ascii="宋体" w:hAnsi="宋体" w:cs="宋体"/>
        </w:rPr>
      </w:pPr>
      <w:r>
        <w:rPr>
          <w:rFonts w:hint="eastAsia" w:ascii="宋体" w:hAnsi="宋体" w:cs="宋体"/>
        </w:rPr>
        <w:t>本项目不设置单独水泥混凝土搅拌站，其用料是由遵化市鑫实工贸有限公司提供，通过现有道路运输至施工区域。</w:t>
      </w:r>
    </w:p>
    <w:p>
      <w:pPr>
        <w:ind w:firstLine="480"/>
        <w:rPr>
          <w:rFonts w:ascii="宋体" w:hAnsi="宋体" w:cs="宋体"/>
        </w:rPr>
      </w:pPr>
      <w:r>
        <w:rPr>
          <w:rFonts w:hint="eastAsia" w:ascii="宋体" w:hAnsi="宋体" w:cs="宋体"/>
        </w:rPr>
        <w:t>④沥青混凝土</w:t>
      </w:r>
    </w:p>
    <w:p>
      <w:pPr>
        <w:ind w:firstLine="480"/>
        <w:rPr>
          <w:rFonts w:ascii="宋体" w:hAnsi="宋体" w:cs="宋体"/>
        </w:rPr>
      </w:pPr>
      <w:r>
        <w:rPr>
          <w:rFonts w:hint="eastAsia" w:ascii="宋体" w:hAnsi="宋体" w:cs="宋体"/>
        </w:rPr>
        <w:t>本项目不设置单独沥青混凝土搅拌站，其用料是由唐山鑫通建材有限公司提供，通过现有道路运输至施工区域。</w:t>
      </w:r>
    </w:p>
    <w:p>
      <w:pPr>
        <w:ind w:firstLine="480"/>
        <w:rPr>
          <w:rFonts w:ascii="宋体" w:hAnsi="宋体" w:cs="宋体"/>
        </w:rPr>
      </w:pPr>
      <w:r>
        <w:rPr>
          <w:rFonts w:hint="eastAsia" w:ascii="宋体" w:hAnsi="宋体" w:cs="宋体"/>
        </w:rPr>
        <w:t>⑤其他材料</w:t>
      </w:r>
    </w:p>
    <w:p>
      <w:pPr>
        <w:ind w:firstLine="480"/>
        <w:rPr>
          <w:rFonts w:ascii="宋体" w:hAnsi="宋体" w:cs="宋体"/>
        </w:rPr>
      </w:pPr>
      <w:r>
        <w:rPr>
          <w:rFonts w:hint="eastAsia" w:ascii="宋体" w:hAnsi="宋体" w:cs="宋体"/>
        </w:rPr>
        <w:t>本项目</w:t>
      </w:r>
      <w:r>
        <w:rPr>
          <w:rFonts w:ascii="宋体" w:hAnsi="宋体" w:cs="宋体"/>
        </w:rPr>
        <w:t>钢材可从</w:t>
      </w:r>
      <w:r>
        <w:rPr>
          <w:rFonts w:ascii="Arial" w:hAnsi="Arial" w:cs="Arial"/>
        </w:rPr>
        <w:t>钢材等材料可从唐山市或遵化市择优选购</w:t>
      </w:r>
      <w:r>
        <w:rPr>
          <w:rFonts w:hint="eastAsia" w:ascii="宋体" w:hAnsi="宋体" w:cs="宋体"/>
        </w:rPr>
        <w:t>。</w:t>
      </w:r>
    </w:p>
    <w:p>
      <w:pPr>
        <w:adjustRightInd w:val="0"/>
        <w:snapToGrid w:val="0"/>
        <w:ind w:firstLine="0" w:firstLineChars="0"/>
        <w:jc w:val="center"/>
        <w:rPr>
          <w:b/>
          <w:sz w:val="21"/>
        </w:rPr>
      </w:pPr>
      <w:bookmarkStart w:id="83" w:name="_Toc141284064"/>
      <w:r>
        <w:rPr>
          <w:b/>
          <w:sz w:val="21"/>
        </w:rPr>
        <w:t>表</w:t>
      </w:r>
      <w:r>
        <w:rPr>
          <w:rFonts w:hint="eastAsia"/>
          <w:b/>
          <w:sz w:val="21"/>
        </w:rPr>
        <w:t>3.</w:t>
      </w:r>
      <w:r>
        <w:rPr>
          <w:b/>
          <w:sz w:val="21"/>
        </w:rPr>
        <w:t>8</w:t>
      </w:r>
      <w:r>
        <w:rPr>
          <w:rFonts w:hint="eastAsia"/>
          <w:b/>
          <w:sz w:val="21"/>
        </w:rPr>
        <w:t>-</w:t>
      </w:r>
      <w:r>
        <w:rPr>
          <w:b/>
          <w:sz w:val="21"/>
        </w:rPr>
        <w:t>1</w:t>
      </w:r>
      <w:r>
        <w:rPr>
          <w:b/>
          <w:sz w:val="21"/>
        </w:rPr>
        <w:tab/>
      </w:r>
      <w:r>
        <w:rPr>
          <w:rFonts w:hint="eastAsia"/>
          <w:b/>
          <w:sz w:val="21"/>
        </w:rPr>
        <w:t>项目原辅材料消耗一览</w:t>
      </w:r>
      <w:r>
        <w:rPr>
          <w:b/>
          <w:sz w:val="21"/>
        </w:rPr>
        <w:t>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719"/>
        <w:gridCol w:w="3113"/>
        <w:gridCol w:w="1989"/>
        <w:gridCol w:w="3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序号</w:t>
            </w:r>
          </w:p>
        </w:tc>
        <w:tc>
          <w:tcPr>
            <w:tcW w:w="1723" w:type="pct"/>
            <w:vAlign w:val="center"/>
          </w:tcPr>
          <w:p>
            <w:pPr>
              <w:spacing w:line="240" w:lineRule="auto"/>
              <w:ind w:firstLine="0" w:firstLineChars="0"/>
              <w:jc w:val="center"/>
              <w:rPr>
                <w:sz w:val="21"/>
              </w:rPr>
            </w:pPr>
            <w:r>
              <w:rPr>
                <w:rFonts w:hint="eastAsia"/>
                <w:sz w:val="21"/>
              </w:rPr>
              <w:t>名称</w:t>
            </w:r>
          </w:p>
        </w:tc>
        <w:tc>
          <w:tcPr>
            <w:tcW w:w="1101" w:type="pct"/>
            <w:vAlign w:val="center"/>
          </w:tcPr>
          <w:p>
            <w:pPr>
              <w:spacing w:line="240" w:lineRule="auto"/>
              <w:ind w:firstLine="0" w:firstLineChars="0"/>
              <w:jc w:val="center"/>
              <w:rPr>
                <w:sz w:val="21"/>
              </w:rPr>
            </w:pPr>
            <w:r>
              <w:rPr>
                <w:rFonts w:hint="eastAsia"/>
                <w:sz w:val="21"/>
              </w:rPr>
              <w:t>单位</w:t>
            </w:r>
          </w:p>
        </w:tc>
        <w:tc>
          <w:tcPr>
            <w:tcW w:w="1778" w:type="pct"/>
            <w:vAlign w:val="center"/>
          </w:tcPr>
          <w:p>
            <w:pPr>
              <w:spacing w:line="240" w:lineRule="auto"/>
              <w:ind w:firstLine="0" w:firstLineChars="0"/>
              <w:jc w:val="center"/>
              <w:rPr>
                <w:sz w:val="21"/>
              </w:rPr>
            </w:pPr>
            <w:r>
              <w:rPr>
                <w:rFonts w:hint="eastAsia"/>
                <w:sz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1</w:t>
            </w:r>
          </w:p>
        </w:tc>
        <w:tc>
          <w:tcPr>
            <w:tcW w:w="1723" w:type="pct"/>
            <w:vAlign w:val="center"/>
          </w:tcPr>
          <w:p>
            <w:pPr>
              <w:spacing w:line="240" w:lineRule="auto"/>
              <w:ind w:firstLine="0" w:firstLineChars="0"/>
              <w:jc w:val="center"/>
              <w:rPr>
                <w:sz w:val="21"/>
              </w:rPr>
            </w:pPr>
            <w:r>
              <w:rPr>
                <w:rFonts w:hint="eastAsia"/>
                <w:sz w:val="21"/>
              </w:rPr>
              <w:t>重油</w:t>
            </w:r>
          </w:p>
        </w:tc>
        <w:tc>
          <w:tcPr>
            <w:tcW w:w="1101" w:type="pct"/>
            <w:vAlign w:val="center"/>
          </w:tcPr>
          <w:p>
            <w:pPr>
              <w:spacing w:line="240" w:lineRule="auto"/>
              <w:ind w:firstLine="0" w:firstLineChars="0"/>
              <w:jc w:val="center"/>
              <w:rPr>
                <w:sz w:val="21"/>
              </w:rPr>
            </w:pPr>
            <w:r>
              <w:rPr>
                <w:rFonts w:hint="eastAsia"/>
                <w:sz w:val="21"/>
              </w:rPr>
              <w:t>t</w:t>
            </w:r>
          </w:p>
        </w:tc>
        <w:tc>
          <w:tcPr>
            <w:tcW w:w="1778" w:type="pct"/>
            <w:vAlign w:val="center"/>
          </w:tcPr>
          <w:p>
            <w:pPr>
              <w:spacing w:line="240" w:lineRule="auto"/>
              <w:ind w:firstLine="0" w:firstLineChars="0"/>
              <w:jc w:val="center"/>
              <w:rPr>
                <w:sz w:val="21"/>
              </w:rPr>
            </w:pPr>
            <w:r>
              <w:rPr>
                <w:rFonts w:hint="eastAsia"/>
                <w:sz w:val="21"/>
              </w:rPr>
              <w:t>7</w:t>
            </w:r>
            <w:r>
              <w:rPr>
                <w:sz w:val="21"/>
              </w:rPr>
              <w:t>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2</w:t>
            </w:r>
          </w:p>
        </w:tc>
        <w:tc>
          <w:tcPr>
            <w:tcW w:w="1723" w:type="pct"/>
            <w:vAlign w:val="center"/>
          </w:tcPr>
          <w:p>
            <w:pPr>
              <w:spacing w:line="240" w:lineRule="auto"/>
              <w:ind w:firstLine="0" w:firstLineChars="0"/>
              <w:jc w:val="center"/>
              <w:rPr>
                <w:sz w:val="21"/>
              </w:rPr>
            </w:pPr>
            <w:r>
              <w:rPr>
                <w:rFonts w:hint="eastAsia"/>
                <w:sz w:val="21"/>
              </w:rPr>
              <w:t>柴油</w:t>
            </w:r>
          </w:p>
        </w:tc>
        <w:tc>
          <w:tcPr>
            <w:tcW w:w="1101" w:type="pct"/>
            <w:vAlign w:val="center"/>
          </w:tcPr>
          <w:p>
            <w:pPr>
              <w:spacing w:line="240" w:lineRule="auto"/>
              <w:ind w:firstLine="0" w:firstLineChars="0"/>
              <w:jc w:val="center"/>
              <w:rPr>
                <w:sz w:val="21"/>
              </w:rPr>
            </w:pPr>
            <w:r>
              <w:rPr>
                <w:rFonts w:hint="eastAsia"/>
                <w:sz w:val="21"/>
              </w:rPr>
              <w:t>t</w:t>
            </w:r>
          </w:p>
        </w:tc>
        <w:tc>
          <w:tcPr>
            <w:tcW w:w="1778" w:type="pct"/>
            <w:vAlign w:val="center"/>
          </w:tcPr>
          <w:p>
            <w:pPr>
              <w:spacing w:line="240" w:lineRule="auto"/>
              <w:ind w:firstLine="0" w:firstLineChars="0"/>
              <w:jc w:val="center"/>
              <w:rPr>
                <w:sz w:val="21"/>
              </w:rPr>
            </w:pPr>
            <w:r>
              <w:rPr>
                <w:rFonts w:hint="eastAsia"/>
                <w:sz w:val="21"/>
              </w:rPr>
              <w:t>1</w:t>
            </w:r>
            <w:r>
              <w:rPr>
                <w:sz w:val="21"/>
              </w:rPr>
              <w:t>225.8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3</w:t>
            </w:r>
          </w:p>
        </w:tc>
        <w:tc>
          <w:tcPr>
            <w:tcW w:w="1723" w:type="pct"/>
            <w:vAlign w:val="center"/>
          </w:tcPr>
          <w:p>
            <w:pPr>
              <w:spacing w:line="240" w:lineRule="auto"/>
              <w:ind w:firstLine="0" w:firstLineChars="0"/>
              <w:jc w:val="center"/>
              <w:rPr>
                <w:sz w:val="21"/>
              </w:rPr>
            </w:pPr>
            <w:r>
              <w:rPr>
                <w:rFonts w:hint="eastAsia"/>
                <w:sz w:val="21"/>
              </w:rPr>
              <w:t>汽油</w:t>
            </w:r>
          </w:p>
        </w:tc>
        <w:tc>
          <w:tcPr>
            <w:tcW w:w="1101" w:type="pct"/>
            <w:vAlign w:val="center"/>
          </w:tcPr>
          <w:p>
            <w:pPr>
              <w:spacing w:line="240" w:lineRule="auto"/>
              <w:ind w:firstLine="0" w:firstLineChars="0"/>
              <w:jc w:val="center"/>
              <w:rPr>
                <w:sz w:val="21"/>
              </w:rPr>
            </w:pPr>
            <w:r>
              <w:rPr>
                <w:rFonts w:hint="eastAsia"/>
                <w:sz w:val="21"/>
              </w:rPr>
              <w:t>t</w:t>
            </w:r>
          </w:p>
        </w:tc>
        <w:tc>
          <w:tcPr>
            <w:tcW w:w="1778" w:type="pct"/>
            <w:vAlign w:val="center"/>
          </w:tcPr>
          <w:p>
            <w:pPr>
              <w:spacing w:line="240" w:lineRule="auto"/>
              <w:ind w:firstLine="0" w:firstLineChars="0"/>
              <w:jc w:val="center"/>
              <w:rPr>
                <w:sz w:val="21"/>
              </w:rPr>
            </w:pPr>
            <w:r>
              <w:rPr>
                <w:rFonts w:hint="eastAsia"/>
                <w:sz w:val="21"/>
              </w:rPr>
              <w:t>2</w:t>
            </w:r>
            <w:r>
              <w:rPr>
                <w:sz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4</w:t>
            </w:r>
          </w:p>
        </w:tc>
        <w:tc>
          <w:tcPr>
            <w:tcW w:w="1723" w:type="pct"/>
            <w:vAlign w:val="center"/>
          </w:tcPr>
          <w:p>
            <w:pPr>
              <w:spacing w:line="240" w:lineRule="auto"/>
              <w:ind w:firstLine="0" w:firstLineChars="0"/>
              <w:jc w:val="center"/>
              <w:rPr>
                <w:sz w:val="21"/>
              </w:rPr>
            </w:pPr>
            <w:r>
              <w:rPr>
                <w:rFonts w:hint="eastAsia"/>
                <w:sz w:val="21"/>
              </w:rPr>
              <w:t>电</w:t>
            </w:r>
          </w:p>
        </w:tc>
        <w:tc>
          <w:tcPr>
            <w:tcW w:w="1101" w:type="pct"/>
            <w:vAlign w:val="center"/>
          </w:tcPr>
          <w:p>
            <w:pPr>
              <w:spacing w:line="240" w:lineRule="auto"/>
              <w:ind w:firstLine="0" w:firstLineChars="0"/>
              <w:jc w:val="center"/>
              <w:rPr>
                <w:sz w:val="21"/>
              </w:rPr>
            </w:pPr>
            <w:r>
              <w:rPr>
                <w:rFonts w:hint="eastAsia"/>
                <w:sz w:val="21"/>
              </w:rPr>
              <w:t>万kwh</w:t>
            </w:r>
          </w:p>
        </w:tc>
        <w:tc>
          <w:tcPr>
            <w:tcW w:w="1778" w:type="pct"/>
            <w:vAlign w:val="center"/>
          </w:tcPr>
          <w:p>
            <w:pPr>
              <w:spacing w:line="240" w:lineRule="auto"/>
              <w:ind w:firstLine="0" w:firstLineChars="0"/>
              <w:jc w:val="center"/>
              <w:rPr>
                <w:sz w:val="21"/>
              </w:rPr>
            </w:pPr>
            <w:r>
              <w:rPr>
                <w:rFonts w:hint="eastAsia"/>
                <w:sz w:val="21"/>
              </w:rPr>
              <w:t>2</w:t>
            </w:r>
            <w:r>
              <w:rPr>
                <w:sz w:val="21"/>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5</w:t>
            </w:r>
          </w:p>
        </w:tc>
        <w:tc>
          <w:tcPr>
            <w:tcW w:w="1723" w:type="pct"/>
            <w:vAlign w:val="center"/>
          </w:tcPr>
          <w:p>
            <w:pPr>
              <w:spacing w:line="240" w:lineRule="auto"/>
              <w:ind w:firstLine="0" w:firstLineChars="0"/>
              <w:jc w:val="center"/>
              <w:rPr>
                <w:sz w:val="21"/>
              </w:rPr>
            </w:pPr>
            <w:r>
              <w:rPr>
                <w:rFonts w:hint="eastAsia"/>
                <w:sz w:val="21"/>
              </w:rPr>
              <w:t>水</w:t>
            </w:r>
          </w:p>
        </w:tc>
        <w:tc>
          <w:tcPr>
            <w:tcW w:w="1101" w:type="pct"/>
            <w:vAlign w:val="center"/>
          </w:tcPr>
          <w:p>
            <w:pPr>
              <w:spacing w:line="240" w:lineRule="auto"/>
              <w:ind w:firstLine="0" w:firstLineChars="0"/>
              <w:jc w:val="center"/>
              <w:rPr>
                <w:sz w:val="21"/>
              </w:rPr>
            </w:pPr>
            <w:r>
              <w:rPr>
                <w:rFonts w:hint="eastAsia"/>
                <w:sz w:val="21"/>
              </w:rPr>
              <w:t>m</w:t>
            </w:r>
            <w:r>
              <w:rPr>
                <w:rFonts w:hint="eastAsia"/>
                <w:sz w:val="21"/>
                <w:vertAlign w:val="superscript"/>
              </w:rPr>
              <w:t>3</w:t>
            </w:r>
          </w:p>
        </w:tc>
        <w:tc>
          <w:tcPr>
            <w:tcW w:w="1778" w:type="pct"/>
            <w:vAlign w:val="center"/>
          </w:tcPr>
          <w:p>
            <w:pPr>
              <w:spacing w:line="240" w:lineRule="auto"/>
              <w:ind w:firstLine="0" w:firstLineChars="0"/>
              <w:jc w:val="center"/>
              <w:rPr>
                <w:sz w:val="21"/>
              </w:rPr>
            </w:pPr>
            <w:r>
              <w:rPr>
                <w:rFonts w:hint="eastAsia"/>
                <w:sz w:val="21"/>
              </w:rPr>
              <w:t>9</w:t>
            </w:r>
            <w:r>
              <w:rPr>
                <w:sz w:val="21"/>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6</w:t>
            </w:r>
          </w:p>
        </w:tc>
        <w:tc>
          <w:tcPr>
            <w:tcW w:w="1723" w:type="pct"/>
            <w:vAlign w:val="center"/>
          </w:tcPr>
          <w:p>
            <w:pPr>
              <w:spacing w:line="240" w:lineRule="auto"/>
              <w:ind w:firstLine="0" w:firstLineChars="0"/>
              <w:jc w:val="center"/>
              <w:rPr>
                <w:sz w:val="21"/>
              </w:rPr>
            </w:pPr>
            <w:r>
              <w:rPr>
                <w:rFonts w:hint="eastAsia"/>
                <w:sz w:val="21"/>
              </w:rPr>
              <w:t>垫土</w:t>
            </w:r>
          </w:p>
        </w:tc>
        <w:tc>
          <w:tcPr>
            <w:tcW w:w="1101" w:type="pct"/>
            <w:vAlign w:val="center"/>
          </w:tcPr>
          <w:p>
            <w:pPr>
              <w:spacing w:line="240" w:lineRule="auto"/>
              <w:ind w:firstLine="0" w:firstLineChars="0"/>
              <w:jc w:val="center"/>
              <w:rPr>
                <w:sz w:val="21"/>
              </w:rPr>
            </w:pPr>
            <w:r>
              <w:rPr>
                <w:rFonts w:hint="eastAsia"/>
                <w:sz w:val="21"/>
              </w:rPr>
              <w:t>t</w:t>
            </w:r>
          </w:p>
        </w:tc>
        <w:tc>
          <w:tcPr>
            <w:tcW w:w="1778" w:type="pct"/>
            <w:vAlign w:val="center"/>
          </w:tcPr>
          <w:p>
            <w:pPr>
              <w:spacing w:line="240" w:lineRule="auto"/>
              <w:ind w:firstLine="0" w:firstLineChars="0"/>
              <w:jc w:val="center"/>
              <w:rPr>
                <w:sz w:val="21"/>
              </w:rPr>
            </w:pPr>
            <w:r>
              <w:rPr>
                <w:rFonts w:hint="eastAsia"/>
                <w:sz w:val="21"/>
              </w:rPr>
              <w:t>9</w:t>
            </w:r>
            <w:r>
              <w:rPr>
                <w:sz w:val="21"/>
              </w:rPr>
              <w:t>81381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9</w:t>
            </w:r>
          </w:p>
        </w:tc>
        <w:tc>
          <w:tcPr>
            <w:tcW w:w="1723" w:type="pct"/>
            <w:vAlign w:val="center"/>
          </w:tcPr>
          <w:p>
            <w:pPr>
              <w:spacing w:line="240" w:lineRule="auto"/>
              <w:ind w:firstLine="0" w:firstLineChars="0"/>
              <w:jc w:val="center"/>
              <w:rPr>
                <w:sz w:val="21"/>
              </w:rPr>
            </w:pPr>
            <w:r>
              <w:rPr>
                <w:rFonts w:hint="eastAsia"/>
                <w:sz w:val="21"/>
              </w:rPr>
              <w:t>钢材</w:t>
            </w:r>
          </w:p>
        </w:tc>
        <w:tc>
          <w:tcPr>
            <w:tcW w:w="1101" w:type="pct"/>
            <w:vAlign w:val="center"/>
          </w:tcPr>
          <w:p>
            <w:pPr>
              <w:spacing w:line="240" w:lineRule="auto"/>
              <w:ind w:firstLine="0" w:firstLineChars="0"/>
              <w:jc w:val="center"/>
              <w:rPr>
                <w:sz w:val="21"/>
              </w:rPr>
            </w:pPr>
            <w:r>
              <w:rPr>
                <w:rFonts w:hint="eastAsia"/>
                <w:sz w:val="21"/>
              </w:rPr>
              <w:t>t</w:t>
            </w:r>
          </w:p>
        </w:tc>
        <w:tc>
          <w:tcPr>
            <w:tcW w:w="1778" w:type="pct"/>
            <w:vAlign w:val="center"/>
          </w:tcPr>
          <w:p>
            <w:pPr>
              <w:spacing w:line="240" w:lineRule="auto"/>
              <w:ind w:firstLine="0" w:firstLineChars="0"/>
              <w:jc w:val="center"/>
              <w:rPr>
                <w:sz w:val="21"/>
              </w:rPr>
            </w:pPr>
            <w:r>
              <w:rPr>
                <w:rFonts w:hint="eastAsia"/>
                <w:sz w:val="21"/>
              </w:rPr>
              <w:t>7</w:t>
            </w:r>
            <w:r>
              <w:rPr>
                <w:sz w:val="21"/>
              </w:rPr>
              <w:t>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0</w:t>
            </w:r>
          </w:p>
        </w:tc>
        <w:tc>
          <w:tcPr>
            <w:tcW w:w="1723" w:type="pct"/>
            <w:vAlign w:val="center"/>
          </w:tcPr>
          <w:p>
            <w:pPr>
              <w:spacing w:line="240" w:lineRule="auto"/>
              <w:ind w:firstLine="0" w:firstLineChars="0"/>
              <w:jc w:val="center"/>
              <w:rPr>
                <w:sz w:val="21"/>
              </w:rPr>
            </w:pPr>
            <w:r>
              <w:rPr>
                <w:rFonts w:hint="eastAsia"/>
                <w:sz w:val="21"/>
              </w:rPr>
              <w:t>沥青混凝土</w:t>
            </w:r>
          </w:p>
        </w:tc>
        <w:tc>
          <w:tcPr>
            <w:tcW w:w="1101" w:type="pct"/>
            <w:vAlign w:val="center"/>
          </w:tcPr>
          <w:p>
            <w:pPr>
              <w:spacing w:line="240" w:lineRule="auto"/>
              <w:ind w:firstLine="0" w:firstLineChars="0"/>
              <w:jc w:val="center"/>
              <w:rPr>
                <w:sz w:val="21"/>
              </w:rPr>
            </w:pPr>
            <w:r>
              <w:rPr>
                <w:rFonts w:hint="eastAsia"/>
                <w:sz w:val="21"/>
              </w:rPr>
              <w:t>m</w:t>
            </w:r>
            <w:r>
              <w:rPr>
                <w:rFonts w:hint="eastAsia"/>
                <w:sz w:val="21"/>
                <w:vertAlign w:val="superscript"/>
              </w:rPr>
              <w:t>3</w:t>
            </w:r>
          </w:p>
        </w:tc>
        <w:tc>
          <w:tcPr>
            <w:tcW w:w="1778" w:type="pct"/>
            <w:vAlign w:val="center"/>
          </w:tcPr>
          <w:p>
            <w:pPr>
              <w:spacing w:line="240" w:lineRule="auto"/>
              <w:ind w:firstLine="0" w:firstLineChars="0"/>
              <w:jc w:val="center"/>
              <w:rPr>
                <w:sz w:val="21"/>
              </w:rPr>
            </w:pPr>
            <w:r>
              <w:rPr>
                <w:rFonts w:hint="eastAsia"/>
                <w:sz w:val="21"/>
              </w:rPr>
              <w:t>4</w:t>
            </w:r>
            <w:r>
              <w:rPr>
                <w:sz w:val="21"/>
              </w:rPr>
              <w:t>9572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1</w:t>
            </w:r>
          </w:p>
        </w:tc>
        <w:tc>
          <w:tcPr>
            <w:tcW w:w="1723" w:type="pct"/>
            <w:vAlign w:val="center"/>
          </w:tcPr>
          <w:p>
            <w:pPr>
              <w:spacing w:line="240" w:lineRule="auto"/>
              <w:ind w:firstLine="0" w:firstLineChars="0"/>
              <w:jc w:val="center"/>
              <w:rPr>
                <w:sz w:val="21"/>
              </w:rPr>
            </w:pPr>
            <w:r>
              <w:rPr>
                <w:rFonts w:hint="eastAsia"/>
                <w:sz w:val="21"/>
              </w:rPr>
              <w:t>水泥混凝土</w:t>
            </w:r>
          </w:p>
        </w:tc>
        <w:tc>
          <w:tcPr>
            <w:tcW w:w="1101" w:type="pct"/>
            <w:vAlign w:val="center"/>
          </w:tcPr>
          <w:p>
            <w:pPr>
              <w:spacing w:line="240" w:lineRule="auto"/>
              <w:ind w:firstLine="0" w:firstLineChars="0"/>
              <w:jc w:val="center"/>
              <w:rPr>
                <w:sz w:val="21"/>
              </w:rPr>
            </w:pPr>
            <w:r>
              <w:rPr>
                <w:rFonts w:hint="eastAsia"/>
                <w:sz w:val="21"/>
              </w:rPr>
              <w:t>m</w:t>
            </w:r>
            <w:r>
              <w:rPr>
                <w:rFonts w:hint="eastAsia"/>
                <w:sz w:val="21"/>
                <w:vertAlign w:val="superscript"/>
              </w:rPr>
              <w:t>3</w:t>
            </w:r>
          </w:p>
        </w:tc>
        <w:tc>
          <w:tcPr>
            <w:tcW w:w="1778" w:type="pct"/>
            <w:vAlign w:val="center"/>
          </w:tcPr>
          <w:p>
            <w:pPr>
              <w:spacing w:line="240" w:lineRule="auto"/>
              <w:ind w:firstLine="0" w:firstLineChars="0"/>
              <w:jc w:val="center"/>
              <w:rPr>
                <w:sz w:val="21"/>
              </w:rPr>
            </w:pPr>
            <w:r>
              <w:rPr>
                <w:sz w:val="21"/>
              </w:rPr>
              <w:t>19618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2</w:t>
            </w:r>
          </w:p>
        </w:tc>
        <w:tc>
          <w:tcPr>
            <w:tcW w:w="1723" w:type="pct"/>
            <w:vAlign w:val="center"/>
          </w:tcPr>
          <w:p>
            <w:pPr>
              <w:spacing w:line="240" w:lineRule="auto"/>
              <w:ind w:firstLine="0" w:firstLineChars="0"/>
              <w:jc w:val="center"/>
              <w:rPr>
                <w:sz w:val="21"/>
              </w:rPr>
            </w:pPr>
            <w:r>
              <w:rPr>
                <w:rFonts w:hint="eastAsia"/>
                <w:sz w:val="21"/>
              </w:rPr>
              <w:t>基层混合料</w:t>
            </w:r>
          </w:p>
        </w:tc>
        <w:tc>
          <w:tcPr>
            <w:tcW w:w="1101" w:type="pct"/>
            <w:vAlign w:val="center"/>
          </w:tcPr>
          <w:p>
            <w:pPr>
              <w:spacing w:line="240" w:lineRule="auto"/>
              <w:ind w:firstLine="0" w:firstLineChars="0"/>
              <w:jc w:val="center"/>
              <w:rPr>
                <w:sz w:val="21"/>
              </w:rPr>
            </w:pPr>
            <w:r>
              <w:rPr>
                <w:rFonts w:hint="eastAsia"/>
                <w:sz w:val="21"/>
              </w:rPr>
              <w:t>m</w:t>
            </w:r>
            <w:r>
              <w:rPr>
                <w:rFonts w:hint="eastAsia"/>
                <w:sz w:val="21"/>
                <w:vertAlign w:val="superscript"/>
              </w:rPr>
              <w:t>3</w:t>
            </w:r>
          </w:p>
        </w:tc>
        <w:tc>
          <w:tcPr>
            <w:tcW w:w="1778" w:type="pct"/>
            <w:vAlign w:val="center"/>
          </w:tcPr>
          <w:p>
            <w:pPr>
              <w:spacing w:line="240" w:lineRule="auto"/>
              <w:ind w:firstLine="0" w:firstLineChars="0"/>
              <w:jc w:val="center"/>
              <w:rPr>
                <w:sz w:val="21"/>
              </w:rPr>
            </w:pPr>
            <w:r>
              <w:rPr>
                <w:sz w:val="21"/>
              </w:rPr>
              <w:t>120836</w:t>
            </w:r>
          </w:p>
        </w:tc>
      </w:tr>
    </w:tbl>
    <w:p>
      <w:pPr>
        <w:ind w:firstLine="480"/>
      </w:pPr>
      <w:r>
        <w:t>（2）施工设备</w:t>
      </w:r>
    </w:p>
    <w:p>
      <w:pPr>
        <w:ind w:firstLine="480"/>
      </w:pPr>
      <w:r>
        <w:t>本项目施工设备主要是道路建设过程中使用的打桩机、挖掘机等设备，主要设备设置情况见表3.8-2。</w:t>
      </w:r>
      <w:r>
        <w:rPr>
          <w:rFonts w:hint="eastAsia"/>
        </w:rPr>
        <w:t>本项目施工过程中要求所有</w:t>
      </w:r>
      <w:r>
        <w:t>非道路移动机械</w:t>
      </w:r>
      <w:r>
        <w:rPr>
          <w:rFonts w:hint="eastAsia"/>
        </w:rPr>
        <w:t>污染物排放满足</w:t>
      </w:r>
      <w:r>
        <w:t>国家第四阶段排放标准</w:t>
      </w:r>
      <w:r>
        <w:rPr>
          <w:rFonts w:hint="eastAsia"/>
        </w:rPr>
        <w:t>。</w:t>
      </w:r>
    </w:p>
    <w:p>
      <w:pPr>
        <w:adjustRightInd w:val="0"/>
        <w:snapToGrid w:val="0"/>
        <w:ind w:firstLine="0" w:firstLineChars="0"/>
        <w:jc w:val="center"/>
        <w:rPr>
          <w:b/>
          <w:sz w:val="21"/>
        </w:rPr>
      </w:pPr>
      <w:r>
        <w:rPr>
          <w:b/>
          <w:sz w:val="21"/>
        </w:rPr>
        <w:t>表</w:t>
      </w:r>
      <w:r>
        <w:rPr>
          <w:rFonts w:hint="eastAsia"/>
          <w:b/>
          <w:sz w:val="21"/>
        </w:rPr>
        <w:t>3.</w:t>
      </w:r>
      <w:r>
        <w:rPr>
          <w:b/>
          <w:sz w:val="21"/>
        </w:rPr>
        <w:t>8</w:t>
      </w:r>
      <w:r>
        <w:rPr>
          <w:rFonts w:hint="eastAsia"/>
          <w:b/>
          <w:sz w:val="21"/>
        </w:rPr>
        <w:t>-</w:t>
      </w:r>
      <w:r>
        <w:rPr>
          <w:b/>
          <w:sz w:val="21"/>
        </w:rPr>
        <w:t>2</w:t>
      </w:r>
      <w:r>
        <w:rPr>
          <w:b/>
          <w:sz w:val="21"/>
        </w:rPr>
        <w:tab/>
      </w:r>
      <w:r>
        <w:rPr>
          <w:rFonts w:hint="eastAsia"/>
          <w:b/>
          <w:sz w:val="21"/>
        </w:rPr>
        <w:t>项目主要施工设备一览</w:t>
      </w:r>
      <w:r>
        <w:rPr>
          <w:b/>
          <w:sz w:val="21"/>
        </w:rPr>
        <w:t>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719"/>
        <w:gridCol w:w="3113"/>
        <w:gridCol w:w="1989"/>
        <w:gridCol w:w="3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序号</w:t>
            </w:r>
          </w:p>
        </w:tc>
        <w:tc>
          <w:tcPr>
            <w:tcW w:w="1723" w:type="pct"/>
            <w:vAlign w:val="center"/>
          </w:tcPr>
          <w:p>
            <w:pPr>
              <w:spacing w:line="240" w:lineRule="auto"/>
              <w:ind w:firstLine="0" w:firstLineChars="0"/>
              <w:jc w:val="center"/>
              <w:rPr>
                <w:sz w:val="21"/>
              </w:rPr>
            </w:pPr>
            <w:r>
              <w:rPr>
                <w:rFonts w:hint="eastAsia"/>
                <w:sz w:val="21"/>
              </w:rPr>
              <w:t>设备名称</w:t>
            </w:r>
          </w:p>
        </w:tc>
        <w:tc>
          <w:tcPr>
            <w:tcW w:w="1101" w:type="pct"/>
            <w:vAlign w:val="center"/>
          </w:tcPr>
          <w:p>
            <w:pPr>
              <w:spacing w:line="240" w:lineRule="auto"/>
              <w:ind w:firstLine="0" w:firstLineChars="0"/>
              <w:jc w:val="center"/>
              <w:rPr>
                <w:sz w:val="21"/>
              </w:rPr>
            </w:pPr>
            <w:r>
              <w:rPr>
                <w:rFonts w:hint="eastAsia"/>
                <w:sz w:val="21"/>
              </w:rPr>
              <w:t>单位</w:t>
            </w:r>
          </w:p>
        </w:tc>
        <w:tc>
          <w:tcPr>
            <w:tcW w:w="1778" w:type="pct"/>
            <w:vAlign w:val="center"/>
          </w:tcPr>
          <w:p>
            <w:pPr>
              <w:spacing w:line="240" w:lineRule="auto"/>
              <w:ind w:firstLine="0" w:firstLineChars="0"/>
              <w:jc w:val="center"/>
              <w:rPr>
                <w:sz w:val="21"/>
              </w:rPr>
            </w:pPr>
            <w:r>
              <w:rPr>
                <w:rFonts w:hint="eastAsia"/>
                <w:sz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1</w:t>
            </w:r>
          </w:p>
        </w:tc>
        <w:tc>
          <w:tcPr>
            <w:tcW w:w="1723" w:type="pct"/>
            <w:vAlign w:val="center"/>
          </w:tcPr>
          <w:p>
            <w:pPr>
              <w:spacing w:line="240" w:lineRule="auto"/>
              <w:ind w:firstLine="0" w:firstLineChars="0"/>
              <w:jc w:val="center"/>
              <w:rPr>
                <w:sz w:val="21"/>
              </w:rPr>
            </w:pPr>
            <w:r>
              <w:rPr>
                <w:sz w:val="21"/>
              </w:rPr>
              <w:t>打桩机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2</w:t>
            </w:r>
          </w:p>
        </w:tc>
        <w:tc>
          <w:tcPr>
            <w:tcW w:w="1723" w:type="pct"/>
            <w:vAlign w:val="center"/>
          </w:tcPr>
          <w:p>
            <w:pPr>
              <w:spacing w:line="240" w:lineRule="auto"/>
              <w:ind w:firstLine="0" w:firstLineChars="0"/>
              <w:jc w:val="center"/>
              <w:rPr>
                <w:sz w:val="21"/>
              </w:rPr>
            </w:pPr>
            <w:r>
              <w:rPr>
                <w:sz w:val="21"/>
              </w:rPr>
              <w:t>挖掘机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3</w:t>
            </w:r>
          </w:p>
        </w:tc>
        <w:tc>
          <w:tcPr>
            <w:tcW w:w="1723" w:type="pct"/>
            <w:vAlign w:val="center"/>
          </w:tcPr>
          <w:p>
            <w:pPr>
              <w:spacing w:line="240" w:lineRule="auto"/>
              <w:ind w:firstLine="0" w:firstLineChars="0"/>
              <w:jc w:val="center"/>
              <w:rPr>
                <w:sz w:val="21"/>
              </w:rPr>
            </w:pPr>
            <w:r>
              <w:rPr>
                <w:sz w:val="21"/>
              </w:rPr>
              <w:t>推土机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4</w:t>
            </w:r>
          </w:p>
        </w:tc>
        <w:tc>
          <w:tcPr>
            <w:tcW w:w="1723" w:type="pct"/>
            <w:vAlign w:val="center"/>
          </w:tcPr>
          <w:p>
            <w:pPr>
              <w:spacing w:line="240" w:lineRule="auto"/>
              <w:ind w:firstLine="0" w:firstLineChars="0"/>
              <w:jc w:val="center"/>
              <w:rPr>
                <w:sz w:val="21"/>
              </w:rPr>
            </w:pPr>
            <w:r>
              <w:rPr>
                <w:sz w:val="21"/>
              </w:rPr>
              <w:t>装载机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sz w:val="21"/>
              </w:rPr>
              <w:t>6</w:t>
            </w:r>
          </w:p>
        </w:tc>
        <w:tc>
          <w:tcPr>
            <w:tcW w:w="1723" w:type="pct"/>
            <w:vAlign w:val="center"/>
          </w:tcPr>
          <w:p>
            <w:pPr>
              <w:spacing w:line="240" w:lineRule="auto"/>
              <w:ind w:firstLine="0" w:firstLineChars="0"/>
              <w:jc w:val="center"/>
              <w:rPr>
                <w:sz w:val="21"/>
              </w:rPr>
            </w:pPr>
            <w:r>
              <w:rPr>
                <w:sz w:val="21"/>
              </w:rPr>
              <w:t>推铺机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7</w:t>
            </w:r>
          </w:p>
        </w:tc>
        <w:tc>
          <w:tcPr>
            <w:tcW w:w="1723" w:type="pct"/>
            <w:vAlign w:val="center"/>
          </w:tcPr>
          <w:p>
            <w:pPr>
              <w:spacing w:line="240" w:lineRule="auto"/>
              <w:ind w:firstLine="0" w:firstLineChars="0"/>
              <w:jc w:val="center"/>
              <w:rPr>
                <w:sz w:val="21"/>
              </w:rPr>
            </w:pPr>
            <w:r>
              <w:rPr>
                <w:sz w:val="21"/>
              </w:rPr>
              <w:t>铲土机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8</w:t>
            </w:r>
          </w:p>
        </w:tc>
        <w:tc>
          <w:tcPr>
            <w:tcW w:w="1723" w:type="pct"/>
            <w:vAlign w:val="center"/>
          </w:tcPr>
          <w:p>
            <w:pPr>
              <w:spacing w:line="240" w:lineRule="auto"/>
              <w:ind w:firstLine="0" w:firstLineChars="0"/>
              <w:jc w:val="center"/>
              <w:rPr>
                <w:sz w:val="21"/>
              </w:rPr>
            </w:pPr>
            <w:r>
              <w:rPr>
                <w:sz w:val="21"/>
              </w:rPr>
              <w:t>平地机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9</w:t>
            </w:r>
          </w:p>
        </w:tc>
        <w:tc>
          <w:tcPr>
            <w:tcW w:w="1723" w:type="pct"/>
            <w:vAlign w:val="center"/>
          </w:tcPr>
          <w:p>
            <w:pPr>
              <w:spacing w:line="240" w:lineRule="auto"/>
              <w:ind w:firstLine="0" w:firstLineChars="0"/>
              <w:jc w:val="center"/>
              <w:rPr>
                <w:sz w:val="21"/>
              </w:rPr>
            </w:pPr>
            <w:r>
              <w:rPr>
                <w:sz w:val="21"/>
              </w:rPr>
              <w:t>压路机</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0</w:t>
            </w:r>
          </w:p>
        </w:tc>
        <w:tc>
          <w:tcPr>
            <w:tcW w:w="1723" w:type="pct"/>
            <w:vAlign w:val="center"/>
          </w:tcPr>
          <w:p>
            <w:pPr>
              <w:spacing w:line="240" w:lineRule="auto"/>
              <w:ind w:firstLine="0" w:firstLineChars="0"/>
              <w:jc w:val="center"/>
              <w:rPr>
                <w:sz w:val="21"/>
              </w:rPr>
            </w:pPr>
            <w:r>
              <w:rPr>
                <w:rFonts w:hint="eastAsia"/>
                <w:sz w:val="21"/>
              </w:rPr>
              <w:t>卡车</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sz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1</w:t>
            </w:r>
          </w:p>
        </w:tc>
        <w:tc>
          <w:tcPr>
            <w:tcW w:w="1723" w:type="pct"/>
            <w:vAlign w:val="center"/>
          </w:tcPr>
          <w:p>
            <w:pPr>
              <w:spacing w:line="240" w:lineRule="auto"/>
              <w:ind w:firstLine="0" w:firstLineChars="0"/>
              <w:jc w:val="center"/>
              <w:rPr>
                <w:sz w:val="21"/>
              </w:rPr>
            </w:pPr>
            <w:r>
              <w:rPr>
                <w:sz w:val="21"/>
              </w:rPr>
              <w:t>自卸车</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rFonts w:hint="eastAsia"/>
                <w:sz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398" w:type="pct"/>
            <w:vAlign w:val="center"/>
          </w:tcPr>
          <w:p>
            <w:pPr>
              <w:spacing w:line="240" w:lineRule="auto"/>
              <w:ind w:firstLine="0" w:firstLineChars="0"/>
              <w:jc w:val="center"/>
              <w:rPr>
                <w:sz w:val="21"/>
              </w:rPr>
            </w:pPr>
            <w:r>
              <w:rPr>
                <w:rFonts w:hint="eastAsia"/>
                <w:sz w:val="21"/>
              </w:rPr>
              <w:t>1</w:t>
            </w:r>
            <w:r>
              <w:rPr>
                <w:sz w:val="21"/>
              </w:rPr>
              <w:t>2</w:t>
            </w:r>
          </w:p>
        </w:tc>
        <w:tc>
          <w:tcPr>
            <w:tcW w:w="1723" w:type="pct"/>
            <w:vAlign w:val="center"/>
          </w:tcPr>
          <w:p>
            <w:pPr>
              <w:spacing w:line="240" w:lineRule="auto"/>
              <w:ind w:firstLine="0" w:firstLineChars="0"/>
              <w:jc w:val="center"/>
              <w:rPr>
                <w:sz w:val="21"/>
              </w:rPr>
            </w:pPr>
            <w:r>
              <w:rPr>
                <w:sz w:val="21"/>
              </w:rPr>
              <w:t>移动式吊车</w:t>
            </w:r>
          </w:p>
        </w:tc>
        <w:tc>
          <w:tcPr>
            <w:tcW w:w="1101" w:type="pct"/>
            <w:vAlign w:val="center"/>
          </w:tcPr>
          <w:p>
            <w:pPr>
              <w:spacing w:line="240" w:lineRule="auto"/>
              <w:ind w:firstLine="0" w:firstLineChars="0"/>
              <w:jc w:val="center"/>
              <w:rPr>
                <w:sz w:val="21"/>
              </w:rPr>
            </w:pPr>
            <w:r>
              <w:rPr>
                <w:rFonts w:hint="eastAsia"/>
                <w:sz w:val="21"/>
              </w:rPr>
              <w:t>辆</w:t>
            </w:r>
          </w:p>
        </w:tc>
        <w:tc>
          <w:tcPr>
            <w:tcW w:w="1778" w:type="pct"/>
            <w:vAlign w:val="center"/>
          </w:tcPr>
          <w:p>
            <w:pPr>
              <w:spacing w:line="240" w:lineRule="auto"/>
              <w:ind w:firstLine="0" w:firstLineChars="0"/>
              <w:jc w:val="center"/>
              <w:rPr>
                <w:sz w:val="21"/>
              </w:rPr>
            </w:pPr>
            <w:r>
              <w:rPr>
                <w:rFonts w:hint="eastAsia"/>
                <w:sz w:val="21"/>
              </w:rPr>
              <w:t>1</w:t>
            </w:r>
          </w:p>
        </w:tc>
      </w:tr>
    </w:tbl>
    <w:p>
      <w:pPr>
        <w:pStyle w:val="5"/>
        <w:spacing w:beforeLines="0" w:afterLines="0"/>
      </w:pPr>
      <w:r>
        <w:t>3.</w:t>
      </w:r>
      <w:r>
        <w:rPr>
          <w:rFonts w:hint="eastAsia"/>
        </w:rPr>
        <w:t>9施工组织及施工工艺</w:t>
      </w:r>
      <w:bookmarkEnd w:id="83"/>
    </w:p>
    <w:p>
      <w:pPr>
        <w:pStyle w:val="204"/>
        <w:spacing w:line="480" w:lineRule="exact"/>
        <w:ind w:firstLine="0" w:firstLineChars="0"/>
        <w:outlineLvl w:val="2"/>
        <w:rPr>
          <w:b/>
          <w:sz w:val="28"/>
          <w:szCs w:val="28"/>
        </w:rPr>
      </w:pPr>
      <w:r>
        <w:rPr>
          <w:b/>
          <w:sz w:val="28"/>
          <w:szCs w:val="28"/>
        </w:rPr>
        <w:t>3.</w:t>
      </w:r>
      <w:r>
        <w:rPr>
          <w:rFonts w:hint="eastAsia"/>
          <w:b/>
          <w:sz w:val="28"/>
          <w:szCs w:val="28"/>
        </w:rPr>
        <w:t>9</w:t>
      </w:r>
      <w:r>
        <w:rPr>
          <w:b/>
          <w:sz w:val="28"/>
          <w:szCs w:val="28"/>
        </w:rPr>
        <w:t>.</w:t>
      </w:r>
      <w:r>
        <w:rPr>
          <w:rFonts w:hint="eastAsia"/>
          <w:b/>
          <w:sz w:val="28"/>
          <w:szCs w:val="28"/>
        </w:rPr>
        <w:t>1施工组织</w:t>
      </w:r>
    </w:p>
    <w:p>
      <w:pPr>
        <w:ind w:firstLine="480"/>
      </w:pPr>
      <w:r>
        <w:rPr>
          <w:rFonts w:hint="eastAsia"/>
        </w:rPr>
        <w:t>（1）施工交通组织</w:t>
      </w:r>
    </w:p>
    <w:p>
      <w:pPr>
        <w:adjustRightInd w:val="0"/>
        <w:snapToGrid w:val="0"/>
        <w:ind w:firstLine="480"/>
        <w:rPr>
          <w:szCs w:val="24"/>
        </w:rPr>
      </w:pPr>
      <w:r>
        <w:rPr>
          <w:szCs w:val="24"/>
        </w:rPr>
        <w:t>考虑区域内交通，本项目利用旧路路段采用</w:t>
      </w:r>
      <w:r>
        <w:rPr>
          <w:rFonts w:hint="eastAsia"/>
          <w:szCs w:val="24"/>
        </w:rPr>
        <w:t>施工期不断交</w:t>
      </w:r>
      <w:r>
        <w:rPr>
          <w:szCs w:val="24"/>
        </w:rPr>
        <w:t>。因此应做好施工前期准备，处理好施工和通车之间的关系，在保证工程质量的前提下，尽量加强交通疏导措施，加快工程进度，减少对交通的影响。施工现场要封闭部分车道，制定符合《道路交通安全法》及其它有关规定的交通管制方案。按照《公路养护安全作业规程》的相关规定设置警示牌。整个施工期间应做好交通组织和疏导工作，严格控制车速，及时处理车辆故障，交通事故突发事件，保障交通畅通。施工进行前，各单位配合，积极协调交通警察、路政等部门共同维护交通安全秩序。</w:t>
      </w:r>
    </w:p>
    <w:p>
      <w:pPr>
        <w:ind w:firstLine="480"/>
      </w:pPr>
      <w:r>
        <w:t>（2）施工交通运输</w:t>
      </w:r>
    </w:p>
    <w:p>
      <w:pPr>
        <w:ind w:firstLine="480"/>
      </w:pPr>
      <w:r>
        <w:t>本项目沿线交通发达，运输便利，项目影响区内的主要公路有</w:t>
      </w:r>
      <w:r>
        <w:rPr>
          <w:rFonts w:hint="eastAsia"/>
          <w:szCs w:val="24"/>
        </w:rPr>
        <w:t>原G112、G230、S211（原S264）和其它县乡公路</w:t>
      </w:r>
      <w:r>
        <w:t>，地方道路纵横交错，已基本形成网络，施工机械设备、材料、人员等可以直接</w:t>
      </w:r>
      <w:r>
        <w:rPr>
          <w:rFonts w:hint="eastAsia"/>
        </w:rPr>
        <w:t>通过现有道路</w:t>
      </w:r>
      <w:r>
        <w:t>便可抵达施工现场，因此</w:t>
      </w:r>
      <w:r>
        <w:rPr>
          <w:rFonts w:hint="eastAsia"/>
        </w:rPr>
        <w:t>，</w:t>
      </w:r>
      <w:r>
        <w:t>材料运输十分便利。</w:t>
      </w:r>
    </w:p>
    <w:p>
      <w:pPr>
        <w:ind w:firstLine="480"/>
      </w:pPr>
      <w:r>
        <w:rPr>
          <w:rFonts w:hint="eastAsia"/>
        </w:rPr>
        <w:t>（3）施工生活区</w:t>
      </w:r>
    </w:p>
    <w:p>
      <w:pPr>
        <w:ind w:firstLine="480"/>
      </w:pPr>
      <w:r>
        <w:rPr>
          <w:rFonts w:hint="eastAsia"/>
        </w:rPr>
        <w:t>本项目租赁</w:t>
      </w:r>
      <w:r>
        <w:rPr>
          <w:rFonts w:hint="eastAsia"/>
          <w:bCs/>
          <w:szCs w:val="24"/>
        </w:rPr>
        <w:t>学汉坨村</w:t>
      </w:r>
      <w:r>
        <w:rPr>
          <w:rFonts w:hint="eastAsia"/>
        </w:rPr>
        <w:t>现有房屋作为施工人员的生活区，施工结束后，将其归还于当地居民，不新增施工占地，减少对周边环境的影响。</w:t>
      </w:r>
    </w:p>
    <w:p>
      <w:pPr>
        <w:ind w:firstLine="480"/>
      </w:pPr>
      <w:r>
        <w:rPr>
          <w:rFonts w:hint="eastAsia"/>
        </w:rPr>
        <w:t>（4）施工场地</w:t>
      </w:r>
    </w:p>
    <w:p>
      <w:pPr>
        <w:ind w:firstLine="480"/>
      </w:pPr>
      <w:r>
        <w:rPr>
          <w:rFonts w:hint="eastAsia"/>
        </w:rPr>
        <w:t>本项目建设道路用料均为外购，不在设置搅拌站等施工场地。</w:t>
      </w:r>
    </w:p>
    <w:p>
      <w:pPr>
        <w:ind w:firstLine="480"/>
      </w:pPr>
      <w:r>
        <w:rPr>
          <w:rFonts w:hint="eastAsia"/>
        </w:rPr>
        <w:t>（5）施工时序</w:t>
      </w:r>
    </w:p>
    <w:p>
      <w:pPr>
        <w:ind w:firstLine="480"/>
        <w:rPr>
          <w:highlight w:val="yellow"/>
        </w:rPr>
      </w:pPr>
      <w:r>
        <w:t>施工过程中首先进行</w:t>
      </w:r>
      <w:r>
        <w:rPr>
          <w:rFonts w:hint="eastAsia"/>
        </w:rPr>
        <w:t>“</w:t>
      </w:r>
      <w:r>
        <w:t>三通一平</w:t>
      </w:r>
      <w:r>
        <w:rPr>
          <w:rFonts w:hint="eastAsia"/>
        </w:rPr>
        <w:t>”</w:t>
      </w:r>
      <w:r>
        <w:t>，保障施工顺利进行。工程实施分段流水施工，缩短土方临时堆置时间；</w:t>
      </w:r>
      <w:r>
        <w:rPr>
          <w:rFonts w:hint="eastAsia"/>
        </w:rPr>
        <w:t>本项目需要在</w:t>
      </w:r>
      <w:r>
        <w:rPr>
          <w:rFonts w:hint="eastAsia" w:ascii="Arial" w:hAnsi="Arial" w:cs="Arial"/>
        </w:rPr>
        <w:t>清水河、沙河、黎河</w:t>
      </w:r>
      <w:r>
        <w:rPr>
          <w:rFonts w:hint="eastAsia"/>
        </w:rPr>
        <w:t>建设桥墩，</w:t>
      </w:r>
      <w:r>
        <w:t>建议施工单位适当调整施工时序，尽量避开雨季及汛期施工，</w:t>
      </w:r>
      <w:r>
        <w:rPr>
          <w:rFonts w:hint="eastAsia"/>
        </w:rPr>
        <w:t>选择在枯水期进行施工。本项目需要</w:t>
      </w:r>
      <w:r>
        <w:rPr>
          <w:rFonts w:ascii="Arial" w:hAnsi="Arial" w:cs="Arial"/>
        </w:rPr>
        <w:t>遵化市堡子店地下水源地</w:t>
      </w:r>
      <w:r>
        <w:rPr>
          <w:rFonts w:hint="eastAsia" w:ascii="Arial" w:hAnsi="Arial" w:cs="Arial"/>
        </w:rPr>
        <w:t>保护区内建设部分道路</w:t>
      </w:r>
      <w:r>
        <w:rPr>
          <w:rFonts w:hint="eastAsia"/>
        </w:rPr>
        <w:t>，要求此路段施工时避开</w:t>
      </w:r>
      <w:r>
        <w:t>雨季及汛期施工</w:t>
      </w:r>
      <w:r>
        <w:rPr>
          <w:rFonts w:hint="eastAsia"/>
        </w:rPr>
        <w:t>。对于桥梁施工段，采取拦坝、及时清理现场等措施，降低桥梁建设对河道的影响。</w:t>
      </w:r>
    </w:p>
    <w:p>
      <w:pPr>
        <w:pStyle w:val="204"/>
        <w:spacing w:line="480" w:lineRule="exact"/>
        <w:ind w:firstLine="0" w:firstLineChars="0"/>
        <w:outlineLvl w:val="2"/>
        <w:rPr>
          <w:b/>
          <w:sz w:val="28"/>
          <w:szCs w:val="28"/>
        </w:rPr>
      </w:pPr>
      <w:r>
        <w:rPr>
          <w:b/>
          <w:sz w:val="28"/>
          <w:szCs w:val="28"/>
        </w:rPr>
        <w:t>3.</w:t>
      </w:r>
      <w:r>
        <w:rPr>
          <w:rFonts w:hint="eastAsia"/>
          <w:b/>
          <w:sz w:val="28"/>
          <w:szCs w:val="28"/>
        </w:rPr>
        <w:t>9</w:t>
      </w:r>
      <w:r>
        <w:rPr>
          <w:b/>
          <w:sz w:val="28"/>
          <w:szCs w:val="28"/>
        </w:rPr>
        <w:t>.</w:t>
      </w:r>
      <w:r>
        <w:rPr>
          <w:rFonts w:hint="eastAsia"/>
          <w:b/>
          <w:sz w:val="28"/>
          <w:szCs w:val="28"/>
        </w:rPr>
        <w:t>2施工工艺</w:t>
      </w:r>
    </w:p>
    <w:p>
      <w:pPr>
        <w:ind w:firstLine="480"/>
      </w:pPr>
      <w:r>
        <w:rPr>
          <w:rFonts w:hint="eastAsia"/>
        </w:rPr>
        <w:t>（1）路基工程</w:t>
      </w:r>
    </w:p>
    <w:p>
      <w:pPr>
        <w:ind w:firstLine="480"/>
      </w:pPr>
      <w:r>
        <w:t>路基工程采用机械施工为主，适当配合人工施工的方案。对土方路段施工，本项目所在地区每年6~9月降雨量较为集中，应控制土壤最佳含水量，以确保路基压实度符合规定要求。</w:t>
      </w:r>
    </w:p>
    <w:p>
      <w:pPr>
        <w:ind w:firstLine="480"/>
      </w:pPr>
      <w:r>
        <w:t>路基选用合格的填料、先进的施工机具及工艺进行施工。路基工程宜采取机械施工为主。运距100m以内时，采用推土机铲土、运输，运距100至200m时，采用铲运机铲土、运输，运距200m以上时，采用装载机配合自卸汽车挖运土方。土方采用平地机整平，光轮或振动式压路机碾压</w:t>
      </w:r>
      <w:r>
        <w:rPr>
          <w:rFonts w:hint="eastAsia"/>
        </w:rPr>
        <w:t>。</w:t>
      </w:r>
    </w:p>
    <w:p>
      <w:pPr>
        <w:ind w:firstLine="480"/>
      </w:pPr>
      <w:r>
        <w:t>路基填筑施工采用机械化施工作业，在路基范围内分层填筑、分层压实。桥台背后及涵洞两侧回填，以人力配合小型机械施工。碾压要及时快速，确保密实度达到要求。</w:t>
      </w:r>
    </w:p>
    <w:p>
      <w:pPr>
        <w:ind w:firstLine="480"/>
      </w:pPr>
      <w:r>
        <w:t>路基工程施工主要包括施工测量、路基开挖和填筑、基础压实、路基排水和防护等工序</w:t>
      </w:r>
      <w:r>
        <w:rPr>
          <w:rFonts w:hint="eastAsia"/>
        </w:rPr>
        <w:t>。</w:t>
      </w:r>
    </w:p>
    <w:p>
      <w:pPr>
        <w:ind w:firstLine="480"/>
      </w:pPr>
      <w:r>
        <w:rPr>
          <w:rFonts w:hint="eastAsia" w:ascii="宋体" w:hAnsi="宋体" w:cs="宋体"/>
          <w:lang w:eastAsia="ja-JP"/>
        </w:rPr>
        <w:t>①</w:t>
      </w:r>
      <w:r>
        <w:t>施工测量。</w:t>
      </w:r>
    </w:p>
    <w:p>
      <w:pPr>
        <w:ind w:firstLine="480"/>
      </w:pPr>
      <w:r>
        <w:t>主要指现场布设线位，确定施工范围，沿线设置施工标示。</w:t>
      </w:r>
    </w:p>
    <w:p>
      <w:pPr>
        <w:ind w:firstLine="480"/>
      </w:pPr>
      <w:r>
        <w:rPr>
          <w:rFonts w:hint="eastAsia" w:ascii="宋体" w:hAnsi="宋体" w:cs="宋体"/>
          <w:lang w:eastAsia="ja-JP"/>
        </w:rPr>
        <w:t>②</w:t>
      </w:r>
      <w:r>
        <w:t>场地清理（含清基）</w:t>
      </w:r>
    </w:p>
    <w:p>
      <w:pPr>
        <w:ind w:firstLine="480"/>
      </w:pPr>
      <w:r>
        <w:t>路基工程开挖、填筑前，</w:t>
      </w:r>
      <w:r>
        <w:rPr>
          <w:rFonts w:hint="eastAsia"/>
        </w:rPr>
        <w:t>需要</w:t>
      </w:r>
      <w:r>
        <w:t>清理地表杂物，清除地表植被。地表为耕植土的开挖填筑区，先剥离表层耕植土，剥离厚度一般为30~40cm。剥离表土以推土机为主，辅以人工作业，表土临时堆放于公路占地范围内的路基外侧区域，施工后期用于绿化或复垦覆土。</w:t>
      </w:r>
    </w:p>
    <w:p>
      <w:pPr>
        <w:ind w:firstLine="480"/>
      </w:pPr>
      <w:r>
        <w:rPr>
          <w:rFonts w:hint="eastAsia" w:ascii="宋体" w:hAnsi="宋体" w:cs="宋体"/>
          <w:lang w:eastAsia="ja-JP"/>
        </w:rPr>
        <w:t>③</w:t>
      </w:r>
      <w:r>
        <w:t>路基开挖和填筑。采用机械化施工，将废弃或不能及时利用的土石方堆放于指定的堆存场，做好拦挡、排水等防护措施。填方路段施工时：采用水平分层填筑，每层经过压实符合规定要求后，再填筑下一层；若填方分几个作业段施工，且两段交接处不在同一时间填筑时，先填地段按1:1坡度分层留台阶；若两个地段同时填筑则分层相互交叠衔接；不同土质混合填筑时，分别填筑，不得混填；路基填方，用推土机从两侧分层推填，并配合平地机分层整平，含水量不够时，用洒水车洒水，并用压路机分层碾压；半填半挖的一侧高填方基底为斜坡时，挖好横向台阶，并在完成后对设计边坡外的松散弃土进行清理，应严格控制高填方路段的填土速度，凡中心处日沉降量大于3cm、路基边缘处大</w:t>
      </w:r>
      <w:r>
        <w:rPr>
          <w:rFonts w:hint="eastAsia"/>
        </w:rPr>
        <w:t>于</w:t>
      </w:r>
      <w:r>
        <w:t>1.5cm时，应放缓填土速度，待稳定后再继续施工。填方路基路面地面以下深度0.8~1.5m上路堤压实度≥94%，1.5m以下的下路堤压实度≥93%</w:t>
      </w:r>
      <w:r>
        <w:rPr>
          <w:rFonts w:hint="eastAsia"/>
        </w:rPr>
        <w:t>。</w:t>
      </w:r>
    </w:p>
    <w:p>
      <w:pPr>
        <w:spacing w:line="240" w:lineRule="auto"/>
        <w:ind w:firstLine="0" w:firstLineChars="0"/>
        <w:jc w:val="center"/>
      </w:pPr>
      <w:r>
        <w:object>
          <v:shape id="_x0000_i1025" o:spt="75" type="#_x0000_t75" style="height:258.75pt;width:360pt;" o:ole="t" filled="f" o:preferrelative="t" stroked="f" coordsize="21600,21600">
            <v:path/>
            <v:fill on="f" focussize="0,0"/>
            <v:stroke on="f" joinstyle="miter"/>
            <v:imagedata r:id="rId75" o:title=""/>
            <o:lock v:ext="edit" aspectratio="t"/>
            <w10:wrap type="none"/>
            <w10:anchorlock/>
          </v:shape>
          <o:OLEObject Type="Embed" ProgID="Visio.Drawing.11" ShapeID="_x0000_i1025" DrawAspect="Content" ObjectID="_1468075725" r:id="rId74">
            <o:LockedField>false</o:LockedField>
          </o:OLEObject>
        </w:object>
      </w:r>
    </w:p>
    <w:p>
      <w:pPr>
        <w:adjustRightInd w:val="0"/>
        <w:snapToGrid w:val="0"/>
        <w:ind w:firstLine="0" w:firstLineChars="0"/>
        <w:jc w:val="center"/>
        <w:rPr>
          <w:b/>
          <w:sz w:val="21"/>
        </w:rPr>
      </w:pPr>
      <w:r>
        <w:rPr>
          <w:b/>
          <w:sz w:val="21"/>
        </w:rPr>
        <w:t>图</w:t>
      </w:r>
      <w:r>
        <w:rPr>
          <w:rFonts w:hint="eastAsia"/>
          <w:b/>
          <w:sz w:val="21"/>
        </w:rPr>
        <w:t>3.9</w:t>
      </w:r>
      <w:r>
        <w:rPr>
          <w:b/>
          <w:sz w:val="21"/>
        </w:rPr>
        <w:t>-1</w:t>
      </w:r>
      <w:r>
        <w:rPr>
          <w:b/>
          <w:sz w:val="21"/>
        </w:rPr>
        <w:tab/>
      </w:r>
      <w:r>
        <w:rPr>
          <w:b/>
          <w:sz w:val="21"/>
        </w:rPr>
        <w:t>路基工程施工工艺路线图</w:t>
      </w:r>
    </w:p>
    <w:p>
      <w:pPr>
        <w:adjustRightInd w:val="0"/>
        <w:snapToGrid w:val="0"/>
        <w:ind w:firstLine="480"/>
        <w:rPr>
          <w:szCs w:val="24"/>
        </w:rPr>
      </w:pPr>
      <w:r>
        <w:rPr>
          <w:rFonts w:hint="eastAsia"/>
          <w:szCs w:val="24"/>
        </w:rPr>
        <w:t>④基础压实</w:t>
      </w:r>
    </w:p>
    <w:p>
      <w:pPr>
        <w:adjustRightInd w:val="0"/>
        <w:snapToGrid w:val="0"/>
        <w:ind w:firstLine="480"/>
        <w:rPr>
          <w:szCs w:val="24"/>
        </w:rPr>
      </w:pPr>
      <w:r>
        <w:rPr>
          <w:rFonts w:hint="eastAsia"/>
          <w:szCs w:val="24"/>
        </w:rPr>
        <w:t>道路施工过程中基础压实是指对路基土进行加固、压实的一种技术处理方式。其主要工艺流程包括松土、压实、抛平等步骤，其具体工艺流程如下：</w:t>
      </w:r>
    </w:p>
    <w:p>
      <w:pPr>
        <w:pStyle w:val="2"/>
        <w:ind w:firstLine="480"/>
      </w:pPr>
      <w:r>
        <w:rPr>
          <w:rFonts w:hint="eastAsia"/>
        </w:rPr>
        <w:t>松土：首先需要对路基进行松土处理，也就是利用推土机等工具将表层土壤松动，以便后续的压实工作。</w:t>
      </w:r>
    </w:p>
    <w:p>
      <w:pPr>
        <w:adjustRightInd w:val="0"/>
        <w:snapToGrid w:val="0"/>
        <w:ind w:firstLine="480"/>
        <w:rPr>
          <w:szCs w:val="24"/>
        </w:rPr>
      </w:pPr>
      <w:r>
        <w:rPr>
          <w:rFonts w:hint="eastAsia"/>
          <w:szCs w:val="24"/>
        </w:rPr>
        <w:t>压实：松土完成后再对路基进行压实。一般分为初期压实和中期压实，分别使用不同类型的压路机进行处理，以达到不同的压实程度。初期压实使用轮胎压路机进行处理，中期压实实则需要使用钢轮压路机。</w:t>
      </w:r>
    </w:p>
    <w:p>
      <w:pPr>
        <w:adjustRightInd w:val="0"/>
        <w:snapToGrid w:val="0"/>
        <w:ind w:firstLine="480"/>
        <w:rPr>
          <w:szCs w:val="24"/>
        </w:rPr>
      </w:pPr>
      <w:r>
        <w:rPr>
          <w:rFonts w:hint="eastAsia"/>
          <w:szCs w:val="24"/>
        </w:rPr>
        <w:t>抛平：压实后的路基需要进行抛平处理，以确保路面平整，波浪不反弹。</w:t>
      </w:r>
    </w:p>
    <w:p>
      <w:pPr>
        <w:adjustRightInd w:val="0"/>
        <w:snapToGrid w:val="0"/>
        <w:ind w:firstLine="480"/>
      </w:pPr>
      <w:r>
        <w:rPr>
          <w:rFonts w:hint="eastAsia"/>
          <w:szCs w:val="24"/>
        </w:rPr>
        <w:t>⑤</w:t>
      </w:r>
      <w:r>
        <w:t>路基排水和防护</w:t>
      </w:r>
    </w:p>
    <w:p>
      <w:pPr>
        <w:pStyle w:val="2"/>
        <w:ind w:firstLine="480"/>
      </w:pPr>
      <w:r>
        <w:rPr>
          <w:rFonts w:hint="eastAsia"/>
        </w:rPr>
        <w:t>路基排水沟采用人工开挖，施工前按照测量出的桩位及控制轴线放出排水沟的开挖尺寸，开挖过程中控制好排水沟的尺寸和竖直度，施工中不允许出现超挖。具体工艺为施工准备-沟槽开挖-灰土垫层施工-沟底铺砌-沟帮砌筑-勾缝-沟顶抹面-竣工。</w:t>
      </w:r>
    </w:p>
    <w:p>
      <w:pPr>
        <w:adjustRightInd w:val="0"/>
        <w:snapToGrid w:val="0"/>
        <w:ind w:firstLine="480"/>
        <w:rPr>
          <w:szCs w:val="24"/>
        </w:rPr>
      </w:pPr>
      <w:r>
        <w:rPr>
          <w:szCs w:val="24"/>
        </w:rPr>
        <w:t>（2）路面工</w:t>
      </w:r>
      <w:r>
        <w:rPr>
          <w:rFonts w:hint="eastAsia"/>
          <w:szCs w:val="24"/>
        </w:rPr>
        <w:t>程</w:t>
      </w:r>
    </w:p>
    <w:p>
      <w:pPr>
        <w:adjustRightInd w:val="0"/>
        <w:snapToGrid w:val="0"/>
        <w:ind w:firstLine="480"/>
        <w:rPr>
          <w:szCs w:val="24"/>
        </w:rPr>
      </w:pPr>
      <w:r>
        <w:rPr>
          <w:szCs w:val="24"/>
        </w:rPr>
        <w:t>路面工程采用机械化施工方案。为保证路面各结构层的强度具有足够的强度和稳定性，底基层、基层采用专用拌合设备厂拌，摊铺机摊铺。沥青混合料摊铺机摊铺，半幅路面全宽一次摊铺完成。根据工程量和施工进度配置，混凝土混合料的运输采用自卸汽车，当运距较远时，采用搅拌运输车运输，铺筑混凝土时采用摊铺机以缓慢的速度匀速进行，摊铺工作一旦开始不能中断</w:t>
      </w:r>
      <w:r>
        <w:rPr>
          <w:rFonts w:hint="eastAsia"/>
          <w:szCs w:val="24"/>
        </w:rPr>
        <w:t>。</w:t>
      </w:r>
    </w:p>
    <w:p>
      <w:pPr>
        <w:adjustRightInd w:val="0"/>
        <w:snapToGrid w:val="0"/>
        <w:ind w:firstLine="480"/>
        <w:rPr>
          <w:szCs w:val="24"/>
        </w:rPr>
      </w:pPr>
      <w:r>
        <w:rPr>
          <w:rFonts w:hint="eastAsia"/>
          <w:szCs w:val="24"/>
        </w:rPr>
        <w:t>（3）桥涵工程</w:t>
      </w:r>
    </w:p>
    <w:p>
      <w:pPr>
        <w:adjustRightInd w:val="0"/>
        <w:snapToGrid w:val="0"/>
        <w:ind w:firstLine="480"/>
        <w:rPr>
          <w:szCs w:val="24"/>
        </w:rPr>
      </w:pPr>
      <w:r>
        <w:rPr>
          <w:szCs w:val="24"/>
        </w:rPr>
        <w:t>对于标准跨径的中桥、大桥，其上部结构为预应力混凝土连续箱梁；施工方法采用预制安装法，下部结构采用柱式墩（肋板台），钻孔灌注桩基础。钻孔灌注桩一般采用机械成孔。</w:t>
      </w:r>
      <w:r>
        <w:rPr>
          <w:rFonts w:hint="eastAsia"/>
          <w:szCs w:val="24"/>
        </w:rPr>
        <w:t>本项目桥梁施工时间安排在每年1月-</w:t>
      </w:r>
      <w:r>
        <w:rPr>
          <w:szCs w:val="24"/>
        </w:rPr>
        <w:t>3</w:t>
      </w:r>
      <w:r>
        <w:rPr>
          <w:rFonts w:hint="eastAsia"/>
          <w:szCs w:val="24"/>
        </w:rPr>
        <w:t>月，共</w:t>
      </w:r>
      <w:r>
        <w:rPr>
          <w:rFonts w:hint="eastAsia"/>
          <w:szCs w:val="20"/>
        </w:rPr>
        <w:t>新建段设置大桥517m/3座，中桥65m/1座，施工量较小，施工时间安排足以满足项目桥梁施工需求。</w:t>
      </w:r>
    </w:p>
    <w:p>
      <w:pPr>
        <w:adjustRightInd w:val="0"/>
        <w:snapToGrid w:val="0"/>
        <w:ind w:firstLine="480"/>
        <w:rPr>
          <w:szCs w:val="24"/>
        </w:rPr>
      </w:pPr>
      <w:r>
        <w:rPr>
          <w:szCs w:val="24"/>
        </w:rPr>
        <w:t>桥梁基础施工应选择在枯水期，围堰法施工，桥梁基础采用灌注桩基础，冲击钻钻孔桩基础施工工艺：平整场地→测定孔位→挖埋护筒→钻机就位→钻进→中间检查→终孔→清孔→测孔→安装钢筋笼→安放导管→灌注混凝土→凿桩头→桩基检测；实体墩台施工工艺：基础顶部清理→测量划线、绑扎钢筋→立墩身模板→灌注墩身混凝土→吊装盖梁钢筋→浇筑盖梁混凝土→墩身混凝土养生→拆除模板→验收；桥上部结构采用</w:t>
      </w:r>
      <w:r>
        <w:rPr>
          <w:rFonts w:hint="eastAsia"/>
          <w:szCs w:val="24"/>
        </w:rPr>
        <w:t>外购预制板</w:t>
      </w:r>
      <w:r>
        <w:rPr>
          <w:szCs w:val="24"/>
        </w:rPr>
        <w:t>、汽车运输、工地安装的施工方法。造成水土流失的主要环节是下部的桥墩基础开挖过程。</w:t>
      </w:r>
    </w:p>
    <w:p>
      <w:pPr>
        <w:adjustRightInd w:val="0"/>
        <w:snapToGrid w:val="0"/>
        <w:ind w:firstLine="480" w:firstLineChars="0"/>
        <w:rPr>
          <w:szCs w:val="24"/>
        </w:rPr>
      </w:pPr>
      <w:r>
        <w:rPr>
          <w:rFonts w:hint="eastAsia" w:ascii="宋体" w:hAnsi="宋体" w:cs="宋体"/>
          <w:szCs w:val="24"/>
        </w:rPr>
        <w:t>①</w:t>
      </w:r>
      <w:r>
        <w:rPr>
          <w:szCs w:val="24"/>
        </w:rPr>
        <w:t>桥墩施工工艺</w:t>
      </w:r>
    </w:p>
    <w:p>
      <w:pPr>
        <w:adjustRightInd w:val="0"/>
        <w:snapToGrid w:val="0"/>
        <w:ind w:firstLine="480"/>
        <w:rPr>
          <w:szCs w:val="24"/>
        </w:rPr>
      </w:pPr>
      <w:r>
        <w:rPr>
          <w:rFonts w:hint="eastAsia"/>
          <w:szCs w:val="24"/>
        </w:rPr>
        <w:t>桥梁</w:t>
      </w:r>
      <w:r>
        <w:rPr>
          <w:szCs w:val="24"/>
        </w:rPr>
        <w:t>钻孔灌注桩采用冲击钻工艺。桥墩采用柱式桥墩，墩身模板采用定型钢模板。吊车吊装人工配合加固处理。墩身钢筋在钢结构加工厂内集中加工，拖车将半成品钢筋运到现场进行绑扎。在墩身外侧搭设钢管脚手架作为工作平台及人员上下通道，模板及材料的垂直运输通过吊车完成，混凝土采用拌合站集中拌制，混凝土罐车运输至现场，泵送入模内进行施工。具体施工流程包括场地平整→测量放线→埋设护筒→泥浆制备及循环→冲击钻成孔→钢筋笼制作与安装→二次清孔→混凝土灌注→检查</w:t>
      </w:r>
      <w:r>
        <w:rPr>
          <w:rFonts w:hint="eastAsia"/>
          <w:szCs w:val="24"/>
        </w:rPr>
        <w:t>。</w:t>
      </w:r>
    </w:p>
    <w:p>
      <w:pPr>
        <w:adjustRightInd w:val="0"/>
        <w:snapToGrid w:val="0"/>
        <w:ind w:firstLine="480"/>
        <w:rPr>
          <w:szCs w:val="24"/>
        </w:rPr>
      </w:pPr>
      <w:r>
        <w:rPr>
          <w:szCs w:val="24"/>
        </w:rPr>
        <w:t>桥墩采用柱式桥墩，墩身模板采用定型钢模板。吊车吊装人工配合加固处理。墩身钢筋在钢结构加工厂内集中加工，拖车将半成品钢筋运到现场进行绑扎。在墩身外侧搭设钢管脚手架作为工作平台及人员上下通道，模板及材料的垂直运输通过吊车完成，混凝土采用拌合站集中拌制，混凝土罐车运输至现场，泵送入模内进行施工。具体施工流程包括场地平整→测量放线→埋设护筒→泥浆制备及循环→冲击钻成孔→钢筋笼制作与安装→二次清孔→混凝土灌注→检查。</w:t>
      </w:r>
    </w:p>
    <w:p>
      <w:pPr>
        <w:adjustRightInd w:val="0"/>
        <w:snapToGrid w:val="0"/>
        <w:ind w:firstLine="480"/>
        <w:rPr>
          <w:szCs w:val="24"/>
        </w:rPr>
      </w:pPr>
      <w:r>
        <w:rPr>
          <w:rFonts w:hint="eastAsia" w:ascii="宋体" w:hAnsi="宋体" w:cs="宋体"/>
          <w:szCs w:val="24"/>
          <w:lang w:eastAsia="ja-JP"/>
        </w:rPr>
        <w:t>②</w:t>
      </w:r>
      <w:r>
        <w:rPr>
          <w:szCs w:val="24"/>
        </w:rPr>
        <w:t>承台、系梁</w:t>
      </w:r>
    </w:p>
    <w:p>
      <w:pPr>
        <w:adjustRightInd w:val="0"/>
        <w:snapToGrid w:val="0"/>
        <w:ind w:firstLine="480"/>
        <w:rPr>
          <w:szCs w:val="24"/>
        </w:rPr>
      </w:pPr>
      <w:r>
        <w:rPr>
          <w:szCs w:val="24"/>
        </w:rPr>
        <w:t>承台、系梁施工过程包括测设基坑放样、基坑开挖、桩头凿除及桩基检测、浇筑承台垫层、钢筋加工和绑扎、模板支立、混凝土浇筑、混凝土的拆模和养护。</w:t>
      </w:r>
    </w:p>
    <w:p>
      <w:pPr>
        <w:adjustRightInd w:val="0"/>
        <w:snapToGrid w:val="0"/>
        <w:ind w:firstLine="480"/>
        <w:rPr>
          <w:szCs w:val="24"/>
        </w:rPr>
      </w:pPr>
      <w:r>
        <w:rPr>
          <w:rFonts w:hint="eastAsia" w:ascii="宋体" w:hAnsi="宋体" w:cs="宋体"/>
          <w:szCs w:val="24"/>
          <w:lang w:eastAsia="ja-JP"/>
        </w:rPr>
        <w:t>③</w:t>
      </w:r>
      <w:r>
        <w:rPr>
          <w:szCs w:val="24"/>
        </w:rPr>
        <w:t>盖梁施工</w:t>
      </w:r>
    </w:p>
    <w:p>
      <w:pPr>
        <w:adjustRightInd w:val="0"/>
        <w:snapToGrid w:val="0"/>
        <w:ind w:firstLine="480"/>
        <w:rPr>
          <w:rFonts w:cs="宋体"/>
        </w:rPr>
      </w:pPr>
      <w:r>
        <w:rPr>
          <w:szCs w:val="24"/>
        </w:rPr>
        <w:t>根据本标段盖梁结构形式和高度，拟采用如下施工工艺：钢筋原材在加工</w:t>
      </w:r>
      <w:r>
        <w:rPr>
          <w:rFonts w:hint="eastAsia"/>
          <w:szCs w:val="24"/>
        </w:rPr>
        <w:t>场</w:t>
      </w:r>
      <w:r>
        <w:rPr>
          <w:rFonts w:cs="宋体"/>
        </w:rPr>
        <w:t>地加工成半成品，运输至现场绑扎成型，盖梁φ</w:t>
      </w:r>
      <w:r>
        <w:rPr>
          <w:rFonts w:eastAsia="Times New Roman"/>
        </w:rPr>
        <w:t>22</w:t>
      </w:r>
      <w:r>
        <w:rPr>
          <w:rFonts w:cs="宋体"/>
        </w:rPr>
        <w:t>以上钢筋采用滚轧直螺纹机</w:t>
      </w:r>
      <w:r>
        <w:rPr>
          <w:rFonts w:cs="宋体"/>
          <w:spacing w:val="-3"/>
        </w:rPr>
        <w:t>械连接。采用碗扣支架作为模板支撑系统。混凝土由拌合站供应，罐车运输，泵</w:t>
      </w:r>
      <w:r>
        <w:rPr>
          <w:rFonts w:cs="宋体"/>
        </w:rPr>
        <w:t>车输送入模，振动棒振捣密实</w:t>
      </w:r>
      <w:r>
        <w:rPr>
          <w:rFonts w:hint="eastAsia" w:cs="宋体"/>
        </w:rPr>
        <w:t>。</w:t>
      </w:r>
    </w:p>
    <w:p>
      <w:pPr>
        <w:adjustRightInd w:val="0"/>
        <w:snapToGrid w:val="0"/>
        <w:ind w:firstLine="480"/>
        <w:rPr>
          <w:szCs w:val="24"/>
        </w:rPr>
      </w:pPr>
      <w:r>
        <w:rPr>
          <w:rFonts w:hint="eastAsia" w:ascii="宋体" w:hAnsi="宋体" w:cs="宋体"/>
          <w:szCs w:val="24"/>
          <w:lang w:eastAsia="ja-JP"/>
        </w:rPr>
        <w:t>④</w:t>
      </w:r>
      <w:r>
        <w:rPr>
          <w:szCs w:val="24"/>
        </w:rPr>
        <w:t>T梁预制与架设</w:t>
      </w:r>
    </w:p>
    <w:p>
      <w:pPr>
        <w:adjustRightInd w:val="0"/>
        <w:snapToGrid w:val="0"/>
        <w:ind w:firstLine="480"/>
        <w:rPr>
          <w:szCs w:val="24"/>
        </w:rPr>
      </w:pPr>
      <w:r>
        <w:rPr>
          <w:rFonts w:hint="eastAsia"/>
          <w:szCs w:val="24"/>
        </w:rPr>
        <w:t>本项目</w:t>
      </w:r>
      <w:r>
        <w:rPr>
          <w:szCs w:val="24"/>
        </w:rPr>
        <w:t>采用预制架设的施工方式，即在独立场地预制的箱梁结合架桥机可在下部工程完成后进行架设，可加速工程进度、节约工期。预制的箱梁运进场内，由架桥机及运梁台车组拼架设。具体施工流程包括：架桥机及运梁台车组拼试验→架桥机架梁对位→运梁车运梁、喂梁→架桥机起吊、纵移箱梁→落梁就位→支座灌注砂浆→检查。</w:t>
      </w:r>
    </w:p>
    <w:p>
      <w:pPr>
        <w:adjustRightInd w:val="0"/>
        <w:snapToGrid w:val="0"/>
        <w:spacing w:line="240" w:lineRule="auto"/>
        <w:ind w:firstLine="480"/>
        <w:jc w:val="center"/>
        <w:rPr>
          <w:rFonts w:cs="宋体"/>
          <w:highlight w:val="yellow"/>
        </w:rPr>
      </w:pPr>
      <w:r>
        <w:object>
          <v:shape id="_x0000_i1026" o:spt="75" type="#_x0000_t75" style="height:374.25pt;width:388.5pt;" o:ole="t" filled="f" o:preferrelative="t" stroked="f" coordsize="21600,21600">
            <v:path/>
            <v:fill on="f" focussize="0,0"/>
            <v:stroke on="f" joinstyle="miter"/>
            <v:imagedata r:id="rId77" o:title=""/>
            <o:lock v:ext="edit" aspectratio="t"/>
            <w10:wrap type="none"/>
            <w10:anchorlock/>
          </v:shape>
          <o:OLEObject Type="Embed" ProgID="Visio.Drawing.11" ShapeID="_x0000_i1026" DrawAspect="Content" ObjectID="_1468075726" r:id="rId76">
            <o:LockedField>false</o:LockedField>
          </o:OLEObject>
        </w:object>
      </w:r>
    </w:p>
    <w:p>
      <w:pPr>
        <w:adjustRightInd w:val="0"/>
        <w:snapToGrid w:val="0"/>
        <w:ind w:firstLine="0" w:firstLineChars="0"/>
        <w:jc w:val="center"/>
        <w:rPr>
          <w:b/>
          <w:sz w:val="21"/>
        </w:rPr>
      </w:pPr>
      <w:r>
        <w:rPr>
          <w:b/>
          <w:sz w:val="21"/>
        </w:rPr>
        <w:t>图</w:t>
      </w:r>
      <w:r>
        <w:rPr>
          <w:rFonts w:hint="eastAsia"/>
          <w:b/>
          <w:sz w:val="21"/>
        </w:rPr>
        <w:t>3.9</w:t>
      </w:r>
      <w:r>
        <w:rPr>
          <w:b/>
          <w:sz w:val="21"/>
        </w:rPr>
        <w:t>-</w:t>
      </w:r>
      <w:r>
        <w:rPr>
          <w:rFonts w:hint="eastAsia"/>
          <w:b/>
          <w:sz w:val="21"/>
        </w:rPr>
        <w:t>2</w:t>
      </w:r>
      <w:r>
        <w:rPr>
          <w:b/>
          <w:sz w:val="21"/>
        </w:rPr>
        <w:tab/>
      </w:r>
      <w:r>
        <w:rPr>
          <w:rFonts w:hint="eastAsia"/>
          <w:b/>
          <w:sz w:val="21"/>
        </w:rPr>
        <w:t>桥梁工程</w:t>
      </w:r>
      <w:r>
        <w:rPr>
          <w:b/>
          <w:sz w:val="21"/>
        </w:rPr>
        <w:t>施工工艺路线图</w:t>
      </w:r>
    </w:p>
    <w:p>
      <w:pPr>
        <w:adjustRightInd w:val="0"/>
        <w:snapToGrid w:val="0"/>
        <w:ind w:firstLine="480"/>
      </w:pPr>
      <w:r>
        <w:rPr>
          <w:rFonts w:hint="eastAsia"/>
        </w:rPr>
        <w:t>（4）施工场地</w:t>
      </w:r>
    </w:p>
    <w:p>
      <w:pPr>
        <w:adjustRightInd w:val="0"/>
        <w:snapToGrid w:val="0"/>
        <w:ind w:firstLine="452"/>
        <w:rPr>
          <w:rFonts w:cs="宋体"/>
        </w:rPr>
      </w:pPr>
      <w:r>
        <w:rPr>
          <w:rFonts w:cs="宋体"/>
          <w:spacing w:val="-7"/>
        </w:rPr>
        <w:t>施工</w:t>
      </w:r>
      <w:r>
        <w:rPr>
          <w:rFonts w:hint="eastAsia" w:cs="宋体"/>
          <w:spacing w:val="-7"/>
        </w:rPr>
        <w:t>场地</w:t>
      </w:r>
      <w:r>
        <w:rPr>
          <w:rFonts w:cs="宋体"/>
          <w:spacing w:val="-7"/>
        </w:rPr>
        <w:t>首先采用机械进行场地平整、压实，以满足施工机械的正常运转</w:t>
      </w:r>
      <w:r>
        <w:rPr>
          <w:rFonts w:hint="eastAsia" w:cs="宋体"/>
          <w:spacing w:val="-7"/>
        </w:rPr>
        <w:t>。</w:t>
      </w:r>
      <w:r>
        <w:rPr>
          <w:rFonts w:cs="宋体"/>
        </w:rPr>
        <w:t>然后布置施工机械，统筹考虑，合理安排，减少不必要的地表扰动</w:t>
      </w:r>
      <w:r>
        <w:rPr>
          <w:rFonts w:hint="eastAsia" w:cs="宋体"/>
        </w:rPr>
        <w:t>。</w:t>
      </w:r>
    </w:p>
    <w:p>
      <w:pPr>
        <w:adjustRightInd w:val="0"/>
        <w:snapToGrid w:val="0"/>
        <w:ind w:firstLine="480"/>
        <w:rPr>
          <w:rFonts w:cs="宋体"/>
        </w:rPr>
      </w:pPr>
      <w:r>
        <w:rPr>
          <w:rFonts w:hint="eastAsia" w:cs="宋体"/>
        </w:rPr>
        <w:t>（5）</w:t>
      </w:r>
      <w:r>
        <w:rPr>
          <w:rFonts w:cs="宋体"/>
        </w:rPr>
        <w:t>交通工程、服务设施、管理设施及环境保护工程</w:t>
      </w:r>
    </w:p>
    <w:p>
      <w:pPr>
        <w:adjustRightInd w:val="0"/>
        <w:snapToGrid w:val="0"/>
        <w:ind w:firstLine="480"/>
        <w:rPr>
          <w:rFonts w:cs="宋体"/>
        </w:rPr>
      </w:pPr>
      <w:r>
        <w:rPr>
          <w:rFonts w:cs="宋体"/>
        </w:rPr>
        <w:t>主体工程基本完成后，即可展开沿线设施与环境保护工程的施工，沿线设施包括交通标志、安全、管理设施等，环境保护工程为路基两侧植树和边坡种草等工程</w:t>
      </w:r>
      <w:r>
        <w:rPr>
          <w:rFonts w:hint="eastAsia" w:cs="宋体"/>
        </w:rPr>
        <w:t>。</w:t>
      </w:r>
    </w:p>
    <w:p>
      <w:pPr>
        <w:pStyle w:val="5"/>
        <w:spacing w:beforeLines="0" w:afterLines="0"/>
      </w:pPr>
      <w:bookmarkStart w:id="84" w:name="_Toc141284065"/>
      <w:r>
        <w:t>3.</w:t>
      </w:r>
      <w:r>
        <w:rPr>
          <w:rFonts w:hint="eastAsia"/>
        </w:rPr>
        <w:t>10估算投资及工期安排</w:t>
      </w:r>
      <w:bookmarkEnd w:id="84"/>
    </w:p>
    <w:p>
      <w:pPr>
        <w:pStyle w:val="204"/>
        <w:spacing w:line="480" w:lineRule="exact"/>
        <w:ind w:firstLine="0" w:firstLineChars="0"/>
        <w:outlineLvl w:val="2"/>
        <w:rPr>
          <w:b/>
          <w:sz w:val="28"/>
          <w:szCs w:val="28"/>
        </w:rPr>
      </w:pPr>
      <w:r>
        <w:rPr>
          <w:b/>
          <w:sz w:val="28"/>
          <w:szCs w:val="28"/>
        </w:rPr>
        <w:t>3.</w:t>
      </w:r>
      <w:r>
        <w:rPr>
          <w:rFonts w:hint="eastAsia"/>
          <w:b/>
          <w:sz w:val="28"/>
          <w:szCs w:val="28"/>
        </w:rPr>
        <w:t>10</w:t>
      </w:r>
      <w:r>
        <w:rPr>
          <w:b/>
          <w:sz w:val="28"/>
          <w:szCs w:val="28"/>
        </w:rPr>
        <w:t>.</w:t>
      </w:r>
      <w:r>
        <w:rPr>
          <w:rFonts w:hint="eastAsia"/>
          <w:b/>
          <w:sz w:val="28"/>
          <w:szCs w:val="28"/>
        </w:rPr>
        <w:t>1估算投资</w:t>
      </w:r>
    </w:p>
    <w:p>
      <w:pPr>
        <w:adjustRightInd w:val="0"/>
        <w:snapToGrid w:val="0"/>
        <w:ind w:firstLine="480"/>
        <w:rPr>
          <w:rFonts w:cs="宋体"/>
        </w:rPr>
      </w:pPr>
      <w:r>
        <w:rPr>
          <w:rFonts w:cs="宋体"/>
        </w:rPr>
        <w:t>本项目估算总金额</w:t>
      </w:r>
      <w:r>
        <w:rPr>
          <w:rFonts w:hint="eastAsia"/>
        </w:rPr>
        <w:t>70900万</w:t>
      </w:r>
      <w:r>
        <w:rPr>
          <w:rFonts w:cs="宋体"/>
        </w:rPr>
        <w:t>元</w:t>
      </w:r>
      <w:r>
        <w:rPr>
          <w:rFonts w:hint="eastAsia" w:cs="宋体"/>
        </w:rPr>
        <w:t>，</w:t>
      </w:r>
      <w:r>
        <w:rPr>
          <w:rFonts w:cs="宋体"/>
        </w:rPr>
        <w:t>其中环保投资</w:t>
      </w:r>
      <w:r>
        <w:rPr>
          <w:rFonts w:hint="eastAsia"/>
        </w:rPr>
        <w:t>200</w:t>
      </w:r>
      <w:r>
        <w:rPr>
          <w:rFonts w:cs="宋体"/>
        </w:rPr>
        <w:t>万元，占工程总投资的</w:t>
      </w:r>
      <w:r>
        <w:rPr>
          <w:rFonts w:hint="eastAsia" w:cs="宋体"/>
        </w:rPr>
        <w:t>0.28</w:t>
      </w:r>
      <w:r>
        <w:rPr>
          <w:rFonts w:cs="宋体"/>
        </w:rPr>
        <w:t>%</w:t>
      </w:r>
      <w:r>
        <w:rPr>
          <w:rFonts w:hint="eastAsia" w:cs="宋体"/>
        </w:rPr>
        <w:t>。</w:t>
      </w:r>
    </w:p>
    <w:p>
      <w:pPr>
        <w:pStyle w:val="204"/>
        <w:spacing w:line="480" w:lineRule="exact"/>
        <w:ind w:firstLine="0" w:firstLineChars="0"/>
        <w:outlineLvl w:val="2"/>
        <w:rPr>
          <w:b/>
          <w:sz w:val="28"/>
          <w:szCs w:val="28"/>
        </w:rPr>
      </w:pPr>
      <w:r>
        <w:rPr>
          <w:b/>
          <w:sz w:val="28"/>
          <w:szCs w:val="28"/>
        </w:rPr>
        <w:t>3.</w:t>
      </w:r>
      <w:r>
        <w:rPr>
          <w:rFonts w:hint="eastAsia"/>
          <w:b/>
          <w:sz w:val="28"/>
          <w:szCs w:val="28"/>
        </w:rPr>
        <w:t>10</w:t>
      </w:r>
      <w:r>
        <w:rPr>
          <w:b/>
          <w:sz w:val="28"/>
          <w:szCs w:val="28"/>
        </w:rPr>
        <w:t>.</w:t>
      </w:r>
      <w:r>
        <w:rPr>
          <w:rFonts w:hint="eastAsia"/>
          <w:b/>
          <w:sz w:val="28"/>
          <w:szCs w:val="28"/>
        </w:rPr>
        <w:t>2工期安排</w:t>
      </w:r>
    </w:p>
    <w:p>
      <w:pPr>
        <w:adjustRightInd w:val="0"/>
        <w:snapToGrid w:val="0"/>
        <w:ind w:firstLine="480"/>
        <w:rPr>
          <w:rFonts w:cs="宋体"/>
          <w:highlight w:val="yellow"/>
        </w:rPr>
      </w:pPr>
      <w:r>
        <w:rPr>
          <w:rFonts w:cs="宋体"/>
        </w:rPr>
        <w:t>本项目计划于</w:t>
      </w:r>
      <w:r>
        <w:rPr>
          <w:rFonts w:eastAsia="Times New Roman"/>
        </w:rPr>
        <w:t>20</w:t>
      </w:r>
      <w:r>
        <w:rPr>
          <w:rFonts w:hint="eastAsia"/>
        </w:rPr>
        <w:t>23</w:t>
      </w:r>
      <w:r>
        <w:rPr>
          <w:rFonts w:cs="宋体"/>
        </w:rPr>
        <w:t>年开工建设，</w:t>
      </w:r>
      <w:r>
        <w:rPr>
          <w:rFonts w:eastAsia="Times New Roman"/>
        </w:rPr>
        <w:t>202</w:t>
      </w:r>
      <w:r>
        <w:rPr>
          <w:rFonts w:hint="eastAsia"/>
        </w:rPr>
        <w:t>5</w:t>
      </w:r>
      <w:r>
        <w:rPr>
          <w:rFonts w:cs="宋体"/>
        </w:rPr>
        <w:t>年建成通车，工期</w:t>
      </w:r>
      <w:r>
        <w:rPr>
          <w:rFonts w:hint="eastAsia"/>
        </w:rPr>
        <w:t>24</w:t>
      </w:r>
      <w:r>
        <w:rPr>
          <w:rFonts w:cs="宋体"/>
        </w:rPr>
        <w:t>个月</w:t>
      </w:r>
      <w:r>
        <w:rPr>
          <w:rFonts w:hint="eastAsia" w:cs="宋体"/>
        </w:rPr>
        <w:t>。</w:t>
      </w:r>
    </w:p>
    <w:p>
      <w:pPr>
        <w:pStyle w:val="5"/>
        <w:spacing w:beforeLines="0" w:afterLines="0"/>
      </w:pPr>
      <w:bookmarkStart w:id="85" w:name="_Toc141284066"/>
      <w:r>
        <w:t>3.</w:t>
      </w:r>
      <w:r>
        <w:rPr>
          <w:rFonts w:hint="eastAsia"/>
        </w:rPr>
        <w:t>11工程污染源分析及污染防治措施</w:t>
      </w:r>
      <w:bookmarkEnd w:id="85"/>
    </w:p>
    <w:p>
      <w:pPr>
        <w:pStyle w:val="204"/>
        <w:spacing w:line="480" w:lineRule="exact"/>
        <w:ind w:firstLine="0" w:firstLineChars="0"/>
        <w:outlineLvl w:val="2"/>
        <w:rPr>
          <w:b/>
          <w:sz w:val="28"/>
          <w:szCs w:val="28"/>
        </w:rPr>
      </w:pPr>
      <w:r>
        <w:rPr>
          <w:b/>
          <w:sz w:val="28"/>
          <w:szCs w:val="28"/>
        </w:rPr>
        <w:t>3.</w:t>
      </w:r>
      <w:r>
        <w:rPr>
          <w:rFonts w:hint="eastAsia"/>
          <w:b/>
          <w:sz w:val="28"/>
          <w:szCs w:val="28"/>
        </w:rPr>
        <w:t>11</w:t>
      </w:r>
      <w:r>
        <w:rPr>
          <w:b/>
          <w:sz w:val="28"/>
          <w:szCs w:val="28"/>
        </w:rPr>
        <w:t>.</w:t>
      </w:r>
      <w:r>
        <w:rPr>
          <w:rFonts w:hint="eastAsia"/>
          <w:b/>
          <w:sz w:val="28"/>
          <w:szCs w:val="28"/>
        </w:rPr>
        <w:t>1施工期污染源分析及防治措施</w:t>
      </w:r>
    </w:p>
    <w:p>
      <w:pPr>
        <w:pStyle w:val="190"/>
        <w:spacing w:beforeLines="0" w:afterLines="0"/>
      </w:pPr>
      <w:r>
        <w:rPr>
          <w:rFonts w:hint="eastAsia"/>
        </w:rPr>
        <w:t>3</w:t>
      </w:r>
      <w:r>
        <w:t>.</w:t>
      </w:r>
      <w:r>
        <w:rPr>
          <w:rFonts w:hint="eastAsia"/>
        </w:rPr>
        <w:t>11</w:t>
      </w:r>
      <w:r>
        <w:t>.1.</w:t>
      </w:r>
      <w:r>
        <w:rPr>
          <w:rFonts w:hint="eastAsia"/>
        </w:rPr>
        <w:t>1噪声污染源分析及防治措施</w:t>
      </w:r>
    </w:p>
    <w:p>
      <w:pPr>
        <w:adjustRightInd w:val="0"/>
        <w:snapToGrid w:val="0"/>
        <w:ind w:firstLine="480"/>
        <w:rPr>
          <w:rFonts w:cs="宋体"/>
        </w:rPr>
      </w:pPr>
      <w:r>
        <w:rPr>
          <w:rFonts w:cs="宋体"/>
        </w:rPr>
        <w:t>公路施工期噪声主要来自施工开挖、填筑、砂石料粉碎、混凝土浇筑等施工活动中的施工机械运行、车辆运输和机械加工修配等。施工作业机械种类较多，有装载机、推土机、压路机、平地机、挖掘机、摊铺机、钻孔机械、吊车、搅拌机等，另外，噪声源还有运输车辆，包括各种卡车、自卸车</w:t>
      </w:r>
      <w:r>
        <w:rPr>
          <w:rFonts w:hint="eastAsia" w:cs="宋体"/>
        </w:rPr>
        <w:t>。</w:t>
      </w:r>
      <w:r>
        <w:rPr>
          <w:rFonts w:ascii="宋体" w:hAnsi="宋体" w:cs="宋体"/>
        </w:rPr>
        <w:t>不同施工机械的噪声级见表</w:t>
      </w:r>
      <w:r>
        <w:rPr>
          <w:rFonts w:hint="eastAsia"/>
        </w:rPr>
        <w:t>3.11-1。</w:t>
      </w:r>
    </w:p>
    <w:p>
      <w:pPr>
        <w:adjustRightInd w:val="0"/>
        <w:snapToGrid w:val="0"/>
        <w:ind w:firstLine="0" w:firstLineChars="0"/>
        <w:jc w:val="center"/>
        <w:rPr>
          <w:b/>
          <w:sz w:val="21"/>
        </w:rPr>
      </w:pPr>
      <w:r>
        <w:rPr>
          <w:rFonts w:hint="eastAsia"/>
          <w:b/>
          <w:sz w:val="21"/>
        </w:rPr>
        <w:t>表3.11-1 主要施工机械的噪声级</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25"/>
        <w:gridCol w:w="1734"/>
        <w:gridCol w:w="1736"/>
        <w:gridCol w:w="32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机械设备</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测距(m)</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声级(dB（A）)</w:t>
            </w:r>
          </w:p>
        </w:tc>
        <w:tc>
          <w:tcPr>
            <w:tcW w:w="1789"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打桩机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95～105</w:t>
            </w:r>
          </w:p>
        </w:tc>
        <w:tc>
          <w:tcPr>
            <w:tcW w:w="1789"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不同类型打桩机噪声差异很大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挖掘机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84</w:t>
            </w:r>
          </w:p>
        </w:tc>
        <w:tc>
          <w:tcPr>
            <w:tcW w:w="178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液压式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推土机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86</w:t>
            </w:r>
          </w:p>
        </w:tc>
        <w:tc>
          <w:tcPr>
            <w:tcW w:w="1789" w:type="pct"/>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装载机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c>
          <w:tcPr>
            <w:tcW w:w="178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轮式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推铺机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87</w:t>
            </w:r>
          </w:p>
        </w:tc>
        <w:tc>
          <w:tcPr>
            <w:tcW w:w="1789" w:type="pct"/>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铲土机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93</w:t>
            </w:r>
          </w:p>
        </w:tc>
        <w:tc>
          <w:tcPr>
            <w:tcW w:w="1789" w:type="pct"/>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平地机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c>
          <w:tcPr>
            <w:tcW w:w="1789" w:type="pct"/>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压路机</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86</w:t>
            </w:r>
          </w:p>
        </w:tc>
        <w:tc>
          <w:tcPr>
            <w:tcW w:w="1789"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振动式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tabs>
                <w:tab w:val="left" w:pos="422"/>
              </w:tabs>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卡车</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7.5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89</w:t>
            </w:r>
          </w:p>
        </w:tc>
        <w:tc>
          <w:tcPr>
            <w:tcW w:w="1789"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卡车的载重量越大噪声越高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自卸车</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82</w:t>
            </w:r>
          </w:p>
        </w:tc>
        <w:tc>
          <w:tcPr>
            <w:tcW w:w="1789" w:type="pct"/>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88"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移动式吊车</w:t>
            </w:r>
          </w:p>
        </w:tc>
        <w:tc>
          <w:tcPr>
            <w:tcW w:w="96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7.5</w:t>
            </w:r>
          </w:p>
        </w:tc>
        <w:tc>
          <w:tcPr>
            <w:tcW w:w="962"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89</w:t>
            </w:r>
          </w:p>
        </w:tc>
        <w:tc>
          <w:tcPr>
            <w:tcW w:w="1789" w:type="pct"/>
            <w:vAlign w:val="center"/>
          </w:tcPr>
          <w:p>
            <w:pPr>
              <w:spacing w:line="240" w:lineRule="auto"/>
              <w:ind w:firstLine="0" w:firstLineChars="0"/>
              <w:jc w:val="center"/>
              <w:rPr>
                <w:kern w:val="0"/>
                <w:sz w:val="21"/>
                <w:szCs w:val="22"/>
                <w:lang w:eastAsia="en-US"/>
              </w:rPr>
            </w:pPr>
          </w:p>
        </w:tc>
      </w:tr>
    </w:tbl>
    <w:p>
      <w:pPr>
        <w:adjustRightInd w:val="0"/>
        <w:snapToGrid w:val="0"/>
        <w:ind w:firstLine="480"/>
        <w:rPr>
          <w:rFonts w:cs="宋体"/>
        </w:rPr>
      </w:pPr>
      <w:r>
        <w:rPr>
          <w:rFonts w:cs="宋体"/>
        </w:rPr>
        <w:t>为防治施工设备的噪声污染，</w:t>
      </w:r>
      <w:r>
        <w:rPr>
          <w:rFonts w:hint="eastAsia" w:cs="宋体"/>
        </w:rPr>
        <w:t>一方面</w:t>
      </w:r>
      <w:r>
        <w:rPr>
          <w:rFonts w:cs="宋体"/>
        </w:rPr>
        <w:t>尽量选用低噪声施工机械设备；另一方面可合理布置施工设备，安排施工时间及施工进度等措施</w:t>
      </w:r>
      <w:r>
        <w:rPr>
          <w:rFonts w:hint="eastAsia" w:cs="宋体"/>
        </w:rPr>
        <w:t>。本项目建设路段临近后王庄村、学汉坨村、骆各庄村、吴家坑村、圪塔坨村等</w:t>
      </w:r>
      <w:r>
        <w:rPr>
          <w:rFonts w:cs="宋体"/>
        </w:rPr>
        <w:t>敏感点路段</w:t>
      </w:r>
      <w:r>
        <w:rPr>
          <w:rFonts w:hint="eastAsia" w:cs="宋体"/>
        </w:rPr>
        <w:t>，在不影响周边居民出行的情况下，</w:t>
      </w:r>
      <w:r>
        <w:rPr>
          <w:rFonts w:cs="宋体"/>
        </w:rPr>
        <w:t>可设置围挡</w:t>
      </w:r>
      <w:r>
        <w:rPr>
          <w:rFonts w:hint="eastAsia" w:cs="宋体"/>
        </w:rPr>
        <w:t>、</w:t>
      </w:r>
      <w:r>
        <w:rPr>
          <w:rFonts w:cs="宋体"/>
        </w:rPr>
        <w:t>尽量避免在夜间施工等噪声防治措施，以减少施工噪声对居民的影响</w:t>
      </w:r>
      <w:r>
        <w:rPr>
          <w:rFonts w:hint="eastAsia" w:cs="宋体"/>
        </w:rPr>
        <w:t>。</w:t>
      </w:r>
    </w:p>
    <w:p>
      <w:pPr>
        <w:pStyle w:val="190"/>
        <w:spacing w:beforeLines="0" w:afterLines="0"/>
      </w:pPr>
      <w:r>
        <w:rPr>
          <w:rFonts w:hint="eastAsia"/>
        </w:rPr>
        <w:t>3</w:t>
      </w:r>
      <w:r>
        <w:t>.</w:t>
      </w:r>
      <w:r>
        <w:rPr>
          <w:rFonts w:hint="eastAsia"/>
        </w:rPr>
        <w:t>11</w:t>
      </w:r>
      <w:r>
        <w:t>.1.</w:t>
      </w:r>
      <w:r>
        <w:rPr>
          <w:rFonts w:hint="eastAsia"/>
        </w:rPr>
        <w:t>2大气污染源分析及防治措施</w:t>
      </w:r>
    </w:p>
    <w:p>
      <w:pPr>
        <w:adjustRightInd w:val="0"/>
        <w:snapToGrid w:val="0"/>
        <w:ind w:firstLine="480"/>
        <w:rPr>
          <w:rFonts w:cs="宋体"/>
        </w:rPr>
      </w:pPr>
      <w:r>
        <w:rPr>
          <w:rFonts w:cs="宋体"/>
        </w:rPr>
        <w:t>公路施工过程会产生扬尘污染</w:t>
      </w:r>
      <w:r>
        <w:rPr>
          <w:rFonts w:hint="eastAsia" w:cs="宋体"/>
        </w:rPr>
        <w:t>、</w:t>
      </w:r>
      <w:r>
        <w:rPr>
          <w:rFonts w:cs="宋体"/>
        </w:rPr>
        <w:t>沥青烟气污染以及施工机械燃油废气污染。</w:t>
      </w:r>
    </w:p>
    <w:p>
      <w:pPr>
        <w:adjustRightInd w:val="0"/>
        <w:snapToGrid w:val="0"/>
        <w:ind w:firstLine="480"/>
        <w:rPr>
          <w:rFonts w:cs="宋体"/>
        </w:rPr>
      </w:pPr>
      <w:r>
        <w:rPr>
          <w:rFonts w:cs="宋体"/>
        </w:rPr>
        <w:t>（1）扬尘污染</w:t>
      </w:r>
    </w:p>
    <w:p>
      <w:pPr>
        <w:adjustRightInd w:val="0"/>
        <w:snapToGrid w:val="0"/>
        <w:ind w:firstLine="480"/>
        <w:rPr>
          <w:rFonts w:cs="宋体"/>
        </w:rPr>
      </w:pPr>
      <w:r>
        <w:rPr>
          <w:rFonts w:cs="宋体"/>
        </w:rPr>
        <w:t>项目施工过程主要的大气污染物为粉尘，污染环节为材料的运输和堆放，土方的开挖和回填等作业过程，上述各环节在一定风力作用下，会对施工现场及周围环境产生粉尘。此外，运输车辆行驶将产生道路二次扬尘污染。</w:t>
      </w:r>
    </w:p>
    <w:p>
      <w:pPr>
        <w:adjustRightInd w:val="0"/>
        <w:snapToGrid w:val="0"/>
        <w:ind w:firstLine="480"/>
        <w:rPr>
          <w:rFonts w:cs="宋体"/>
        </w:rPr>
      </w:pPr>
      <w:r>
        <w:rPr>
          <w:rFonts w:cs="宋体"/>
        </w:rPr>
        <w:t>路基施工产生的扬尘污染：路基施工扬尘主要包括土方开挖、回填，平整土地等作业产生的扬尘，使得环境空气中悬浮颗粒物浓度增加。</w:t>
      </w:r>
    </w:p>
    <w:p>
      <w:pPr>
        <w:adjustRightInd w:val="0"/>
        <w:snapToGrid w:val="0"/>
        <w:ind w:firstLine="480"/>
        <w:rPr>
          <w:rFonts w:cs="宋体"/>
        </w:rPr>
      </w:pPr>
      <w:r>
        <w:rPr>
          <w:rFonts w:cs="宋体"/>
        </w:rPr>
        <w:t>物料堆放产生的粉尘污染：</w:t>
      </w:r>
      <w:r>
        <w:rPr>
          <w:rFonts w:hint="eastAsia" w:cs="宋体"/>
        </w:rPr>
        <w:t>基层垫土</w:t>
      </w:r>
      <w:r>
        <w:rPr>
          <w:rFonts w:cs="宋体"/>
        </w:rPr>
        <w:t>堆存过程中在大风天气下极易起尘，使得堆存场所下风向环境空气中悬浮物浓度增加，从而对堆存场所下风向环境空气质量造成一定的影响。</w:t>
      </w:r>
    </w:p>
    <w:p>
      <w:pPr>
        <w:adjustRightInd w:val="0"/>
        <w:snapToGrid w:val="0"/>
        <w:ind w:firstLine="480"/>
        <w:rPr>
          <w:rFonts w:cs="宋体"/>
        </w:rPr>
      </w:pPr>
      <w:r>
        <w:rPr>
          <w:rFonts w:cs="宋体"/>
        </w:rPr>
        <w:t>物料的运输和装卸粉尘：施工期施工区内运输车辆大多行驶在土路便道上，路面含尘量高，运输车辆的行驶将产生二次扬尘。特别在混凝土浇筑及沥青摊铺工序阶段，运输车引起的扬尘对道路两侧的影响更为明显。根据类似工程经验数据，施工期间车辆运输产生的粉尘主要影响范围为下风向150m范围内。</w:t>
      </w:r>
    </w:p>
    <w:p>
      <w:pPr>
        <w:adjustRightInd w:val="0"/>
        <w:snapToGrid w:val="0"/>
        <w:ind w:firstLine="480"/>
        <w:rPr>
          <w:rFonts w:cs="宋体"/>
        </w:rPr>
      </w:pPr>
      <w:r>
        <w:rPr>
          <w:rFonts w:cs="宋体"/>
        </w:rPr>
        <w:t>建筑物拆迁扬尘：本工程施工过程中需拆迁一定量的建筑物，在建筑物拆迁过程中短时间内将产生大量的二次扬尘，从而对周围大气环境产生一定的影响</w:t>
      </w:r>
      <w:r>
        <w:rPr>
          <w:rFonts w:hint="eastAsia" w:cs="宋体"/>
        </w:rPr>
        <w:t>。</w:t>
      </w:r>
    </w:p>
    <w:p>
      <w:pPr>
        <w:adjustRightInd w:val="0"/>
        <w:snapToGrid w:val="0"/>
        <w:ind w:firstLine="480"/>
        <w:rPr>
          <w:rFonts w:cs="宋体"/>
        </w:rPr>
      </w:pPr>
      <w:r>
        <w:rPr>
          <w:rFonts w:cs="宋体"/>
        </w:rPr>
        <w:t>（</w:t>
      </w:r>
      <w:r>
        <w:rPr>
          <w:rFonts w:hint="eastAsia" w:cs="宋体"/>
        </w:rPr>
        <w:t>2</w:t>
      </w:r>
      <w:r>
        <w:rPr>
          <w:rFonts w:cs="宋体"/>
        </w:rPr>
        <w:t>）路面摊铺沥青废气</w:t>
      </w:r>
    </w:p>
    <w:p>
      <w:pPr>
        <w:adjustRightInd w:val="0"/>
        <w:snapToGrid w:val="0"/>
        <w:ind w:firstLine="480"/>
        <w:rPr>
          <w:rFonts w:cs="宋体"/>
        </w:rPr>
      </w:pPr>
      <w:r>
        <w:rPr>
          <w:rFonts w:cs="宋体"/>
        </w:rPr>
        <w:t>路面铺砌时会有少量沥青烟产生，但相对分散，排放量较少，环境空旷，易扩散，并且时间较短，随着施工结束而消失，不会对当地环境空气产生明显影响。根据有关资料，</w:t>
      </w:r>
      <w:r>
        <w:rPr>
          <w:rFonts w:hAnsi="宋体"/>
        </w:rPr>
        <w:t>在风速介于</w:t>
      </w:r>
      <w:r>
        <w:t>2~3m/s</w:t>
      </w:r>
      <w:r>
        <w:rPr>
          <w:rFonts w:hAnsi="宋体"/>
        </w:rPr>
        <w:t>之间时，沥青铺浇路面时所排放的</w:t>
      </w:r>
      <w:r>
        <w:rPr>
          <w:rFonts w:hint="eastAsia" w:hAnsi="宋体"/>
        </w:rPr>
        <w:t>沥青烟</w:t>
      </w:r>
      <w:r>
        <w:rPr>
          <w:rFonts w:hAnsi="宋体"/>
        </w:rPr>
        <w:t>污染物影响距离约为下风向</w:t>
      </w:r>
      <w:r>
        <w:t>100m</w:t>
      </w:r>
      <w:r>
        <w:rPr>
          <w:rFonts w:hAnsi="宋体"/>
        </w:rPr>
        <w:t>左右</w:t>
      </w:r>
      <w:r>
        <w:rPr>
          <w:rFonts w:cs="宋体"/>
        </w:rPr>
        <w:t>；摊铺完成10~20min后，经自然冷却沥青混合料温度</w:t>
      </w:r>
      <w:r>
        <w:rPr>
          <w:rFonts w:hint="eastAsia" w:cs="宋体"/>
        </w:rPr>
        <w:t>下降后</w:t>
      </w:r>
      <w:r>
        <w:rPr>
          <w:rFonts w:cs="宋体"/>
        </w:rPr>
        <w:t>，沥青烟污染明显减弱，待沥青凝固后，沥青烟也随即消失。根据已有资料分析</w:t>
      </w:r>
      <w:r>
        <w:rPr>
          <w:rFonts w:hint="eastAsia" w:cs="宋体"/>
        </w:rPr>
        <w:t>，</w:t>
      </w:r>
      <w:r>
        <w:rPr>
          <w:rFonts w:cs="宋体"/>
        </w:rPr>
        <w:t>沥青烟排放</w:t>
      </w:r>
      <w:r>
        <w:rPr>
          <w:rFonts w:hint="eastAsia" w:cs="宋体"/>
        </w:rPr>
        <w:t>满足</w:t>
      </w:r>
      <w:r>
        <w:rPr>
          <w:rFonts w:cs="宋体"/>
        </w:rPr>
        <w:t>《大气污染物综合排放标准》（GB16297-1996）表2无组织排放监控浓度限值</w:t>
      </w:r>
      <w:r>
        <w:rPr>
          <w:rFonts w:hint="eastAsia" w:cs="宋体"/>
        </w:rPr>
        <w:t>。</w:t>
      </w:r>
    </w:p>
    <w:p>
      <w:pPr>
        <w:adjustRightInd w:val="0"/>
        <w:snapToGrid w:val="0"/>
        <w:ind w:firstLine="480"/>
        <w:rPr>
          <w:rFonts w:cs="宋体"/>
        </w:rPr>
      </w:pPr>
      <w:r>
        <w:rPr>
          <w:rFonts w:cs="宋体"/>
        </w:rPr>
        <w:t>（</w:t>
      </w:r>
      <w:r>
        <w:rPr>
          <w:rFonts w:hint="eastAsia" w:cs="宋体"/>
        </w:rPr>
        <w:t>3</w:t>
      </w:r>
      <w:r>
        <w:rPr>
          <w:rFonts w:cs="宋体"/>
        </w:rPr>
        <w:t>）施工机械燃油废气</w:t>
      </w:r>
    </w:p>
    <w:p>
      <w:pPr>
        <w:adjustRightInd w:val="0"/>
        <w:snapToGrid w:val="0"/>
        <w:ind w:firstLine="480"/>
        <w:rPr>
          <w:rFonts w:cs="宋体"/>
        </w:rPr>
      </w:pPr>
      <w:r>
        <w:rPr>
          <w:rFonts w:cs="宋体"/>
        </w:rPr>
        <w:t>施工机械主要以油类为燃料，燃油机械排放尾气中有一氧化碳、氮氧化物等污染物，通过使用高品质燃料，合理控制使用时间，减少尾气排放量，不会对区域环境空气造成明显影响。</w:t>
      </w:r>
    </w:p>
    <w:p>
      <w:pPr>
        <w:pStyle w:val="190"/>
        <w:spacing w:beforeLines="0" w:afterLines="0"/>
      </w:pPr>
      <w:r>
        <w:rPr>
          <w:rFonts w:hint="eastAsia"/>
        </w:rPr>
        <w:t>3</w:t>
      </w:r>
      <w:r>
        <w:t>.</w:t>
      </w:r>
      <w:r>
        <w:rPr>
          <w:rFonts w:hint="eastAsia"/>
        </w:rPr>
        <w:t>11</w:t>
      </w:r>
      <w:r>
        <w:t>.1.</w:t>
      </w:r>
      <w:r>
        <w:rPr>
          <w:rFonts w:hint="eastAsia"/>
        </w:rPr>
        <w:t>3水污染源分析及防治措施</w:t>
      </w:r>
    </w:p>
    <w:p>
      <w:pPr>
        <w:adjustRightInd w:val="0"/>
        <w:snapToGrid w:val="0"/>
        <w:ind w:firstLine="480"/>
        <w:rPr>
          <w:rFonts w:cs="宋体"/>
        </w:rPr>
      </w:pPr>
      <w:r>
        <w:rPr>
          <w:rFonts w:cs="宋体"/>
        </w:rPr>
        <w:t>（1）生活污水</w:t>
      </w:r>
    </w:p>
    <w:p>
      <w:pPr>
        <w:adjustRightInd w:val="0"/>
        <w:snapToGrid w:val="0"/>
        <w:ind w:firstLine="480"/>
        <w:rPr>
          <w:rFonts w:cs="宋体"/>
        </w:rPr>
      </w:pPr>
      <w:r>
        <w:rPr>
          <w:rFonts w:cs="宋体"/>
        </w:rPr>
        <w:t>施工期生活污水主要</w:t>
      </w:r>
      <w:r>
        <w:rPr>
          <w:rFonts w:hint="eastAsia" w:cs="宋体"/>
        </w:rPr>
        <w:t>为</w:t>
      </w:r>
      <w:r>
        <w:rPr>
          <w:rFonts w:cs="宋体"/>
        </w:rPr>
        <w:t>施工人员生活污水。按道路施工期间施工人员为</w:t>
      </w:r>
      <w:r>
        <w:rPr>
          <w:rFonts w:hint="eastAsia" w:cs="宋体"/>
        </w:rPr>
        <w:t>200</w:t>
      </w:r>
      <w:r>
        <w:rPr>
          <w:rFonts w:cs="宋体"/>
        </w:rPr>
        <w:t>人考虑，人均生活用水量按0.08m</w:t>
      </w:r>
      <w:r>
        <w:rPr>
          <w:rFonts w:cs="宋体"/>
          <w:vertAlign w:val="superscript"/>
        </w:rPr>
        <w:t>3</w:t>
      </w:r>
      <w:r>
        <w:rPr>
          <w:rFonts w:cs="宋体"/>
        </w:rPr>
        <w:t>/d·人计，产污系数取0.8，则施工期生活污水产生量为</w:t>
      </w:r>
      <w:r>
        <w:rPr>
          <w:rFonts w:hint="eastAsia" w:cs="宋体"/>
        </w:rPr>
        <w:t>12.8</w:t>
      </w:r>
      <w:r>
        <w:rPr>
          <w:rFonts w:cs="宋体"/>
        </w:rPr>
        <w:t>m</w:t>
      </w:r>
      <w:r>
        <w:rPr>
          <w:rFonts w:cs="宋体"/>
          <w:vertAlign w:val="superscript"/>
        </w:rPr>
        <w:t>3</w:t>
      </w:r>
      <w:r>
        <w:rPr>
          <w:rFonts w:cs="宋体"/>
        </w:rPr>
        <w:t>/d</w:t>
      </w:r>
      <w:r>
        <w:rPr>
          <w:rFonts w:hint="eastAsia" w:cs="宋体"/>
        </w:rPr>
        <w:t>，房舍中均设置防渗旱厕，定期清掏用作农肥。</w:t>
      </w:r>
    </w:p>
    <w:p>
      <w:pPr>
        <w:adjustRightInd w:val="0"/>
        <w:snapToGrid w:val="0"/>
        <w:ind w:firstLine="480"/>
        <w:rPr>
          <w:rFonts w:cs="宋体"/>
        </w:rPr>
      </w:pPr>
      <w:r>
        <w:rPr>
          <w:rFonts w:cs="宋体"/>
        </w:rPr>
        <w:t>（</w:t>
      </w:r>
      <w:r>
        <w:rPr>
          <w:rFonts w:hint="eastAsia" w:cs="宋体"/>
        </w:rPr>
        <w:t>2</w:t>
      </w:r>
      <w:r>
        <w:rPr>
          <w:rFonts w:cs="宋体"/>
        </w:rPr>
        <w:t>）桥梁施工废水</w:t>
      </w:r>
    </w:p>
    <w:p>
      <w:pPr>
        <w:adjustRightInd w:val="0"/>
        <w:snapToGrid w:val="0"/>
        <w:ind w:firstLine="480"/>
        <w:rPr>
          <w:rFonts w:cs="宋体"/>
        </w:rPr>
      </w:pPr>
      <w:r>
        <w:rPr>
          <w:rFonts w:cs="宋体"/>
        </w:rPr>
        <w:t>跨河桥梁施工工序为基坑开挖</w:t>
      </w:r>
      <w:r>
        <w:rPr>
          <w:szCs w:val="24"/>
        </w:rPr>
        <w:t>→</w:t>
      </w:r>
      <w:r>
        <w:rPr>
          <w:rFonts w:cs="宋体"/>
        </w:rPr>
        <w:t>基础施工</w:t>
      </w:r>
      <w:r>
        <w:rPr>
          <w:szCs w:val="24"/>
        </w:rPr>
        <w:t>→</w:t>
      </w:r>
      <w:r>
        <w:rPr>
          <w:rFonts w:cs="宋体"/>
        </w:rPr>
        <w:t>墩台施工</w:t>
      </w:r>
      <w:r>
        <w:rPr>
          <w:szCs w:val="24"/>
        </w:rPr>
        <w:t>→</w:t>
      </w:r>
      <w:r>
        <w:rPr>
          <w:rFonts w:cs="宋体"/>
        </w:rPr>
        <w:t>上部结构施工</w:t>
      </w:r>
      <w:r>
        <w:rPr>
          <w:szCs w:val="24"/>
        </w:rPr>
        <w:t>→</w:t>
      </w:r>
      <w:r>
        <w:rPr>
          <w:rFonts w:cs="宋体"/>
        </w:rPr>
        <w:t>桥面构造施工，对河流水质产生影响的主要环节是下部的水中墩台基础部分施工，包括围堰工程、基坑开挖、基坑排水和水中基础施工。表现为工程施工扰动河床，使少量底泥发生悬浮，悬浮的底泥物质随水流扩散等因素的作用下，在一定范围内将导致水质泥沙含量增大，水体混浊度相应增加。另一方面，基坑排水和桩基础施工还会产生大量含泥沙的高浊度泥浆水。工程设计水中</w:t>
      </w:r>
      <w:r>
        <w:rPr>
          <w:rFonts w:hint="eastAsia" w:cs="宋体"/>
        </w:rPr>
        <w:t>桥</w:t>
      </w:r>
      <w:r>
        <w:rPr>
          <w:rFonts w:cs="宋体"/>
        </w:rPr>
        <w:t>墩施工采用钢围堰，可有效阻隔围堰内外水体的交换，减少施工废水泥沙量。为减少桥梁挖基弃碴滑入水中对水体产生影响，</w:t>
      </w:r>
      <w:r>
        <w:rPr>
          <w:rFonts w:hint="eastAsia" w:cs="宋体"/>
        </w:rPr>
        <w:t>建议在桥梁周边陆地区建设沉淀池将泥浆水进行沉淀处理，上清液用于施工用水，沉泥回用于施工过程</w:t>
      </w:r>
      <w:r>
        <w:rPr>
          <w:rFonts w:cs="宋体"/>
        </w:rPr>
        <w:t>，以减轻对水体的影响。桥梁施工期对水环境有一定影响，随着道路工程施工的结束，影响将随之消失。</w:t>
      </w:r>
    </w:p>
    <w:p>
      <w:pPr>
        <w:pStyle w:val="190"/>
        <w:spacing w:beforeLines="0" w:afterLines="0"/>
      </w:pPr>
      <w:r>
        <w:rPr>
          <w:rFonts w:hint="eastAsia"/>
        </w:rPr>
        <w:t>3</w:t>
      </w:r>
      <w:r>
        <w:t>.</w:t>
      </w:r>
      <w:r>
        <w:rPr>
          <w:rFonts w:hint="eastAsia"/>
        </w:rPr>
        <w:t>11</w:t>
      </w:r>
      <w:r>
        <w:t>.1.</w:t>
      </w:r>
      <w:r>
        <w:rPr>
          <w:rFonts w:hint="eastAsia"/>
        </w:rPr>
        <w:t>4固体废物</w:t>
      </w:r>
    </w:p>
    <w:p>
      <w:pPr>
        <w:adjustRightInd w:val="0"/>
        <w:snapToGrid w:val="0"/>
        <w:ind w:firstLine="480"/>
        <w:rPr>
          <w:rFonts w:cs="宋体"/>
          <w:highlight w:val="yellow"/>
        </w:rPr>
      </w:pPr>
      <w:r>
        <w:rPr>
          <w:rFonts w:cs="宋体"/>
        </w:rPr>
        <w:t>施工期固体废物主要包括拆迁房屋产生的建筑垃圾，桥梁基础钻孔灌注桩产生的钻渣</w:t>
      </w:r>
      <w:r>
        <w:rPr>
          <w:rFonts w:hint="eastAsia" w:cs="宋体"/>
        </w:rPr>
        <w:t>、开挖产生土方、沉淀池沉淀泥浆</w:t>
      </w:r>
      <w:r>
        <w:rPr>
          <w:rFonts w:cs="宋体"/>
        </w:rPr>
        <w:t>以及</w:t>
      </w:r>
      <w:r>
        <w:rPr>
          <w:rFonts w:hint="eastAsia" w:cs="宋体"/>
        </w:rPr>
        <w:t>施工人员日常生活</w:t>
      </w:r>
      <w:r>
        <w:rPr>
          <w:rFonts w:cs="宋体"/>
        </w:rPr>
        <w:t>产生的生活垃圾。</w:t>
      </w:r>
      <w:r>
        <w:rPr>
          <w:rFonts w:hint="eastAsia" w:cs="宋体"/>
        </w:rPr>
        <w:t>本项目拆除工程产生</w:t>
      </w:r>
      <w:r>
        <w:rPr>
          <w:rFonts w:cs="宋体"/>
        </w:rPr>
        <w:t>建筑垃圾</w:t>
      </w:r>
      <w:r>
        <w:rPr>
          <w:rFonts w:hint="eastAsia" w:cs="宋体"/>
        </w:rPr>
        <w:t>，产生量约3</w:t>
      </w:r>
      <w:r>
        <w:rPr>
          <w:rFonts w:cs="宋体"/>
        </w:rPr>
        <w:t>95</w:t>
      </w:r>
      <w:r>
        <w:rPr>
          <w:rFonts w:hint="eastAsia" w:cs="宋体"/>
        </w:rPr>
        <w:t>t，</w:t>
      </w:r>
      <w:r>
        <w:rPr>
          <w:rFonts w:cs="宋体"/>
        </w:rPr>
        <w:t>全部运往当地城建部门指定地点统一处理。</w:t>
      </w:r>
      <w:r>
        <w:rPr>
          <w:rFonts w:hint="eastAsia" w:cs="宋体"/>
        </w:rPr>
        <w:t>本项目开挖产生土方</w:t>
      </w:r>
      <w:r>
        <w:rPr>
          <w:rFonts w:hint="eastAsia"/>
        </w:rPr>
        <w:t>44172m</w:t>
      </w:r>
      <w:r>
        <w:rPr>
          <w:rFonts w:hint="eastAsia"/>
          <w:vertAlign w:val="superscript"/>
        </w:rPr>
        <w:t>3</w:t>
      </w:r>
      <w:r>
        <w:rPr>
          <w:rFonts w:hint="eastAsia"/>
        </w:rPr>
        <w:t>（折合6</w:t>
      </w:r>
      <w:r>
        <w:t>6258</w:t>
      </w:r>
      <w:r>
        <w:rPr>
          <w:rFonts w:hint="eastAsia"/>
        </w:rPr>
        <w:t>t）</w:t>
      </w:r>
      <w:r>
        <w:rPr>
          <w:rFonts w:hint="eastAsia" w:cs="宋体"/>
        </w:rPr>
        <w:t>，作为道路的基础填方及绿化用土，其中</w:t>
      </w:r>
      <w:r>
        <w:rPr>
          <w:rFonts w:cs="宋体"/>
        </w:rPr>
        <w:t>挖方</w:t>
      </w:r>
      <w:r>
        <w:rPr>
          <w:rFonts w:hint="eastAsia" w:cs="宋体"/>
        </w:rPr>
        <w:t>的</w:t>
      </w:r>
      <w:r>
        <w:rPr>
          <w:rFonts w:cs="宋体"/>
        </w:rPr>
        <w:t>表层熟土</w:t>
      </w:r>
      <w:r>
        <w:rPr>
          <w:rFonts w:hint="eastAsia" w:cs="宋体"/>
        </w:rPr>
        <w:t>1</w:t>
      </w:r>
      <w:r>
        <w:rPr>
          <w:rFonts w:cs="宋体"/>
        </w:rPr>
        <w:t>6400</w:t>
      </w:r>
      <w:r>
        <w:rPr>
          <w:rFonts w:hint="eastAsia" w:cs="宋体"/>
        </w:rPr>
        <w:t>m</w:t>
      </w:r>
      <w:r>
        <w:rPr>
          <w:rFonts w:hint="eastAsia" w:cs="宋体"/>
          <w:vertAlign w:val="superscript"/>
        </w:rPr>
        <w:t>3</w:t>
      </w:r>
      <w:r>
        <w:rPr>
          <w:rFonts w:hint="eastAsia" w:cs="宋体"/>
        </w:rPr>
        <w:t>（</w:t>
      </w:r>
      <w:r>
        <w:rPr>
          <w:rFonts w:hint="eastAsia"/>
        </w:rPr>
        <w:t>折合</w:t>
      </w:r>
      <w:r>
        <w:t>24600</w:t>
      </w:r>
      <w:r>
        <w:rPr>
          <w:rFonts w:hint="eastAsia"/>
        </w:rPr>
        <w:t>t）</w:t>
      </w:r>
      <w:r>
        <w:rPr>
          <w:rFonts w:cs="宋体"/>
        </w:rPr>
        <w:t>，</w:t>
      </w:r>
      <w:r>
        <w:rPr>
          <w:rFonts w:hint="eastAsia" w:cs="宋体"/>
        </w:rPr>
        <w:t>可以作为</w:t>
      </w:r>
      <w:r>
        <w:rPr>
          <w:rFonts w:cs="宋体"/>
        </w:rPr>
        <w:t>道路边坡、绿化带等绿化覆土利用</w:t>
      </w:r>
      <w:r>
        <w:rPr>
          <w:rFonts w:hint="eastAsia" w:cs="宋体"/>
        </w:rPr>
        <w:t>，剩余2</w:t>
      </w:r>
      <w:r>
        <w:rPr>
          <w:rFonts w:cs="宋体"/>
        </w:rPr>
        <w:t>7772</w:t>
      </w:r>
      <w:r>
        <w:rPr>
          <w:rFonts w:hint="eastAsia"/>
        </w:rPr>
        <w:t>m</w:t>
      </w:r>
      <w:r>
        <w:rPr>
          <w:rFonts w:hint="eastAsia"/>
          <w:vertAlign w:val="superscript"/>
        </w:rPr>
        <w:t>3</w:t>
      </w:r>
      <w:r>
        <w:rPr>
          <w:rFonts w:hint="eastAsia"/>
        </w:rPr>
        <w:t>（折合</w:t>
      </w:r>
      <w:r>
        <w:t>41658</w:t>
      </w:r>
      <w:r>
        <w:rPr>
          <w:rFonts w:hint="eastAsia"/>
        </w:rPr>
        <w:t>t），</w:t>
      </w:r>
      <w:r>
        <w:rPr>
          <w:rFonts w:hint="eastAsia" w:cs="宋体"/>
        </w:rPr>
        <w:t>用于路基垫土；</w:t>
      </w:r>
      <w:r>
        <w:rPr>
          <w:rFonts w:cs="宋体"/>
        </w:rPr>
        <w:t>桥梁基础钻孔灌注桩产生的钻渣</w:t>
      </w:r>
      <w:r>
        <w:rPr>
          <w:rFonts w:hint="eastAsia" w:cs="宋体"/>
        </w:rPr>
        <w:t>（约2</w:t>
      </w:r>
      <w:r>
        <w:rPr>
          <w:rFonts w:cs="宋体"/>
        </w:rPr>
        <w:t>85</w:t>
      </w:r>
      <w:r>
        <w:rPr>
          <w:rFonts w:hint="eastAsia" w:cs="宋体"/>
        </w:rPr>
        <w:t>t）及沉淀池沉淀泥浆（约1</w:t>
      </w:r>
      <w:r>
        <w:rPr>
          <w:rFonts w:cs="宋体"/>
        </w:rPr>
        <w:t>00</w:t>
      </w:r>
      <w:r>
        <w:rPr>
          <w:rFonts w:hint="eastAsia" w:cs="宋体"/>
        </w:rPr>
        <w:t>t）</w:t>
      </w:r>
      <w:r>
        <w:rPr>
          <w:rFonts w:cs="宋体"/>
        </w:rPr>
        <w:t>作为路基底层填料利用。施工人员产生的生活垃圾，</w:t>
      </w:r>
      <w:r>
        <w:rPr>
          <w:rFonts w:hint="eastAsia" w:cs="宋体"/>
        </w:rPr>
        <w:t>产生量为</w:t>
      </w:r>
      <w:r>
        <w:rPr>
          <w:rFonts w:cs="宋体"/>
        </w:rPr>
        <w:t>36.5</w:t>
      </w:r>
      <w:r>
        <w:rPr>
          <w:rFonts w:hint="eastAsia" w:cs="宋体"/>
        </w:rPr>
        <w:t>t/a，</w:t>
      </w:r>
      <w:r>
        <w:rPr>
          <w:rFonts w:cs="宋体"/>
        </w:rPr>
        <w:t>集中收集后定期</w:t>
      </w:r>
      <w:r>
        <w:rPr>
          <w:rFonts w:hint="eastAsia" w:cs="宋体"/>
        </w:rPr>
        <w:t>由环卫部门处理。</w:t>
      </w:r>
    </w:p>
    <w:p>
      <w:pPr>
        <w:pStyle w:val="190"/>
        <w:spacing w:beforeLines="0" w:afterLines="0"/>
      </w:pPr>
      <w:r>
        <w:rPr>
          <w:rFonts w:hint="eastAsia"/>
        </w:rPr>
        <w:t>3</w:t>
      </w:r>
      <w:r>
        <w:t>.</w:t>
      </w:r>
      <w:r>
        <w:rPr>
          <w:rFonts w:hint="eastAsia"/>
        </w:rPr>
        <w:t>11</w:t>
      </w:r>
      <w:r>
        <w:t>.1.</w:t>
      </w:r>
      <w:r>
        <w:rPr>
          <w:rFonts w:hint="eastAsia"/>
        </w:rPr>
        <w:t>5施工对生态环境的影响</w:t>
      </w:r>
    </w:p>
    <w:p>
      <w:pPr>
        <w:adjustRightInd w:val="0"/>
        <w:snapToGrid w:val="0"/>
        <w:ind w:firstLine="480"/>
        <w:rPr>
          <w:rFonts w:cs="宋体"/>
        </w:rPr>
      </w:pPr>
      <w:r>
        <w:rPr>
          <w:rFonts w:cs="宋体"/>
        </w:rPr>
        <w:t>（1）施工期间的填挖土石方使沿线的植被遭到破坏，</w:t>
      </w:r>
      <w:r>
        <w:rPr>
          <w:rFonts w:hint="eastAsia" w:cs="宋体"/>
        </w:rPr>
        <w:t>农用地</w:t>
      </w:r>
      <w:r>
        <w:rPr>
          <w:rFonts w:cs="宋体"/>
        </w:rPr>
        <w:t>被侵占，地表裸露，从而使沿线地区的局部生态系统结构发生一定的变化，工程裸露表面被雨水冲刷后将造成水土流失，影响陆生生态</w:t>
      </w:r>
      <w:r>
        <w:rPr>
          <w:rFonts w:hint="eastAsia" w:cs="宋体"/>
        </w:rPr>
        <w:t>环境</w:t>
      </w:r>
      <w:r>
        <w:rPr>
          <w:rFonts w:cs="宋体"/>
        </w:rPr>
        <w:t>。</w:t>
      </w:r>
    </w:p>
    <w:p>
      <w:pPr>
        <w:adjustRightInd w:val="0"/>
        <w:snapToGrid w:val="0"/>
        <w:ind w:firstLine="480"/>
        <w:rPr>
          <w:rFonts w:cs="宋体"/>
        </w:rPr>
      </w:pPr>
      <w:r>
        <w:rPr>
          <w:rFonts w:cs="宋体"/>
        </w:rPr>
        <w:t>（</w:t>
      </w:r>
      <w:r>
        <w:rPr>
          <w:rFonts w:hint="eastAsia" w:cs="宋体"/>
        </w:rPr>
        <w:t>2</w:t>
      </w:r>
      <w:r>
        <w:rPr>
          <w:rFonts w:cs="宋体"/>
        </w:rPr>
        <w:t>）工程占地减少了当地的耕地绝对量，进而降低土壤肥力，影响农业生产。对野生动物栖息地及其它自然植被也存在一定不利影响。</w:t>
      </w:r>
    </w:p>
    <w:p>
      <w:pPr>
        <w:adjustRightInd w:val="0"/>
        <w:snapToGrid w:val="0"/>
        <w:ind w:firstLine="480"/>
        <w:rPr>
          <w:rFonts w:cs="宋体"/>
        </w:rPr>
      </w:pPr>
      <w:r>
        <w:rPr>
          <w:rFonts w:cs="宋体"/>
        </w:rPr>
        <w:t>（</w:t>
      </w:r>
      <w:r>
        <w:rPr>
          <w:rFonts w:hint="eastAsia" w:cs="宋体"/>
        </w:rPr>
        <w:t>3</w:t>
      </w:r>
      <w:r>
        <w:rPr>
          <w:rFonts w:cs="宋体"/>
        </w:rPr>
        <w:t>）桥涵工程的开挖、围堰、填筑等扰动局部地表，会影响施工范围内或下游水域水生生物及其生境。</w:t>
      </w:r>
    </w:p>
    <w:p>
      <w:pPr>
        <w:adjustRightInd w:val="0"/>
        <w:snapToGrid w:val="0"/>
        <w:ind w:firstLine="480"/>
        <w:rPr>
          <w:rFonts w:cs="宋体"/>
        </w:rPr>
      </w:pPr>
      <w:r>
        <w:rPr>
          <w:rFonts w:cs="宋体"/>
        </w:rPr>
        <w:t>（</w:t>
      </w:r>
      <w:r>
        <w:rPr>
          <w:rFonts w:hint="eastAsia" w:cs="宋体"/>
        </w:rPr>
        <w:t>4</w:t>
      </w:r>
      <w:r>
        <w:rPr>
          <w:rFonts w:cs="宋体"/>
        </w:rPr>
        <w:t>）本项目新建</w:t>
      </w:r>
      <w:r>
        <w:rPr>
          <w:rFonts w:hint="eastAsia" w:cs="宋体"/>
        </w:rPr>
        <w:t>部分路段和桥梁，因</w:t>
      </w:r>
      <w:r>
        <w:rPr>
          <w:rFonts w:cs="宋体"/>
        </w:rPr>
        <w:t>施工所带来的土地利用结构变化、土壤与植被的破坏、水生动物影响，将对</w:t>
      </w:r>
      <w:r>
        <w:rPr>
          <w:rFonts w:hint="eastAsia" w:ascii="Arial" w:hAnsi="Arial" w:cs="Arial"/>
        </w:rPr>
        <w:t>清水河、沙河、黎河</w:t>
      </w:r>
      <w:r>
        <w:rPr>
          <w:rFonts w:hint="eastAsia" w:cs="宋体"/>
        </w:rPr>
        <w:t>水生生态造成</w:t>
      </w:r>
      <w:r>
        <w:rPr>
          <w:rFonts w:cs="宋体"/>
        </w:rPr>
        <w:t>不可避免的扰动，因此工程建设会对</w:t>
      </w:r>
      <w:r>
        <w:rPr>
          <w:rFonts w:hint="eastAsia" w:cs="宋体"/>
        </w:rPr>
        <w:t>建设区域</w:t>
      </w:r>
      <w:r>
        <w:rPr>
          <w:rFonts w:cs="宋体"/>
        </w:rPr>
        <w:t>生态系统结构产生一定的负面影响。</w:t>
      </w:r>
    </w:p>
    <w:p>
      <w:pPr>
        <w:pStyle w:val="204"/>
        <w:spacing w:line="480" w:lineRule="exact"/>
        <w:ind w:firstLine="0" w:firstLineChars="0"/>
        <w:outlineLvl w:val="2"/>
        <w:rPr>
          <w:b/>
          <w:sz w:val="28"/>
          <w:szCs w:val="28"/>
        </w:rPr>
      </w:pPr>
      <w:r>
        <w:rPr>
          <w:b/>
          <w:sz w:val="28"/>
          <w:szCs w:val="28"/>
        </w:rPr>
        <w:t>3.</w:t>
      </w:r>
      <w:r>
        <w:rPr>
          <w:rFonts w:hint="eastAsia"/>
          <w:b/>
          <w:sz w:val="28"/>
          <w:szCs w:val="28"/>
        </w:rPr>
        <w:t>11</w:t>
      </w:r>
      <w:r>
        <w:rPr>
          <w:b/>
          <w:sz w:val="28"/>
          <w:szCs w:val="28"/>
        </w:rPr>
        <w:t>.</w:t>
      </w:r>
      <w:r>
        <w:rPr>
          <w:rFonts w:hint="eastAsia"/>
          <w:b/>
          <w:sz w:val="28"/>
          <w:szCs w:val="28"/>
        </w:rPr>
        <w:t>2</w:t>
      </w:r>
      <w:r>
        <w:rPr>
          <w:rFonts w:ascii="宋体" w:hAnsi="宋体"/>
          <w:b/>
          <w:bCs/>
          <w:sz w:val="28"/>
          <w:szCs w:val="28"/>
        </w:rPr>
        <w:t>营运期污染源及防治措施分析</w:t>
      </w:r>
    </w:p>
    <w:p>
      <w:pPr>
        <w:pStyle w:val="190"/>
        <w:spacing w:beforeLines="0" w:afterLines="0"/>
      </w:pPr>
      <w:r>
        <w:rPr>
          <w:rFonts w:hint="eastAsia"/>
        </w:rPr>
        <w:t>3</w:t>
      </w:r>
      <w:r>
        <w:t>.</w:t>
      </w:r>
      <w:r>
        <w:rPr>
          <w:rFonts w:hint="eastAsia"/>
        </w:rPr>
        <w:t>11</w:t>
      </w:r>
      <w:r>
        <w:t>.</w:t>
      </w:r>
      <w:r>
        <w:rPr>
          <w:rFonts w:hint="eastAsia"/>
        </w:rPr>
        <w:t>2</w:t>
      </w:r>
      <w:r>
        <w:t>.</w:t>
      </w:r>
      <w:r>
        <w:rPr>
          <w:rFonts w:hint="eastAsia"/>
        </w:rPr>
        <w:t>1交通噪声源分析及防治措施</w:t>
      </w:r>
    </w:p>
    <w:p>
      <w:pPr>
        <w:adjustRightInd w:val="0"/>
        <w:snapToGrid w:val="0"/>
        <w:ind w:firstLine="480"/>
        <w:rPr>
          <w:rFonts w:cs="宋体"/>
        </w:rPr>
      </w:pPr>
      <w:r>
        <w:rPr>
          <w:rFonts w:hint="eastAsia" w:cs="宋体"/>
        </w:rPr>
        <w:t>本项目</w:t>
      </w:r>
      <w:r>
        <w:rPr>
          <w:rFonts w:cs="宋体"/>
        </w:rPr>
        <w:t>主要噪声源：公路投入营运后，在公路上行驶的机动车辆的噪声源为非稳态源，车辆行驶时其发动机、冷却系统以及传动系统等部件均会产生噪声；行驶中引起的气流湍动、排气系统、轮胎与路面的摩擦等也会产生噪声；由于公路路面平整度等原因而使行驶中的汽车产生整车噪声</w:t>
      </w:r>
      <w:r>
        <w:rPr>
          <w:rFonts w:hint="eastAsia" w:cs="宋体"/>
        </w:rPr>
        <w:t>。</w:t>
      </w:r>
    </w:p>
    <w:p>
      <w:pPr>
        <w:adjustRightInd w:val="0"/>
        <w:snapToGrid w:val="0"/>
        <w:ind w:firstLine="480"/>
        <w:rPr>
          <w:rFonts w:cs="宋体"/>
        </w:rPr>
      </w:pPr>
      <w:r>
        <w:rPr>
          <w:rFonts w:hint="eastAsia" w:ascii="宋体" w:hAnsi="宋体" w:cs="宋体"/>
          <w:lang w:eastAsia="ja-JP"/>
        </w:rPr>
        <w:t>①</w:t>
      </w:r>
      <w:r>
        <w:rPr>
          <w:rFonts w:cs="宋体"/>
        </w:rPr>
        <w:t>车型转换及昼夜比</w:t>
      </w:r>
    </w:p>
    <w:p>
      <w:pPr>
        <w:adjustRightInd w:val="0"/>
        <w:snapToGrid w:val="0"/>
        <w:ind w:firstLine="480"/>
        <w:rPr>
          <w:rFonts w:cs="宋体"/>
        </w:rPr>
      </w:pPr>
      <w:r>
        <w:rPr>
          <w:rFonts w:cs="宋体"/>
        </w:rPr>
        <w:t>根据项目工可，确定该项目昼间交通量占日交通量的85%，夜间交通量占日交通量的15%，昼间</w:t>
      </w:r>
      <w:r>
        <w:rPr>
          <w:rFonts w:hint="eastAsia" w:cs="宋体"/>
        </w:rPr>
        <w:t>为</w:t>
      </w:r>
      <w:r>
        <w:rPr>
          <w:rFonts w:cs="宋体"/>
        </w:rPr>
        <w:t>6:00~22:00共16小时，夜间8个小时。车型转换比例为：一辆特大型车折合4辆小客车</w:t>
      </w:r>
      <w:r>
        <w:rPr>
          <w:rFonts w:hint="eastAsia" w:cs="宋体"/>
        </w:rPr>
        <w:t>，</w:t>
      </w:r>
      <w:r>
        <w:rPr>
          <w:rFonts w:cs="宋体"/>
        </w:rPr>
        <w:t>一辆大货折合3辆小客车，一辆中货、大客折合1.5辆小客车，小货等同小客。</w:t>
      </w:r>
    </w:p>
    <w:p>
      <w:pPr>
        <w:adjustRightInd w:val="0"/>
        <w:snapToGrid w:val="0"/>
        <w:ind w:firstLine="480"/>
        <w:rPr>
          <w:rFonts w:cs="宋体"/>
        </w:rPr>
      </w:pPr>
      <w:r>
        <w:rPr>
          <w:rFonts w:hint="eastAsia" w:ascii="宋体" w:hAnsi="宋体" w:cs="宋体"/>
        </w:rPr>
        <w:t>②</w:t>
      </w:r>
      <w:r>
        <w:rPr>
          <w:rFonts w:cs="宋体"/>
        </w:rPr>
        <w:t>车流量经计算</w:t>
      </w:r>
    </w:p>
    <w:p>
      <w:pPr>
        <w:adjustRightInd w:val="0"/>
        <w:snapToGrid w:val="0"/>
        <w:ind w:firstLine="480"/>
        <w:rPr>
          <w:rFonts w:cs="宋体"/>
          <w:spacing w:val="-6"/>
        </w:rPr>
      </w:pPr>
      <w:r>
        <w:rPr>
          <w:rFonts w:cs="宋体"/>
        </w:rPr>
        <w:t>拟建项目各特征年大型（包括特大型车、大货）、中型（中货、大</w:t>
      </w:r>
      <w:r>
        <w:rPr>
          <w:rFonts w:cs="宋体"/>
          <w:spacing w:val="-6"/>
        </w:rPr>
        <w:t>客）、小型车（小客、小货）的小时车流量见下表。</w:t>
      </w:r>
    </w:p>
    <w:p>
      <w:pPr>
        <w:adjustRightInd w:val="0"/>
        <w:snapToGrid w:val="0"/>
        <w:ind w:firstLine="0" w:firstLineChars="0"/>
        <w:jc w:val="center"/>
        <w:rPr>
          <w:b/>
          <w:sz w:val="21"/>
        </w:rPr>
      </w:pPr>
      <w:r>
        <w:rPr>
          <w:b/>
          <w:sz w:val="21"/>
        </w:rPr>
        <w:t>表</w:t>
      </w:r>
      <w:r>
        <w:rPr>
          <w:rFonts w:hint="eastAsia"/>
          <w:b/>
          <w:sz w:val="21"/>
        </w:rPr>
        <w:t xml:space="preserve">3.11-2 </w:t>
      </w:r>
      <w:r>
        <w:rPr>
          <w:b/>
          <w:sz w:val="21"/>
        </w:rPr>
        <w:t>预测年各车型小时车流量</w:t>
      </w:r>
      <w:r>
        <w:rPr>
          <w:b/>
          <w:sz w:val="21"/>
        </w:rPr>
        <w:tab/>
      </w:r>
      <w:r>
        <w:rPr>
          <w:b/>
          <w:sz w:val="21"/>
        </w:rPr>
        <w:t>单位：辆/h</w:t>
      </w:r>
    </w:p>
    <w:tbl>
      <w:tblPr>
        <w:tblStyle w:val="5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4"/>
        <w:gridCol w:w="1315"/>
        <w:gridCol w:w="1324"/>
        <w:gridCol w:w="1315"/>
        <w:gridCol w:w="1149"/>
        <w:gridCol w:w="1142"/>
        <w:gridCol w:w="1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Merge w:val="restart"/>
            <w:vAlign w:val="center"/>
          </w:tcPr>
          <w:p>
            <w:pPr>
              <w:spacing w:line="240" w:lineRule="auto"/>
              <w:ind w:firstLine="0" w:firstLineChars="0"/>
              <w:jc w:val="center"/>
              <w:rPr>
                <w:sz w:val="21"/>
              </w:rPr>
            </w:pPr>
            <w:r>
              <w:rPr>
                <w:rFonts w:hint="eastAsia"/>
                <w:sz w:val="21"/>
              </w:rPr>
              <w:t>车型</w:t>
            </w:r>
          </w:p>
        </w:tc>
        <w:tc>
          <w:tcPr>
            <w:tcW w:w="1431" w:type="pct"/>
            <w:gridSpan w:val="2"/>
            <w:vAlign w:val="center"/>
          </w:tcPr>
          <w:p>
            <w:pPr>
              <w:spacing w:line="240" w:lineRule="auto"/>
              <w:ind w:firstLine="0" w:firstLineChars="0"/>
              <w:jc w:val="center"/>
              <w:rPr>
                <w:sz w:val="21"/>
              </w:rPr>
            </w:pPr>
            <w:r>
              <w:rPr>
                <w:rFonts w:hint="eastAsia"/>
                <w:sz w:val="21"/>
              </w:rPr>
              <w:t>近期</w:t>
            </w:r>
          </w:p>
        </w:tc>
        <w:tc>
          <w:tcPr>
            <w:tcW w:w="1336" w:type="pct"/>
            <w:gridSpan w:val="2"/>
            <w:vAlign w:val="center"/>
          </w:tcPr>
          <w:p>
            <w:pPr>
              <w:spacing w:line="240" w:lineRule="auto"/>
              <w:ind w:firstLine="0" w:firstLineChars="0"/>
              <w:jc w:val="center"/>
              <w:rPr>
                <w:sz w:val="21"/>
              </w:rPr>
            </w:pPr>
            <w:r>
              <w:rPr>
                <w:rFonts w:hint="eastAsia"/>
                <w:sz w:val="21"/>
              </w:rPr>
              <w:t>中期</w:t>
            </w:r>
          </w:p>
        </w:tc>
        <w:tc>
          <w:tcPr>
            <w:tcW w:w="1244" w:type="pct"/>
            <w:gridSpan w:val="2"/>
            <w:vAlign w:val="center"/>
          </w:tcPr>
          <w:p>
            <w:pPr>
              <w:spacing w:line="240" w:lineRule="auto"/>
              <w:ind w:firstLine="0" w:firstLineChars="0"/>
              <w:jc w:val="center"/>
              <w:rPr>
                <w:sz w:val="21"/>
              </w:rPr>
            </w:pPr>
            <w:r>
              <w:rPr>
                <w:rFonts w:hint="eastAsia"/>
                <w:sz w:val="21"/>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Merge w:val="continue"/>
            <w:vAlign w:val="center"/>
          </w:tcPr>
          <w:p>
            <w:pPr>
              <w:spacing w:line="240" w:lineRule="auto"/>
              <w:ind w:firstLine="0" w:firstLineChars="0"/>
              <w:jc w:val="center"/>
              <w:rPr>
                <w:sz w:val="21"/>
              </w:rPr>
            </w:pPr>
          </w:p>
        </w:tc>
        <w:tc>
          <w:tcPr>
            <w:tcW w:w="713" w:type="pct"/>
            <w:vAlign w:val="center"/>
          </w:tcPr>
          <w:p>
            <w:pPr>
              <w:spacing w:line="240" w:lineRule="auto"/>
              <w:ind w:firstLine="0" w:firstLineChars="0"/>
              <w:jc w:val="center"/>
              <w:rPr>
                <w:sz w:val="21"/>
              </w:rPr>
            </w:pPr>
            <w:r>
              <w:rPr>
                <w:rFonts w:hint="eastAsia"/>
                <w:sz w:val="21"/>
              </w:rPr>
              <w:t>昼间</w:t>
            </w:r>
          </w:p>
        </w:tc>
        <w:tc>
          <w:tcPr>
            <w:tcW w:w="718" w:type="pct"/>
            <w:vAlign w:val="center"/>
          </w:tcPr>
          <w:p>
            <w:pPr>
              <w:spacing w:line="240" w:lineRule="auto"/>
              <w:ind w:firstLine="0" w:firstLineChars="0"/>
              <w:jc w:val="center"/>
              <w:rPr>
                <w:sz w:val="21"/>
              </w:rPr>
            </w:pPr>
            <w:r>
              <w:rPr>
                <w:rFonts w:hint="eastAsia"/>
                <w:sz w:val="21"/>
              </w:rPr>
              <w:t>夜间</w:t>
            </w:r>
          </w:p>
        </w:tc>
        <w:tc>
          <w:tcPr>
            <w:tcW w:w="713" w:type="pct"/>
            <w:vAlign w:val="center"/>
          </w:tcPr>
          <w:p>
            <w:pPr>
              <w:spacing w:line="240" w:lineRule="auto"/>
              <w:ind w:firstLine="0" w:firstLineChars="0"/>
              <w:jc w:val="center"/>
              <w:rPr>
                <w:sz w:val="21"/>
              </w:rPr>
            </w:pPr>
            <w:r>
              <w:rPr>
                <w:rFonts w:hint="eastAsia"/>
                <w:sz w:val="21"/>
              </w:rPr>
              <w:t>昼间</w:t>
            </w:r>
          </w:p>
        </w:tc>
        <w:tc>
          <w:tcPr>
            <w:tcW w:w="623" w:type="pct"/>
            <w:vAlign w:val="center"/>
          </w:tcPr>
          <w:p>
            <w:pPr>
              <w:spacing w:line="240" w:lineRule="auto"/>
              <w:ind w:firstLine="0" w:firstLineChars="0"/>
              <w:jc w:val="center"/>
              <w:rPr>
                <w:sz w:val="21"/>
              </w:rPr>
            </w:pPr>
            <w:r>
              <w:rPr>
                <w:rFonts w:hint="eastAsia"/>
                <w:sz w:val="21"/>
              </w:rPr>
              <w:t>夜间</w:t>
            </w:r>
          </w:p>
        </w:tc>
        <w:tc>
          <w:tcPr>
            <w:tcW w:w="619" w:type="pct"/>
            <w:vAlign w:val="center"/>
          </w:tcPr>
          <w:p>
            <w:pPr>
              <w:spacing w:line="240" w:lineRule="auto"/>
              <w:ind w:firstLine="0" w:firstLineChars="0"/>
              <w:jc w:val="center"/>
              <w:rPr>
                <w:sz w:val="21"/>
              </w:rPr>
            </w:pPr>
            <w:r>
              <w:rPr>
                <w:rFonts w:hint="eastAsia"/>
                <w:sz w:val="21"/>
              </w:rPr>
              <w:t>昼间</w:t>
            </w:r>
          </w:p>
        </w:tc>
        <w:tc>
          <w:tcPr>
            <w:tcW w:w="625" w:type="pct"/>
            <w:vAlign w:val="center"/>
          </w:tcPr>
          <w:p>
            <w:pPr>
              <w:spacing w:line="240" w:lineRule="auto"/>
              <w:ind w:firstLine="0" w:firstLineChars="0"/>
              <w:jc w:val="center"/>
              <w:rPr>
                <w:sz w:val="21"/>
              </w:rPr>
            </w:pPr>
            <w:r>
              <w:rPr>
                <w:rFonts w:hint="eastAsia"/>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小型车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161</w:t>
            </w:r>
          </w:p>
        </w:tc>
        <w:tc>
          <w:tcPr>
            <w:tcW w:w="718" w:type="pct"/>
            <w:vAlign w:val="center"/>
          </w:tcPr>
          <w:p>
            <w:pPr>
              <w:spacing w:line="240" w:lineRule="auto"/>
              <w:ind w:firstLine="0" w:firstLineChars="0"/>
              <w:jc w:val="center"/>
              <w:rPr>
                <w:rFonts w:ascii="宋体" w:hAnsi="宋体" w:cs="宋体"/>
                <w:sz w:val="21"/>
              </w:rPr>
            </w:pPr>
            <w:r>
              <w:rPr>
                <w:rFonts w:hint="eastAsia"/>
                <w:sz w:val="21"/>
              </w:rPr>
              <w:t>57</w:t>
            </w:r>
          </w:p>
        </w:tc>
        <w:tc>
          <w:tcPr>
            <w:tcW w:w="713" w:type="pct"/>
            <w:vAlign w:val="center"/>
          </w:tcPr>
          <w:p>
            <w:pPr>
              <w:spacing w:line="240" w:lineRule="auto"/>
              <w:ind w:firstLine="0" w:firstLineChars="0"/>
              <w:jc w:val="center"/>
              <w:rPr>
                <w:rFonts w:ascii="宋体" w:hAnsi="宋体" w:cs="宋体"/>
                <w:sz w:val="21"/>
              </w:rPr>
            </w:pPr>
            <w:r>
              <w:rPr>
                <w:rFonts w:hint="eastAsia"/>
                <w:sz w:val="21"/>
              </w:rPr>
              <w:t>188</w:t>
            </w:r>
          </w:p>
        </w:tc>
        <w:tc>
          <w:tcPr>
            <w:tcW w:w="623" w:type="pct"/>
            <w:vAlign w:val="center"/>
          </w:tcPr>
          <w:p>
            <w:pPr>
              <w:spacing w:line="240" w:lineRule="auto"/>
              <w:ind w:firstLine="0" w:firstLineChars="0"/>
              <w:jc w:val="center"/>
              <w:rPr>
                <w:rFonts w:ascii="宋体" w:hAnsi="宋体" w:cs="宋体"/>
                <w:sz w:val="21"/>
              </w:rPr>
            </w:pPr>
            <w:r>
              <w:rPr>
                <w:rFonts w:hint="eastAsia"/>
                <w:sz w:val="21"/>
              </w:rPr>
              <w:t>66</w:t>
            </w:r>
          </w:p>
        </w:tc>
        <w:tc>
          <w:tcPr>
            <w:tcW w:w="619" w:type="pct"/>
            <w:vAlign w:val="center"/>
          </w:tcPr>
          <w:p>
            <w:pPr>
              <w:spacing w:line="240" w:lineRule="auto"/>
              <w:ind w:firstLine="0" w:firstLineChars="0"/>
              <w:jc w:val="center"/>
              <w:rPr>
                <w:rFonts w:ascii="宋体" w:hAnsi="宋体" w:cs="宋体"/>
                <w:sz w:val="21"/>
              </w:rPr>
            </w:pPr>
            <w:r>
              <w:rPr>
                <w:rFonts w:hint="eastAsia"/>
                <w:sz w:val="21"/>
              </w:rPr>
              <w:t>235</w:t>
            </w:r>
          </w:p>
        </w:tc>
        <w:tc>
          <w:tcPr>
            <w:tcW w:w="625" w:type="pct"/>
            <w:vAlign w:val="center"/>
          </w:tcPr>
          <w:p>
            <w:pPr>
              <w:spacing w:line="240" w:lineRule="auto"/>
              <w:ind w:firstLine="0" w:firstLineChars="0"/>
              <w:jc w:val="center"/>
              <w:rPr>
                <w:rFonts w:ascii="宋体" w:hAnsi="宋体" w:cs="宋体"/>
                <w:sz w:val="21"/>
              </w:rPr>
            </w:pPr>
            <w:r>
              <w:rPr>
                <w:rFonts w:hint="eastAsia"/>
                <w:sz w:val="21"/>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中型车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26</w:t>
            </w:r>
          </w:p>
        </w:tc>
        <w:tc>
          <w:tcPr>
            <w:tcW w:w="718" w:type="pct"/>
            <w:vAlign w:val="center"/>
          </w:tcPr>
          <w:p>
            <w:pPr>
              <w:spacing w:line="240" w:lineRule="auto"/>
              <w:ind w:firstLine="0" w:firstLineChars="0"/>
              <w:jc w:val="center"/>
              <w:rPr>
                <w:rFonts w:ascii="宋体" w:hAnsi="宋体" w:cs="宋体"/>
                <w:sz w:val="21"/>
              </w:rPr>
            </w:pPr>
            <w:r>
              <w:rPr>
                <w:rFonts w:hint="eastAsia"/>
                <w:sz w:val="21"/>
              </w:rPr>
              <w:t>9</w:t>
            </w:r>
          </w:p>
        </w:tc>
        <w:tc>
          <w:tcPr>
            <w:tcW w:w="713" w:type="pct"/>
            <w:vAlign w:val="center"/>
          </w:tcPr>
          <w:p>
            <w:pPr>
              <w:spacing w:line="240" w:lineRule="auto"/>
              <w:ind w:firstLine="0" w:firstLineChars="0"/>
              <w:jc w:val="center"/>
              <w:rPr>
                <w:rFonts w:ascii="宋体" w:hAnsi="宋体" w:cs="宋体"/>
                <w:sz w:val="21"/>
              </w:rPr>
            </w:pPr>
            <w:r>
              <w:rPr>
                <w:rFonts w:hint="eastAsia"/>
                <w:sz w:val="21"/>
              </w:rPr>
              <w:t>29</w:t>
            </w:r>
          </w:p>
        </w:tc>
        <w:tc>
          <w:tcPr>
            <w:tcW w:w="623" w:type="pct"/>
            <w:vAlign w:val="center"/>
          </w:tcPr>
          <w:p>
            <w:pPr>
              <w:spacing w:line="240" w:lineRule="auto"/>
              <w:ind w:firstLine="0" w:firstLineChars="0"/>
              <w:jc w:val="center"/>
              <w:rPr>
                <w:rFonts w:ascii="宋体" w:hAnsi="宋体" w:cs="宋体"/>
                <w:sz w:val="21"/>
              </w:rPr>
            </w:pPr>
            <w:r>
              <w:rPr>
                <w:rFonts w:hint="eastAsia"/>
                <w:sz w:val="21"/>
              </w:rPr>
              <w:t>10</w:t>
            </w:r>
          </w:p>
        </w:tc>
        <w:tc>
          <w:tcPr>
            <w:tcW w:w="619" w:type="pct"/>
            <w:vAlign w:val="center"/>
          </w:tcPr>
          <w:p>
            <w:pPr>
              <w:spacing w:line="240" w:lineRule="auto"/>
              <w:ind w:firstLine="0" w:firstLineChars="0"/>
              <w:jc w:val="center"/>
              <w:rPr>
                <w:rFonts w:ascii="宋体" w:hAnsi="宋体" w:cs="宋体"/>
                <w:sz w:val="21"/>
              </w:rPr>
            </w:pPr>
            <w:r>
              <w:rPr>
                <w:rFonts w:hint="eastAsia"/>
                <w:sz w:val="21"/>
              </w:rPr>
              <w:t>32</w:t>
            </w:r>
          </w:p>
        </w:tc>
        <w:tc>
          <w:tcPr>
            <w:tcW w:w="625" w:type="pct"/>
            <w:vAlign w:val="center"/>
          </w:tcPr>
          <w:p>
            <w:pPr>
              <w:spacing w:line="240" w:lineRule="auto"/>
              <w:ind w:firstLine="0" w:firstLineChars="0"/>
              <w:jc w:val="center"/>
              <w:rPr>
                <w:rFonts w:ascii="宋体" w:hAnsi="宋体" w:cs="宋体"/>
                <w:sz w:val="21"/>
              </w:rPr>
            </w:pPr>
            <w:r>
              <w:rPr>
                <w:rFonts w:hint="eastAsia"/>
                <w:sz w:val="21"/>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89" w:type="pct"/>
            <w:vAlign w:val="center"/>
          </w:tcPr>
          <w:p>
            <w:pPr>
              <w:spacing w:line="240" w:lineRule="auto"/>
              <w:ind w:firstLine="0" w:firstLineChars="0"/>
              <w:jc w:val="center"/>
              <w:rPr>
                <w:sz w:val="21"/>
              </w:rPr>
            </w:pPr>
            <w:r>
              <w:rPr>
                <w:sz w:val="21"/>
              </w:rPr>
              <w:t>大型车</w:t>
            </w:r>
          </w:p>
        </w:tc>
        <w:tc>
          <w:tcPr>
            <w:tcW w:w="713" w:type="pct"/>
            <w:vAlign w:val="center"/>
          </w:tcPr>
          <w:p>
            <w:pPr>
              <w:spacing w:line="240" w:lineRule="auto"/>
              <w:ind w:firstLine="0" w:firstLineChars="0"/>
              <w:jc w:val="center"/>
              <w:rPr>
                <w:rFonts w:ascii="宋体" w:hAnsi="宋体" w:cs="宋体"/>
                <w:sz w:val="21"/>
              </w:rPr>
            </w:pPr>
            <w:r>
              <w:rPr>
                <w:rFonts w:hint="eastAsia"/>
                <w:sz w:val="21"/>
              </w:rPr>
              <w:t>142</w:t>
            </w:r>
          </w:p>
        </w:tc>
        <w:tc>
          <w:tcPr>
            <w:tcW w:w="718" w:type="pct"/>
            <w:vAlign w:val="center"/>
          </w:tcPr>
          <w:p>
            <w:pPr>
              <w:spacing w:line="240" w:lineRule="auto"/>
              <w:ind w:firstLine="0" w:firstLineChars="0"/>
              <w:jc w:val="center"/>
              <w:rPr>
                <w:rFonts w:ascii="宋体" w:hAnsi="宋体" w:cs="宋体"/>
                <w:sz w:val="21"/>
              </w:rPr>
            </w:pPr>
            <w:r>
              <w:rPr>
                <w:rFonts w:hint="eastAsia"/>
                <w:sz w:val="21"/>
              </w:rPr>
              <w:t>50</w:t>
            </w:r>
          </w:p>
        </w:tc>
        <w:tc>
          <w:tcPr>
            <w:tcW w:w="713" w:type="pct"/>
            <w:vAlign w:val="center"/>
          </w:tcPr>
          <w:p>
            <w:pPr>
              <w:spacing w:line="240" w:lineRule="auto"/>
              <w:ind w:firstLine="0" w:firstLineChars="0"/>
              <w:jc w:val="center"/>
              <w:rPr>
                <w:rFonts w:ascii="宋体" w:hAnsi="宋体" w:cs="宋体"/>
                <w:sz w:val="21"/>
              </w:rPr>
            </w:pPr>
            <w:r>
              <w:rPr>
                <w:rFonts w:hint="eastAsia"/>
                <w:sz w:val="21"/>
              </w:rPr>
              <w:t>173</w:t>
            </w:r>
          </w:p>
        </w:tc>
        <w:tc>
          <w:tcPr>
            <w:tcW w:w="623" w:type="pct"/>
            <w:vAlign w:val="center"/>
          </w:tcPr>
          <w:p>
            <w:pPr>
              <w:spacing w:line="240" w:lineRule="auto"/>
              <w:ind w:firstLine="0" w:firstLineChars="0"/>
              <w:jc w:val="center"/>
              <w:rPr>
                <w:rFonts w:ascii="宋体" w:hAnsi="宋体" w:cs="宋体"/>
                <w:sz w:val="21"/>
              </w:rPr>
            </w:pPr>
            <w:r>
              <w:rPr>
                <w:rFonts w:hint="eastAsia"/>
                <w:sz w:val="21"/>
              </w:rPr>
              <w:t>61</w:t>
            </w:r>
          </w:p>
        </w:tc>
        <w:tc>
          <w:tcPr>
            <w:tcW w:w="619" w:type="pct"/>
            <w:vAlign w:val="center"/>
          </w:tcPr>
          <w:p>
            <w:pPr>
              <w:spacing w:line="240" w:lineRule="auto"/>
              <w:ind w:firstLine="0" w:firstLineChars="0"/>
              <w:jc w:val="center"/>
              <w:rPr>
                <w:rFonts w:ascii="宋体" w:hAnsi="宋体" w:cs="宋体"/>
                <w:sz w:val="21"/>
              </w:rPr>
            </w:pPr>
            <w:r>
              <w:rPr>
                <w:rFonts w:hint="eastAsia"/>
                <w:sz w:val="21"/>
              </w:rPr>
              <w:t>231</w:t>
            </w:r>
          </w:p>
        </w:tc>
        <w:tc>
          <w:tcPr>
            <w:tcW w:w="625" w:type="pct"/>
            <w:vAlign w:val="center"/>
          </w:tcPr>
          <w:p>
            <w:pPr>
              <w:spacing w:line="240" w:lineRule="auto"/>
              <w:ind w:firstLine="0" w:firstLineChars="0"/>
              <w:jc w:val="center"/>
              <w:rPr>
                <w:rFonts w:ascii="宋体" w:hAnsi="宋体" w:cs="宋体"/>
                <w:sz w:val="21"/>
              </w:rPr>
            </w:pPr>
            <w:r>
              <w:rPr>
                <w:rFonts w:hint="eastAsia"/>
                <w:sz w:val="21"/>
              </w:rPr>
              <w:t>82</w:t>
            </w:r>
          </w:p>
        </w:tc>
      </w:tr>
    </w:tbl>
    <w:p>
      <w:pPr>
        <w:adjustRightInd w:val="0"/>
        <w:snapToGrid w:val="0"/>
        <w:ind w:firstLine="480"/>
        <w:rPr>
          <w:rFonts w:ascii="宋体" w:hAnsi="宋体" w:cs="宋体"/>
        </w:rPr>
      </w:pPr>
      <w:r>
        <w:rPr>
          <w:rFonts w:ascii="宋体" w:hAnsi="宋体" w:cs="宋体"/>
        </w:rPr>
        <w:t>③</w:t>
      </w:r>
      <w:r>
        <w:rPr>
          <w:rFonts w:hint="eastAsia" w:ascii="宋体" w:hAnsi="宋体" w:cs="宋体"/>
        </w:rPr>
        <w:t>噪声源强</w:t>
      </w:r>
    </w:p>
    <w:p>
      <w:pPr>
        <w:adjustRightInd w:val="0"/>
        <w:snapToGrid w:val="0"/>
        <w:ind w:firstLine="480"/>
      </w:pPr>
      <w:r>
        <w:rPr>
          <w:rFonts w:ascii="宋体" w:hAnsi="宋体" w:cs="宋体"/>
        </w:rPr>
        <w:t>本项目主线设计时</w:t>
      </w:r>
      <w:r>
        <w:t>速</w:t>
      </w:r>
      <w:r>
        <w:rPr>
          <w:rFonts w:hint="eastAsia"/>
        </w:rPr>
        <w:t>80</w:t>
      </w:r>
      <w:r>
        <w:t>km/h，根据设计时速并结合该公路车辆实际状况，</w:t>
      </w:r>
      <w:r>
        <w:rPr>
          <w:rFonts w:hint="eastAsia"/>
        </w:rPr>
        <w:t>通过利用</w:t>
      </w:r>
      <w:r>
        <w:t>环安科技noisesystem噪声软件</w:t>
      </w:r>
      <w:r>
        <w:rPr>
          <w:rFonts w:hint="eastAsia"/>
        </w:rPr>
        <w:t>，模拟的项目</w:t>
      </w:r>
      <w:r>
        <w:rPr>
          <w:rFonts w:ascii="宋体" w:hAnsi="宋体" w:cs="宋体"/>
        </w:rPr>
        <w:t>各期小、中、大型车单车平均辐射声级预测结果见</w:t>
      </w:r>
      <w:r>
        <w:t>表3.1</w:t>
      </w:r>
      <w:r>
        <w:rPr>
          <w:rFonts w:hint="eastAsia"/>
        </w:rPr>
        <w:t>1</w:t>
      </w:r>
      <w:r>
        <w:t>-</w:t>
      </w:r>
      <w:r>
        <w:rPr>
          <w:rFonts w:hint="eastAsia"/>
        </w:rPr>
        <w:t>3</w:t>
      </w:r>
      <w:r>
        <w:t>。</w:t>
      </w:r>
    </w:p>
    <w:p>
      <w:pPr>
        <w:adjustRightInd w:val="0"/>
        <w:snapToGrid w:val="0"/>
        <w:ind w:firstLine="0" w:firstLineChars="0"/>
        <w:jc w:val="center"/>
        <w:rPr>
          <w:b/>
          <w:sz w:val="21"/>
        </w:rPr>
      </w:pPr>
      <w:r>
        <w:rPr>
          <w:b/>
          <w:sz w:val="21"/>
        </w:rPr>
        <w:t>表3.1</w:t>
      </w:r>
      <w:r>
        <w:rPr>
          <w:rFonts w:hint="eastAsia"/>
          <w:b/>
          <w:sz w:val="21"/>
        </w:rPr>
        <w:t>1</w:t>
      </w:r>
      <w:r>
        <w:rPr>
          <w:b/>
          <w:sz w:val="21"/>
        </w:rPr>
        <w:t>-</w:t>
      </w:r>
      <w:r>
        <w:rPr>
          <w:rFonts w:hint="eastAsia"/>
          <w:b/>
          <w:sz w:val="21"/>
        </w:rPr>
        <w:t>3</w:t>
      </w:r>
      <w:r>
        <w:rPr>
          <w:b/>
          <w:sz w:val="21"/>
        </w:rPr>
        <w:t xml:space="preserve"> 营运各期各车型单车噪声排放源强</w:t>
      </w:r>
      <w:r>
        <w:rPr>
          <w:rFonts w:hint="eastAsia"/>
          <w:b/>
          <w:sz w:val="21"/>
        </w:rPr>
        <w:t>（7.5</w:t>
      </w:r>
      <w:r>
        <w:rPr>
          <w:b/>
          <w:sz w:val="21"/>
        </w:rPr>
        <w:t>m</w:t>
      </w:r>
      <w:r>
        <w:rPr>
          <w:rFonts w:hint="eastAsia"/>
          <w:b/>
          <w:sz w:val="21"/>
        </w:rPr>
        <w:t>）</w:t>
      </w:r>
      <w:r>
        <w:rPr>
          <w:b/>
          <w:sz w:val="21"/>
        </w:rPr>
        <w:t>单位(dB)</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87"/>
        <w:gridCol w:w="1256"/>
        <w:gridCol w:w="1256"/>
        <w:gridCol w:w="1256"/>
        <w:gridCol w:w="1256"/>
        <w:gridCol w:w="1257"/>
        <w:gridCol w:w="12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Merge w:val="restar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项目</w:t>
            </w:r>
          </w:p>
        </w:tc>
        <w:tc>
          <w:tcPr>
            <w:tcW w:w="1392"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近期</w:t>
            </w:r>
          </w:p>
        </w:tc>
        <w:tc>
          <w:tcPr>
            <w:tcW w:w="1392"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中期</w:t>
            </w:r>
          </w:p>
        </w:tc>
        <w:tc>
          <w:tcPr>
            <w:tcW w:w="1391"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远期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Merge w:val="continue"/>
            <w:vAlign w:val="center"/>
          </w:tcPr>
          <w:p>
            <w:pPr>
              <w:pStyle w:val="675"/>
              <w:jc w:val="center"/>
              <w:rPr>
                <w:rFonts w:ascii="Times New Roman" w:hAnsi="Times New Roman" w:cs="Times New Roman"/>
                <w:sz w:val="21"/>
                <w:szCs w:val="21"/>
                <w:lang w:eastAsia="zh-CN"/>
              </w:rPr>
            </w:pP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6"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6"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5"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小车</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76.07</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76.20</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76.02</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76.19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75.92</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76.17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spacing w:line="240" w:lineRule="auto"/>
              <w:ind w:firstLine="0" w:firstLineChars="0"/>
              <w:jc w:val="center"/>
              <w:rPr>
                <w:kern w:val="0"/>
                <w:sz w:val="21"/>
                <w:szCs w:val="22"/>
              </w:rPr>
            </w:pPr>
            <w:r>
              <w:rPr>
                <w:rFonts w:hint="eastAsia"/>
                <w:bCs/>
                <w:sz w:val="21"/>
              </w:rPr>
              <w:t>中车</w:t>
            </w:r>
          </w:p>
        </w:tc>
        <w:tc>
          <w:tcPr>
            <w:tcW w:w="696" w:type="pct"/>
            <w:vAlign w:val="center"/>
          </w:tcPr>
          <w:p>
            <w:pPr>
              <w:widowControl/>
              <w:spacing w:line="240" w:lineRule="auto"/>
              <w:ind w:firstLine="0" w:firstLineChars="0"/>
              <w:jc w:val="center"/>
              <w:rPr>
                <w:kern w:val="0"/>
                <w:sz w:val="21"/>
                <w:szCs w:val="22"/>
                <w:lang w:eastAsia="en-US"/>
              </w:rPr>
            </w:pPr>
            <w:r>
              <w:rPr>
                <w:rFonts w:hint="eastAsia"/>
                <w:kern w:val="0"/>
                <w:sz w:val="21"/>
                <w:szCs w:val="22"/>
              </w:rPr>
              <w:t>76.79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76.39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76.88</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76.44</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77.03</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76.52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spacing w:line="240" w:lineRule="auto"/>
              <w:ind w:firstLine="0" w:firstLineChars="0"/>
              <w:jc w:val="center"/>
              <w:rPr>
                <w:sz w:val="21"/>
              </w:rPr>
            </w:pPr>
            <w:r>
              <w:rPr>
                <w:rFonts w:hint="eastAsia"/>
                <w:sz w:val="21"/>
              </w:rPr>
              <w:t>大车</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83.03</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82.73</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83.10</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82.77</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83.22</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82.83</w:t>
            </w:r>
          </w:p>
        </w:tc>
      </w:tr>
    </w:tbl>
    <w:p>
      <w:pPr>
        <w:pStyle w:val="190"/>
        <w:spacing w:beforeLines="0" w:afterLines="0"/>
      </w:pPr>
      <w:r>
        <w:rPr>
          <w:rFonts w:hint="eastAsia"/>
        </w:rPr>
        <w:t>3</w:t>
      </w:r>
      <w:r>
        <w:t>.</w:t>
      </w:r>
      <w:r>
        <w:rPr>
          <w:rFonts w:hint="eastAsia"/>
        </w:rPr>
        <w:t>11</w:t>
      </w:r>
      <w:r>
        <w:t>.</w:t>
      </w:r>
      <w:r>
        <w:rPr>
          <w:rFonts w:hint="eastAsia"/>
        </w:rPr>
        <w:t>2</w:t>
      </w:r>
      <w:r>
        <w:t>.2</w:t>
      </w:r>
      <w:r>
        <w:rPr>
          <w:rFonts w:hint="eastAsia"/>
        </w:rPr>
        <w:t>环境空气污染源分析及防治措施</w:t>
      </w:r>
    </w:p>
    <w:p>
      <w:pPr>
        <w:ind w:firstLine="480"/>
        <w:rPr>
          <w:szCs w:val="24"/>
        </w:rPr>
      </w:pPr>
      <w:r>
        <w:rPr>
          <w:szCs w:val="24"/>
        </w:rPr>
        <w:t>营运期大气污染源主要为汽车尾气</w:t>
      </w:r>
      <w:r>
        <w:rPr>
          <w:rFonts w:hint="eastAsia"/>
          <w:szCs w:val="24"/>
        </w:rPr>
        <w:t>、</w:t>
      </w:r>
      <w:r>
        <w:rPr>
          <w:szCs w:val="24"/>
        </w:rPr>
        <w:t>汽车行驶时的扬尘。</w:t>
      </w:r>
    </w:p>
    <w:p>
      <w:pPr>
        <w:ind w:firstLine="480"/>
        <w:rPr>
          <w:szCs w:val="24"/>
        </w:rPr>
      </w:pPr>
      <w:r>
        <w:rPr>
          <w:szCs w:val="24"/>
        </w:rPr>
        <w:t>（1）汽车尾气</w:t>
      </w:r>
    </w:p>
    <w:p>
      <w:pPr>
        <w:ind w:firstLine="480"/>
        <w:rPr>
          <w:szCs w:val="24"/>
        </w:rPr>
      </w:pPr>
      <w:r>
        <w:rPr>
          <w:szCs w:val="24"/>
        </w:rPr>
        <w:t>汽车尾气是本项目建成后的主要环境空气污染源，主要污染物为NO</w:t>
      </w:r>
      <w:r>
        <w:rPr>
          <w:szCs w:val="24"/>
          <w:vertAlign w:val="subscript"/>
        </w:rPr>
        <w:t>X</w:t>
      </w:r>
      <w:r>
        <w:rPr>
          <w:szCs w:val="24"/>
        </w:rPr>
        <w:t>、CO和THC。主要污染物排放源强计算采用《中华人民共和国行业标准 公路建设项目环境影响评价规范（试行）》（JTJ005-1996）中推荐的计算公式，计算公式如下：</w:t>
      </w:r>
    </w:p>
    <w:p>
      <w:pPr>
        <w:ind w:firstLine="480"/>
        <w:jc w:val="center"/>
        <w:rPr>
          <w:szCs w:val="24"/>
        </w:rPr>
      </w:pPr>
      <w:r>
        <w:rPr>
          <w:position w:val="-28"/>
        </w:rPr>
        <w:object>
          <v:shape id="_x0000_i1027" o:spt="75" type="#_x0000_t75" style="height:36pt;width:115.5pt;" o:ole="t" fillcolor="#6D6D6D" filled="f" o:preferrelative="t" stroked="f" coordsize="21600,21600">
            <v:path/>
            <v:fill on="f" focussize="0,0"/>
            <v:stroke on="f" joinstyle="miter"/>
            <v:imagedata r:id="rId79" o:title=""/>
            <o:lock v:ext="edit" aspectratio="t"/>
            <w10:wrap type="none"/>
            <w10:anchorlock/>
          </v:shape>
          <o:OLEObject Type="Embed" ProgID="Equation.3" ShapeID="_x0000_i1027" DrawAspect="Content" ObjectID="_1468075727" r:id="rId78">
            <o:LockedField>false</o:LockedField>
          </o:OLEObject>
        </w:object>
      </w:r>
    </w:p>
    <w:p>
      <w:pPr>
        <w:ind w:firstLine="480"/>
        <w:rPr>
          <w:szCs w:val="24"/>
        </w:rPr>
      </w:pPr>
      <w:r>
        <w:rPr>
          <w:szCs w:val="24"/>
        </w:rPr>
        <w:t>式中： Qj为j类气态污染物排放源强度，g/(s•km)；</w:t>
      </w:r>
    </w:p>
    <w:p>
      <w:pPr>
        <w:ind w:firstLine="480"/>
        <w:rPr>
          <w:szCs w:val="24"/>
        </w:rPr>
      </w:pPr>
      <w:r>
        <w:rPr>
          <w:szCs w:val="24"/>
        </w:rPr>
        <w:t>Ai 为i型车预测年的小时交通量，辆/h；</w:t>
      </w:r>
    </w:p>
    <w:p>
      <w:pPr>
        <w:ind w:firstLine="480"/>
        <w:rPr>
          <w:szCs w:val="24"/>
        </w:rPr>
      </w:pPr>
      <w:r>
        <w:rPr>
          <w:szCs w:val="24"/>
        </w:rPr>
        <w:t>Eij为汽车专用公路运行工况下i型车j类排放物在预测年的单车排放因子（推荐值见表3.11-</w:t>
      </w:r>
      <w:r>
        <w:rPr>
          <w:rFonts w:hint="eastAsia"/>
          <w:szCs w:val="24"/>
        </w:rPr>
        <w:t>4</w:t>
      </w:r>
      <w:r>
        <w:rPr>
          <w:szCs w:val="24"/>
        </w:rPr>
        <w:t>），g/(辆•km)；</w:t>
      </w:r>
    </w:p>
    <w:p>
      <w:pPr>
        <w:adjustRightInd w:val="0"/>
        <w:snapToGrid w:val="0"/>
        <w:ind w:firstLine="0" w:firstLineChars="0"/>
        <w:jc w:val="center"/>
        <w:rPr>
          <w:b/>
          <w:sz w:val="21"/>
        </w:rPr>
      </w:pPr>
      <w:r>
        <w:rPr>
          <w:b/>
          <w:sz w:val="21"/>
        </w:rPr>
        <w:t>表3.11-</w:t>
      </w:r>
      <w:r>
        <w:rPr>
          <w:rFonts w:hint="eastAsia"/>
          <w:b/>
          <w:sz w:val="21"/>
        </w:rPr>
        <w:t>4</w:t>
      </w:r>
      <w:r>
        <w:rPr>
          <w:b/>
          <w:sz w:val="21"/>
        </w:rPr>
        <w:t xml:space="preserve">  各种类型汽车污染物排放因子   Eij，g/(km•辆)</w:t>
      </w:r>
    </w:p>
    <w:tbl>
      <w:tblPr>
        <w:tblStyle w:val="52"/>
        <w:tblW w:w="5000"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2710"/>
        <w:gridCol w:w="1314"/>
        <w:gridCol w:w="1682"/>
        <w:gridCol w:w="1682"/>
        <w:gridCol w:w="168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2218" w:type="pct"/>
            <w:gridSpan w:val="2"/>
            <w:vAlign w:val="center"/>
          </w:tcPr>
          <w:p>
            <w:pPr>
              <w:spacing w:line="240" w:lineRule="auto"/>
              <w:ind w:firstLine="0" w:firstLineChars="0"/>
              <w:jc w:val="center"/>
              <w:rPr>
                <w:sz w:val="21"/>
              </w:rPr>
            </w:pPr>
            <w:r>
              <w:rPr>
                <w:sz w:val="21"/>
              </w:rPr>
              <w:t>排放物计算</w:t>
            </w:r>
          </w:p>
        </w:tc>
        <w:tc>
          <w:tcPr>
            <w:tcW w:w="927" w:type="pct"/>
            <w:vAlign w:val="center"/>
          </w:tcPr>
          <w:p>
            <w:pPr>
              <w:spacing w:line="240" w:lineRule="auto"/>
              <w:ind w:firstLine="0" w:firstLineChars="0"/>
              <w:jc w:val="center"/>
              <w:rPr>
                <w:sz w:val="21"/>
              </w:rPr>
            </w:pPr>
            <w:r>
              <w:rPr>
                <w:sz w:val="21"/>
              </w:rPr>
              <w:t>小型车</w:t>
            </w:r>
          </w:p>
        </w:tc>
        <w:tc>
          <w:tcPr>
            <w:tcW w:w="927" w:type="pct"/>
            <w:vAlign w:val="center"/>
          </w:tcPr>
          <w:p>
            <w:pPr>
              <w:spacing w:line="240" w:lineRule="auto"/>
              <w:ind w:firstLine="0" w:firstLineChars="0"/>
              <w:jc w:val="center"/>
              <w:rPr>
                <w:sz w:val="21"/>
              </w:rPr>
            </w:pPr>
            <w:r>
              <w:rPr>
                <w:sz w:val="21"/>
              </w:rPr>
              <w:t>中型车</w:t>
            </w:r>
          </w:p>
        </w:tc>
        <w:tc>
          <w:tcPr>
            <w:tcW w:w="927" w:type="pct"/>
            <w:vAlign w:val="center"/>
          </w:tcPr>
          <w:p>
            <w:pPr>
              <w:spacing w:line="240" w:lineRule="auto"/>
              <w:ind w:firstLine="0" w:firstLineChars="0"/>
              <w:jc w:val="center"/>
              <w:rPr>
                <w:sz w:val="21"/>
              </w:rPr>
            </w:pPr>
            <w:r>
              <w:rPr>
                <w:sz w:val="21"/>
              </w:rPr>
              <w:t>大型车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1494" w:type="pct"/>
            <w:vMerge w:val="restart"/>
            <w:vAlign w:val="center"/>
          </w:tcPr>
          <w:p>
            <w:pPr>
              <w:spacing w:line="240" w:lineRule="auto"/>
              <w:ind w:firstLine="0" w:firstLineChars="0"/>
              <w:jc w:val="center"/>
              <w:rPr>
                <w:sz w:val="21"/>
              </w:rPr>
            </w:pPr>
            <w:r>
              <w:rPr>
                <w:sz w:val="21"/>
              </w:rPr>
              <w:t>各项污染物排放因子</w:t>
            </w:r>
          </w:p>
        </w:tc>
        <w:tc>
          <w:tcPr>
            <w:tcW w:w="724" w:type="pct"/>
            <w:vAlign w:val="center"/>
          </w:tcPr>
          <w:p>
            <w:pPr>
              <w:spacing w:line="240" w:lineRule="auto"/>
              <w:ind w:firstLine="0" w:firstLineChars="0"/>
              <w:jc w:val="center"/>
              <w:rPr>
                <w:sz w:val="21"/>
              </w:rPr>
            </w:pPr>
            <w:r>
              <w:rPr>
                <w:sz w:val="21"/>
              </w:rPr>
              <w:t>CO</w:t>
            </w:r>
          </w:p>
        </w:tc>
        <w:tc>
          <w:tcPr>
            <w:tcW w:w="927" w:type="pct"/>
            <w:vAlign w:val="center"/>
          </w:tcPr>
          <w:p>
            <w:pPr>
              <w:spacing w:line="240" w:lineRule="auto"/>
              <w:ind w:firstLine="0" w:firstLineChars="0"/>
              <w:jc w:val="center"/>
              <w:rPr>
                <w:sz w:val="21"/>
              </w:rPr>
            </w:pPr>
            <w:r>
              <w:rPr>
                <w:rFonts w:hint="eastAsia"/>
                <w:sz w:val="21"/>
              </w:rPr>
              <w:t>14.76</w:t>
            </w:r>
          </w:p>
        </w:tc>
        <w:tc>
          <w:tcPr>
            <w:tcW w:w="927" w:type="pct"/>
            <w:vAlign w:val="center"/>
          </w:tcPr>
          <w:p>
            <w:pPr>
              <w:spacing w:line="240" w:lineRule="auto"/>
              <w:ind w:firstLine="0" w:firstLineChars="0"/>
              <w:jc w:val="center"/>
              <w:rPr>
                <w:sz w:val="21"/>
              </w:rPr>
            </w:pPr>
            <w:r>
              <w:rPr>
                <w:rFonts w:hint="eastAsia"/>
                <w:sz w:val="21"/>
              </w:rPr>
              <w:t>25.47</w:t>
            </w:r>
          </w:p>
        </w:tc>
        <w:tc>
          <w:tcPr>
            <w:tcW w:w="927" w:type="pct"/>
            <w:vAlign w:val="center"/>
          </w:tcPr>
          <w:p>
            <w:pPr>
              <w:spacing w:line="240" w:lineRule="auto"/>
              <w:ind w:firstLine="0" w:firstLineChars="0"/>
              <w:jc w:val="center"/>
              <w:rPr>
                <w:sz w:val="21"/>
              </w:rPr>
            </w:pPr>
            <w:r>
              <w:rPr>
                <w:rFonts w:hint="eastAsia"/>
                <w:sz w:val="21"/>
              </w:rPr>
              <w:t>4.01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1494" w:type="pct"/>
            <w:vMerge w:val="continue"/>
            <w:vAlign w:val="center"/>
          </w:tcPr>
          <w:p>
            <w:pPr>
              <w:spacing w:line="240" w:lineRule="auto"/>
              <w:ind w:firstLine="0" w:firstLineChars="0"/>
              <w:jc w:val="center"/>
              <w:rPr>
                <w:sz w:val="21"/>
              </w:rPr>
            </w:pPr>
          </w:p>
        </w:tc>
        <w:tc>
          <w:tcPr>
            <w:tcW w:w="724" w:type="pct"/>
            <w:vAlign w:val="center"/>
          </w:tcPr>
          <w:p>
            <w:pPr>
              <w:spacing w:line="240" w:lineRule="auto"/>
              <w:ind w:firstLine="0" w:firstLineChars="0"/>
              <w:jc w:val="center"/>
              <w:rPr>
                <w:sz w:val="21"/>
              </w:rPr>
            </w:pPr>
            <w:r>
              <w:rPr>
                <w:sz w:val="21"/>
              </w:rPr>
              <w:t>THC</w:t>
            </w:r>
          </w:p>
        </w:tc>
        <w:tc>
          <w:tcPr>
            <w:tcW w:w="927" w:type="pct"/>
            <w:vAlign w:val="center"/>
          </w:tcPr>
          <w:p>
            <w:pPr>
              <w:spacing w:line="240" w:lineRule="auto"/>
              <w:ind w:firstLine="0" w:firstLineChars="0"/>
              <w:jc w:val="center"/>
              <w:rPr>
                <w:sz w:val="21"/>
              </w:rPr>
            </w:pPr>
            <w:r>
              <w:rPr>
                <w:rFonts w:hint="eastAsia"/>
                <w:sz w:val="21"/>
              </w:rPr>
              <w:t>5.30</w:t>
            </w:r>
          </w:p>
        </w:tc>
        <w:tc>
          <w:tcPr>
            <w:tcW w:w="927" w:type="pct"/>
            <w:vAlign w:val="center"/>
          </w:tcPr>
          <w:p>
            <w:pPr>
              <w:spacing w:line="240" w:lineRule="auto"/>
              <w:ind w:firstLine="0" w:firstLineChars="0"/>
              <w:jc w:val="center"/>
              <w:rPr>
                <w:sz w:val="21"/>
              </w:rPr>
            </w:pPr>
            <w:r>
              <w:rPr>
                <w:rFonts w:hint="eastAsia"/>
                <w:sz w:val="21"/>
              </w:rPr>
              <w:t>10.10</w:t>
            </w:r>
          </w:p>
        </w:tc>
        <w:tc>
          <w:tcPr>
            <w:tcW w:w="927" w:type="pct"/>
            <w:vAlign w:val="center"/>
          </w:tcPr>
          <w:p>
            <w:pPr>
              <w:spacing w:line="240" w:lineRule="auto"/>
              <w:ind w:firstLine="0" w:firstLineChars="0"/>
              <w:jc w:val="center"/>
              <w:rPr>
                <w:sz w:val="21"/>
              </w:rPr>
            </w:pPr>
            <w:r>
              <w:rPr>
                <w:rFonts w:hint="eastAsia"/>
                <w:sz w:val="21"/>
              </w:rPr>
              <w:t>1.45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7" w:hRule="atLeast"/>
        </w:trPr>
        <w:tc>
          <w:tcPr>
            <w:tcW w:w="1494" w:type="pct"/>
            <w:vMerge w:val="continue"/>
            <w:vAlign w:val="center"/>
          </w:tcPr>
          <w:p>
            <w:pPr>
              <w:spacing w:line="240" w:lineRule="auto"/>
              <w:ind w:firstLine="0" w:firstLineChars="0"/>
              <w:jc w:val="center"/>
              <w:rPr>
                <w:sz w:val="21"/>
              </w:rPr>
            </w:pPr>
          </w:p>
        </w:tc>
        <w:tc>
          <w:tcPr>
            <w:tcW w:w="724" w:type="pct"/>
            <w:vAlign w:val="center"/>
          </w:tcPr>
          <w:p>
            <w:pPr>
              <w:spacing w:line="240" w:lineRule="auto"/>
              <w:ind w:firstLine="0" w:firstLineChars="0"/>
              <w:jc w:val="center"/>
              <w:rPr>
                <w:sz w:val="21"/>
              </w:rPr>
            </w:pPr>
            <w:r>
              <w:rPr>
                <w:sz w:val="21"/>
              </w:rPr>
              <w:t>NO</w:t>
            </w:r>
            <w:r>
              <w:rPr>
                <w:sz w:val="21"/>
                <w:vertAlign w:val="subscript"/>
              </w:rPr>
              <w:t>X</w:t>
            </w:r>
          </w:p>
        </w:tc>
        <w:tc>
          <w:tcPr>
            <w:tcW w:w="927" w:type="pct"/>
            <w:vAlign w:val="center"/>
          </w:tcPr>
          <w:p>
            <w:pPr>
              <w:spacing w:line="240" w:lineRule="auto"/>
              <w:ind w:firstLine="0" w:firstLineChars="0"/>
              <w:jc w:val="center"/>
              <w:rPr>
                <w:sz w:val="21"/>
              </w:rPr>
            </w:pPr>
            <w:r>
              <w:rPr>
                <w:rFonts w:hint="eastAsia"/>
                <w:sz w:val="21"/>
              </w:rPr>
              <w:t>3.71</w:t>
            </w:r>
          </w:p>
        </w:tc>
        <w:tc>
          <w:tcPr>
            <w:tcW w:w="927" w:type="pct"/>
            <w:vAlign w:val="center"/>
          </w:tcPr>
          <w:p>
            <w:pPr>
              <w:spacing w:line="240" w:lineRule="auto"/>
              <w:ind w:firstLine="0" w:firstLineChars="0"/>
              <w:jc w:val="center"/>
              <w:rPr>
                <w:sz w:val="21"/>
              </w:rPr>
            </w:pPr>
            <w:r>
              <w:rPr>
                <w:rFonts w:hint="eastAsia"/>
                <w:sz w:val="21"/>
              </w:rPr>
              <w:t>8.30</w:t>
            </w:r>
          </w:p>
        </w:tc>
        <w:tc>
          <w:tcPr>
            <w:tcW w:w="927" w:type="pct"/>
            <w:vAlign w:val="center"/>
          </w:tcPr>
          <w:p>
            <w:pPr>
              <w:spacing w:line="240" w:lineRule="auto"/>
              <w:ind w:firstLine="0" w:firstLineChars="0"/>
              <w:jc w:val="center"/>
              <w:rPr>
                <w:sz w:val="21"/>
              </w:rPr>
            </w:pPr>
            <w:r>
              <w:rPr>
                <w:rFonts w:hint="eastAsia"/>
                <w:sz w:val="21"/>
              </w:rPr>
              <w:t>14.71</w:t>
            </w:r>
          </w:p>
        </w:tc>
      </w:tr>
    </w:tbl>
    <w:p>
      <w:pPr>
        <w:spacing w:line="240" w:lineRule="atLeast"/>
        <w:ind w:firstLine="422"/>
        <w:rPr>
          <w:b/>
          <w:sz w:val="21"/>
        </w:rPr>
      </w:pPr>
      <w:r>
        <w:rPr>
          <w:b/>
          <w:sz w:val="21"/>
        </w:rPr>
        <w:t>注：按车速</w:t>
      </w:r>
      <w:r>
        <w:rPr>
          <w:rFonts w:hint="eastAsia"/>
          <w:b/>
          <w:sz w:val="21"/>
        </w:rPr>
        <w:t>80</w:t>
      </w:r>
      <w:r>
        <w:rPr>
          <w:b/>
          <w:sz w:val="21"/>
        </w:rPr>
        <w:t>km/h</w:t>
      </w:r>
      <w:r>
        <w:rPr>
          <w:rFonts w:hint="eastAsia"/>
          <w:b/>
          <w:sz w:val="21"/>
        </w:rPr>
        <w:t>选取汽车</w:t>
      </w:r>
      <w:r>
        <w:rPr>
          <w:b/>
          <w:sz w:val="21"/>
        </w:rPr>
        <w:t>污染物排放因子</w:t>
      </w:r>
      <w:r>
        <w:rPr>
          <w:rFonts w:hint="eastAsia"/>
          <w:b/>
          <w:sz w:val="21"/>
        </w:rPr>
        <w:t>推荐值</w:t>
      </w:r>
      <w:r>
        <w:rPr>
          <w:b/>
          <w:sz w:val="21"/>
        </w:rPr>
        <w:t>。</w:t>
      </w:r>
    </w:p>
    <w:p>
      <w:pPr>
        <w:ind w:firstLine="480"/>
        <w:rPr>
          <w:szCs w:val="24"/>
        </w:rPr>
      </w:pPr>
      <w:r>
        <w:rPr>
          <w:szCs w:val="24"/>
        </w:rPr>
        <w:t>按上述计算公式和参数，根据各项目车流量</w:t>
      </w:r>
      <w:r>
        <w:rPr>
          <w:rFonts w:hint="eastAsia"/>
          <w:szCs w:val="24"/>
        </w:rPr>
        <w:t>预测</w:t>
      </w:r>
      <w:r>
        <w:rPr>
          <w:szCs w:val="24"/>
        </w:rPr>
        <w:t>数据，</w:t>
      </w:r>
      <w:r>
        <w:rPr>
          <w:rFonts w:hint="eastAsia"/>
          <w:szCs w:val="24"/>
        </w:rPr>
        <w:t>本项目昼间通行</w:t>
      </w:r>
      <w:r>
        <w:rPr>
          <w:szCs w:val="24"/>
        </w:rPr>
        <w:t>车辆较多，</w:t>
      </w:r>
      <w:r>
        <w:rPr>
          <w:rFonts w:hint="eastAsia"/>
          <w:szCs w:val="24"/>
        </w:rPr>
        <w:t>昼间</w:t>
      </w:r>
      <w:r>
        <w:rPr>
          <w:szCs w:val="24"/>
        </w:rPr>
        <w:t>排放污染物较多，计算项目主要大气污染物排放情况见表3.11-</w:t>
      </w:r>
      <w:r>
        <w:rPr>
          <w:rFonts w:hint="eastAsia"/>
          <w:szCs w:val="24"/>
        </w:rPr>
        <w:t>5</w:t>
      </w:r>
      <w:r>
        <w:rPr>
          <w:szCs w:val="24"/>
        </w:rPr>
        <w:t>。</w:t>
      </w:r>
    </w:p>
    <w:p>
      <w:pPr>
        <w:adjustRightInd w:val="0"/>
        <w:snapToGrid w:val="0"/>
        <w:ind w:firstLine="0" w:firstLineChars="0"/>
        <w:jc w:val="center"/>
        <w:rPr>
          <w:b/>
          <w:sz w:val="21"/>
        </w:rPr>
      </w:pPr>
      <w:r>
        <w:rPr>
          <w:b/>
          <w:sz w:val="21"/>
        </w:rPr>
        <w:t>表3.11-</w:t>
      </w:r>
      <w:r>
        <w:rPr>
          <w:rFonts w:hint="eastAsia"/>
          <w:b/>
          <w:sz w:val="21"/>
        </w:rPr>
        <w:t>5</w:t>
      </w:r>
      <w:r>
        <w:rPr>
          <w:b/>
          <w:sz w:val="21"/>
        </w:rPr>
        <w:t xml:space="preserve">  项目大气污染物排放情况</w:t>
      </w:r>
      <w:r>
        <w:rPr>
          <w:rFonts w:hint="eastAsia"/>
          <w:b/>
          <w:sz w:val="21"/>
        </w:rPr>
        <w:t>（最大值）</w:t>
      </w:r>
      <w:r>
        <w:rPr>
          <w:b/>
          <w:sz w:val="21"/>
        </w:rPr>
        <w:t xml:space="preserve">  单位：g/m•s</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82"/>
        <w:gridCol w:w="2383"/>
        <w:gridCol w:w="2383"/>
        <w:gridCol w:w="238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8" w:type="pct"/>
            <w:tcBorders>
              <w:top w:val="single" w:color="auto" w:sz="6" w:space="0"/>
              <w:left w:val="single" w:color="auto" w:sz="6" w:space="0"/>
              <w:bottom w:val="single" w:color="auto" w:sz="6" w:space="0"/>
              <w:tl2br w:val="single" w:color="auto" w:sz="2" w:space="0"/>
            </w:tcBorders>
            <w:vAlign w:val="center"/>
          </w:tcPr>
          <w:p>
            <w:pPr>
              <w:spacing w:line="240" w:lineRule="auto"/>
              <w:ind w:firstLine="0" w:firstLineChars="0"/>
              <w:jc w:val="center"/>
              <w:rPr>
                <w:sz w:val="21"/>
              </w:rPr>
            </w:pPr>
            <w:r>
              <w:rPr>
                <w:sz w:val="21"/>
              </w:rPr>
              <w:t xml:space="preserve">         因子</w:t>
            </w:r>
          </w:p>
          <w:p>
            <w:pPr>
              <w:spacing w:line="240" w:lineRule="auto"/>
              <w:ind w:firstLine="0" w:firstLineChars="0"/>
              <w:rPr>
                <w:sz w:val="21"/>
              </w:rPr>
            </w:pPr>
            <w:r>
              <w:rPr>
                <w:sz w:val="21"/>
              </w:rPr>
              <w:t>时期</w:t>
            </w:r>
          </w:p>
        </w:tc>
        <w:tc>
          <w:tcPr>
            <w:tcW w:w="1291" w:type="pct"/>
            <w:tcBorders>
              <w:top w:val="single" w:color="auto" w:sz="6" w:space="0"/>
              <w:bottom w:val="single" w:color="auto" w:sz="6" w:space="0"/>
            </w:tcBorders>
            <w:vAlign w:val="center"/>
          </w:tcPr>
          <w:p>
            <w:pPr>
              <w:spacing w:line="240" w:lineRule="auto"/>
              <w:ind w:firstLine="0" w:firstLineChars="0"/>
              <w:jc w:val="center"/>
              <w:rPr>
                <w:sz w:val="21"/>
              </w:rPr>
            </w:pPr>
            <w:r>
              <w:rPr>
                <w:sz w:val="21"/>
              </w:rPr>
              <w:t>CO</w:t>
            </w:r>
          </w:p>
        </w:tc>
        <w:tc>
          <w:tcPr>
            <w:tcW w:w="1291" w:type="pct"/>
            <w:tcBorders>
              <w:top w:val="single" w:color="auto" w:sz="6" w:space="0"/>
              <w:bottom w:val="single" w:color="auto" w:sz="6" w:space="0"/>
            </w:tcBorders>
            <w:vAlign w:val="center"/>
          </w:tcPr>
          <w:p>
            <w:pPr>
              <w:spacing w:line="240" w:lineRule="auto"/>
              <w:ind w:firstLine="0" w:firstLineChars="0"/>
              <w:jc w:val="center"/>
              <w:rPr>
                <w:sz w:val="21"/>
              </w:rPr>
            </w:pPr>
            <w:r>
              <w:rPr>
                <w:sz w:val="21"/>
              </w:rPr>
              <w:t>THC</w:t>
            </w:r>
          </w:p>
        </w:tc>
        <w:tc>
          <w:tcPr>
            <w:tcW w:w="1290" w:type="pct"/>
            <w:tcBorders>
              <w:top w:val="single" w:color="auto" w:sz="6" w:space="0"/>
              <w:bottom w:val="single" w:color="auto" w:sz="6" w:space="0"/>
              <w:right w:val="single" w:color="auto" w:sz="6" w:space="0"/>
            </w:tcBorders>
            <w:vAlign w:val="center"/>
          </w:tcPr>
          <w:p>
            <w:pPr>
              <w:spacing w:line="240" w:lineRule="auto"/>
              <w:ind w:firstLine="0" w:firstLineChars="0"/>
              <w:jc w:val="center"/>
              <w:rPr>
                <w:sz w:val="21"/>
              </w:rPr>
            </w:pPr>
            <w:r>
              <w:rPr>
                <w:sz w:val="21"/>
              </w:rPr>
              <w:t>NOx</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128" w:type="pct"/>
            <w:tcBorders>
              <w:top w:val="single" w:color="auto" w:sz="6" w:space="0"/>
              <w:left w:val="single" w:color="auto" w:sz="6" w:space="0"/>
              <w:bottom w:val="single" w:color="auto" w:sz="6" w:space="0"/>
            </w:tcBorders>
            <w:vAlign w:val="center"/>
          </w:tcPr>
          <w:p>
            <w:pPr>
              <w:spacing w:line="240" w:lineRule="auto"/>
              <w:ind w:firstLine="0" w:firstLineChars="0"/>
              <w:jc w:val="center"/>
              <w:rPr>
                <w:sz w:val="21"/>
              </w:rPr>
            </w:pPr>
            <w:r>
              <w:rPr>
                <w:sz w:val="21"/>
              </w:rPr>
              <w:t>近期</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0.0010</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0.0004</w:t>
            </w:r>
          </w:p>
        </w:tc>
        <w:tc>
          <w:tcPr>
            <w:tcW w:w="1290" w:type="pct"/>
            <w:tcBorders>
              <w:top w:val="single" w:color="auto" w:sz="6" w:space="0"/>
              <w:bottom w:val="single" w:color="auto" w:sz="6" w:space="0"/>
              <w:right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1128" w:type="pct"/>
            <w:tcBorders>
              <w:top w:val="single" w:color="auto" w:sz="6" w:space="0"/>
              <w:left w:val="single" w:color="auto" w:sz="6" w:space="0"/>
              <w:bottom w:val="single" w:color="auto" w:sz="6" w:space="0"/>
            </w:tcBorders>
            <w:vAlign w:val="center"/>
          </w:tcPr>
          <w:p>
            <w:pPr>
              <w:spacing w:line="240" w:lineRule="auto"/>
              <w:ind w:firstLine="0" w:firstLineChars="0"/>
              <w:jc w:val="center"/>
              <w:rPr>
                <w:sz w:val="21"/>
              </w:rPr>
            </w:pPr>
            <w:r>
              <w:rPr>
                <w:sz w:val="21"/>
              </w:rPr>
              <w:t>中期</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0.0012</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0.0004</w:t>
            </w:r>
          </w:p>
        </w:tc>
        <w:tc>
          <w:tcPr>
            <w:tcW w:w="1290" w:type="pct"/>
            <w:tcBorders>
              <w:top w:val="single" w:color="auto" w:sz="6" w:space="0"/>
              <w:bottom w:val="single" w:color="auto" w:sz="6" w:space="0"/>
              <w:right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28" w:type="pct"/>
            <w:tcBorders>
              <w:top w:val="single" w:color="auto" w:sz="6" w:space="0"/>
              <w:left w:val="single" w:color="auto" w:sz="6" w:space="0"/>
              <w:bottom w:val="single" w:color="auto" w:sz="6" w:space="0"/>
            </w:tcBorders>
            <w:vAlign w:val="center"/>
          </w:tcPr>
          <w:p>
            <w:pPr>
              <w:spacing w:line="240" w:lineRule="auto"/>
              <w:ind w:firstLine="0" w:firstLineChars="0"/>
              <w:jc w:val="center"/>
              <w:rPr>
                <w:sz w:val="21"/>
              </w:rPr>
            </w:pPr>
            <w:r>
              <w:rPr>
                <w:sz w:val="21"/>
              </w:rPr>
              <w:t>远期</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0.0014</w:t>
            </w:r>
          </w:p>
        </w:tc>
        <w:tc>
          <w:tcPr>
            <w:tcW w:w="1291" w:type="pct"/>
            <w:tcBorders>
              <w:top w:val="single" w:color="auto" w:sz="6" w:space="0"/>
              <w:bottom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0.0005</w:t>
            </w:r>
          </w:p>
        </w:tc>
        <w:tc>
          <w:tcPr>
            <w:tcW w:w="1290" w:type="pct"/>
            <w:tcBorders>
              <w:top w:val="single" w:color="auto" w:sz="6" w:space="0"/>
              <w:bottom w:val="single" w:color="auto" w:sz="6" w:space="0"/>
              <w:right w:val="single" w:color="auto" w:sz="6" w:space="0"/>
            </w:tcBorders>
            <w:vAlign w:val="center"/>
          </w:tcPr>
          <w:p>
            <w:pPr>
              <w:spacing w:line="240" w:lineRule="auto"/>
              <w:ind w:firstLine="0" w:firstLineChars="0"/>
              <w:jc w:val="center"/>
              <w:rPr>
                <w:rFonts w:ascii="宋体" w:hAnsi="宋体" w:cs="宋体"/>
                <w:sz w:val="21"/>
              </w:rPr>
            </w:pPr>
            <w:r>
              <w:rPr>
                <w:rFonts w:hint="eastAsia"/>
                <w:sz w:val="21"/>
              </w:rPr>
              <w:t>0.0013</w:t>
            </w:r>
          </w:p>
        </w:tc>
      </w:tr>
    </w:tbl>
    <w:p>
      <w:pPr>
        <w:ind w:firstLine="480"/>
        <w:rPr>
          <w:szCs w:val="24"/>
        </w:rPr>
      </w:pPr>
      <w:r>
        <w:rPr>
          <w:szCs w:val="24"/>
        </w:rPr>
        <w:t>汽车尾气主要污染物为CO、NOx和THC，直接危害人体健康并影响周围大气环境。降低道路汽车尾气对道路两侧居民影响的防治措施主要有：使用清洁能源；环保、交通部门加强合作，执行汽车尾气车检制度，尾气超标排放的车辆必须安装尾气净化装置，控制尾气超标车辆上路</w:t>
      </w:r>
      <w:r>
        <w:rPr>
          <w:rFonts w:hint="eastAsia"/>
          <w:szCs w:val="24"/>
        </w:rPr>
        <w:t>。</w:t>
      </w:r>
    </w:p>
    <w:p>
      <w:pPr>
        <w:ind w:firstLine="480"/>
        <w:rPr>
          <w:szCs w:val="24"/>
        </w:rPr>
      </w:pPr>
      <w:r>
        <w:rPr>
          <w:szCs w:val="24"/>
        </w:rPr>
        <w:t>（2）道路扬尘环境影响分析</w:t>
      </w:r>
    </w:p>
    <w:p>
      <w:pPr>
        <w:ind w:firstLine="480"/>
        <w:rPr>
          <w:szCs w:val="24"/>
        </w:rPr>
      </w:pPr>
      <w:r>
        <w:rPr>
          <w:szCs w:val="24"/>
        </w:rPr>
        <w:t>道路上行驶车辆的轮胎接触路面而使路面积尘扬起，以及运送散装含尘物料的车辆，由于散落、风吹等原因，从而产生扬尘污染。因此，公路营运期间应加强对道路的清扫、养护，使道路平整、清洁，以减轻道路扬尘污染。</w:t>
      </w:r>
    </w:p>
    <w:p>
      <w:pPr>
        <w:pStyle w:val="190"/>
        <w:spacing w:beforeLines="0" w:afterLines="0"/>
      </w:pPr>
      <w:r>
        <w:t>3.1</w:t>
      </w:r>
      <w:r>
        <w:rPr>
          <w:rFonts w:hint="eastAsia"/>
        </w:rPr>
        <w:t>1</w:t>
      </w:r>
      <w:r>
        <w:t>.2.3水污染源分析及防治措施</w:t>
      </w:r>
    </w:p>
    <w:p>
      <w:pPr>
        <w:adjustRightInd w:val="0"/>
        <w:snapToGrid w:val="0"/>
        <w:ind w:firstLine="480"/>
      </w:pPr>
      <w:r>
        <w:t>（</w:t>
      </w:r>
      <w:r>
        <w:rPr>
          <w:rFonts w:hint="eastAsia"/>
        </w:rPr>
        <w:t>1</w:t>
      </w:r>
      <w:r>
        <w:t>）路桥面径流污染物及源强分析</w:t>
      </w:r>
    </w:p>
    <w:p>
      <w:pPr>
        <w:adjustRightInd w:val="0"/>
        <w:snapToGrid w:val="0"/>
        <w:ind w:firstLine="480"/>
      </w:pPr>
      <w:r>
        <w:t>公路路桥面径流污染物主要是悬浮物、石油类和有机物，污染物浓度受限于多种因素，如车流量、车辆类型、降雨强度、灰尘沉降量和前期干旱时间等，因此具有一定程度的不确定性。国内一些公路的监测实验结果也相差较远，长安大学曾用人工降雨的方法在西安至三原公路上形成桥面径流，在车流量和降雨量已知的情况下，降雨历时1h，降雨强度为81.6mm，在1h内按不同时间采集水样，测定结果见表3.1</w:t>
      </w:r>
      <w:r>
        <w:rPr>
          <w:rFonts w:hint="eastAsia"/>
        </w:rPr>
        <w:t>1</w:t>
      </w:r>
      <w:r>
        <w:t>-</w:t>
      </w:r>
      <w:r>
        <w:rPr>
          <w:rFonts w:hint="eastAsia"/>
        </w:rPr>
        <w:t>6。</w:t>
      </w:r>
    </w:p>
    <w:p>
      <w:pPr>
        <w:adjustRightInd w:val="0"/>
        <w:snapToGrid w:val="0"/>
        <w:ind w:firstLine="0" w:firstLineChars="0"/>
        <w:jc w:val="center"/>
        <w:rPr>
          <w:b/>
          <w:sz w:val="21"/>
        </w:rPr>
      </w:pPr>
      <w:r>
        <w:rPr>
          <w:b/>
          <w:sz w:val="21"/>
        </w:rPr>
        <w:t>表3.1</w:t>
      </w:r>
      <w:r>
        <w:rPr>
          <w:rFonts w:hint="eastAsia"/>
          <w:b/>
          <w:sz w:val="21"/>
        </w:rPr>
        <w:t>1</w:t>
      </w:r>
      <w:r>
        <w:rPr>
          <w:b/>
          <w:sz w:val="21"/>
        </w:rPr>
        <w:t>-</w:t>
      </w:r>
      <w:r>
        <w:rPr>
          <w:rFonts w:hint="eastAsia"/>
          <w:b/>
          <w:sz w:val="21"/>
        </w:rPr>
        <w:t>6</w:t>
      </w:r>
      <w:r>
        <w:rPr>
          <w:b/>
          <w:sz w:val="21"/>
        </w:rPr>
        <w:t>桥面径流中污染物浓度测定值</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16"/>
        <w:gridCol w:w="1996"/>
        <w:gridCol w:w="1856"/>
        <w:gridCol w:w="1715"/>
        <w:gridCol w:w="11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816"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项目</w:t>
            </w:r>
          </w:p>
        </w:tc>
        <w:tc>
          <w:tcPr>
            <w:tcW w:w="703"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5~20min</w:t>
            </w:r>
          </w:p>
        </w:tc>
        <w:tc>
          <w:tcPr>
            <w:tcW w:w="65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20~40min</w:t>
            </w:r>
          </w:p>
        </w:tc>
        <w:tc>
          <w:tcPr>
            <w:tcW w:w="60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40~60min</w:t>
            </w:r>
          </w:p>
        </w:tc>
        <w:tc>
          <w:tcPr>
            <w:tcW w:w="40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平均值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816"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pH</w:t>
            </w:r>
          </w:p>
        </w:tc>
        <w:tc>
          <w:tcPr>
            <w:tcW w:w="703"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7.0~7.8</w:t>
            </w:r>
          </w:p>
        </w:tc>
        <w:tc>
          <w:tcPr>
            <w:tcW w:w="65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7.0~7.8</w:t>
            </w:r>
          </w:p>
        </w:tc>
        <w:tc>
          <w:tcPr>
            <w:tcW w:w="60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7.0~7.8</w:t>
            </w:r>
          </w:p>
        </w:tc>
        <w:tc>
          <w:tcPr>
            <w:tcW w:w="402"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SS</w:t>
            </w:r>
            <w:r>
              <w:rPr>
                <w:rFonts w:ascii="Times New Roman" w:hAnsi="Times New Roman" w:cs="Times New Roman"/>
                <w:sz w:val="21"/>
                <w:szCs w:val="21"/>
              </w:rPr>
              <w:t>（</w:t>
            </w:r>
            <w:r>
              <w:rPr>
                <w:rFonts w:ascii="Times New Roman" w:hAnsi="Times New Roman" w:eastAsia="Times New Roman" w:cs="Times New Roman"/>
                <w:sz w:val="21"/>
                <w:szCs w:val="21"/>
              </w:rPr>
              <w:t>mg/L</w:t>
            </w:r>
            <w:r>
              <w:rPr>
                <w:rFonts w:ascii="Times New Roman" w:hAnsi="Times New Roman" w:cs="Times New Roman"/>
                <w:sz w:val="21"/>
                <w:szCs w:val="21"/>
              </w:rPr>
              <w:t>）</w:t>
            </w:r>
          </w:p>
        </w:tc>
        <w:tc>
          <w:tcPr>
            <w:tcW w:w="703"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231.42~158.22</w:t>
            </w:r>
          </w:p>
        </w:tc>
        <w:tc>
          <w:tcPr>
            <w:tcW w:w="65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158.52~90.36</w:t>
            </w:r>
          </w:p>
        </w:tc>
        <w:tc>
          <w:tcPr>
            <w:tcW w:w="60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90.36~18.71</w:t>
            </w:r>
          </w:p>
        </w:tc>
        <w:tc>
          <w:tcPr>
            <w:tcW w:w="402"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BOD</w:t>
            </w:r>
            <w:r>
              <w:rPr>
                <w:rFonts w:ascii="Times New Roman" w:hAnsi="Times New Roman" w:eastAsia="Times New Roman" w:cs="Times New Roman"/>
                <w:position w:val="-2"/>
                <w:sz w:val="21"/>
                <w:szCs w:val="21"/>
                <w:vertAlign w:val="subscript"/>
              </w:rPr>
              <w:t>5</w:t>
            </w:r>
            <w:r>
              <w:rPr>
                <w:rFonts w:ascii="Times New Roman" w:hAnsi="Times New Roman" w:cs="Times New Roman"/>
                <w:sz w:val="21"/>
                <w:szCs w:val="21"/>
              </w:rPr>
              <w:t>（</w:t>
            </w:r>
            <w:r>
              <w:rPr>
                <w:rFonts w:ascii="Times New Roman" w:hAnsi="Times New Roman" w:eastAsia="Times New Roman" w:cs="Times New Roman"/>
                <w:sz w:val="21"/>
                <w:szCs w:val="21"/>
              </w:rPr>
              <w:t>mg/L</w:t>
            </w:r>
            <w:r>
              <w:rPr>
                <w:rFonts w:ascii="Times New Roman" w:hAnsi="Times New Roman" w:cs="Times New Roman"/>
                <w:sz w:val="21"/>
                <w:szCs w:val="21"/>
              </w:rPr>
              <w:t>）</w:t>
            </w:r>
          </w:p>
        </w:tc>
        <w:tc>
          <w:tcPr>
            <w:tcW w:w="703"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7.34~7.30</w:t>
            </w:r>
          </w:p>
        </w:tc>
        <w:tc>
          <w:tcPr>
            <w:tcW w:w="65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7.30~4.15</w:t>
            </w:r>
          </w:p>
        </w:tc>
        <w:tc>
          <w:tcPr>
            <w:tcW w:w="60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4.15~1.26</w:t>
            </w:r>
          </w:p>
        </w:tc>
        <w:tc>
          <w:tcPr>
            <w:tcW w:w="402"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5.08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石油类（</w:t>
            </w:r>
            <w:r>
              <w:rPr>
                <w:rFonts w:ascii="Times New Roman" w:hAnsi="Times New Roman" w:eastAsia="Times New Roman" w:cs="Times New Roman"/>
                <w:sz w:val="21"/>
                <w:szCs w:val="21"/>
              </w:rPr>
              <w:t>mg/L</w:t>
            </w:r>
            <w:r>
              <w:rPr>
                <w:rFonts w:ascii="Times New Roman" w:hAnsi="Times New Roman" w:cs="Times New Roman"/>
                <w:sz w:val="21"/>
                <w:szCs w:val="21"/>
              </w:rPr>
              <w:t>）</w:t>
            </w:r>
          </w:p>
        </w:tc>
        <w:tc>
          <w:tcPr>
            <w:tcW w:w="703"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22.30~19.74</w:t>
            </w:r>
          </w:p>
        </w:tc>
        <w:tc>
          <w:tcPr>
            <w:tcW w:w="65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19.74~3.12</w:t>
            </w:r>
          </w:p>
        </w:tc>
        <w:tc>
          <w:tcPr>
            <w:tcW w:w="604"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3.12~0.21</w:t>
            </w:r>
          </w:p>
        </w:tc>
        <w:tc>
          <w:tcPr>
            <w:tcW w:w="402"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11.25</w:t>
            </w:r>
          </w:p>
        </w:tc>
      </w:tr>
    </w:tbl>
    <w:p>
      <w:pPr>
        <w:adjustRightInd w:val="0"/>
        <w:snapToGrid w:val="0"/>
        <w:ind w:firstLine="480"/>
        <w:rPr>
          <w:rFonts w:cs="宋体"/>
        </w:rPr>
      </w:pPr>
      <w:r>
        <w:rPr>
          <w:rFonts w:cs="宋体"/>
        </w:rPr>
        <w:t>从表中可以看出，降雨对公路附近河流造成的影响主要是降雨初期</w:t>
      </w:r>
      <w:r>
        <w:rPr>
          <w:rFonts w:eastAsia="Times New Roman"/>
        </w:rPr>
        <w:t>1h</w:t>
      </w:r>
      <w:r>
        <w:rPr>
          <w:rFonts w:cs="宋体"/>
        </w:rPr>
        <w:t>内形成的路面径流。降雨初期到形成桥面径流的</w:t>
      </w:r>
      <w:r>
        <w:rPr>
          <w:rFonts w:eastAsia="Times New Roman"/>
        </w:rPr>
        <w:t>30min</w:t>
      </w:r>
      <w:r>
        <w:rPr>
          <w:rFonts w:cs="宋体"/>
        </w:rPr>
        <w:t>内，雨水中的悬浮物和油类</w:t>
      </w:r>
      <w:r>
        <w:rPr>
          <w:rFonts w:cs="宋体"/>
          <w:spacing w:val="2"/>
        </w:rPr>
        <w:t>物质的浓度比较高，</w:t>
      </w:r>
      <w:r>
        <w:rPr>
          <w:rFonts w:eastAsia="Times New Roman"/>
          <w:spacing w:val="2"/>
        </w:rPr>
        <w:t>30min</w:t>
      </w:r>
      <w:r>
        <w:rPr>
          <w:rFonts w:cs="宋体"/>
          <w:spacing w:val="3"/>
        </w:rPr>
        <w:t>后，其浓度随降雨历时的延长下降较快，雨水中生</w:t>
      </w:r>
      <w:r>
        <w:rPr>
          <w:rFonts w:cs="宋体"/>
        </w:rPr>
        <w:t>化需氧量随降雨历时的延长下降速度稍慢，</w:t>
      </w:r>
      <w:r>
        <w:rPr>
          <w:rFonts w:eastAsia="Times New Roman"/>
        </w:rPr>
        <w:t>pH</w:t>
      </w:r>
      <w:r>
        <w:rPr>
          <w:rFonts w:cs="宋体"/>
        </w:rPr>
        <w:t>值相对较稳定，降雨历时</w:t>
      </w:r>
      <w:r>
        <w:rPr>
          <w:rFonts w:eastAsia="Times New Roman"/>
        </w:rPr>
        <w:t>40min</w:t>
      </w:r>
      <w:r>
        <w:rPr>
          <w:rFonts w:cs="宋体"/>
          <w:spacing w:val="-3"/>
        </w:rPr>
        <w:t>后，路（桥）面基本被冲洗干净。所以，降雨对周围环境造成影响的主要是降雨</w:t>
      </w:r>
      <w:r>
        <w:rPr>
          <w:rFonts w:cs="宋体"/>
        </w:rPr>
        <w:t>初期</w:t>
      </w:r>
      <w:r>
        <w:rPr>
          <w:rFonts w:eastAsia="Times New Roman"/>
        </w:rPr>
        <w:t>1h</w:t>
      </w:r>
      <w:r>
        <w:rPr>
          <w:rFonts w:cs="宋体"/>
        </w:rPr>
        <w:t>内形成的路面径流。</w:t>
      </w:r>
    </w:p>
    <w:p>
      <w:pPr>
        <w:adjustRightInd w:val="0"/>
        <w:snapToGrid w:val="0"/>
        <w:ind w:firstLine="480"/>
        <w:rPr>
          <w:rFonts w:cs="宋体"/>
        </w:rPr>
      </w:pPr>
      <w:r>
        <w:rPr>
          <w:rFonts w:cs="宋体"/>
        </w:rPr>
        <w:t>（</w:t>
      </w:r>
      <w:r>
        <w:rPr>
          <w:rFonts w:hint="eastAsia" w:cs="宋体"/>
        </w:rPr>
        <w:t>2</w:t>
      </w:r>
      <w:r>
        <w:rPr>
          <w:rFonts w:cs="宋体"/>
        </w:rPr>
        <w:t>）交通事故对水环境的影响</w:t>
      </w:r>
    </w:p>
    <w:p>
      <w:pPr>
        <w:adjustRightInd w:val="0"/>
        <w:snapToGrid w:val="0"/>
        <w:ind w:firstLine="480"/>
        <w:rPr>
          <w:rFonts w:cs="宋体"/>
        </w:rPr>
      </w:pPr>
      <w:r>
        <w:rPr>
          <w:rFonts w:cs="宋体"/>
        </w:rPr>
        <w:t>装载危险品的车辆因发生交通事故或者密闭不严泄漏、滴漏至路面，经雨水冲刷会造成水体污染，或者装载危险品的车辆行使至桥梁时发生事故，危险品泄漏或者车翻入河流将直接导致水体的污染。</w:t>
      </w:r>
      <w:r>
        <w:rPr>
          <w:rFonts w:hint="eastAsia" w:cs="宋体"/>
        </w:rPr>
        <w:t>邻近冷咀头河</w:t>
      </w:r>
      <w:r>
        <w:rPr>
          <w:rFonts w:cs="宋体"/>
        </w:rPr>
        <w:t>区段道路</w:t>
      </w:r>
      <w:r>
        <w:rPr>
          <w:rFonts w:hint="eastAsia" w:cs="宋体"/>
        </w:rPr>
        <w:t>临河</w:t>
      </w:r>
      <w:r>
        <w:rPr>
          <w:rFonts w:cs="宋体"/>
        </w:rPr>
        <w:t>一侧</w:t>
      </w:r>
      <w:r>
        <w:rPr>
          <w:rFonts w:hint="eastAsia" w:cs="宋体"/>
        </w:rPr>
        <w:t>及穿越遵化市堡子店水源地路段两侧设置</w:t>
      </w:r>
      <w:r>
        <w:rPr>
          <w:rFonts w:cs="宋体"/>
        </w:rPr>
        <w:t>防渗边沟</w:t>
      </w:r>
      <w:r>
        <w:rPr>
          <w:rFonts w:hint="eastAsia" w:cs="宋体"/>
        </w:rPr>
        <w:t>及防撞护栏，桥梁建设有防撞栏及桥面径流收集系统，将收集废水排入</w:t>
      </w:r>
      <w:r>
        <w:rPr>
          <w:rFonts w:hint="eastAsia" w:hAnsi="宋体"/>
          <w:szCs w:val="24"/>
        </w:rPr>
        <w:t>事故池</w:t>
      </w:r>
      <w:r>
        <w:rPr>
          <w:rFonts w:hint="eastAsia" w:cs="宋体"/>
        </w:rPr>
        <w:t>中，避免事故废水排入河中，污染水环境。</w:t>
      </w:r>
    </w:p>
    <w:p>
      <w:pPr>
        <w:pStyle w:val="190"/>
        <w:spacing w:beforeLines="0" w:afterLines="0"/>
      </w:pPr>
      <w:r>
        <w:t>3.1</w:t>
      </w:r>
      <w:r>
        <w:rPr>
          <w:rFonts w:hint="eastAsia"/>
        </w:rPr>
        <w:t>1</w:t>
      </w:r>
      <w:r>
        <w:t>.2.4</w:t>
      </w:r>
      <w:r>
        <w:rPr>
          <w:rFonts w:hint="eastAsia"/>
        </w:rPr>
        <w:t>固体废物</w:t>
      </w:r>
    </w:p>
    <w:p>
      <w:pPr>
        <w:adjustRightInd w:val="0"/>
        <w:snapToGrid w:val="0"/>
        <w:ind w:firstLine="480"/>
        <w:rPr>
          <w:rFonts w:cs="宋体"/>
        </w:rPr>
      </w:pPr>
      <w:r>
        <w:rPr>
          <w:rFonts w:cs="宋体"/>
        </w:rPr>
        <w:t>工程营运期</w:t>
      </w:r>
      <w:r>
        <w:t>公路上行驶车辆洒落的固体废物，如纸屑、果皮、塑料用具等废弃物会对沿线周边环境产生不利影响，由专职的公路环卫工人定期清理。</w:t>
      </w:r>
    </w:p>
    <w:p>
      <w:pPr>
        <w:pStyle w:val="190"/>
        <w:spacing w:beforeLines="0" w:afterLines="0"/>
      </w:pPr>
      <w:r>
        <w:t>3.1</w:t>
      </w:r>
      <w:r>
        <w:rPr>
          <w:rFonts w:hint="eastAsia"/>
        </w:rPr>
        <w:t>1</w:t>
      </w:r>
      <w:r>
        <w:t>.2.5</w:t>
      </w:r>
      <w:r>
        <w:rPr>
          <w:rFonts w:hint="eastAsia"/>
        </w:rPr>
        <w:t>营运期对</w:t>
      </w:r>
      <w:r>
        <w:t>生态环境的影响</w:t>
      </w:r>
    </w:p>
    <w:p>
      <w:pPr>
        <w:adjustRightInd w:val="0"/>
        <w:snapToGrid w:val="0"/>
        <w:ind w:firstLine="480"/>
        <w:rPr>
          <w:rFonts w:cs="宋体"/>
        </w:rPr>
      </w:pPr>
      <w:r>
        <w:rPr>
          <w:rFonts w:cs="宋体"/>
        </w:rPr>
        <w:t>公路营运期对生态环境的影响主要表现：对公路两侧野生动物的阻隔或阻断影响；临时占地植被未及时恢复对景观的影响</w:t>
      </w:r>
      <w:r>
        <w:rPr>
          <w:rFonts w:hint="eastAsia" w:cs="宋体"/>
        </w:rPr>
        <w:t>。</w:t>
      </w:r>
    </w:p>
    <w:p>
      <w:pPr>
        <w:pStyle w:val="5"/>
        <w:spacing w:beforeLines="0" w:afterLines="0"/>
      </w:pPr>
      <w:bookmarkStart w:id="86" w:name="_Toc141284067"/>
      <w:r>
        <w:t>3.</w:t>
      </w:r>
      <w:r>
        <w:rPr>
          <w:rFonts w:hint="eastAsia"/>
        </w:rPr>
        <w:t>12总量控制分析</w:t>
      </w:r>
      <w:bookmarkEnd w:id="86"/>
    </w:p>
    <w:p>
      <w:pPr>
        <w:pStyle w:val="204"/>
        <w:spacing w:line="480" w:lineRule="exact"/>
        <w:ind w:firstLine="0" w:firstLineChars="0"/>
        <w:outlineLvl w:val="2"/>
        <w:rPr>
          <w:b/>
          <w:sz w:val="28"/>
          <w:szCs w:val="28"/>
        </w:rPr>
      </w:pPr>
      <w:r>
        <w:rPr>
          <w:b/>
          <w:sz w:val="28"/>
          <w:szCs w:val="28"/>
        </w:rPr>
        <w:t>3.</w:t>
      </w:r>
      <w:r>
        <w:rPr>
          <w:rFonts w:hint="eastAsia"/>
          <w:b/>
          <w:sz w:val="28"/>
          <w:szCs w:val="28"/>
        </w:rPr>
        <w:t>12</w:t>
      </w:r>
      <w:r>
        <w:rPr>
          <w:b/>
          <w:sz w:val="28"/>
          <w:szCs w:val="28"/>
        </w:rPr>
        <w:t>.1</w:t>
      </w:r>
      <w:r>
        <w:rPr>
          <w:rFonts w:hint="eastAsia" w:ascii="宋体" w:hAnsi="宋体"/>
          <w:b/>
          <w:bCs/>
          <w:sz w:val="28"/>
          <w:szCs w:val="28"/>
        </w:rPr>
        <w:t>污染物总量</w:t>
      </w:r>
      <w:r>
        <w:rPr>
          <w:rFonts w:ascii="宋体" w:hAnsi="宋体"/>
          <w:b/>
          <w:bCs/>
          <w:sz w:val="28"/>
          <w:szCs w:val="28"/>
        </w:rPr>
        <w:t>控制基本原则</w:t>
      </w:r>
    </w:p>
    <w:p>
      <w:pPr>
        <w:adjustRightInd w:val="0"/>
        <w:snapToGrid w:val="0"/>
        <w:ind w:firstLine="480"/>
        <w:rPr>
          <w:rFonts w:cs="宋体"/>
        </w:rPr>
      </w:pPr>
      <w:r>
        <w:rPr>
          <w:rFonts w:cs="宋体"/>
        </w:rPr>
        <w:t>根据国家环境保护“十三五”规划并结合本工程公路沿线的环境质量状况和外排污染物特征，确定工程总量控制因子为：</w:t>
      </w:r>
    </w:p>
    <w:p>
      <w:pPr>
        <w:adjustRightInd w:val="0"/>
        <w:snapToGrid w:val="0"/>
        <w:ind w:firstLine="480"/>
        <w:rPr>
          <w:rFonts w:cs="宋体"/>
        </w:rPr>
      </w:pPr>
      <w:r>
        <w:rPr>
          <w:rFonts w:cs="宋体"/>
        </w:rPr>
        <w:t>大气污染物：SO</w:t>
      </w:r>
      <w:r>
        <w:rPr>
          <w:rFonts w:cs="宋体"/>
          <w:vertAlign w:val="subscript"/>
        </w:rPr>
        <w:t>2</w:t>
      </w:r>
      <w:r>
        <w:rPr>
          <w:rFonts w:cs="宋体"/>
        </w:rPr>
        <w:t>、NO</w:t>
      </w:r>
      <w:r>
        <w:rPr>
          <w:rFonts w:hint="eastAsia" w:cs="宋体"/>
        </w:rPr>
        <w:t>x，</w:t>
      </w:r>
      <w:r>
        <w:rPr>
          <w:rFonts w:cs="宋体"/>
        </w:rPr>
        <w:t>废水污染物：COD、氨氮</w:t>
      </w:r>
      <w:r>
        <w:rPr>
          <w:rFonts w:hint="eastAsia" w:cs="宋体"/>
        </w:rPr>
        <w:t>。</w:t>
      </w:r>
    </w:p>
    <w:p>
      <w:pPr>
        <w:pStyle w:val="204"/>
        <w:spacing w:line="480" w:lineRule="exact"/>
        <w:ind w:firstLine="0" w:firstLineChars="0"/>
        <w:outlineLvl w:val="2"/>
        <w:rPr>
          <w:b/>
          <w:sz w:val="28"/>
          <w:szCs w:val="28"/>
        </w:rPr>
      </w:pPr>
      <w:r>
        <w:rPr>
          <w:b/>
          <w:sz w:val="28"/>
          <w:szCs w:val="28"/>
        </w:rPr>
        <w:t>3.</w:t>
      </w:r>
      <w:r>
        <w:rPr>
          <w:rFonts w:hint="eastAsia"/>
          <w:b/>
          <w:sz w:val="28"/>
          <w:szCs w:val="28"/>
        </w:rPr>
        <w:t>12</w:t>
      </w:r>
      <w:r>
        <w:rPr>
          <w:b/>
          <w:sz w:val="28"/>
          <w:szCs w:val="28"/>
        </w:rPr>
        <w:t>.2</w:t>
      </w:r>
      <w:r>
        <w:rPr>
          <w:rFonts w:hint="eastAsia" w:ascii="宋体" w:hAnsi="宋体"/>
          <w:b/>
          <w:bCs/>
          <w:sz w:val="28"/>
          <w:szCs w:val="28"/>
        </w:rPr>
        <w:t>总量控制</w:t>
      </w:r>
      <w:r>
        <w:rPr>
          <w:rFonts w:ascii="宋体" w:hAnsi="宋体"/>
          <w:b/>
          <w:bCs/>
          <w:sz w:val="28"/>
          <w:szCs w:val="28"/>
        </w:rPr>
        <w:t>目标确定</w:t>
      </w:r>
    </w:p>
    <w:p>
      <w:pPr>
        <w:adjustRightInd w:val="0"/>
        <w:snapToGrid w:val="0"/>
        <w:ind w:firstLine="480"/>
        <w:rPr>
          <w:rFonts w:cs="宋体"/>
        </w:rPr>
      </w:pPr>
      <w:r>
        <w:rPr>
          <w:rFonts w:cs="宋体"/>
        </w:rPr>
        <w:t>本项目</w:t>
      </w:r>
      <w:r>
        <w:rPr>
          <w:rFonts w:hint="eastAsia" w:cs="宋体"/>
        </w:rPr>
        <w:t>运行期</w:t>
      </w:r>
      <w:r>
        <w:rPr>
          <w:rFonts w:cs="宋体"/>
        </w:rPr>
        <w:t>不存在SO</w:t>
      </w:r>
      <w:r>
        <w:rPr>
          <w:rFonts w:cs="宋体"/>
          <w:vertAlign w:val="subscript"/>
        </w:rPr>
        <w:t>2</w:t>
      </w:r>
      <w:r>
        <w:rPr>
          <w:rFonts w:cs="宋体"/>
        </w:rPr>
        <w:t>、NO</w:t>
      </w:r>
      <w:r>
        <w:rPr>
          <w:rFonts w:cs="宋体"/>
          <w:vertAlign w:val="subscript"/>
        </w:rPr>
        <w:t>x</w:t>
      </w:r>
      <w:r>
        <w:rPr>
          <w:rFonts w:hint="eastAsia" w:cs="宋体"/>
        </w:rPr>
        <w:t>、</w:t>
      </w:r>
      <w:r>
        <w:rPr>
          <w:rFonts w:cs="宋体"/>
        </w:rPr>
        <w:t>COD</w:t>
      </w:r>
      <w:r>
        <w:rPr>
          <w:rFonts w:hint="eastAsia" w:cs="宋体"/>
        </w:rPr>
        <w:t>、</w:t>
      </w:r>
      <w:r>
        <w:rPr>
          <w:rFonts w:cs="宋体"/>
        </w:rPr>
        <w:t>氨氮的排放。</w:t>
      </w:r>
    </w:p>
    <w:p>
      <w:pPr>
        <w:adjustRightInd w:val="0"/>
        <w:snapToGrid w:val="0"/>
        <w:ind w:firstLine="480"/>
        <w:rPr>
          <w:rFonts w:cs="宋体"/>
        </w:rPr>
      </w:pPr>
      <w:r>
        <w:rPr>
          <w:rFonts w:cs="宋体"/>
        </w:rPr>
        <w:t>因此，本项目总量控制目标值为SO</w:t>
      </w:r>
      <w:r>
        <w:rPr>
          <w:rFonts w:cs="宋体"/>
          <w:vertAlign w:val="subscript"/>
        </w:rPr>
        <w:t>2</w:t>
      </w:r>
      <w:r>
        <w:rPr>
          <w:rFonts w:cs="宋体"/>
        </w:rPr>
        <w:t>：0t/a、NO</w:t>
      </w:r>
      <w:r>
        <w:rPr>
          <w:rFonts w:cs="宋体"/>
          <w:vertAlign w:val="subscript"/>
        </w:rPr>
        <w:t>X</w:t>
      </w:r>
      <w:r>
        <w:rPr>
          <w:rFonts w:cs="宋体"/>
        </w:rPr>
        <w:t>：0t/a、COD：0t/a、氨氮：0t/a。</w:t>
      </w:r>
    </w:p>
    <w:bookmarkEnd w:id="69"/>
    <w:bookmarkEnd w:id="70"/>
    <w:bookmarkEnd w:id="71"/>
    <w:bookmarkEnd w:id="72"/>
    <w:p>
      <w:pPr>
        <w:ind w:firstLine="480"/>
        <w:rPr>
          <w:highlight w:val="yellow"/>
        </w:rPr>
      </w:pPr>
      <w:bookmarkStart w:id="87" w:name="_Toc286612243"/>
      <w:bookmarkStart w:id="88" w:name="_Toc113081125"/>
      <w:bookmarkStart w:id="89" w:name="_Toc286603698"/>
      <w:bookmarkStart w:id="90" w:name="_Toc107981058"/>
      <w:bookmarkStart w:id="91" w:name="_Toc309805156"/>
    </w:p>
    <w:p>
      <w:pPr>
        <w:ind w:firstLine="480"/>
        <w:rPr>
          <w:highlight w:val="yellow"/>
        </w:rPr>
        <w:sectPr>
          <w:footerReference r:id="rId25" w:type="default"/>
          <w:pgSz w:w="11906" w:h="16838"/>
          <w:pgMar w:top="1418" w:right="1418" w:bottom="1418" w:left="1474" w:header="964" w:footer="964" w:gutter="0"/>
          <w:cols w:space="720" w:num="1"/>
          <w:docGrid w:linePitch="326" w:charSpace="0"/>
        </w:sectPr>
      </w:pPr>
    </w:p>
    <w:p>
      <w:pPr>
        <w:pStyle w:val="4"/>
        <w:spacing w:beforeLines="0" w:afterLines="0"/>
      </w:pPr>
      <w:bookmarkStart w:id="92" w:name="_Toc141284068"/>
      <w:r>
        <w:rPr>
          <w:rFonts w:hint="eastAsia"/>
        </w:rPr>
        <w:t>4环境现状调查与分析</w:t>
      </w:r>
      <w:bookmarkEnd w:id="92"/>
    </w:p>
    <w:p>
      <w:pPr>
        <w:pStyle w:val="5"/>
        <w:spacing w:beforeLines="0" w:afterLines="0"/>
      </w:pPr>
      <w:bookmarkStart w:id="93" w:name="_Toc141284069"/>
      <w:r>
        <w:rPr>
          <w:rFonts w:hint="eastAsia"/>
        </w:rPr>
        <w:t>4</w:t>
      </w:r>
      <w:r>
        <w:t>.1</w:t>
      </w:r>
      <w:r>
        <w:rPr>
          <w:rFonts w:hint="eastAsia"/>
        </w:rPr>
        <w:t>自然环境现状与评价</w:t>
      </w:r>
      <w:bookmarkEnd w:id="93"/>
    </w:p>
    <w:p>
      <w:pPr>
        <w:pStyle w:val="204"/>
        <w:spacing w:line="480" w:lineRule="exact"/>
        <w:ind w:firstLine="0" w:firstLineChars="0"/>
        <w:outlineLvl w:val="2"/>
        <w:rPr>
          <w:b/>
          <w:sz w:val="28"/>
          <w:szCs w:val="28"/>
        </w:rPr>
      </w:pPr>
      <w:r>
        <w:rPr>
          <w:rFonts w:hint="eastAsia"/>
          <w:b/>
          <w:sz w:val="28"/>
          <w:szCs w:val="28"/>
        </w:rPr>
        <w:t>4.1.1地理位置</w:t>
      </w:r>
    </w:p>
    <w:p>
      <w:pPr>
        <w:ind w:firstLine="480"/>
      </w:pPr>
      <w:r>
        <w:t>遵化市位于河北省东北部燕山南麓古长城脚下，素有“畿东第一城”之称。其地理位置位于东经</w:t>
      </w:r>
      <w:r>
        <w:rPr>
          <w:spacing w:val="-8"/>
        </w:rPr>
        <w:t>117°34′－118°14′，北纬39°55′－40°22′</w:t>
      </w:r>
      <w:r>
        <w:t>。北以长城与兴隆县为界，南、西南与玉田县、丰润区相邻，东与迁西县相接，西与天津市蓟县搭界，总面积1509 km²。</w:t>
      </w:r>
    </w:p>
    <w:p>
      <w:pPr>
        <w:ind w:firstLine="480"/>
        <w:rPr>
          <w:highlight w:val="yellow"/>
        </w:rPr>
      </w:pPr>
      <w:r>
        <w:t>本项目位于</w:t>
      </w:r>
      <w:r>
        <w:rPr>
          <w:kern w:val="24"/>
        </w:rPr>
        <w:t>遵化市</w:t>
      </w:r>
      <w:r>
        <w:t>堡子店镇西新店子村南，厂区中心地理坐标为北纬40°8′41.25″、东经117°49′1.79″。本项目厂区外四周均为空地。本项目地理位置见附图4.1-1</w:t>
      </w:r>
      <w:r>
        <w:rPr>
          <w:szCs w:val="24"/>
        </w:rPr>
        <w:t>。</w:t>
      </w:r>
    </w:p>
    <w:p>
      <w:pPr>
        <w:ind w:firstLine="480"/>
        <w:rPr>
          <w:szCs w:val="24"/>
        </w:rPr>
      </w:pPr>
      <w:r>
        <w:t>本项目位于</w:t>
      </w:r>
      <w:r>
        <w:rPr>
          <w:szCs w:val="24"/>
        </w:rPr>
        <w:t>河北省</w:t>
      </w:r>
      <w:r>
        <w:rPr>
          <w:rFonts w:hint="eastAsia"/>
          <w:szCs w:val="24"/>
        </w:rPr>
        <w:t>唐山市遵化市境内</w:t>
      </w:r>
      <w:r>
        <w:rPr>
          <w:szCs w:val="24"/>
        </w:rPr>
        <w:t>，</w:t>
      </w:r>
      <w:r>
        <w:rPr>
          <w:kern w:val="0"/>
          <w:szCs w:val="24"/>
        </w:rPr>
        <w:t>项目的起点</w:t>
      </w:r>
      <w:r>
        <w:rPr>
          <w:rFonts w:hint="eastAsia"/>
        </w:rPr>
        <w:t xml:space="preserve">位于苏家洼镇原国道 </w:t>
      </w:r>
      <w:r>
        <w:t>G112</w:t>
      </w:r>
      <w:r>
        <w:rPr>
          <w:rFonts w:hint="eastAsia"/>
        </w:rPr>
        <w:t>线与</w:t>
      </w:r>
      <w:r>
        <w:t>G230</w:t>
      </w:r>
      <w:r>
        <w:rPr>
          <w:rFonts w:hint="eastAsia"/>
        </w:rPr>
        <w:t>交叉口处</w:t>
      </w:r>
      <w:r>
        <w:rPr>
          <w:rFonts w:hint="eastAsia"/>
          <w:kern w:val="0"/>
          <w:szCs w:val="24"/>
        </w:rPr>
        <w:t>（</w:t>
      </w:r>
      <w:r>
        <w:rPr>
          <w:szCs w:val="24"/>
        </w:rPr>
        <w:t>E11</w:t>
      </w:r>
      <w:r>
        <w:rPr>
          <w:rFonts w:hint="eastAsia"/>
          <w:szCs w:val="24"/>
        </w:rPr>
        <w:t>7</w:t>
      </w:r>
      <w:r>
        <w:rPr>
          <w:szCs w:val="24"/>
        </w:rPr>
        <w:t>°</w:t>
      </w:r>
      <w:r>
        <w:rPr>
          <w:rFonts w:hint="eastAsia"/>
          <w:szCs w:val="24"/>
        </w:rPr>
        <w:t>57</w:t>
      </w:r>
      <w:r>
        <w:rPr>
          <w:szCs w:val="24"/>
        </w:rPr>
        <w:t>'</w:t>
      </w:r>
      <w:r>
        <w:rPr>
          <w:rFonts w:hint="eastAsia"/>
          <w:szCs w:val="24"/>
        </w:rPr>
        <w:t>34.575</w:t>
      </w:r>
      <w:r>
        <w:rPr>
          <w:szCs w:val="24"/>
        </w:rPr>
        <w:t>"、N</w:t>
      </w:r>
      <w:r>
        <w:rPr>
          <w:rFonts w:hint="eastAsia"/>
          <w:szCs w:val="24"/>
        </w:rPr>
        <w:t>40</w:t>
      </w:r>
      <w:r>
        <w:rPr>
          <w:szCs w:val="24"/>
        </w:rPr>
        <w:t>°</w:t>
      </w:r>
      <w:r>
        <w:rPr>
          <w:rFonts w:hint="eastAsia"/>
          <w:szCs w:val="24"/>
        </w:rPr>
        <w:t>13</w:t>
      </w:r>
      <w:r>
        <w:rPr>
          <w:szCs w:val="24"/>
        </w:rPr>
        <w:t>'</w:t>
      </w:r>
      <w:r>
        <w:rPr>
          <w:rFonts w:hint="eastAsia"/>
          <w:szCs w:val="24"/>
        </w:rPr>
        <w:t>2.129</w:t>
      </w:r>
      <w:r>
        <w:rPr>
          <w:szCs w:val="24"/>
        </w:rPr>
        <w:t>"</w:t>
      </w:r>
      <w:r>
        <w:rPr>
          <w:rFonts w:hint="eastAsia"/>
          <w:kern w:val="0"/>
          <w:szCs w:val="24"/>
        </w:rPr>
        <w:t>），终点位于</w:t>
      </w:r>
      <w:r>
        <w:t>遵化市南吴家坑村北，与</w:t>
      </w:r>
      <w:r>
        <w:rPr>
          <w:rFonts w:hint="eastAsia"/>
        </w:rPr>
        <w:t>原</w:t>
      </w:r>
      <w:r>
        <w:t>国道G112相接</w:t>
      </w:r>
      <w:r>
        <w:rPr>
          <w:szCs w:val="24"/>
        </w:rPr>
        <w:t>（E11</w:t>
      </w:r>
      <w:r>
        <w:rPr>
          <w:rFonts w:hint="eastAsia"/>
          <w:szCs w:val="24"/>
        </w:rPr>
        <w:t>7</w:t>
      </w:r>
      <w:r>
        <w:rPr>
          <w:szCs w:val="24"/>
        </w:rPr>
        <w:t>°</w:t>
      </w:r>
      <w:r>
        <w:rPr>
          <w:rFonts w:hint="eastAsia"/>
          <w:szCs w:val="24"/>
        </w:rPr>
        <w:t>58</w:t>
      </w:r>
      <w:r>
        <w:rPr>
          <w:szCs w:val="24"/>
        </w:rPr>
        <w:t>'</w:t>
      </w:r>
      <w:r>
        <w:rPr>
          <w:rFonts w:hint="eastAsia"/>
          <w:szCs w:val="24"/>
        </w:rPr>
        <w:t>26.524</w:t>
      </w:r>
      <w:r>
        <w:rPr>
          <w:szCs w:val="24"/>
        </w:rPr>
        <w:t>"、N</w:t>
      </w:r>
      <w:r>
        <w:rPr>
          <w:rFonts w:hint="eastAsia"/>
          <w:szCs w:val="24"/>
        </w:rPr>
        <w:t>40</w:t>
      </w:r>
      <w:r>
        <w:rPr>
          <w:szCs w:val="24"/>
        </w:rPr>
        <w:t>°</w:t>
      </w:r>
      <w:r>
        <w:rPr>
          <w:rFonts w:hint="eastAsia"/>
          <w:szCs w:val="24"/>
        </w:rPr>
        <w:t>7</w:t>
      </w:r>
      <w:r>
        <w:rPr>
          <w:szCs w:val="24"/>
        </w:rPr>
        <w:t>'</w:t>
      </w:r>
      <w:r>
        <w:rPr>
          <w:rFonts w:hint="eastAsia"/>
          <w:szCs w:val="24"/>
        </w:rPr>
        <w:t>31.596</w:t>
      </w:r>
      <w:r>
        <w:rPr>
          <w:szCs w:val="24"/>
        </w:rPr>
        <w:t>"）</w:t>
      </w:r>
      <w:r>
        <w:rPr>
          <w:rFonts w:hint="eastAsia"/>
          <w:kern w:val="0"/>
          <w:szCs w:val="24"/>
        </w:rPr>
        <w:t>。G112全线长18km，其中</w:t>
      </w:r>
      <w:r>
        <w:rPr>
          <w:szCs w:val="24"/>
        </w:rPr>
        <w:t>旧路利用段（K0+000～K7+774.608）约7.7</w:t>
      </w:r>
      <w:r>
        <w:rPr>
          <w:rFonts w:hint="eastAsia"/>
          <w:kern w:val="0"/>
          <w:szCs w:val="24"/>
        </w:rPr>
        <w:t>km，新建路段</w:t>
      </w:r>
      <w:r>
        <w:rPr>
          <w:szCs w:val="24"/>
        </w:rPr>
        <w:t>（K7+774.608～K17+999.500）约10.3</w:t>
      </w:r>
      <w:r>
        <w:rPr>
          <w:rFonts w:hint="eastAsia"/>
          <w:kern w:val="0"/>
          <w:szCs w:val="24"/>
        </w:rPr>
        <w:t>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rFonts w:hint="eastAsia"/>
          <w:szCs w:val="24"/>
        </w:rPr>
        <w:t>。</w:t>
      </w:r>
      <w:r>
        <w:rPr>
          <w:rFonts w:hint="eastAsia"/>
        </w:rPr>
        <w:t>本</w:t>
      </w:r>
      <w:r>
        <w:rPr>
          <w:rFonts w:hint="eastAsia"/>
          <w:szCs w:val="24"/>
        </w:rPr>
        <w:t>项目</w:t>
      </w:r>
      <w:r>
        <w:rPr>
          <w:szCs w:val="24"/>
        </w:rPr>
        <w:t>地理位置见附图1</w:t>
      </w:r>
      <w:r>
        <w:rPr>
          <w:rFonts w:hint="eastAsia"/>
          <w:szCs w:val="24"/>
        </w:rPr>
        <w:t>。路线走向见附图2。</w:t>
      </w:r>
    </w:p>
    <w:p>
      <w:pPr>
        <w:pStyle w:val="204"/>
        <w:spacing w:line="480" w:lineRule="exact"/>
        <w:ind w:firstLine="0" w:firstLineChars="0"/>
        <w:outlineLvl w:val="2"/>
        <w:rPr>
          <w:b/>
          <w:sz w:val="28"/>
          <w:szCs w:val="28"/>
        </w:rPr>
      </w:pPr>
      <w:r>
        <w:rPr>
          <w:rFonts w:hint="eastAsia"/>
          <w:b/>
          <w:sz w:val="28"/>
          <w:szCs w:val="28"/>
        </w:rPr>
        <w:t>4.1.2地形地貌</w:t>
      </w:r>
    </w:p>
    <w:p>
      <w:pPr>
        <w:ind w:firstLine="480"/>
      </w:pPr>
      <w:r>
        <w:t>遵化市全境由山区、丘陵、平原三种地貌组成。境内四周环山，中间为一平原，形成了遵化市三山两川的盆地地形。北部山势挺拔，山峰海拔高度多在500m以下，个别山峰海拔高度700～900m，山峦层叠，地面坡降达15%，山体上部有岩石裸露，植被较差，中下部及丘陵区多为褐土和淋溶褐土覆盖。两川平原为沙河、黎河、洪积而成，地势平坦开阔，地面坡降小于1%，海拔高程20～80m。总的地势是北高南低，东高西低，向西南微倾。表现为明显的山间盆地地貌特征，盆地周边为地势较高的低山丘陵，中部为平展的冲洪积平原，较大的地貌类型可分为以下几种：</w:t>
      </w:r>
    </w:p>
    <w:p>
      <w:pPr>
        <w:ind w:firstLine="480"/>
      </w:pPr>
      <w:r>
        <w:t>1）构造侵蚀低山丘陵</w:t>
      </w:r>
    </w:p>
    <w:p>
      <w:pPr>
        <w:ind w:firstLine="480"/>
      </w:pPr>
      <w:r>
        <w:t>主要分布于盆地的周边，北部和南部为由太古界片麻岩和由中元古界碳酸岩组成的裸露和半裸露的低山丘陵，标高100～500m，以常态山和干沟为主，裸露区地表溶蚀裂隙发育，坡脚可见碳酸盐岩角砾和蚀余红土。为碳酸盐岩风化产物。沟谷切割较深，多为排泄洪流的干谷，有不厚的松散沉积层充填。半裸露区以丘陵为主，上覆不厚的上更新统坡洪积层，在沟口两侧常形成剥蚀堆积台地。</w:t>
      </w:r>
    </w:p>
    <w:p>
      <w:pPr>
        <w:ind w:firstLine="480"/>
      </w:pPr>
      <w:r>
        <w:t>中部为由长城系下部的变质岩、碳酸盐岩、碎屑岩组成的低山丘陵，呈东西向弧形展布，标高200～500m，山势陡峻，沟谷切割较深。</w:t>
      </w:r>
    </w:p>
    <w:p>
      <w:pPr>
        <w:ind w:firstLine="480"/>
      </w:pPr>
      <w:r>
        <w:t>盆地内尚有零星分布的岛状残山峰，多呈东西向沿岩层走向展布，高度50～100m，为碳酸盐岩山体在侵蚀和剥蚀作用下形成的残留地地貌形态。</w:t>
      </w:r>
    </w:p>
    <w:p>
      <w:pPr>
        <w:ind w:firstLine="480"/>
      </w:pPr>
      <w:r>
        <w:t>2）侵蚀堆积平原洼地</w:t>
      </w:r>
    </w:p>
    <w:p>
      <w:pPr>
        <w:ind w:firstLine="480"/>
      </w:pPr>
      <w:r>
        <w:t>冲洪积平原：主要分布于盆地中部，由近代冲洪积层组成，地势平展，微向南缓倾，遵化北部盆地地面标高40～80m，地面坡度约3‰～5‰，南北宽4～8km，东西长度30～40km，面积323.3km2左右；南盆地地面标高18～30m，地面坡度约0.5‰，南北宽8～10km，东西长度25～30km，面积约90.7 km2  近山地带为规模不大的冲洪积扇裙，主要由沙、淋河冲积而成。</w:t>
      </w:r>
    </w:p>
    <w:p>
      <w:pPr>
        <w:ind w:firstLine="480"/>
      </w:pPr>
      <w:r>
        <w:t>河谷洼地：横贯全区的黎河、沙河、林河河谷两侧形成宽50～80m的河谷洼地，除碗蜒曲折的河床外，主要为河漫滩和局部土地，由近代冲积层组成，两侧多有天然堤域人工堤。</w:t>
      </w:r>
    </w:p>
    <w:p>
      <w:pPr>
        <w:ind w:firstLine="480"/>
      </w:pPr>
      <w:r>
        <w:t>山间谷地：分布于北部低山丘陵之间及以北地区，属北盆地的一部分，地势由北向南降低，坡度在3～5‰由冲洪积沙砾土组成，标高50～80m。山间沟谷发育，且多为张性断裂所成，往往成为沟通南北盆地的通道。</w:t>
      </w:r>
    </w:p>
    <w:p>
      <w:pPr>
        <w:ind w:firstLine="480"/>
      </w:pPr>
      <w:r>
        <w:t>项目区位于冲洪积缓斜地小区（II6-3），主要分布于遵化市中部以及西部，项目区地形相对平缓，西北高，东南低，详见图4.1-</w:t>
      </w:r>
      <w:r>
        <w:rPr>
          <w:rFonts w:hint="eastAsia"/>
        </w:rPr>
        <w:t>1。</w:t>
      </w:r>
    </w:p>
    <w:p>
      <w:pPr>
        <w:spacing w:line="240" w:lineRule="auto"/>
        <w:ind w:firstLine="0" w:firstLineChars="0"/>
        <w:jc w:val="center"/>
        <w:rPr>
          <w:szCs w:val="24"/>
          <w:highlight w:val="yellow"/>
        </w:rPr>
      </w:pPr>
      <w:r>
        <w:rPr>
          <w:highlight w:val="yellow"/>
        </w:rPr>
        <w:pict>
          <v:shape id="AutoShape 138" o:spid="_x0000_s1325" o:spt="62" type="#_x0000_t62" style="position:absolute;left:0pt;margin-left:149.4pt;margin-top:127.5pt;height:19.25pt;width:62pt;z-index:251545600;v-text-anchor:middle;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" adj="24857,47352">
            <v:path/>
            <v:fill opacity="26214f" focussize="0,0"/>
            <v:stroke weight="1pt" joinstyle="miter"/>
            <v:imagedata o:title=""/>
            <o:lock v:ext="edit"/>
            <v:textbox inset="2.54mm,0mm,2.54mm,1.27mm">
              <w:txbxContent>
                <w:p>
                  <w:pPr>
                    <w:spacing w:line="240" w:lineRule="auto"/>
                    <w:ind w:firstLine="0" w:firstLineChars="0"/>
                    <w:rPr>
                      <w:b/>
                      <w:color w:val="0000FF"/>
                      <w:sz w:val="21"/>
                    </w:rPr>
                  </w:pPr>
                  <w:r>
                    <w:rPr>
                      <w:rFonts w:hint="eastAsia"/>
                      <w:b/>
                      <w:color w:val="0000FF"/>
                      <w:sz w:val="21"/>
                    </w:rPr>
                    <w:t>项目位置</w:t>
                  </w:r>
                </w:p>
              </w:txbxContent>
            </v:textbox>
          </v:shape>
        </w:pict>
      </w:r>
      <w:r>
        <w:drawing>
          <wp:inline distT="0" distB="0" distL="0" distR="0">
            <wp:extent cx="5009515" cy="5597525"/>
            <wp:effectExtent l="19050" t="0" r="635" b="0"/>
            <wp:docPr id="83" name="图片 142" descr="地貌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2" descr="地貌图.png"/>
                    <pic:cNvPicPr>
                      <a:picLocks noChangeAspect="1" noChangeArrowheads="1"/>
                    </pic:cNvPicPr>
                  </pic:nvPicPr>
                  <pic:blipFill>
                    <a:blip r:embed="rId80" cstate="print"/>
                    <a:srcRect/>
                    <a:stretch>
                      <a:fillRect/>
                    </a:stretch>
                  </pic:blipFill>
                  <pic:spPr>
                    <a:xfrm>
                      <a:off x="0" y="0"/>
                      <a:ext cx="5009515" cy="5597525"/>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rFonts w:hint="eastAsia"/>
          <w:b/>
          <w:sz w:val="21"/>
        </w:rPr>
        <w:t>图4.1</w:t>
      </w:r>
      <w:r>
        <w:rPr>
          <w:b/>
          <w:sz w:val="21"/>
        </w:rPr>
        <w:t>-</w:t>
      </w:r>
      <w:r>
        <w:rPr>
          <w:rFonts w:hint="eastAsia"/>
          <w:b/>
          <w:sz w:val="21"/>
        </w:rPr>
        <w:t>1 项目所在区域地形图</w:t>
      </w:r>
    </w:p>
    <w:p>
      <w:pPr>
        <w:pStyle w:val="204"/>
        <w:spacing w:line="480" w:lineRule="exact"/>
        <w:ind w:firstLine="0" w:firstLineChars="0"/>
        <w:outlineLvl w:val="2"/>
        <w:rPr>
          <w:b/>
          <w:sz w:val="28"/>
          <w:szCs w:val="28"/>
        </w:rPr>
      </w:pPr>
      <w:r>
        <w:rPr>
          <w:rFonts w:hint="eastAsia"/>
          <w:b/>
          <w:sz w:val="28"/>
          <w:szCs w:val="28"/>
        </w:rPr>
        <w:t>4.1.3区域地质概况</w:t>
      </w:r>
    </w:p>
    <w:p>
      <w:pPr>
        <w:ind w:firstLine="480"/>
        <w:rPr>
          <w:bCs/>
        </w:rPr>
      </w:pPr>
      <w:r>
        <w:rPr>
          <w:bCs/>
        </w:rPr>
        <w:t>（1）基岩地质</w:t>
      </w:r>
    </w:p>
    <w:p>
      <w:pPr>
        <w:ind w:firstLine="480"/>
      </w:pPr>
      <w:r>
        <w:t>本区出露的地层主要为北部的太古界和南部的中元古界长城系和蓟县系。而在盆地中沉积了较厚的第四系。现由老至新简述如下：</w:t>
      </w:r>
    </w:p>
    <w:p>
      <w:pPr>
        <w:ind w:firstLine="480"/>
      </w:pPr>
      <w:r>
        <w:t>①太古界（Ar）</w:t>
      </w:r>
    </w:p>
    <w:p>
      <w:pPr>
        <w:ind w:firstLine="480"/>
      </w:pPr>
      <w:r>
        <w:t>在本区北部有出露，主要由各种片麻岩和混合岩组成，片麻理走向近南北，倾角一般大于80°。</w:t>
      </w:r>
    </w:p>
    <w:p>
      <w:pPr>
        <w:ind w:firstLine="480"/>
      </w:pPr>
      <w:r>
        <w:t>②中元古界</w:t>
      </w:r>
    </w:p>
    <w:p>
      <w:pPr>
        <w:ind w:firstLine="480"/>
      </w:pPr>
      <w:r>
        <w:t>长城系（Ch）：</w:t>
      </w:r>
    </w:p>
    <w:p>
      <w:pPr>
        <w:ind w:firstLine="480"/>
      </w:pPr>
      <w:r>
        <w:t>主要出露于笔架山－白草顶－天台山以南的广大地区，其中高于庄组伏于盆地的下部，总厚3746～4799m，自下而上由碎屑岩过度为碳酸盐岩，据岩石组合，可分为常州沟组（Chc）、串岭沟组（Chch）、团山子组（Cht）、大红峪组（Chd）、高于庄组（Chg）五个组。</w:t>
      </w:r>
    </w:p>
    <w:p>
      <w:pPr>
        <w:ind w:firstLine="480"/>
      </w:pPr>
      <w:r>
        <w:t>蓟县系（Jx）：</w:t>
      </w:r>
    </w:p>
    <w:p>
      <w:pPr>
        <w:ind w:firstLine="480"/>
      </w:pPr>
      <w:r>
        <w:t>在本区只见有杨庄组和雾迷山组。主要岩性为白云岩及碳酸盐岩。</w:t>
      </w:r>
    </w:p>
    <w:p>
      <w:pPr>
        <w:ind w:firstLine="480"/>
        <w:rPr>
          <w:bCs/>
        </w:rPr>
      </w:pPr>
      <w:r>
        <w:rPr>
          <w:bCs/>
        </w:rPr>
        <w:t>（2）第四纪地质</w:t>
      </w:r>
    </w:p>
    <w:p>
      <w:pPr>
        <w:ind w:firstLine="480"/>
      </w:pPr>
      <w:r>
        <w:t>①第四系沉积古地理特征</w:t>
      </w:r>
    </w:p>
    <w:p>
      <w:pPr>
        <w:ind w:firstLine="480"/>
      </w:pPr>
      <w:r>
        <w:t>遵化盆地是一个封闭的盆地，是在以太古界、长城系为主的古老基岩夷平面上发育起来的第四纪断陷盆地。由中部弧形山分成南北两个盆地，北盆地地势较高，以冲洪积近源粗粒相为主。南盆地地势较低，受水文网的切割，是北盆地的泄水区，由于地势的封闭性，以冲积湖积相为主，沉积厚度较大，据钻孔揭露，厚度大于250m。受基底拗陷深度的控制，第四系厚度自西向东和由南北两侧向中心增大。同时基底表面不平，低洼处形成厚层粘土及含砾粘土堆积，而在隆起处遭受削蚀，以后堆积粗粒层，往往形成基岩“天窗带”。</w:t>
      </w:r>
    </w:p>
    <w:p>
      <w:pPr>
        <w:ind w:firstLine="480"/>
      </w:pPr>
      <w:r>
        <w:t>由于受构造和地形的控制，第四系沉积物主要来源于北部和东部，因此使第四系沉积物在水平方向上，由东北向南西有明显的水平分带规律，沿此方向，沉积物颗粒粒度变细，厚度变薄，粘土质层分隔层次增多变厚，沉积物中有机质、腐殖质和可溶盐含量增加，在成因上由冲积洪积相过渡到冲积湖积相和湖积相。沿上述方向，沉积岩性由厚层含卵砂砾石向西渐变为淤泥质土夹粉细砂层，北盆地的沉积中心在夏庄子－纪庄子一带，南盆地的沉积中心在西南部漳泗河以西一带。由于盆地边缘山麓冲积扇和古州河水系的摆动，形成三角洲相、泛流相和湖滨相的河湖交互相沉积。并由于北部抬升较强，使河流由北向南摆动，沿盆地南侧发育，现代地貌轮廓反映这一特征。</w:t>
      </w:r>
    </w:p>
    <w:p>
      <w:pPr>
        <w:ind w:firstLine="480"/>
      </w:pPr>
      <w:r>
        <w:t>由于构造条件和古气候的差异，新生代以来盆地的沉积环境的演变具有不同的特征，第三纪时本区为一隆起剥蚀区，气候炎热，风化较剧，是中元古界碳酸盐岩古岩溶形成的主要时期。第四纪以来，古气候有很大的变化，孢粉资料表明，由第三纪的干热气候向温冷转化，并出现数次冷暖交替的变化。据钻孔揭露，在深部早更新世地层中，见有棕褐及棕红色泥砾层，可能为冰水－冰湖沉积物，推测在山麓地带可能有冰川活动，中上更新世以来，孢粉资料反映出古气候有两个由冷变暖旋回，总的向偏干旱转化，至更新世晚期气候变干而多洪水，湖水退缩，过度为较广的河湖交互相沉积，Q</w:t>
      </w:r>
      <w:r>
        <w:rPr>
          <w:vertAlign w:val="subscript"/>
        </w:rPr>
        <w:t>2</w:t>
      </w:r>
      <w:r>
        <w:t>冲洪积物在沉积厚度，分布范围和颗粒粒度上，较其以前有一定的扩展，以沙河、淋河尤为明显，形成冲积扇的前缘迭加分布。</w:t>
      </w:r>
    </w:p>
    <w:p>
      <w:pPr>
        <w:ind w:firstLine="480"/>
      </w:pPr>
      <w:r>
        <w:t>古气候的演变直接影响沉积环境的变化。第四纪以来，盆地周边断裂的活动，便盆地下陷，成为区域水源的汇聚中心，形成整个下更新世的以湖相为主的河湖相沉积，在垂直方向上岩性有由粗到细两个沉积旋回；中更新世湖水波及范围最广，沉积厚度最大，湖盆中心在漳四河以西一带，中更新世早期，由于北盆地的抬升，在本区东部形成范围较广厚度较大的古州河水下三角洲沉积，有些地区厚达百米以上，其中颗粒较粗的砾砂层占80%以上。中更新世晚期有范围较广，含淤泥质的静水湖积层，富含有机层、石灰质和腐殖质，且盐分含量相对较高，并具明显薄页状水平层理。中更新世以后，湖水范围逐渐退缩，湖盆较局限，而代之以范围较广，厚度较大的冲洪积层，但至少有三次较大范围的湖水超覆沉积，形成细粒的淤泥质土沉积层。更新世晚期，由于洪水的冲切，沙河、淋河、黎河泛流相几乎遍及全区，并于燕山口切穿外泄，成为彩亭桥冲洪积扇的物源。全新世以来，以河流冲洪积物为主，在本区西部低洼地带有范围不大的湖沼沉积。</w:t>
      </w:r>
    </w:p>
    <w:p>
      <w:pPr>
        <w:ind w:firstLine="480"/>
      </w:pPr>
      <w:r>
        <w:t>②第四纪地层</w:t>
      </w:r>
    </w:p>
    <w:p>
      <w:pPr>
        <w:ind w:firstLine="480"/>
      </w:pPr>
      <w:r>
        <w:t>盆地内第四纪地层分布较广，北盆地内最厚度达270m，南盆地内厚度最厚超过250m，由于地质构造、古地理条件的控制，使第四系沉积物在不同地貌单元和不同地质时期，其成因、岩相和岩性具有不同特征。工作区揭露的第四纪地层，由老至新划分为四个地层组。</w:t>
      </w:r>
    </w:p>
    <w:p>
      <w:pPr>
        <w:ind w:firstLine="480"/>
      </w:pPr>
      <w:r>
        <w:t>a 下更新统（Q</w:t>
      </w:r>
      <w:r>
        <w:rPr>
          <w:vertAlign w:val="subscript"/>
        </w:rPr>
        <w:t>P</w:t>
      </w:r>
      <w:r>
        <w:rPr>
          <w:vertAlign w:val="superscript"/>
        </w:rPr>
        <w:t>1</w:t>
      </w:r>
      <w:r>
        <w:t>）：</w:t>
      </w:r>
    </w:p>
    <w:p>
      <w:pPr>
        <w:ind w:firstLine="480"/>
      </w:pPr>
      <w:r>
        <w:t>为一套以湖积为主，边缘可能为冰水沉积层，地表无出露，根据岩性特点，可分为上下两段：上段为灰黄、灰褐色含淤泥质粘土及砂粘土，层理不明显，夹砂层，厚度10～20m。下段为棕红色、紫红色含砾粘土夹泥质砂卵石，含铁锰质结核，砾卵石磨圆度较差，厚度10～25m。不整合覆于基岩风化带之上。</w:t>
      </w:r>
    </w:p>
    <w:p>
      <w:pPr>
        <w:ind w:firstLine="480"/>
      </w:pPr>
      <w:r>
        <w:t>b 中更新统（Q</w:t>
      </w:r>
      <w:r>
        <w:rPr>
          <w:vertAlign w:val="subscript"/>
        </w:rPr>
        <w:t>P</w:t>
      </w:r>
      <w:r>
        <w:rPr>
          <w:vertAlign w:val="superscript"/>
        </w:rPr>
        <w:t>2</w:t>
      </w:r>
      <w:r>
        <w:t>）：</w:t>
      </w:r>
    </w:p>
    <w:p>
      <w:pPr>
        <w:ind w:firstLine="480"/>
      </w:pPr>
      <w:r>
        <w:t>为一还原环境下的灰色湖相沉积层，几乎遍布全区。在东部，沙河及淋河流域为冲洪积－湖积交互沉积的湖滨三角洲相堆积物。其厚度和底板埋深受基底拗陷深度的控制，自东向西渐浅变薄，以东部南北山前断裂之间深拗陷带厚度最大，底板深度大于200m，向西和盆地边缘地带变薄，一般60～80m，由于沉积物源来自北部和东部，沉积颗粒由东向西和自北向南变细，沉积中心在漳泗河一线。在垂向上，有自下而上由粗变细的沉积旋回。可分为上下两组。一般下组较粗，厚度较大，主要岩性为灰黄色棕黄色砂砾石含砾中组砂夹薄层灰黄色砂粘土，颗粒较粗，砂层厚度大，东部上游地区砂砾层厚达80余米，向西和盆地内部颗粒变细，厚40～70m；上组岩性较细，为蓝灰色、灰绿色、青灰色淤泥质土夹薄层粉细纱，含大量有机质、腐殖质及石灰质，含盐量相对较高，薄层状水平层理明显，为一静水湖积层，厚30～45m。在沉积中心为厚层淤泥质粘土夹薄层粉细砂，与下伏下更新统呈整合接触。</w:t>
      </w:r>
    </w:p>
    <w:p>
      <w:pPr>
        <w:ind w:firstLine="480"/>
      </w:pPr>
      <w:r>
        <w:t>c 上更新统（Q</w:t>
      </w:r>
      <w:r>
        <w:rPr>
          <w:vertAlign w:val="subscript"/>
        </w:rPr>
        <w:t>P</w:t>
      </w:r>
      <w:r>
        <w:rPr>
          <w:vertAlign w:val="superscript"/>
        </w:rPr>
        <w:t>3</w:t>
      </w:r>
      <w:r>
        <w:t>）：</w:t>
      </w:r>
    </w:p>
    <w:p>
      <w:pPr>
        <w:ind w:firstLine="480"/>
      </w:pPr>
      <w:r>
        <w:t>盆地边缘和上部地层为冲洪积相，盆地内部和下部地层为冲积湖积的河湖交互相沉积物。由于沉积物来源于北部和东部，沉积颗粒也有自东向西和由边缘向盆地内部变细的规律，沉积厚度和底板埋深受古地形的影响，由盆地边缘向内部增厚变深，一般厚度40～60m，在盆地边缘地带厚度变薄，变为20～30m。主要岩性在边缘地带为含卵砂砾石、中粗砂及黄色砂粘土，夹三层薄层灰色淤泥质土，在垂向上以早期和晚期冲积砂砾石层分布较广；在盆地内部为灰黄色、浅灰色冲湖积含淤泥质砂粘土与中细纱，细纱互层。上更新统是在湖水逐渐退缩，过渡为河湖相的过程中形成的。</w:t>
      </w:r>
    </w:p>
    <w:p>
      <w:pPr>
        <w:ind w:firstLine="480"/>
      </w:pPr>
      <w:r>
        <w:t>山麓地带有分布较广的冲积洪积砂卵石及黄土状土坡积碎石粘土层，覆于盆地周边山麓阶地之上，一般5～20m。</w:t>
      </w:r>
    </w:p>
    <w:p>
      <w:pPr>
        <w:ind w:firstLine="480"/>
      </w:pPr>
      <w:r>
        <w:t>d 全新统（Q</w:t>
      </w:r>
      <w:r>
        <w:rPr>
          <w:vertAlign w:val="subscript"/>
        </w:rPr>
        <w:t>h</w:t>
      </w:r>
      <w:r>
        <w:t>）：</w:t>
      </w:r>
    </w:p>
    <w:p>
      <w:pPr>
        <w:ind w:firstLine="480"/>
        <w:sectPr>
          <w:pgSz w:w="11906" w:h="16838"/>
          <w:pgMar w:top="1418" w:right="1418" w:bottom="1418" w:left="1474" w:header="964" w:footer="964" w:gutter="0"/>
          <w:cols w:space="720" w:num="1"/>
          <w:docGrid w:linePitch="326" w:charSpace="0"/>
        </w:sectPr>
      </w:pPr>
      <w:r>
        <w:t>广覆于盆地表层，以冲洪积、冲积物为主，局部有冲湖积物。主要为黎河、沙河、淋河近代洪泛沉积物。主要岩性为黄色、棕黄色、黄褐色砂粘土、粘砂土夹薄层砂，下部往往有砂砾石或中粗细砂层，厚度10～20m，沉积物颗粒粒度由北向南和自盆地边缘向内部变细的趋势。</w:t>
      </w:r>
    </w:p>
    <w:p>
      <w:pPr>
        <w:spacing w:line="240" w:lineRule="auto"/>
        <w:ind w:firstLine="480"/>
        <w:jc w:val="center"/>
      </w:pPr>
      <w:r>
        <w:pict>
          <v:shape id="自选图形 22" o:spid="_x0000_s1432" o:spt="62" type="#_x0000_t62" style="position:absolute;left:0pt;margin-left:286.95pt;margin-top:164.75pt;height:19.65pt;width:72.35pt;z-index:251752448;mso-width-relative:page;mso-height-relative:page;" filled="f" stroked="t" coordsize="21600,21600" adj="-9613,36495">
            <v:path/>
            <v:fill on="f" focussize="0,0"/>
            <v:stroke color="#FF0000" joinstyle="miter"/>
            <v:imagedata o:title=""/>
            <o:lock v:ext="edit"/>
            <v:textbox>
              <w:txbxContent>
                <w:p>
                  <w:pPr>
                    <w:spacing w:line="240" w:lineRule="auto"/>
                    <w:ind w:firstLine="321"/>
                    <w:rPr>
                      <w:b/>
                      <w:color w:val="0000FF"/>
                      <w:sz w:val="16"/>
                    </w:rPr>
                  </w:pPr>
                  <w:r>
                    <w:rPr>
                      <w:rFonts w:hint="eastAsia"/>
                      <w:b/>
                      <w:color w:val="0000FF"/>
                      <w:sz w:val="16"/>
                    </w:rPr>
                    <w:t>项目位置</w:t>
                  </w:r>
                </w:p>
              </w:txbxContent>
            </v:textbox>
          </v:shape>
        </w:pict>
      </w:r>
      <w:r>
        <w:drawing>
          <wp:inline distT="0" distB="0" distL="0" distR="0">
            <wp:extent cx="7832090" cy="5057140"/>
            <wp:effectExtent l="19050" t="0" r="0" b="0"/>
            <wp:docPr id="84" name="图片 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3" descr="1"/>
                    <pic:cNvPicPr>
                      <a:picLocks noChangeAspect="1" noChangeArrowheads="1"/>
                    </pic:cNvPicPr>
                  </pic:nvPicPr>
                  <pic:blipFill>
                    <a:blip r:embed="rId81" cstate="print"/>
                    <a:srcRect/>
                    <a:stretch>
                      <a:fillRect/>
                    </a:stretch>
                  </pic:blipFill>
                  <pic:spPr>
                    <a:xfrm>
                      <a:off x="0" y="0"/>
                      <a:ext cx="7832090" cy="5057140"/>
                    </a:xfrm>
                    <a:prstGeom prst="rect">
                      <a:avLst/>
                    </a:prstGeom>
                    <a:noFill/>
                    <a:ln w="9525">
                      <a:noFill/>
                      <a:miter lim="800000"/>
                      <a:headEnd/>
                      <a:tailEnd/>
                    </a:ln>
                    <a:effectLst/>
                  </pic:spPr>
                </pic:pic>
              </a:graphicData>
            </a:graphic>
          </wp:inline>
        </w:drawing>
      </w:r>
    </w:p>
    <w:p>
      <w:pPr>
        <w:adjustRightInd w:val="0"/>
        <w:snapToGrid w:val="0"/>
        <w:ind w:firstLine="0" w:firstLineChars="0"/>
        <w:jc w:val="center"/>
        <w:rPr>
          <w:b/>
          <w:sz w:val="21"/>
        </w:rPr>
      </w:pPr>
      <w:r>
        <w:rPr>
          <w:b/>
          <w:sz w:val="21"/>
        </w:rPr>
        <w:t>图4.1-</w:t>
      </w:r>
      <w:r>
        <w:rPr>
          <w:rFonts w:hint="eastAsia"/>
          <w:b/>
          <w:sz w:val="21"/>
        </w:rPr>
        <w:t>2</w:t>
      </w:r>
      <w:r>
        <w:rPr>
          <w:b/>
          <w:sz w:val="21"/>
        </w:rPr>
        <w:t xml:space="preserve">   区域地质图</w:t>
      </w:r>
    </w:p>
    <w:p>
      <w:pPr>
        <w:adjustRightInd w:val="0"/>
        <w:snapToGrid w:val="0"/>
        <w:ind w:firstLine="0" w:firstLineChars="0"/>
        <w:jc w:val="center"/>
        <w:rPr>
          <w:b/>
          <w:sz w:val="21"/>
        </w:rPr>
        <w:sectPr>
          <w:pgSz w:w="16840" w:h="11907" w:orient="landscape"/>
          <w:pgMar w:top="1644" w:right="1361" w:bottom="1361" w:left="1361" w:header="720" w:footer="720" w:gutter="0"/>
          <w:cols w:space="720" w:num="1"/>
        </w:sectPr>
      </w:pPr>
    </w:p>
    <w:p>
      <w:pPr>
        <w:ind w:firstLine="480"/>
        <w:rPr>
          <w:bCs/>
        </w:rPr>
      </w:pPr>
      <w:r>
        <w:rPr>
          <w:bCs/>
        </w:rPr>
        <w:t>（3）地质构造特征</w:t>
      </w:r>
    </w:p>
    <w:p>
      <w:pPr>
        <w:ind w:firstLine="480"/>
      </w:pPr>
      <w:r>
        <w:t>本区太古界变质岩构成的基底构造近南北向，由中元古界长城系构成近东西向的褶皱群是区内的主体构造；自北向南的应力场形成一系列中晚期近南北向的张性断裂和平推断裂；古生带以来的历次构造运动使盖层构造复杂化，并有两次岩浆活动，北东和东西的菱形断裂控制断陷盆地的形成，断块构造构成本区的宏观构造格局。</w:t>
      </w:r>
    </w:p>
    <w:p>
      <w:pPr>
        <w:ind w:firstLine="480"/>
      </w:pPr>
      <w:r>
        <w:t>新构造运动活跃，在老构造的基础上有继承性的发展，在区域上受北东和东西向菱形断裂的控制，形成本区第四纪断陷盆地，周边断裂控制着盆地的发育。盆地的主体延展方向近东西向，与区域构造一致。山区和平原的差异运动，不仅在山前形成广部的山麓基座阶地，也使盆地进一步下沉，盆地内呈东西向展布的阶梯断裂，使盆地中部深陷，在南北山前断裂之间，相成本区最深的幼陷带，据物探资料，最深达300余m。根据</w:t>
      </w:r>
      <w:r>
        <w:rPr>
          <w:vertAlign w:val="superscript"/>
        </w:rPr>
        <w:t>14</w:t>
      </w:r>
      <w:r>
        <w:t>Ｃ侧年资料，上更新世沉降速度4～7mm/a。</w:t>
      </w:r>
    </w:p>
    <w:p>
      <w:pPr>
        <w:ind w:firstLine="480"/>
      </w:pPr>
      <w:r>
        <w:t>在北部变质岩地区，一般呈单斜构造，片麻理走向近于南北或东北，向西或北西方向倾斜，倾角一般30～70°不等。局部地区出现直立和倒转现象。较大的断裂以北东、北西或近南北向为主。其它方向规模较小。</w:t>
      </w:r>
    </w:p>
    <w:p>
      <w:pPr>
        <w:adjustRightInd w:val="0"/>
        <w:snapToGrid w:val="0"/>
        <w:ind w:firstLine="0" w:firstLineChars="0"/>
        <w:jc w:val="center"/>
        <w:rPr>
          <w:b/>
          <w:sz w:val="21"/>
          <w:highlight w:val="yellow"/>
        </w:rPr>
      </w:pPr>
      <w:r>
        <w:t>在南部沉积岩地区，基岩总体走向近东西方向，向南倾斜。在莫台寺～大虫峪～吊虎崖形成向斜构造；而在党峪～大官屯～刘庄形成背斜构造。断裂也很发育，主要是北西向和东西向的断裂规模比较大，而北西方向的断裂大部分被后期煌斑岩脉充填</w:t>
      </w:r>
      <w:r>
        <w:rPr>
          <w:rFonts w:hint="eastAsia"/>
        </w:rPr>
        <w:t>。</w:t>
      </w:r>
    </w:p>
    <w:p>
      <w:pPr>
        <w:pStyle w:val="204"/>
        <w:spacing w:line="480" w:lineRule="exact"/>
        <w:ind w:firstLine="0" w:firstLineChars="0"/>
        <w:outlineLvl w:val="2"/>
        <w:rPr>
          <w:b/>
          <w:sz w:val="28"/>
          <w:szCs w:val="28"/>
        </w:rPr>
      </w:pPr>
      <w:r>
        <w:rPr>
          <w:rFonts w:hint="eastAsia"/>
          <w:b/>
          <w:sz w:val="28"/>
          <w:szCs w:val="28"/>
        </w:rPr>
        <w:t>4.1.4水文地质</w:t>
      </w:r>
    </w:p>
    <w:p>
      <w:pPr>
        <w:ind w:firstLine="480"/>
      </w:pPr>
      <w:r>
        <w:t>根据钻孔资料和钻孔物探资料分析、以及水源地的勘探钻孔资料，我们可以看出，勘探孔的出水量与含水层的利用厚度不成正相关，而出水量却与利用上部含水层利用情况成正相关，如ZS04、ZS06、ZS07号孔，利用段是从60米左右开始利用，单位出水量18.65～48.68m</w:t>
      </w:r>
      <w:r>
        <w:rPr>
          <w:vertAlign w:val="superscript"/>
        </w:rPr>
        <w:t>3</w:t>
      </w:r>
      <w:r>
        <w:t xml:space="preserve">/h.m，而其它钻孔利用段大多在80米以下，单位出水量却比较小，因此可以看出，深部含水层富水性较差，含水层风化或含泥质成分较高。 </w:t>
      </w:r>
    </w:p>
    <w:p>
      <w:pPr>
        <w:ind w:firstLine="480"/>
      </w:pPr>
      <w:r>
        <w:t>从总体上分析，该盆地的主要富水地段为上部含水层。根据地层结构分析，该区含水层为一个统一的第四系含水层，各含水层之间没有稳定的隔水层，因此该区的地下水含水层为一潜水微承压水含水系统。</w:t>
      </w:r>
    </w:p>
    <w:p>
      <w:pPr>
        <w:ind w:firstLine="480"/>
      </w:pPr>
      <w:r>
        <w:t>（2）水文地质分区</w:t>
      </w:r>
    </w:p>
    <w:p>
      <w:pPr>
        <w:ind w:firstLine="480"/>
      </w:pPr>
      <w:r>
        <w:t>根据区域水文地质剖面图（图4.1-3），按含水层岩性和地下水的埋藏条件，自上而下分述如下：</w:t>
      </w:r>
    </w:p>
    <w:p>
      <w:pPr>
        <w:ind w:firstLine="480"/>
      </w:pPr>
      <w:r>
        <w:t>（1）第四系含水组</w:t>
      </w:r>
    </w:p>
    <w:p>
      <w:pPr>
        <w:ind w:firstLine="480"/>
      </w:pPr>
      <w:r>
        <w:t>①第一含水段（孔隙潜水-微承压水含水段）</w:t>
      </w:r>
    </w:p>
    <w:p>
      <w:pPr>
        <w:ind w:firstLine="480"/>
      </w:pPr>
      <w:r>
        <w:t>主要岩性为砾卵石，中粗砂、中细砂夹少量粉土、粉质粘土。厚度19.0~25.0m，最厚50m，底板埋深51.0~58.0m。据本次勘察抽水资料，单位涌水量q=29.08L/s·m。渗透系数K=88.77m/d。当地农业灌溉及生活用水均取自该层。</w:t>
      </w:r>
    </w:p>
    <w:p>
      <w:pPr>
        <w:ind w:firstLine="480"/>
      </w:pPr>
      <w:r>
        <w:t>②第一隔水层</w:t>
      </w:r>
    </w:p>
    <w:p>
      <w:pPr>
        <w:ind w:firstLine="480"/>
      </w:pPr>
      <w:r>
        <w:t>主要岩性为粉土，厚度2~4m，底板埋深55~60m，水平延展性差，不连续。</w:t>
      </w:r>
    </w:p>
    <w:p>
      <w:pPr>
        <w:ind w:firstLine="480"/>
      </w:pPr>
      <w:r>
        <w:t>③第二含水段（深层承压水含水段）</w:t>
      </w:r>
    </w:p>
    <w:p>
      <w:pPr>
        <w:ind w:firstLine="480"/>
      </w:pPr>
      <w:r>
        <w:t>主要岩性为中粗砂及砾卵石。厚度150m左右，底板埋深一般224~235m，涌水量140~159m</w:t>
      </w:r>
      <w:r>
        <w:rPr>
          <w:vertAlign w:val="superscript"/>
        </w:rPr>
        <w:t>3</w:t>
      </w:r>
      <w:r>
        <w:t>/h，单位涌水量q=1.84~2.93L/s·m，地下水类型为：HCO</w:t>
      </w:r>
      <w:r>
        <w:rPr>
          <w:vertAlign w:val="subscript"/>
        </w:rPr>
        <w:t>3</w:t>
      </w:r>
      <w:r>
        <w:t>.SO</w:t>
      </w:r>
      <w:r>
        <w:rPr>
          <w:vertAlign w:val="subscript"/>
        </w:rPr>
        <w:t>4</w:t>
      </w:r>
      <w:r>
        <w:t>-Ca·Mg、HCO</w:t>
      </w:r>
      <w:r>
        <w:rPr>
          <w:vertAlign w:val="subscript"/>
        </w:rPr>
        <w:t>3</w:t>
      </w:r>
      <w:r>
        <w:t>·SO</w:t>
      </w:r>
      <w:r>
        <w:rPr>
          <w:vertAlign w:val="subscript"/>
        </w:rPr>
        <w:t>4</w:t>
      </w:r>
      <w:r>
        <w:t>-Na·Ca型，是当地工农业供水的后备水源。</w:t>
      </w:r>
    </w:p>
    <w:p>
      <w:pPr>
        <w:ind w:firstLine="480"/>
      </w:pPr>
      <w:r>
        <w:t>④第二隔水层</w:t>
      </w:r>
    </w:p>
    <w:p>
      <w:pPr>
        <w:ind w:firstLine="480"/>
      </w:pPr>
      <w:r>
        <w:t>根据水文地质剖面图6-5b，该剖面线起自八户庄，终至冷咀头河，包括ZS01~ZS088个钻孔，ZS02、ZS01、ZS05、ZS04钻孔揭露了基岩之上的隔水层，其余钻孔孔深均未达到该层深度，终孔于含水层中，根据揭露的隔水层情况，该层岩性主要为粉质粘土、粉土，厚度10~20m，底板埋深230~253m，地质时代为Q</w:t>
      </w:r>
      <w:r>
        <w:rPr>
          <w:vertAlign w:val="subscript"/>
        </w:rPr>
        <w:t>1</w:t>
      </w:r>
      <w:r>
        <w:t>。</w:t>
      </w:r>
    </w:p>
    <w:p>
      <w:pPr>
        <w:ind w:firstLine="480"/>
      </w:pPr>
      <w:r>
        <w:t>（2）基岩含水组</w:t>
      </w:r>
    </w:p>
    <w:p>
      <w:pPr>
        <w:ind w:firstLine="480"/>
      </w:pPr>
      <w:r>
        <w:t>①风化裂隙含水段</w:t>
      </w:r>
    </w:p>
    <w:p>
      <w:pPr>
        <w:ind w:firstLine="480"/>
      </w:pPr>
      <w:r>
        <w:rPr>
          <w:rFonts w:hint="eastAsia"/>
        </w:rPr>
        <w:t>本项目</w:t>
      </w:r>
      <w:r>
        <w:t>强风化带底板埋深239.06~272.72m，厚度0.60~4.30m。弱风化带底板埋深252.20~281.90m，厚度6.30~20.22m，岩性以斜长角闪片麻岩为主，少量铁石英岩，强风化带岩心多呈砂、土状，弱风化带岩心多为块状~柱状，裂隙较发育。</w:t>
      </w:r>
    </w:p>
    <w:p>
      <w:pPr>
        <w:ind w:firstLine="480"/>
      </w:pPr>
      <w:r>
        <w:t>②构造裂隙含水段</w:t>
      </w:r>
    </w:p>
    <w:p>
      <w:pPr>
        <w:ind w:firstLine="480"/>
      </w:pPr>
      <w:r>
        <w:t>矿层顶、底板围岩主要为斜长角闪片麻岩，岩心较完整，无明显的断裂构造，只在ZK17-3孔见到厚2.05的破碎带。根据DSJ-02井抽水试验结果Q=1.008m</w:t>
      </w:r>
      <w:r>
        <w:rPr>
          <w:vertAlign w:val="superscript"/>
        </w:rPr>
        <w:t>3</w:t>
      </w:r>
      <w:r>
        <w:t>/d，q=0.0036L/s·m，K=0.0276m/d。</w:t>
      </w:r>
    </w:p>
    <w:p>
      <w:pPr>
        <w:ind w:firstLine="480"/>
      </w:pPr>
      <w:r>
        <w:t>（3）不同含水岩组水位情况</w:t>
      </w:r>
    </w:p>
    <w:p>
      <w:pPr>
        <w:spacing w:after="120" w:afterLines="50"/>
        <w:ind w:firstLine="480"/>
      </w:pPr>
      <w:r>
        <w:t>本区地下水类型主要分为三类：松散岩类潜水-微承压水、松散岩类深层承压水、基岩水。通过水位调查，可知区内潜水水位标高大于30m，且由东南向西北水位标高逐步升高；根据《河北省遵化市堡子店水源地保护区调整技术报告》提供的水源地情况，堡子店水源地开采松散岩类深层承压水，水源地平均水位埋深14.85m，平均水位标高30.21m，平均水位坡度0.0013左右。</w:t>
      </w:r>
    </w:p>
    <w:p>
      <w:pPr>
        <w:spacing w:line="240" w:lineRule="auto"/>
        <w:ind w:firstLine="480"/>
        <w:jc w:val="center"/>
      </w:pPr>
      <w:r>
        <w:rPr>
          <w:bCs/>
        </w:rPr>
        <w:drawing>
          <wp:inline distT="0" distB="0" distL="0" distR="0">
            <wp:extent cx="4333240" cy="5422900"/>
            <wp:effectExtent l="19050" t="0" r="0" b="0"/>
            <wp:docPr id="86" name="图片 1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7" descr="2"/>
                    <pic:cNvPicPr>
                      <a:picLocks noChangeAspect="1" noChangeArrowheads="1"/>
                    </pic:cNvPicPr>
                  </pic:nvPicPr>
                  <pic:blipFill>
                    <a:blip r:embed="rId82" cstate="print"/>
                    <a:srcRect/>
                    <a:stretch>
                      <a:fillRect/>
                    </a:stretch>
                  </pic:blipFill>
                  <pic:spPr>
                    <a:xfrm>
                      <a:off x="0" y="0"/>
                      <a:ext cx="4333240" cy="5422900"/>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b/>
          <w:sz w:val="21"/>
        </w:rPr>
        <w:t>图4.1-3  1：50000水文地质剖面图</w:t>
      </w:r>
    </w:p>
    <w:p>
      <w:pPr>
        <w:ind w:firstLine="480"/>
      </w:pPr>
      <w:r>
        <w:t>（3）地下水补径排条件</w:t>
      </w:r>
    </w:p>
    <w:p>
      <w:pPr>
        <w:ind w:firstLine="480"/>
      </w:pPr>
      <w:r>
        <w:t>遵化北盆地是一个相对独立的水文地质单元，四周地表水分水岭和地下水分水岭基本一致，北部分水岭为冀北山地与冀东丘陵区的分界线，东边界为潮白河水系与滦河水系的分水岭，西边界大致为河北省与天津市的分界线，南边界为遵化南、北盆地的分界线，盆地流域面积1107km</w:t>
      </w:r>
      <w:r>
        <w:rPr>
          <w:vertAlign w:val="superscript"/>
        </w:rPr>
        <w:t>2</w:t>
      </w:r>
      <w:r>
        <w:t>。</w:t>
      </w:r>
    </w:p>
    <w:p>
      <w:pPr>
        <w:ind w:firstLine="480"/>
      </w:pPr>
      <w:r>
        <w:t>盆地区第四系地下水的补给主要有大气降水补给、河渠入渗补给、山区河谷、沟谷第四系潜流径流补给、山区基岩裂隙水的径流补给、除此之外还有灌溉回归补给。</w:t>
      </w:r>
    </w:p>
    <w:p>
      <w:pPr>
        <w:ind w:firstLine="480"/>
      </w:pPr>
      <w:r>
        <w:t>盆地流域的山区，降水后，一部分转换为地表径流顺沟谷汇入河流进入盆地区，一部分是大气降水后入渗补给风化裂隙带和构造裂隙带，基岩裂隙水经过径流汇入低洼的沟谷形成地下水潜流或直接以泉的形式出露于地表，地下潜流直接补给盆地区第四系地下水，出露于地表的泉水形成地表径流，一部分在有利地区补给地下水。</w:t>
      </w:r>
    </w:p>
    <w:p>
      <w:pPr>
        <w:ind w:firstLine="480"/>
      </w:pPr>
      <w:r>
        <w:t>通过以上分析，盆地区的地下水补给就是来源于该区域内的降水入渗补给。</w:t>
      </w:r>
    </w:p>
    <w:p>
      <w:pPr>
        <w:ind w:firstLine="480"/>
      </w:pPr>
      <w:r>
        <w:t>地下水的径流，在盆地内地下水的径流主要是受地形影响，总的方向是由北向南。最终流向最低洼地带，山区基岩裂隙地下水径流则是由高向低处径流，主要受地形及裂隙发育情况控制。盆地区地下水含水层主要以卵砾石构成径流条件较好，渗透系数一般在30～200m/d。</w:t>
      </w:r>
    </w:p>
    <w:p>
      <w:pPr>
        <w:ind w:firstLine="480"/>
      </w:pPr>
      <w:r>
        <w:t>地下水的排泄，天然条件下，地下水的径流在南北盆地连接处受到基岩的阻挡，地下水的排泄是在低洼地带转换成地表水，在基岩的低洼段，经河流流向南部盆地，主要河流有黎河和沙河，其它排泄方式还有潜水蒸发和地表水的蒸发。在目前条件下，地下水的人工开采成为了该区地下水的主要排泄方式，地下水转换为地表径流排泄和潜水蒸发，随着地下水开采量的不断增加，地下水位下降，地下水蒸发量目前很小，地下水的转换成地表径流量的水量也逐渐减少。</w:t>
      </w:r>
    </w:p>
    <w:p>
      <w:pPr>
        <w:pStyle w:val="204"/>
        <w:spacing w:line="480" w:lineRule="exact"/>
        <w:ind w:firstLine="0" w:firstLineChars="0"/>
        <w:outlineLvl w:val="2"/>
        <w:rPr>
          <w:b/>
          <w:sz w:val="28"/>
          <w:szCs w:val="28"/>
        </w:rPr>
      </w:pPr>
      <w:r>
        <w:rPr>
          <w:rFonts w:hint="eastAsia"/>
          <w:b/>
          <w:sz w:val="28"/>
          <w:szCs w:val="28"/>
        </w:rPr>
        <w:t>4.1.5水资源</w:t>
      </w:r>
    </w:p>
    <w:p>
      <w:pPr>
        <w:autoSpaceDE w:val="0"/>
        <w:autoSpaceDN w:val="0"/>
        <w:adjustRightInd w:val="0"/>
        <w:ind w:firstLine="480"/>
      </w:pPr>
      <w:r>
        <w:t>（1）地表水</w:t>
      </w:r>
    </w:p>
    <w:p>
      <w:pPr>
        <w:ind w:firstLine="480"/>
        <w:rPr>
          <w:snapToGrid w:val="0"/>
        </w:rPr>
      </w:pPr>
      <w:r>
        <w:rPr>
          <w:snapToGrid w:val="0"/>
        </w:rPr>
        <w:t>遵化市共有大小河流37条，河川汇水总面积1913km</w:t>
      </w:r>
      <w:r>
        <w:rPr>
          <w:snapToGrid w:val="0"/>
          <w:vertAlign w:val="superscript"/>
        </w:rPr>
        <w:t>2</w:t>
      </w:r>
      <w:r>
        <w:rPr>
          <w:snapToGrid w:val="0"/>
        </w:rPr>
        <w:t>，分属滦河、蓟运河两大流域水系。滦河流域在遵化市境内的只有遵化市东北角流域约41km</w:t>
      </w:r>
      <w:r>
        <w:rPr>
          <w:snapToGrid w:val="0"/>
          <w:vertAlign w:val="superscript"/>
        </w:rPr>
        <w:t>2</w:t>
      </w:r>
      <w:r>
        <w:rPr>
          <w:snapToGrid w:val="0"/>
        </w:rPr>
        <w:t>的洪山口河，该河向北流出长城洪山口，入兴隆县后折向东流入滦河。蓟运河流域水系在遵化市境内有沙河、黎河、还乡河、淋河（西大河）四大水系。</w:t>
      </w:r>
    </w:p>
    <w:p>
      <w:pPr>
        <w:ind w:firstLine="480"/>
        <w:rPr>
          <w:snapToGrid w:val="0"/>
        </w:rPr>
      </w:pPr>
      <w:r>
        <w:rPr>
          <w:snapToGrid w:val="0"/>
        </w:rPr>
        <w:t>沙河由东起市域东的主支沙河，往西有老爪河、清水河、冷咀头河、汤泉河、魏进河、马兰河，以扇状位于遵化市北半部市域中间地带。除老爪河源于本市区北石家口、汤泉河源于市西北汤泉北沟外，其他均源于兴隆县，汇流于扇轴水平口。沙河水系在水平口以上属季节性河流，其下游常年径流不断。沙河上游修建有般若院、上关两座中型水库。主支流沙河全长70km，流域面积866.2km</w:t>
      </w:r>
      <w:r>
        <w:rPr>
          <w:snapToGrid w:val="0"/>
          <w:vertAlign w:val="superscript"/>
        </w:rPr>
        <w:t>2</w:t>
      </w:r>
      <w:r>
        <w:rPr>
          <w:snapToGrid w:val="0"/>
        </w:rPr>
        <w:t>，其中遵化市域内流域面积山区272.7 km</w:t>
      </w:r>
      <w:r>
        <w:rPr>
          <w:snapToGrid w:val="0"/>
          <w:vertAlign w:val="superscript"/>
        </w:rPr>
        <w:t>2</w:t>
      </w:r>
      <w:r>
        <w:rPr>
          <w:snapToGrid w:val="0"/>
        </w:rPr>
        <w:t>，平原287.6 km</w:t>
      </w:r>
      <w:r>
        <w:rPr>
          <w:snapToGrid w:val="0"/>
          <w:vertAlign w:val="superscript"/>
        </w:rPr>
        <w:t>2</w:t>
      </w:r>
      <w:r>
        <w:rPr>
          <w:snapToGrid w:val="0"/>
        </w:rPr>
        <w:t>。</w:t>
      </w:r>
    </w:p>
    <w:p>
      <w:pPr>
        <w:ind w:firstLine="480"/>
        <w:rPr>
          <w:snapToGrid w:val="0"/>
        </w:rPr>
      </w:pPr>
      <w:r>
        <w:rPr>
          <w:snapToGrid w:val="0"/>
        </w:rPr>
        <w:t>黎河由北黎河与南黎河汇合后成黎河，现在河道已干涸，主要肩负行洪排泄和临时向天津供水双重功能，为</w:t>
      </w:r>
      <w:r>
        <w:rPr>
          <w:snapToGrid w:val="0"/>
        </w:rPr>
        <w:fldChar w:fldCharType="begin"/>
      </w:r>
      <w:r>
        <w:rPr>
          <w:snapToGrid w:val="0"/>
        </w:rPr>
        <w:instrText xml:space="preserve"> </w:instrText>
      </w:r>
      <w:r>
        <w:rPr>
          <w:rFonts w:hint="eastAsia"/>
          <w:snapToGrid w:val="0"/>
        </w:rPr>
        <w:instrText xml:space="preserve">= 2 \* ROMAN</w:instrText>
      </w:r>
      <w:r>
        <w:rPr>
          <w:snapToGrid w:val="0"/>
        </w:rPr>
        <w:instrText xml:space="preserve"> </w:instrText>
      </w:r>
      <w:r>
        <w:rPr>
          <w:snapToGrid w:val="0"/>
        </w:rPr>
        <w:fldChar w:fldCharType="separate"/>
      </w:r>
      <w:r>
        <w:rPr>
          <w:snapToGrid w:val="0"/>
        </w:rPr>
        <w:t>II</w:t>
      </w:r>
      <w:r>
        <w:rPr>
          <w:snapToGrid w:val="0"/>
        </w:rPr>
        <w:fldChar w:fldCharType="end"/>
      </w:r>
      <w:r>
        <w:rPr>
          <w:snapToGrid w:val="0"/>
        </w:rPr>
        <w:t>类水体。黎河水系均发源于遵化市境内，主河北黎河发源于遵化市东北部柴户场北沟，自东北流向西南，在蓟县苍山庄与沙河汇合成果河。黎河全长74km，流域面积562km</w:t>
      </w:r>
      <w:r>
        <w:rPr>
          <w:snapToGrid w:val="0"/>
          <w:vertAlign w:val="superscript"/>
        </w:rPr>
        <w:t>2</w:t>
      </w:r>
      <w:r>
        <w:rPr>
          <w:snapToGrid w:val="0"/>
        </w:rPr>
        <w:t>，占全市面积的36.9%。其中山区347km</w:t>
      </w:r>
      <w:r>
        <w:rPr>
          <w:snapToGrid w:val="0"/>
          <w:vertAlign w:val="superscript"/>
        </w:rPr>
        <w:t>2</w:t>
      </w:r>
      <w:r>
        <w:rPr>
          <w:snapToGrid w:val="0"/>
        </w:rPr>
        <w:t>（迁西县10km</w:t>
      </w:r>
      <w:r>
        <w:rPr>
          <w:snapToGrid w:val="0"/>
          <w:vertAlign w:val="superscript"/>
        </w:rPr>
        <w:t>2</w:t>
      </w:r>
      <w:r>
        <w:rPr>
          <w:snapToGrid w:val="0"/>
        </w:rPr>
        <w:t>），平原215km</w:t>
      </w:r>
      <w:r>
        <w:rPr>
          <w:snapToGrid w:val="0"/>
          <w:vertAlign w:val="superscript"/>
        </w:rPr>
        <w:t>2</w:t>
      </w:r>
      <w:r>
        <w:rPr>
          <w:snapToGrid w:val="0"/>
        </w:rPr>
        <w:t>。</w:t>
      </w:r>
    </w:p>
    <w:p>
      <w:pPr>
        <w:ind w:firstLine="480"/>
        <w:rPr>
          <w:snapToGrid w:val="0"/>
        </w:rPr>
      </w:pPr>
      <w:r>
        <w:rPr>
          <w:snapToGrid w:val="0"/>
        </w:rPr>
        <w:t>还乡河发源于迁西县新集，于玉田县南端入蓟运河下梢，是汇入蓟运河最大的支流。遵化市汇入还乡河水系的主要有铁厂河、娘娘庄河、党峪河以及鲁家峪河。还乡河在遵化市境内流域面积295.4km</w:t>
      </w:r>
      <w:r>
        <w:rPr>
          <w:snapToGrid w:val="0"/>
          <w:vertAlign w:val="superscript"/>
        </w:rPr>
        <w:t>2</w:t>
      </w:r>
      <w:r>
        <w:rPr>
          <w:snapToGrid w:val="0"/>
        </w:rPr>
        <w:t>。</w:t>
      </w:r>
    </w:p>
    <w:p>
      <w:pPr>
        <w:autoSpaceDE w:val="0"/>
        <w:autoSpaceDN w:val="0"/>
        <w:adjustRightInd w:val="0"/>
        <w:ind w:firstLine="480"/>
      </w:pPr>
      <w:r>
        <w:rPr>
          <w:snapToGrid w:val="0"/>
        </w:rPr>
        <w:t>淋河位于遵化市西部，发源于兴隆县南部若采山南麓，由长城楦门子口入遵化市，经东陵陵区南流出龙门口向西流，在小岳各庄南与北来支流汇合成淋河。至蓟县于桥水库区内的三叉口汇入果河成州河。全长50km，流域面积152km</w:t>
      </w:r>
      <w:r>
        <w:rPr>
          <w:snapToGrid w:val="0"/>
          <w:vertAlign w:val="superscript"/>
        </w:rPr>
        <w:t>2</w:t>
      </w:r>
      <w:r>
        <w:rPr>
          <w:snapToGrid w:val="0"/>
        </w:rPr>
        <w:t>，其中遵化市浅山区44km</w:t>
      </w:r>
      <w:r>
        <w:rPr>
          <w:snapToGrid w:val="0"/>
          <w:vertAlign w:val="superscript"/>
        </w:rPr>
        <w:t>2</w:t>
      </w:r>
      <w:r>
        <w:rPr>
          <w:snapToGrid w:val="0"/>
        </w:rPr>
        <w:t>，平原32km</w:t>
      </w:r>
      <w:r>
        <w:rPr>
          <w:snapToGrid w:val="0"/>
          <w:vertAlign w:val="superscript"/>
        </w:rPr>
        <w:t>2</w:t>
      </w:r>
      <w:r>
        <w:rPr>
          <w:snapToGrid w:val="0"/>
        </w:rPr>
        <w:t>。淋河中游修建了龙门口水库。</w:t>
      </w:r>
      <w:r>
        <w:t xml:space="preserve"> </w:t>
      </w:r>
    </w:p>
    <w:p>
      <w:pPr>
        <w:autoSpaceDE w:val="0"/>
        <w:autoSpaceDN w:val="0"/>
        <w:adjustRightInd w:val="0"/>
        <w:ind w:firstLine="480"/>
      </w:pPr>
      <w:r>
        <w:t>（2）地下水</w:t>
      </w:r>
    </w:p>
    <w:p>
      <w:pPr>
        <w:autoSpaceDE w:val="0"/>
        <w:autoSpaceDN w:val="0"/>
        <w:adjustRightInd w:val="0"/>
        <w:ind w:firstLine="480"/>
      </w:pPr>
      <w:r>
        <w:t>遵化平原大部分为第四系砾石孔隙含水岩组，分Ⅰ1、Ⅰ2、Ⅰ3三个组。高水位期水位埋深一般为4.6-8.6m。该区大部分地区水矿化度很低，多为重镁型水质。</w:t>
      </w:r>
    </w:p>
    <w:p>
      <w:pPr>
        <w:autoSpaceDE w:val="0"/>
        <w:autoSpaceDN w:val="0"/>
        <w:adjustRightInd w:val="0"/>
        <w:ind w:firstLine="480"/>
      </w:pPr>
      <w:r>
        <w:t>地下水的富积与运动状态主要受地质、地貌、埋藏条件等因素的控制，地下分水岭与地表分水岭基本一致，其地下水流向为由东北向西南，后汇入引滦入津干渠。</w:t>
      </w:r>
    </w:p>
    <w:p>
      <w:pPr>
        <w:autoSpaceDE w:val="0"/>
        <w:autoSpaceDN w:val="0"/>
        <w:adjustRightInd w:val="0"/>
        <w:ind w:firstLine="480"/>
      </w:pPr>
      <w:r>
        <w:t>地下水：北部山区的山谷地为冲积积砾、卵砂层的松散岩，属裂隙浅水含水层，单井出水量小于30m</w:t>
      </w:r>
      <w:r>
        <w:rPr>
          <w:vertAlign w:val="superscript"/>
        </w:rPr>
        <w:t>3</w:t>
      </w:r>
      <w:r>
        <w:t>/h，水位埋深5m，是该区主要地下水水源分布区。片麻岩地带地下水主要为上部风化裂隙水和局部构造裂隙脉状水，单井出水量0.6-1.3m</w:t>
      </w:r>
      <w:r>
        <w:rPr>
          <w:vertAlign w:val="superscript"/>
        </w:rPr>
        <w:t>3</w:t>
      </w:r>
      <w:r>
        <w:t>/h，构造破碎带可达30-40m</w:t>
      </w:r>
      <w:r>
        <w:rPr>
          <w:vertAlign w:val="superscript"/>
        </w:rPr>
        <w:t>3</w:t>
      </w:r>
      <w:r>
        <w:t>/h；泉水发育较好，但涌水量不大，一般为1.3-7.0 m</w:t>
      </w:r>
      <w:r>
        <w:rPr>
          <w:vertAlign w:val="superscript"/>
        </w:rPr>
        <w:t>3</w:t>
      </w:r>
      <w:r>
        <w:t>/h，群泉可达11.2-54 m</w:t>
      </w:r>
      <w:r>
        <w:rPr>
          <w:vertAlign w:val="superscript"/>
        </w:rPr>
        <w:t>3</w:t>
      </w:r>
      <w:r>
        <w:t>/h。花岗岩及花岗闪长岩地带，风化裂隙不发育，仅在个别地段有泉水出露。北部山区地下水资源不丰富，多年平均水量达2353万m</w:t>
      </w:r>
      <w:r>
        <w:rPr>
          <w:vertAlign w:val="superscript"/>
        </w:rPr>
        <w:t>3</w:t>
      </w:r>
      <w:r>
        <w:t xml:space="preserve">。 </w:t>
      </w:r>
    </w:p>
    <w:p>
      <w:pPr>
        <w:autoSpaceDE w:val="0"/>
        <w:autoSpaceDN w:val="0"/>
        <w:adjustRightInd w:val="0"/>
        <w:ind w:firstLine="480"/>
      </w:pPr>
      <w:r>
        <w:t>北川平原和南川平原：北川平原富水分布由北向南逐渐递增，中道山北侧极富水带单井出水量大于200 m</w:t>
      </w:r>
      <w:r>
        <w:rPr>
          <w:vertAlign w:val="superscript"/>
        </w:rPr>
        <w:t>3</w:t>
      </w:r>
      <w:r>
        <w:t>/h；洪冲积扇前缘及近洪积扇富水地带，单井出水量达100-200 m</w:t>
      </w:r>
      <w:r>
        <w:rPr>
          <w:vertAlign w:val="superscript"/>
        </w:rPr>
        <w:t>3</w:t>
      </w:r>
      <w:r>
        <w:t>/h；中等富水带位于扇间地带，单井出水量达50-100 m</w:t>
      </w:r>
      <w:r>
        <w:rPr>
          <w:vertAlign w:val="superscript"/>
        </w:rPr>
        <w:t>3</w:t>
      </w:r>
      <w:r>
        <w:t>/h，平原与山丘边缘是不含水和微含水的地带。</w:t>
      </w:r>
    </w:p>
    <w:p>
      <w:pPr>
        <w:autoSpaceDE w:val="0"/>
        <w:autoSpaceDN w:val="0"/>
        <w:adjustRightInd w:val="0"/>
        <w:ind w:firstLine="480"/>
      </w:pPr>
      <w:r>
        <w:t>北川平原和南川平原是遵化市地下水富水区：北川平原地下水资源多年平均总量达7000万m</w:t>
      </w:r>
      <w:r>
        <w:rPr>
          <w:vertAlign w:val="superscript"/>
        </w:rPr>
        <w:t>3</w:t>
      </w:r>
      <w:r>
        <w:t>/h；南川平原地下水由北向南逐渐递增，多年平均达6000 m</w:t>
      </w:r>
      <w:r>
        <w:rPr>
          <w:vertAlign w:val="superscript"/>
        </w:rPr>
        <w:t>3</w:t>
      </w:r>
      <w:r>
        <w:t>/h。</w:t>
      </w:r>
    </w:p>
    <w:p>
      <w:pPr>
        <w:autoSpaceDE w:val="0"/>
        <w:autoSpaceDN w:val="0"/>
        <w:adjustRightInd w:val="0"/>
        <w:ind w:firstLine="480"/>
      </w:pPr>
      <w:r>
        <w:t>中道山地带：中道山前冲积扇，地下水单井出水量一般为3-20 m</w:t>
      </w:r>
      <w:r>
        <w:rPr>
          <w:vertAlign w:val="superscript"/>
        </w:rPr>
        <w:t>3</w:t>
      </w:r>
      <w:r>
        <w:t>/h；石门西南片为淋河的冲洪积砂及砂含砾层，单井出水量为50-100 m</w:t>
      </w:r>
      <w:r>
        <w:rPr>
          <w:vertAlign w:val="superscript"/>
        </w:rPr>
        <w:t>3</w:t>
      </w:r>
      <w:r>
        <w:t>/h；姚各庄经蒋辛庄至国各庄狭长谷地，为冲洪积砂砾卵石层，表层2-3m，附以淤积泥层，单井出水量30 m</w:t>
      </w:r>
      <w:r>
        <w:rPr>
          <w:vertAlign w:val="superscript"/>
        </w:rPr>
        <w:t>3</w:t>
      </w:r>
      <w:r>
        <w:t>/h。中道山地带地下水资源多年平均总量达650万m</w:t>
      </w:r>
      <w:r>
        <w:rPr>
          <w:vertAlign w:val="superscript"/>
        </w:rPr>
        <w:t>3</w:t>
      </w:r>
      <w:r>
        <w:t>。</w:t>
      </w:r>
    </w:p>
    <w:p>
      <w:pPr>
        <w:ind w:firstLine="480"/>
        <w:rPr>
          <w:highlight w:val="yellow"/>
        </w:rPr>
      </w:pPr>
      <w:r>
        <w:t>东南山丘区：东南山丘区是遵化市缺水区，地下水资源多年平均达1567万m</w:t>
      </w:r>
      <w:r>
        <w:rPr>
          <w:vertAlign w:val="superscript"/>
        </w:rPr>
        <w:t>3</w:t>
      </w:r>
      <w:r>
        <w:t>。由高于庄和雾迷山两组构成的岩溶裂隙及地质构造的断层，向斜、背斜形成的条状带，单井出水一般为100-250 m</w:t>
      </w:r>
      <w:r>
        <w:rPr>
          <w:vertAlign w:val="superscript"/>
        </w:rPr>
        <w:t>3</w:t>
      </w:r>
      <w:r>
        <w:t>/h，涌泉量一般2-7 m</w:t>
      </w:r>
      <w:r>
        <w:rPr>
          <w:vertAlign w:val="superscript"/>
        </w:rPr>
        <w:t>3</w:t>
      </w:r>
      <w:r>
        <w:t>/h，地下水随雨水季节而变化；由大洪峪和杨庄两组构成岩溶裂隙发育，单井出水量20-30 m</w:t>
      </w:r>
      <w:r>
        <w:rPr>
          <w:vertAlign w:val="superscript"/>
        </w:rPr>
        <w:t>3</w:t>
      </w:r>
      <w:r>
        <w:t>/h。</w:t>
      </w:r>
    </w:p>
    <w:p>
      <w:pPr>
        <w:pStyle w:val="204"/>
        <w:spacing w:line="480" w:lineRule="exact"/>
        <w:ind w:firstLine="0" w:firstLineChars="0"/>
        <w:outlineLvl w:val="2"/>
        <w:rPr>
          <w:b/>
          <w:sz w:val="28"/>
          <w:szCs w:val="28"/>
        </w:rPr>
      </w:pPr>
      <w:r>
        <w:rPr>
          <w:rFonts w:hint="eastAsia"/>
          <w:b/>
          <w:sz w:val="28"/>
          <w:szCs w:val="28"/>
        </w:rPr>
        <w:t>4.1.6气候气象</w:t>
      </w:r>
    </w:p>
    <w:p>
      <w:pPr>
        <w:ind w:firstLine="480"/>
      </w:pPr>
      <w:r>
        <w:rPr>
          <w:snapToGrid w:val="0"/>
        </w:rPr>
        <w:t>遵化市</w:t>
      </w:r>
      <w:r>
        <w:t>属于温带半湿润季风气候，四季分明，具有春季干旱多风，夏季炎热多雨，秋季冷暖变化大，冬季寒冷干燥的特点。</w:t>
      </w:r>
    </w:p>
    <w:p>
      <w:pPr>
        <w:ind w:firstLine="480"/>
      </w:pPr>
      <w:r>
        <w:t>常年平均日照时数2608.2h。多年平均气温10.5℃，其中一月份最低，月平均气温－5～－8℃。历年最高气温为40.3℃，最低气温为－25.7℃。全年无霜期平均180d，初霜期一般在10月上旬，终霜期在次年4月份。</w:t>
      </w:r>
    </w:p>
    <w:p>
      <w:pPr>
        <w:ind w:firstLine="480"/>
      </w:pPr>
      <w:r>
        <w:t>本区降水较丰富，年均降水天数73.6d，多年平均降水量743.0mm见，但年际变化较大。由于受季风影响，夏秋两季（6～11月）降水量占全年降水量的85%上，其中以夏季（6～8月）雨量最大且集中，并多暴雨，占年降水量的74.2％。冬春两季雨水量一般小于降水的5%。区内多年平均蒸发量1025.14mm，年内蒸发量以3～10月份较高，尤以5月份最大，约占全年蒸发量的1/5。年际蒸发量变化较小，一般丰水年降水量大而蒸发量较小。</w:t>
      </w:r>
    </w:p>
    <w:p>
      <w:pPr>
        <w:spacing w:line="240" w:lineRule="auto"/>
        <w:ind w:firstLine="480"/>
        <w:jc w:val="center"/>
      </w:pPr>
      <w:r>
        <w:drawing>
          <wp:inline distT="0" distB="0" distL="0" distR="0">
            <wp:extent cx="4397375" cy="2632075"/>
            <wp:effectExtent l="19050" t="0" r="3175" b="0"/>
            <wp:docPr id="92"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3"/>
                    <pic:cNvPicPr>
                      <a:picLocks noChangeAspect="1" noChangeArrowheads="1"/>
                    </pic:cNvPicPr>
                  </pic:nvPicPr>
                  <pic:blipFill>
                    <a:blip r:embed="rId83" cstate="print"/>
                    <a:srcRect/>
                    <a:stretch>
                      <a:fillRect/>
                    </a:stretch>
                  </pic:blipFill>
                  <pic:spPr>
                    <a:xfrm>
                      <a:off x="0" y="0"/>
                      <a:ext cx="4397375" cy="2632075"/>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b/>
          <w:sz w:val="21"/>
        </w:rPr>
        <w:t>图4.1-4   遵化市历年降水量</w:t>
      </w:r>
    </w:p>
    <w:p>
      <w:pPr>
        <w:adjustRightInd w:val="0"/>
        <w:snapToGrid w:val="0"/>
        <w:ind w:firstLine="0" w:firstLineChars="0"/>
        <w:jc w:val="center"/>
        <w:rPr>
          <w:b/>
          <w:sz w:val="21"/>
        </w:rPr>
      </w:pPr>
    </w:p>
    <w:p>
      <w:pPr>
        <w:adjustRightInd w:val="0"/>
        <w:snapToGrid w:val="0"/>
        <w:ind w:firstLine="0" w:firstLineChars="0"/>
        <w:jc w:val="center"/>
        <w:rPr>
          <w:b/>
          <w:sz w:val="21"/>
        </w:rPr>
      </w:pPr>
      <w:r>
        <w:rPr>
          <w:b/>
          <w:sz w:val="21"/>
        </w:rPr>
        <w:t>表4.1-</w:t>
      </w:r>
      <w:r>
        <w:rPr>
          <w:rFonts w:hint="eastAsia"/>
          <w:b/>
          <w:sz w:val="21"/>
        </w:rPr>
        <w:t>1</w:t>
      </w:r>
      <w:r>
        <w:rPr>
          <w:b/>
          <w:sz w:val="21"/>
        </w:rPr>
        <w:t xml:space="preserve">  遵化市近20年气候气象参数一览表</w:t>
      </w:r>
    </w:p>
    <w:tbl>
      <w:tblPr>
        <w:tblStyle w:val="52"/>
        <w:tblW w:w="4999" w:type="pct"/>
        <w:tblInd w:w="15"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0" w:type="dxa"/>
          <w:bottom w:w="0" w:type="dxa"/>
          <w:right w:w="0" w:type="dxa"/>
        </w:tblCellMar>
      </w:tblPr>
      <w:tblGrid>
        <w:gridCol w:w="2111"/>
        <w:gridCol w:w="2427"/>
        <w:gridCol w:w="2242"/>
        <w:gridCol w:w="2242"/>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2"/>
              <w:jc w:val="center"/>
              <w:rPr>
                <w:b/>
                <w:sz w:val="21"/>
              </w:rPr>
            </w:pPr>
            <w:r>
              <w:rPr>
                <w:b/>
                <w:sz w:val="21"/>
              </w:rPr>
              <w:t>项目</w:t>
            </w:r>
          </w:p>
        </w:tc>
        <w:tc>
          <w:tcPr>
            <w:tcW w:w="1242" w:type="pct"/>
            <w:vAlign w:val="center"/>
          </w:tcPr>
          <w:p>
            <w:pPr>
              <w:spacing w:line="240" w:lineRule="auto"/>
              <w:ind w:firstLine="422"/>
              <w:jc w:val="center"/>
              <w:rPr>
                <w:b/>
                <w:sz w:val="21"/>
              </w:rPr>
            </w:pPr>
            <w:r>
              <w:rPr>
                <w:b/>
                <w:sz w:val="21"/>
              </w:rPr>
              <w:t>单位</w:t>
            </w:r>
          </w:p>
        </w:tc>
        <w:tc>
          <w:tcPr>
            <w:tcW w:w="1242" w:type="pct"/>
            <w:vAlign w:val="center"/>
          </w:tcPr>
          <w:p>
            <w:pPr>
              <w:spacing w:line="240" w:lineRule="auto"/>
              <w:ind w:firstLine="422"/>
              <w:jc w:val="center"/>
              <w:rPr>
                <w:b/>
                <w:sz w:val="21"/>
              </w:rPr>
            </w:pPr>
            <w:r>
              <w:rPr>
                <w:b/>
                <w:sz w:val="21"/>
              </w:rPr>
              <w:t>统计值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多年平均气温</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12.2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累年极端最高气温</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37.7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累年极端最低气温</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-15.9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多年平均气压</w:t>
            </w:r>
          </w:p>
        </w:tc>
        <w:tc>
          <w:tcPr>
            <w:tcW w:w="1242" w:type="pct"/>
            <w:vAlign w:val="center"/>
          </w:tcPr>
          <w:p>
            <w:pPr>
              <w:spacing w:line="240" w:lineRule="auto"/>
              <w:ind w:firstLine="420"/>
              <w:jc w:val="center"/>
              <w:rPr>
                <w:sz w:val="21"/>
              </w:rPr>
            </w:pPr>
            <w:r>
              <w:rPr>
                <w:sz w:val="21"/>
              </w:rPr>
              <w:t>hPa</w:t>
            </w:r>
          </w:p>
        </w:tc>
        <w:tc>
          <w:tcPr>
            <w:tcW w:w="1242" w:type="pct"/>
            <w:vAlign w:val="center"/>
          </w:tcPr>
          <w:p>
            <w:pPr>
              <w:spacing w:line="240" w:lineRule="auto"/>
              <w:ind w:firstLine="420"/>
              <w:jc w:val="center"/>
              <w:rPr>
                <w:sz w:val="21"/>
              </w:rPr>
            </w:pPr>
            <w:r>
              <w:rPr>
                <w:sz w:val="21"/>
              </w:rPr>
              <w:t>1010.0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多年平均水汽压</w:t>
            </w:r>
          </w:p>
        </w:tc>
        <w:tc>
          <w:tcPr>
            <w:tcW w:w="1242" w:type="pct"/>
            <w:vAlign w:val="center"/>
          </w:tcPr>
          <w:p>
            <w:pPr>
              <w:spacing w:line="240" w:lineRule="auto"/>
              <w:ind w:firstLine="420"/>
              <w:jc w:val="center"/>
              <w:rPr>
                <w:sz w:val="21"/>
              </w:rPr>
            </w:pPr>
            <w:r>
              <w:rPr>
                <w:sz w:val="21"/>
              </w:rPr>
              <w:t>hPa</w:t>
            </w:r>
          </w:p>
        </w:tc>
        <w:tc>
          <w:tcPr>
            <w:tcW w:w="1242" w:type="pct"/>
            <w:vAlign w:val="center"/>
          </w:tcPr>
          <w:p>
            <w:pPr>
              <w:spacing w:line="240" w:lineRule="auto"/>
              <w:ind w:firstLine="420"/>
              <w:jc w:val="center"/>
              <w:rPr>
                <w:sz w:val="21"/>
              </w:rPr>
            </w:pPr>
            <w:r>
              <w:rPr>
                <w:sz w:val="21"/>
              </w:rPr>
              <w:t>10.4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多年平均相对湿度</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56.3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多年平均降雨量</w:t>
            </w:r>
          </w:p>
        </w:tc>
        <w:tc>
          <w:tcPr>
            <w:tcW w:w="1242" w:type="pct"/>
            <w:vAlign w:val="center"/>
          </w:tcPr>
          <w:p>
            <w:pPr>
              <w:spacing w:line="240" w:lineRule="auto"/>
              <w:ind w:firstLine="420"/>
              <w:jc w:val="center"/>
              <w:rPr>
                <w:sz w:val="21"/>
              </w:rPr>
            </w:pPr>
            <w:r>
              <w:rPr>
                <w:sz w:val="21"/>
              </w:rPr>
              <w:t>mm</w:t>
            </w:r>
          </w:p>
        </w:tc>
        <w:tc>
          <w:tcPr>
            <w:tcW w:w="1242" w:type="pct"/>
            <w:vAlign w:val="center"/>
          </w:tcPr>
          <w:p>
            <w:pPr>
              <w:spacing w:line="240" w:lineRule="auto"/>
              <w:ind w:firstLine="420"/>
              <w:jc w:val="center"/>
              <w:rPr>
                <w:sz w:val="21"/>
              </w:rPr>
            </w:pPr>
            <w:r>
              <w:rPr>
                <w:sz w:val="21"/>
              </w:rPr>
              <w:t>634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1170" w:type="pct"/>
            <w:vMerge w:val="restart"/>
            <w:vAlign w:val="center"/>
          </w:tcPr>
          <w:p>
            <w:pPr>
              <w:spacing w:line="240" w:lineRule="auto"/>
              <w:ind w:firstLine="420"/>
              <w:jc w:val="center"/>
              <w:rPr>
                <w:sz w:val="21"/>
              </w:rPr>
            </w:pPr>
            <w:r>
              <w:rPr>
                <w:sz w:val="21"/>
              </w:rPr>
              <w:t>灾害天气统计</w:t>
            </w:r>
          </w:p>
        </w:tc>
        <w:tc>
          <w:tcPr>
            <w:tcW w:w="1345" w:type="pct"/>
            <w:vAlign w:val="center"/>
          </w:tcPr>
          <w:p>
            <w:pPr>
              <w:spacing w:line="240" w:lineRule="auto"/>
              <w:ind w:firstLine="420"/>
              <w:jc w:val="center"/>
              <w:rPr>
                <w:sz w:val="21"/>
              </w:rPr>
            </w:pPr>
            <w:r>
              <w:rPr>
                <w:sz w:val="21"/>
              </w:rPr>
              <w:t>多年平均沙暴日数</w:t>
            </w:r>
          </w:p>
        </w:tc>
        <w:tc>
          <w:tcPr>
            <w:tcW w:w="1242" w:type="pct"/>
            <w:vAlign w:val="center"/>
          </w:tcPr>
          <w:p>
            <w:pPr>
              <w:spacing w:line="240" w:lineRule="auto"/>
              <w:ind w:firstLine="420"/>
              <w:jc w:val="center"/>
              <w:rPr>
                <w:sz w:val="21"/>
              </w:rPr>
            </w:pPr>
            <w:r>
              <w:rPr>
                <w:sz w:val="21"/>
              </w:rPr>
              <w:t>d</w:t>
            </w:r>
          </w:p>
        </w:tc>
        <w:tc>
          <w:tcPr>
            <w:tcW w:w="1242" w:type="pct"/>
            <w:vAlign w:val="center"/>
          </w:tcPr>
          <w:p>
            <w:pPr>
              <w:spacing w:line="240" w:lineRule="auto"/>
              <w:ind w:firstLine="420"/>
              <w:jc w:val="center"/>
              <w:rPr>
                <w:sz w:val="21"/>
              </w:rPr>
            </w:pPr>
            <w:r>
              <w:rPr>
                <w:sz w:val="21"/>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1170" w:type="pct"/>
            <w:vMerge w:val="continue"/>
            <w:vAlign w:val="center"/>
          </w:tcPr>
          <w:p>
            <w:pPr>
              <w:spacing w:line="240" w:lineRule="auto"/>
              <w:ind w:firstLine="420"/>
              <w:jc w:val="center"/>
              <w:rPr>
                <w:sz w:val="21"/>
              </w:rPr>
            </w:pPr>
          </w:p>
        </w:tc>
        <w:tc>
          <w:tcPr>
            <w:tcW w:w="1345" w:type="pct"/>
            <w:vAlign w:val="center"/>
          </w:tcPr>
          <w:p>
            <w:pPr>
              <w:spacing w:line="240" w:lineRule="auto"/>
              <w:ind w:firstLine="420"/>
              <w:jc w:val="center"/>
              <w:rPr>
                <w:sz w:val="21"/>
              </w:rPr>
            </w:pPr>
            <w:r>
              <w:rPr>
                <w:sz w:val="21"/>
              </w:rPr>
              <w:t>多年平均雷暴日数</w:t>
            </w:r>
          </w:p>
        </w:tc>
        <w:tc>
          <w:tcPr>
            <w:tcW w:w="1242" w:type="pct"/>
            <w:vAlign w:val="center"/>
          </w:tcPr>
          <w:p>
            <w:pPr>
              <w:spacing w:line="240" w:lineRule="auto"/>
              <w:ind w:firstLine="420"/>
              <w:jc w:val="center"/>
              <w:rPr>
                <w:sz w:val="21"/>
              </w:rPr>
            </w:pPr>
            <w:r>
              <w:rPr>
                <w:sz w:val="21"/>
              </w:rPr>
              <w:t>d</w:t>
            </w:r>
          </w:p>
        </w:tc>
        <w:tc>
          <w:tcPr>
            <w:tcW w:w="1242" w:type="pct"/>
            <w:vAlign w:val="center"/>
          </w:tcPr>
          <w:p>
            <w:pPr>
              <w:spacing w:line="240" w:lineRule="auto"/>
              <w:ind w:firstLine="420"/>
              <w:jc w:val="center"/>
              <w:rPr>
                <w:sz w:val="21"/>
              </w:rPr>
            </w:pPr>
            <w:r>
              <w:rPr>
                <w:sz w:val="21"/>
              </w:rPr>
              <w:t>36.2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1170" w:type="pct"/>
            <w:vMerge w:val="continue"/>
            <w:vAlign w:val="center"/>
          </w:tcPr>
          <w:p>
            <w:pPr>
              <w:spacing w:line="240" w:lineRule="auto"/>
              <w:ind w:firstLine="420"/>
              <w:jc w:val="center"/>
              <w:rPr>
                <w:sz w:val="21"/>
              </w:rPr>
            </w:pPr>
          </w:p>
        </w:tc>
        <w:tc>
          <w:tcPr>
            <w:tcW w:w="1345" w:type="pct"/>
            <w:vAlign w:val="center"/>
          </w:tcPr>
          <w:p>
            <w:pPr>
              <w:spacing w:line="240" w:lineRule="auto"/>
              <w:ind w:firstLine="420"/>
              <w:jc w:val="center"/>
              <w:rPr>
                <w:sz w:val="21"/>
              </w:rPr>
            </w:pPr>
            <w:r>
              <w:rPr>
                <w:sz w:val="21"/>
              </w:rPr>
              <w:t>多年平均冰雹日数</w:t>
            </w:r>
          </w:p>
        </w:tc>
        <w:tc>
          <w:tcPr>
            <w:tcW w:w="1242" w:type="pct"/>
            <w:vAlign w:val="center"/>
          </w:tcPr>
          <w:p>
            <w:pPr>
              <w:spacing w:line="240" w:lineRule="auto"/>
              <w:ind w:firstLine="420"/>
              <w:jc w:val="center"/>
              <w:rPr>
                <w:sz w:val="21"/>
              </w:rPr>
            </w:pPr>
            <w:r>
              <w:rPr>
                <w:sz w:val="21"/>
              </w:rPr>
              <w:t>d</w:t>
            </w:r>
          </w:p>
        </w:tc>
        <w:tc>
          <w:tcPr>
            <w:tcW w:w="1242" w:type="pct"/>
            <w:vAlign w:val="center"/>
          </w:tcPr>
          <w:p>
            <w:pPr>
              <w:spacing w:line="240" w:lineRule="auto"/>
              <w:ind w:firstLine="420"/>
              <w:jc w:val="center"/>
              <w:rPr>
                <w:sz w:val="21"/>
              </w:rPr>
            </w:pPr>
            <w:r>
              <w:rPr>
                <w:sz w:val="21"/>
              </w:rPr>
              <w:t>1.3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1170" w:type="pct"/>
            <w:vMerge w:val="continue"/>
            <w:vAlign w:val="center"/>
          </w:tcPr>
          <w:p>
            <w:pPr>
              <w:spacing w:line="240" w:lineRule="auto"/>
              <w:ind w:firstLine="420"/>
              <w:jc w:val="center"/>
              <w:rPr>
                <w:sz w:val="21"/>
              </w:rPr>
            </w:pPr>
          </w:p>
        </w:tc>
        <w:tc>
          <w:tcPr>
            <w:tcW w:w="1345" w:type="pct"/>
            <w:vAlign w:val="center"/>
          </w:tcPr>
          <w:p>
            <w:pPr>
              <w:spacing w:line="240" w:lineRule="auto"/>
              <w:ind w:firstLine="420"/>
              <w:jc w:val="center"/>
              <w:rPr>
                <w:sz w:val="21"/>
              </w:rPr>
            </w:pPr>
            <w:r>
              <w:rPr>
                <w:sz w:val="21"/>
              </w:rPr>
              <w:t>多年平均大风日数</w:t>
            </w:r>
          </w:p>
        </w:tc>
        <w:tc>
          <w:tcPr>
            <w:tcW w:w="1242" w:type="pct"/>
            <w:vAlign w:val="center"/>
          </w:tcPr>
          <w:p>
            <w:pPr>
              <w:spacing w:line="240" w:lineRule="auto"/>
              <w:ind w:firstLine="420"/>
              <w:jc w:val="center"/>
              <w:rPr>
                <w:sz w:val="21"/>
              </w:rPr>
            </w:pPr>
            <w:r>
              <w:rPr>
                <w:sz w:val="21"/>
              </w:rPr>
              <w:t>d</w:t>
            </w:r>
          </w:p>
        </w:tc>
        <w:tc>
          <w:tcPr>
            <w:tcW w:w="1242" w:type="pct"/>
            <w:vAlign w:val="center"/>
          </w:tcPr>
          <w:p>
            <w:pPr>
              <w:spacing w:line="240" w:lineRule="auto"/>
              <w:ind w:firstLine="420"/>
              <w:jc w:val="center"/>
              <w:rPr>
                <w:sz w:val="21"/>
              </w:rPr>
            </w:pPr>
            <w:r>
              <w:rPr>
                <w:sz w:val="21"/>
              </w:rPr>
              <w:t>3.4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多年实测极大风速</w:t>
            </w:r>
          </w:p>
        </w:tc>
        <w:tc>
          <w:tcPr>
            <w:tcW w:w="1242" w:type="pct"/>
            <w:vAlign w:val="center"/>
          </w:tcPr>
          <w:p>
            <w:pPr>
              <w:spacing w:line="240" w:lineRule="auto"/>
              <w:ind w:firstLine="420"/>
              <w:jc w:val="center"/>
              <w:rPr>
                <w:sz w:val="21"/>
              </w:rPr>
            </w:pPr>
            <w:r>
              <w:rPr>
                <w:sz w:val="21"/>
              </w:rPr>
              <w:t>m/s</w:t>
            </w:r>
          </w:p>
        </w:tc>
        <w:tc>
          <w:tcPr>
            <w:tcW w:w="1242" w:type="pct"/>
            <w:vAlign w:val="center"/>
          </w:tcPr>
          <w:p>
            <w:pPr>
              <w:spacing w:line="240" w:lineRule="auto"/>
              <w:ind w:firstLine="420"/>
              <w:jc w:val="center"/>
              <w:rPr>
                <w:sz w:val="21"/>
              </w:rPr>
            </w:pPr>
            <w:r>
              <w:rPr>
                <w:sz w:val="21"/>
              </w:rPr>
              <w:t>7.0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多年平均风速</w:t>
            </w:r>
          </w:p>
        </w:tc>
        <w:tc>
          <w:tcPr>
            <w:tcW w:w="1242" w:type="pct"/>
            <w:vAlign w:val="center"/>
          </w:tcPr>
          <w:p>
            <w:pPr>
              <w:spacing w:line="240" w:lineRule="auto"/>
              <w:ind w:firstLine="420"/>
              <w:jc w:val="center"/>
              <w:rPr>
                <w:sz w:val="21"/>
              </w:rPr>
            </w:pPr>
            <w:r>
              <w:rPr>
                <w:sz w:val="21"/>
              </w:rPr>
              <w:t>m/s</w:t>
            </w:r>
          </w:p>
        </w:tc>
        <w:tc>
          <w:tcPr>
            <w:tcW w:w="1242" w:type="pct"/>
            <w:vAlign w:val="center"/>
          </w:tcPr>
          <w:p>
            <w:pPr>
              <w:spacing w:line="240" w:lineRule="auto"/>
              <w:ind w:firstLine="420"/>
              <w:jc w:val="center"/>
              <w:rPr>
                <w:sz w:val="21"/>
              </w:rPr>
            </w:pPr>
            <w:r>
              <w:rPr>
                <w:sz w:val="21"/>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多年主导风向</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ENE</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多年主导风向频率</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8.9</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c>
          <w:tcPr>
            <w:tcW w:w="2515" w:type="pct"/>
            <w:gridSpan w:val="2"/>
            <w:vAlign w:val="center"/>
          </w:tcPr>
          <w:p>
            <w:pPr>
              <w:spacing w:line="240" w:lineRule="auto"/>
              <w:ind w:firstLine="420"/>
              <w:jc w:val="center"/>
              <w:rPr>
                <w:sz w:val="21"/>
              </w:rPr>
            </w:pPr>
            <w:r>
              <w:rPr>
                <w:sz w:val="21"/>
              </w:rPr>
              <w:t>多年静风频率（风速＜0.2m/s）</w:t>
            </w:r>
          </w:p>
        </w:tc>
        <w:tc>
          <w:tcPr>
            <w:tcW w:w="1242" w:type="pct"/>
            <w:vAlign w:val="center"/>
          </w:tcPr>
          <w:p>
            <w:pPr>
              <w:spacing w:line="240" w:lineRule="auto"/>
              <w:ind w:firstLine="420"/>
              <w:jc w:val="center"/>
              <w:rPr>
                <w:sz w:val="21"/>
              </w:rPr>
            </w:pPr>
            <w:r>
              <w:rPr>
                <w:sz w:val="21"/>
              </w:rPr>
              <w:t>%</w:t>
            </w:r>
          </w:p>
        </w:tc>
        <w:tc>
          <w:tcPr>
            <w:tcW w:w="1242" w:type="pct"/>
            <w:vAlign w:val="center"/>
          </w:tcPr>
          <w:p>
            <w:pPr>
              <w:spacing w:line="240" w:lineRule="auto"/>
              <w:ind w:firstLine="420"/>
              <w:jc w:val="center"/>
              <w:rPr>
                <w:sz w:val="21"/>
              </w:rPr>
            </w:pPr>
            <w:r>
              <w:rPr>
                <w:sz w:val="21"/>
              </w:rPr>
              <w:t>17.7</w:t>
            </w:r>
          </w:p>
        </w:tc>
      </w:tr>
    </w:tbl>
    <w:p>
      <w:pPr>
        <w:pStyle w:val="204"/>
        <w:spacing w:line="480" w:lineRule="exact"/>
        <w:ind w:firstLine="0" w:firstLineChars="0"/>
        <w:outlineLvl w:val="2"/>
        <w:rPr>
          <w:b/>
          <w:sz w:val="28"/>
          <w:szCs w:val="28"/>
        </w:rPr>
      </w:pPr>
      <w:r>
        <w:rPr>
          <w:rFonts w:hint="eastAsia"/>
          <w:b/>
          <w:sz w:val="28"/>
          <w:szCs w:val="28"/>
        </w:rPr>
        <w:t>4.1.7生态环境特征</w:t>
      </w:r>
    </w:p>
    <w:p>
      <w:pPr>
        <w:ind w:firstLine="480"/>
      </w:pPr>
      <w: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pPr>
        <w:adjustRightInd w:val="0"/>
        <w:ind w:firstLine="480"/>
      </w:pPr>
      <w: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w:t>
      </w:r>
    </w:p>
    <w:p>
      <w:pPr>
        <w:ind w:firstLine="480"/>
      </w:pPr>
      <w:r>
        <w:t>遵化市地带性植被为落叶阔叶林，代表树种为落叶栎类，针叶树主要是油松。由于长期垦植，海拔300米以下地带，野生植物已不复存在，大部分为人工植被所代替，只有在海拔300米以上未被垦植的山地，才有野生植被的分布。据调查，乔木树种有油松、白皮松、侧柏、槲、栎、山杨、椴等30多种，果树约有20多种，以板栗、核桃、苹果、柿、枣、梨、桃、杏、山楂等为主，在灌木中人工培植的紫穗槐分布普遍，野生灌木约30多种，比较常见的有荆条、酸枣、胡枝子、鼠李、大花溲疏、三裂绣线菊、锦鸡儿、榛、苦参等。</w:t>
      </w:r>
    </w:p>
    <w:p>
      <w:pPr>
        <w:widowControl/>
        <w:snapToGrid w:val="0"/>
        <w:ind w:firstLine="480"/>
      </w:pPr>
      <w:r>
        <w:t>境内草本植物在低山丘陵到处可见，盖度常达60-70%，北山多于南山，阴坡多于阳坡，除疏花草等少数种类北山分布普遍，东南部山地少见外，一般草本植物在全市均有广泛分布，其中最多的是菊科、豆科、禾本科、蔷薇科、莎草科，占绝对优势的是黄背草、白羊草等。藤本、蕨类、攀附植物仍可见到，寄生植物则很少见到</w:t>
      </w:r>
      <w:r>
        <w:rPr>
          <w:rFonts w:hint="eastAsia"/>
        </w:rPr>
        <w:t>。</w:t>
      </w:r>
    </w:p>
    <w:p>
      <w:pPr>
        <w:pStyle w:val="204"/>
        <w:spacing w:line="480" w:lineRule="exact"/>
        <w:ind w:firstLine="0" w:firstLineChars="0"/>
        <w:outlineLvl w:val="2"/>
        <w:rPr>
          <w:b/>
          <w:sz w:val="28"/>
          <w:szCs w:val="28"/>
        </w:rPr>
      </w:pPr>
      <w:r>
        <w:rPr>
          <w:rFonts w:hint="eastAsia"/>
          <w:b/>
          <w:sz w:val="28"/>
          <w:szCs w:val="28"/>
        </w:rPr>
        <w:t>4.1.8遵化市堡子店饮用水水源地</w:t>
      </w:r>
    </w:p>
    <w:p>
      <w:pPr>
        <w:ind w:firstLine="480"/>
        <w:rPr>
          <w:snapToGrid w:val="0"/>
        </w:rPr>
      </w:pPr>
      <w:r>
        <w:rPr>
          <w:snapToGrid w:val="0"/>
        </w:rPr>
        <w:t>遵化市堡子店水源地，于2008年11月1日正式供水，其主要供水范围为包括工业园区（通化西街以北、唐遵铁路西南、大秦铁路东南区域）、 中部居住区（沙河西北、南环街以南、唐遵铁路以东区域）、南部居住区（沙河东南、建设路以西、南三环以北区域），总供水面积992.43 ha。</w:t>
      </w:r>
    </w:p>
    <w:p>
      <w:pPr>
        <w:ind w:firstLine="480"/>
        <w:rPr>
          <w:snapToGrid w:val="0"/>
        </w:rPr>
      </w:pPr>
      <w:r>
        <w:rPr>
          <w:snapToGrid w:val="0"/>
        </w:rPr>
        <w:t>该水源地位于遵化市北川平原内山前冲洪积扇中部，主要开采层位为Q</w:t>
      </w:r>
      <w:r>
        <w:rPr>
          <w:snapToGrid w:val="0"/>
          <w:vertAlign w:val="subscript"/>
        </w:rPr>
        <w:t>3</w:t>
      </w:r>
      <w:r>
        <w:rPr>
          <w:snapToGrid w:val="0"/>
        </w:rPr>
        <w:t>卵砾石含水层，该含水组上段含水层厚25～70 m，下段含水组含水层厚20～60 m，含水组上段底板埋深100～190 m，下段底板埋深110～350 m，所有取水构筑物采用管井。该水源地设计取水规模4.0×10</w:t>
      </w:r>
      <w:r>
        <w:rPr>
          <w:snapToGrid w:val="0"/>
          <w:vertAlign w:val="superscript"/>
        </w:rPr>
        <w:t>4</w:t>
      </w:r>
      <w:r>
        <w:rPr>
          <w:snapToGrid w:val="0"/>
        </w:rPr>
        <w:t xml:space="preserve"> m</w:t>
      </w:r>
      <w:r>
        <w:rPr>
          <w:snapToGrid w:val="0"/>
          <w:vertAlign w:val="superscript"/>
        </w:rPr>
        <w:t>3</w:t>
      </w:r>
      <w:r>
        <w:rPr>
          <w:snapToGrid w:val="0"/>
        </w:rPr>
        <w:t>/d，属中型地下水水源地。</w:t>
      </w:r>
    </w:p>
    <w:p>
      <w:pPr>
        <w:ind w:firstLine="482"/>
        <w:rPr>
          <w:b/>
          <w:snapToGrid w:val="0"/>
        </w:rPr>
      </w:pPr>
      <w:r>
        <w:rPr>
          <w:b/>
          <w:snapToGrid w:val="0"/>
        </w:rPr>
        <w:t>（一）饮用水水源地保护区划分情况如下：</w:t>
      </w:r>
    </w:p>
    <w:p>
      <w:pPr>
        <w:ind w:firstLine="480"/>
        <w:rPr>
          <w:snapToGrid w:val="0"/>
        </w:rPr>
      </w:pPr>
      <w:r>
        <w:rPr>
          <w:snapToGrid w:val="0"/>
        </w:rPr>
        <w:t>①一级保护区：</w:t>
      </w:r>
    </w:p>
    <w:p>
      <w:pPr>
        <w:ind w:firstLine="480"/>
        <w:rPr>
          <w:snapToGrid w:val="0"/>
        </w:rPr>
      </w:pPr>
      <w:r>
        <w:rPr>
          <w:snapToGrid w:val="0"/>
        </w:rPr>
        <w:t>遵化市堡子店水源地一级保护区为以水源井1、2、3、4、5为中心，半径为 212m的圆形范围。堡子店水源地一级保护区总面积为0.71km</w:t>
      </w:r>
      <w:r>
        <w:rPr>
          <w:snapToGrid w:val="0"/>
          <w:vertAlign w:val="superscript"/>
        </w:rPr>
        <w:t>2</w:t>
      </w:r>
      <w:r>
        <w:rPr>
          <w:snapToGrid w:val="0"/>
        </w:rPr>
        <w:t>。</w:t>
      </w:r>
    </w:p>
    <w:p>
      <w:pPr>
        <w:ind w:firstLine="480"/>
        <w:rPr>
          <w:snapToGrid w:val="0"/>
        </w:rPr>
      </w:pPr>
      <w:r>
        <w:rPr>
          <w:snapToGrid w:val="0"/>
        </w:rPr>
        <w:t>②二级保护区：</w:t>
      </w:r>
    </w:p>
    <w:p>
      <w:pPr>
        <w:ind w:firstLine="480"/>
        <w:rPr>
          <w:snapToGrid w:val="0"/>
        </w:rPr>
      </w:pPr>
      <w:r>
        <w:rPr>
          <w:snapToGrid w:val="0"/>
        </w:rPr>
        <w:t>将水源地二级保护区取经验值法二级保护区（井1~5外延2120m）与具有水力联系的河流上游2000m、下游200m、陆域沿岸纵深50m（以防止污染源直排为目的）的并集，并根据道路、河流、地物修正划分结果。二级保护区修正结果如下：北部边界为S356省道，东部边界为G112国道，西部边界为北岭河西岸50m，东南部边界为井1、井2南2120m，西南边界为沙河河南岸50m。</w:t>
      </w:r>
    </w:p>
    <w:p>
      <w:pPr>
        <w:ind w:firstLine="480"/>
        <w:rPr>
          <w:snapToGrid w:val="0"/>
        </w:rPr>
      </w:pPr>
      <w:r>
        <w:rPr>
          <w:snapToGrid w:val="0"/>
        </w:rPr>
        <w:t>堡子店水源地二级保护区总面积为36.1 km</w:t>
      </w:r>
      <w:r>
        <w:rPr>
          <w:snapToGrid w:val="0"/>
          <w:vertAlign w:val="superscript"/>
        </w:rPr>
        <w:t>2</w:t>
      </w:r>
      <w:r>
        <w:rPr>
          <w:snapToGrid w:val="0"/>
        </w:rPr>
        <w:t>。</w:t>
      </w:r>
    </w:p>
    <w:p>
      <w:pPr>
        <w:ind w:firstLine="480"/>
        <w:rPr>
          <w:snapToGrid w:val="0"/>
        </w:rPr>
      </w:pPr>
      <w:r>
        <w:rPr>
          <w:snapToGrid w:val="0"/>
        </w:rPr>
        <w:t>③准保护区：</w:t>
      </w:r>
    </w:p>
    <w:p>
      <w:pPr>
        <w:ind w:firstLine="480"/>
        <w:rPr>
          <w:snapToGrid w:val="0"/>
        </w:rPr>
      </w:pPr>
      <w:r>
        <w:rPr>
          <w:snapToGrid w:val="0"/>
        </w:rPr>
        <w:t>主要根据水源地水文地质条件，该水源地位于遵化市北川平原内山前冲洪积扇中部，依据其补给范围，将水源地附近Q</w:t>
      </w:r>
      <w:r>
        <w:rPr>
          <w:snapToGrid w:val="0"/>
          <w:vertAlign w:val="subscript"/>
        </w:rPr>
        <w:t>4</w:t>
      </w:r>
      <w:r>
        <w:rPr>
          <w:snapToGrid w:val="0"/>
        </w:rPr>
        <w:t>卵砾石含水层的补给范围划为水源地准保护区。调整水源地准保护区如下图所示，即南界为遵化盆地中间山脉北侧山脚，北界张各庄-胡庄子-兴旺寨-美成寺-郝各庄一线，西界郝各庄-新店子-季庄子一线，东界为二级保护区东界线。总面积56.53km</w:t>
      </w:r>
      <w:r>
        <w:rPr>
          <w:snapToGrid w:val="0"/>
          <w:vertAlign w:val="superscript"/>
        </w:rPr>
        <w:t>2</w:t>
      </w:r>
      <w:r>
        <w:rPr>
          <w:snapToGrid w:val="0"/>
        </w:rPr>
        <w:t>。</w:t>
      </w:r>
    </w:p>
    <w:p>
      <w:pPr>
        <w:pStyle w:val="2"/>
        <w:ind w:firstLine="480"/>
      </w:pPr>
      <w:r>
        <w:rPr>
          <w:snapToGrid w:val="0"/>
        </w:rPr>
        <w:t>本项目位于</w:t>
      </w:r>
      <w:r>
        <w:rPr>
          <w:rFonts w:hint="eastAsia"/>
          <w:snapToGrid w:val="0"/>
        </w:rPr>
        <w:t>涉及线路跨越</w:t>
      </w:r>
      <w:r>
        <w:rPr>
          <w:snapToGrid w:val="0"/>
        </w:rPr>
        <w:t>堡子店集中式饮用水水源地保护区</w:t>
      </w:r>
      <w:r>
        <w:rPr>
          <w:rFonts w:hint="eastAsia"/>
          <w:snapToGrid w:val="0"/>
        </w:rPr>
        <w:t>。</w:t>
      </w:r>
    </w:p>
    <w:p>
      <w:pPr>
        <w:pStyle w:val="5"/>
        <w:spacing w:beforeLines="0" w:afterLines="0"/>
      </w:pPr>
      <w:bookmarkStart w:id="94" w:name="_Toc141284070"/>
      <w:r>
        <w:rPr>
          <w:rFonts w:hint="eastAsia"/>
        </w:rPr>
        <w:t>4</w:t>
      </w:r>
      <w:r>
        <w:t>.</w:t>
      </w:r>
      <w:r>
        <w:rPr>
          <w:rFonts w:hint="eastAsia"/>
        </w:rPr>
        <w:t>2生态环境</w:t>
      </w:r>
      <w:bookmarkEnd w:id="94"/>
    </w:p>
    <w:p>
      <w:pPr>
        <w:pStyle w:val="204"/>
        <w:spacing w:line="480" w:lineRule="exact"/>
        <w:ind w:firstLine="0" w:firstLineChars="0"/>
        <w:outlineLvl w:val="2"/>
        <w:rPr>
          <w:b/>
          <w:sz w:val="28"/>
          <w:szCs w:val="28"/>
        </w:rPr>
      </w:pPr>
      <w:r>
        <w:rPr>
          <w:rFonts w:hint="eastAsia"/>
          <w:b/>
          <w:sz w:val="28"/>
          <w:szCs w:val="28"/>
        </w:rPr>
        <w:t>4.2.1陆生生态</w:t>
      </w:r>
    </w:p>
    <w:p>
      <w:pPr>
        <w:pStyle w:val="2"/>
        <w:ind w:firstLine="480"/>
        <w:rPr>
          <w:snapToGrid w:val="0"/>
        </w:rPr>
      </w:pPr>
      <w:r>
        <w:rPr>
          <w:rFonts w:hint="eastAsia"/>
          <w:snapToGrid w:val="0"/>
        </w:rPr>
        <w:t>遵化市境内植被大致分为三类：褐土植被、棕壤植被、草甸土（潮湿）植被。褐土植被主要为旱生阔叶林、灌木及草本植被，分布在海拔</w:t>
      </w:r>
      <w:r>
        <w:rPr>
          <w:snapToGrid w:val="0"/>
        </w:rPr>
        <w:t>700m</w:t>
      </w:r>
      <w:r>
        <w:rPr>
          <w:rFonts w:hint="eastAsia"/>
          <w:snapToGrid w:val="0"/>
        </w:rPr>
        <w:t>以下低山丘陵，原生植被已被破坏，现为残存植被。灌木草被居多，酸枣、荆条、多花胡枝子、秦刺玫、花椒等；乔木稀疏，有槐、榛、枣、榆、山杏、皂角、红果、海棠、山樱桃、梨等；草本植被有茜草、萝蘑、兔丝子、野百合、野草木樨、远志、鼠尾草、桔梗、萎陵菜、铁杆蓄、黄白草等；在石灰岩残破积山地有侧柏。耕地植被有玉米、高粱、谷子、大豆、糜黍、小麦、线麻等。棕壤植被为耐寒湿性及旱生型乔木、灌木和草木植被，天然次生植被较多，主要树种为蒙古栎、椴、油桦、白桦、野杏、山杨、落叶松、核桃秋；灌木有猕猴桃、山葡萄、丁香、杜鹃、毛榛、虎榛、玉竹、羊胡、柴草、卷柏、石松等。耕地植被为马铃薯、大豆、杂粮等。草甸土（潮湿）植被主要为喜湿植物，乔木有柳、杨等；草木植物有车前子、猪毛菜、灰绿藜、马齿苋、芦苇、薄荷等。耕地植被为水稻、杂粮、小麦。</w:t>
      </w:r>
    </w:p>
    <w:p>
      <w:pPr>
        <w:pStyle w:val="2"/>
        <w:ind w:firstLine="480"/>
        <w:rPr>
          <w:snapToGrid w:val="0"/>
        </w:rPr>
      </w:pPr>
      <w:r>
        <w:rPr>
          <w:rFonts w:hint="eastAsia"/>
          <w:snapToGrid w:val="0"/>
        </w:rPr>
        <w:t>项目占地区域植被主要以多年生禾本草类为主，并有散生落叶灌木植物群落，主要有荆条和灌草丛。农耕地以种植小麦、玉米、花生为主。河谷地埂、道路两旁、房前屋后分布有枣树、椿树、核桃树等。山坡以刺槐为主。间有部分板栗、杨树、山杏、柳树、荆条等。项目区域未发现珍贵野生动物出没，常见动物主要有麻雀、喜鹊、蛇等。</w:t>
      </w:r>
    </w:p>
    <w:p>
      <w:pPr>
        <w:pStyle w:val="2"/>
        <w:ind w:firstLine="480"/>
        <w:rPr>
          <w:snapToGrid w:val="0"/>
        </w:rPr>
      </w:pPr>
      <w:r>
        <w:rPr>
          <w:rFonts w:hint="eastAsia"/>
          <w:snapToGrid w:val="0"/>
        </w:rPr>
        <w:t>评价区范围内未发现国家级和省级保护的野生动植物资源。</w:t>
      </w:r>
    </w:p>
    <w:p>
      <w:pPr>
        <w:pStyle w:val="204"/>
        <w:spacing w:line="480" w:lineRule="exact"/>
        <w:ind w:firstLine="0" w:firstLineChars="0"/>
        <w:outlineLvl w:val="2"/>
        <w:rPr>
          <w:b/>
          <w:sz w:val="28"/>
          <w:szCs w:val="28"/>
        </w:rPr>
      </w:pPr>
      <w:r>
        <w:rPr>
          <w:rFonts w:hint="eastAsia"/>
          <w:b/>
          <w:sz w:val="28"/>
          <w:szCs w:val="28"/>
        </w:rPr>
        <w:t>4.2.2水生生态</w:t>
      </w:r>
    </w:p>
    <w:p>
      <w:pPr>
        <w:ind w:firstLine="480"/>
      </w:pPr>
      <w:r>
        <w:t>根据</w:t>
      </w:r>
      <w:r>
        <w:rPr>
          <w:rFonts w:hint="eastAsia"/>
        </w:rPr>
        <w:t>资料</w:t>
      </w:r>
      <w:r>
        <w:t>查询，</w:t>
      </w:r>
      <w:r>
        <w:rPr>
          <w:rFonts w:hint="eastAsia"/>
        </w:rPr>
        <w:t>项目区域</w:t>
      </w:r>
      <w:r>
        <w:t>主要水生动物资源为泥鳅</w:t>
      </w:r>
      <w:r>
        <w:rPr>
          <w:rFonts w:hint="eastAsia"/>
        </w:rPr>
        <w:t>，</w:t>
      </w:r>
      <w:r>
        <w:t>对水温的耐受范围较广，其中泥鳅的生存能力极强，对水环境变化反应不灵敏，常被视为耐污性鱼类。</w:t>
      </w:r>
    </w:p>
    <w:p>
      <w:pPr>
        <w:ind w:firstLine="480"/>
      </w:pPr>
      <w:r>
        <w:t>（</w:t>
      </w:r>
      <w:r>
        <w:rPr>
          <w:rFonts w:hint="eastAsia"/>
        </w:rPr>
        <w:t>1</w:t>
      </w:r>
      <w:r>
        <w:t>）优势种及广布种鱼类物种的生活习性</w:t>
      </w:r>
    </w:p>
    <w:p>
      <w:pPr>
        <w:ind w:firstLine="480"/>
      </w:pPr>
      <w:r>
        <w:t>北方须鳅为底层鱼类，常栖息于河沟、湖泊及沼泽砂质泥底的静水或缓流水体，适应性较强。5-7月份产卵繁殖，卵略带粘性，产出后粘附于水草上。以昆虫及其幼虫、小型甲壳动物、植物碎屑及藻类为食。</w:t>
      </w:r>
    </w:p>
    <w:p>
      <w:pPr>
        <w:ind w:firstLine="480"/>
      </w:pPr>
      <w:r>
        <w:t>（</w:t>
      </w:r>
      <w:r>
        <w:rPr>
          <w:rFonts w:hint="eastAsia"/>
        </w:rPr>
        <w:t>2</w:t>
      </w:r>
      <w:r>
        <w:t>）保护鱼类和特有种类</w:t>
      </w:r>
    </w:p>
    <w:p>
      <w:pPr>
        <w:ind w:firstLine="480"/>
      </w:pPr>
      <w:r>
        <w:t>在工程影响区域内没有记录到国家级及河北省级的保护鱼类，也没有《中国濒危动物红皮书鱼类》中的珍稀和濒危种类。没有记录到过洄游鱼类在评价区域分布，</w:t>
      </w:r>
      <w:r>
        <w:rPr>
          <w:rFonts w:hint="eastAsia"/>
        </w:rPr>
        <w:t>沙河、清水河、黎河</w:t>
      </w:r>
      <w:r>
        <w:t>无特有鱼类分布。</w:t>
      </w:r>
    </w:p>
    <w:p>
      <w:pPr>
        <w:ind w:firstLine="480"/>
        <w:rPr>
          <w:lang w:val="zh-CN"/>
        </w:rPr>
      </w:pPr>
      <w:r>
        <w:t>（</w:t>
      </w:r>
      <w:r>
        <w:rPr>
          <w:rFonts w:hint="eastAsia"/>
        </w:rPr>
        <w:t>3</w:t>
      </w:r>
      <w:r>
        <w:t>）鱼类</w:t>
      </w:r>
      <w:r>
        <w:rPr>
          <w:rFonts w:hint="eastAsia"/>
        </w:rPr>
        <w:t>“</w:t>
      </w:r>
      <w:r>
        <w:t>三场</w:t>
      </w:r>
      <w:r>
        <w:rPr>
          <w:rFonts w:hint="eastAsia"/>
        </w:rPr>
        <w:t>一通”</w:t>
      </w:r>
      <w:r>
        <w:t>情况</w:t>
      </w:r>
    </w:p>
    <w:p>
      <w:pPr>
        <w:ind w:firstLine="480"/>
      </w:pPr>
      <w:r>
        <w:rPr>
          <w:rFonts w:hint="eastAsia"/>
        </w:rPr>
        <w:t>通过对该河段的调查及查询资料等多方面了解，沙河、清水河、黎河水中或河流两岸的植被较少，未曾发现河底中有黏性鱼卵存在的迹象，</w:t>
      </w:r>
      <w:r>
        <w:t>未曾发现</w:t>
      </w:r>
      <w:r>
        <w:rPr>
          <w:rFonts w:hint="eastAsia"/>
        </w:rPr>
        <w:t>产卵场所</w:t>
      </w:r>
      <w:r>
        <w:t>。</w:t>
      </w:r>
      <w:r>
        <w:rPr>
          <w:rFonts w:hint="eastAsia"/>
        </w:rPr>
        <w:t>根据查询的资料可知，该滦河流域未发现有洄游性鱼类的存在，也没有典型的越冬场、索饵场，因此，本项目的建设并未涉及鱼类的“三场一通”现象。</w:t>
      </w:r>
    </w:p>
    <w:p>
      <w:pPr>
        <w:pStyle w:val="5"/>
        <w:spacing w:beforeLines="0" w:afterLines="0"/>
      </w:pPr>
      <w:bookmarkStart w:id="95" w:name="_Toc141284071"/>
      <w:r>
        <w:rPr>
          <w:rFonts w:hint="eastAsia"/>
        </w:rPr>
        <w:t>4</w:t>
      </w:r>
      <w:r>
        <w:t>.</w:t>
      </w:r>
      <w:r>
        <w:rPr>
          <w:rFonts w:hint="eastAsia"/>
        </w:rPr>
        <w:t>3环境质量现状与评价</w:t>
      </w:r>
      <w:bookmarkEnd w:id="95"/>
    </w:p>
    <w:p>
      <w:pPr>
        <w:ind w:firstLine="480"/>
      </w:pPr>
      <w:r>
        <w:rPr>
          <w:rFonts w:hint="eastAsia"/>
          <w:szCs w:val="24"/>
        </w:rPr>
        <w:t>经现场踏勘，</w:t>
      </w:r>
      <w:r>
        <w:rPr>
          <w:szCs w:val="24"/>
        </w:rPr>
        <w:t>项目沿线无自然保护区、世界文化和自然遗产、风景名胜区、珍稀动植物天然集中分布区等。</w:t>
      </w:r>
    </w:p>
    <w:p>
      <w:pPr>
        <w:pStyle w:val="204"/>
        <w:spacing w:line="480" w:lineRule="exact"/>
        <w:ind w:firstLine="0" w:firstLineChars="0"/>
        <w:outlineLvl w:val="2"/>
        <w:rPr>
          <w:b/>
          <w:sz w:val="28"/>
          <w:szCs w:val="28"/>
        </w:rPr>
      </w:pPr>
      <w:r>
        <w:rPr>
          <w:rFonts w:hint="eastAsia"/>
          <w:b/>
          <w:sz w:val="28"/>
          <w:szCs w:val="28"/>
        </w:rPr>
        <w:t>4.3.1区域环境空气质量现状</w:t>
      </w:r>
    </w:p>
    <w:p>
      <w:pPr>
        <w:ind w:firstLine="480"/>
      </w:pPr>
      <w:r>
        <w:rPr>
          <w:szCs w:val="22"/>
        </w:rPr>
        <w:t>根据20</w:t>
      </w:r>
      <w:r>
        <w:rPr>
          <w:rFonts w:hint="eastAsia"/>
          <w:szCs w:val="22"/>
        </w:rPr>
        <w:t>23</w:t>
      </w:r>
      <w:r>
        <w:rPr>
          <w:szCs w:val="22"/>
        </w:rPr>
        <w:t>年6月年唐山市</w:t>
      </w:r>
      <w:r>
        <w:rPr>
          <w:rFonts w:hint="eastAsia"/>
          <w:szCs w:val="22"/>
        </w:rPr>
        <w:t>生态环境</w:t>
      </w:r>
      <w:r>
        <w:rPr>
          <w:szCs w:val="22"/>
        </w:rPr>
        <w:t>局发布的《20</w:t>
      </w:r>
      <w:r>
        <w:rPr>
          <w:rFonts w:hint="eastAsia"/>
          <w:szCs w:val="22"/>
        </w:rPr>
        <w:t>22</w:t>
      </w:r>
      <w:r>
        <w:rPr>
          <w:szCs w:val="22"/>
        </w:rPr>
        <w:t>年唐山市环境状况公报》显示，</w:t>
      </w:r>
      <w:r>
        <w:rPr>
          <w:rFonts w:hint="eastAsia"/>
          <w:szCs w:val="22"/>
        </w:rPr>
        <w:t>2022年全市优良天数275天，同比增加19天，优良天数比例为75.3%，同比提高5.2个百分点。重度污染以上天数3天，占比0.8%，同比减少5天。全市空气质量综合指数4.47，同比下降10.6%，排名全国168个重点监测城市倒38名，较2021年提升30个位次</w:t>
      </w:r>
      <w:r>
        <w:rPr>
          <w:rFonts w:hint="eastAsia"/>
        </w:rPr>
        <w:t>。</w:t>
      </w:r>
    </w:p>
    <w:p>
      <w:pPr>
        <w:adjustRightInd w:val="0"/>
        <w:snapToGrid w:val="0"/>
        <w:ind w:firstLine="0" w:firstLineChars="0"/>
        <w:jc w:val="center"/>
        <w:rPr>
          <w:b/>
          <w:sz w:val="21"/>
        </w:rPr>
      </w:pPr>
      <w:r>
        <w:rPr>
          <w:rFonts w:hint="eastAsia"/>
          <w:b/>
          <w:sz w:val="21"/>
        </w:rPr>
        <w:t>表4.3-1 区域空气质量现状评价表（唐山市）</w:t>
      </w:r>
    </w:p>
    <w:tbl>
      <w:tblPr>
        <w:tblStyle w:val="52"/>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6"/>
        <w:gridCol w:w="3165"/>
        <w:gridCol w:w="1142"/>
        <w:gridCol w:w="1141"/>
        <w:gridCol w:w="998"/>
        <w:gridCol w:w="998"/>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spacing w:line="240" w:lineRule="auto"/>
              <w:ind w:firstLine="0" w:firstLineChars="0"/>
              <w:jc w:val="center"/>
              <w:rPr>
                <w:sz w:val="21"/>
              </w:rPr>
            </w:pPr>
            <w:r>
              <w:rPr>
                <w:rFonts w:hAnsi="宋体"/>
                <w:sz w:val="21"/>
              </w:rPr>
              <w:t>污染物</w:t>
            </w:r>
          </w:p>
        </w:tc>
        <w:tc>
          <w:tcPr>
            <w:tcW w:w="3165" w:type="dxa"/>
            <w:vAlign w:val="center"/>
          </w:tcPr>
          <w:p>
            <w:pPr>
              <w:spacing w:line="240" w:lineRule="auto"/>
              <w:ind w:firstLine="0" w:firstLineChars="0"/>
              <w:jc w:val="center"/>
              <w:rPr>
                <w:sz w:val="21"/>
              </w:rPr>
            </w:pPr>
            <w:r>
              <w:rPr>
                <w:rFonts w:hAnsi="宋体"/>
                <w:sz w:val="21"/>
              </w:rPr>
              <w:t>年评价指标</w:t>
            </w:r>
          </w:p>
        </w:tc>
        <w:tc>
          <w:tcPr>
            <w:tcW w:w="1142" w:type="dxa"/>
            <w:vAlign w:val="center"/>
          </w:tcPr>
          <w:p>
            <w:pPr>
              <w:spacing w:line="240" w:lineRule="auto"/>
              <w:ind w:firstLine="0" w:firstLineChars="0"/>
              <w:jc w:val="center"/>
              <w:rPr>
                <w:sz w:val="21"/>
              </w:rPr>
            </w:pPr>
            <w:r>
              <w:rPr>
                <w:rFonts w:hAnsi="宋体"/>
                <w:sz w:val="21"/>
              </w:rPr>
              <w:t>现状浓度（</w:t>
            </w:r>
            <w:r>
              <w:rPr>
                <w:sz w:val="21"/>
              </w:rPr>
              <w:t>μg/m</w:t>
            </w:r>
            <w:r>
              <w:rPr>
                <w:sz w:val="21"/>
                <w:vertAlign w:val="superscript"/>
              </w:rPr>
              <w:t>3</w:t>
            </w:r>
            <w:r>
              <w:rPr>
                <w:rFonts w:hAnsi="宋体"/>
                <w:sz w:val="21"/>
              </w:rPr>
              <w:t>）</w:t>
            </w:r>
          </w:p>
        </w:tc>
        <w:tc>
          <w:tcPr>
            <w:tcW w:w="1141" w:type="dxa"/>
            <w:vAlign w:val="center"/>
          </w:tcPr>
          <w:p>
            <w:pPr>
              <w:spacing w:line="240" w:lineRule="auto"/>
              <w:ind w:firstLine="0" w:firstLineChars="0"/>
              <w:jc w:val="center"/>
              <w:rPr>
                <w:sz w:val="21"/>
              </w:rPr>
            </w:pPr>
            <w:r>
              <w:rPr>
                <w:rFonts w:hAnsi="宋体"/>
                <w:sz w:val="21"/>
              </w:rPr>
              <w:t>标准值</w:t>
            </w:r>
          </w:p>
          <w:p>
            <w:pPr>
              <w:spacing w:line="240" w:lineRule="auto"/>
              <w:ind w:firstLine="0" w:firstLineChars="0"/>
              <w:jc w:val="center"/>
              <w:rPr>
                <w:sz w:val="21"/>
              </w:rPr>
            </w:pPr>
            <w:r>
              <w:rPr>
                <w:rFonts w:hAnsi="宋体"/>
                <w:sz w:val="21"/>
              </w:rPr>
              <w:t>（</w:t>
            </w:r>
            <w:r>
              <w:rPr>
                <w:sz w:val="21"/>
              </w:rPr>
              <w:t>μg/m</w:t>
            </w:r>
            <w:r>
              <w:rPr>
                <w:sz w:val="21"/>
                <w:vertAlign w:val="superscript"/>
              </w:rPr>
              <w:t>3</w:t>
            </w:r>
            <w:r>
              <w:rPr>
                <w:rFonts w:hAnsi="宋体"/>
                <w:sz w:val="21"/>
              </w:rPr>
              <w:t>）</w:t>
            </w:r>
          </w:p>
        </w:tc>
        <w:tc>
          <w:tcPr>
            <w:tcW w:w="998" w:type="dxa"/>
            <w:vAlign w:val="center"/>
          </w:tcPr>
          <w:p>
            <w:pPr>
              <w:spacing w:line="240" w:lineRule="auto"/>
              <w:ind w:firstLine="0" w:firstLineChars="0"/>
              <w:jc w:val="center"/>
              <w:rPr>
                <w:sz w:val="21"/>
              </w:rPr>
            </w:pPr>
            <w:r>
              <w:rPr>
                <w:rFonts w:hAnsi="宋体"/>
                <w:sz w:val="21"/>
              </w:rPr>
              <w:t>占标率（</w:t>
            </w:r>
            <w:r>
              <w:rPr>
                <w:sz w:val="21"/>
              </w:rPr>
              <w:t>%</w:t>
            </w:r>
            <w:r>
              <w:rPr>
                <w:rFonts w:hAnsi="宋体"/>
                <w:sz w:val="21"/>
              </w:rPr>
              <w:t>）</w:t>
            </w:r>
          </w:p>
        </w:tc>
        <w:tc>
          <w:tcPr>
            <w:tcW w:w="998" w:type="dxa"/>
            <w:vAlign w:val="center"/>
          </w:tcPr>
          <w:p>
            <w:pPr>
              <w:spacing w:line="240" w:lineRule="auto"/>
              <w:ind w:firstLine="0" w:firstLineChars="0"/>
              <w:jc w:val="center"/>
              <w:rPr>
                <w:sz w:val="21"/>
              </w:rPr>
            </w:pPr>
            <w:r>
              <w:rPr>
                <w:rFonts w:hAnsi="宋体"/>
                <w:sz w:val="21"/>
              </w:rPr>
              <w:t>超标</w:t>
            </w:r>
          </w:p>
          <w:p>
            <w:pPr>
              <w:spacing w:line="240" w:lineRule="auto"/>
              <w:ind w:firstLine="0" w:firstLineChars="0"/>
              <w:jc w:val="center"/>
              <w:rPr>
                <w:sz w:val="21"/>
              </w:rPr>
            </w:pPr>
            <w:r>
              <w:rPr>
                <w:rFonts w:hAnsi="宋体"/>
                <w:sz w:val="21"/>
              </w:rPr>
              <w:t>倍数</w:t>
            </w:r>
          </w:p>
        </w:tc>
        <w:tc>
          <w:tcPr>
            <w:tcW w:w="940" w:type="dxa"/>
            <w:vAlign w:val="center"/>
          </w:tcPr>
          <w:p>
            <w:pPr>
              <w:spacing w:line="240" w:lineRule="auto"/>
              <w:ind w:firstLine="0" w:firstLineChars="0"/>
              <w:jc w:val="center"/>
              <w:rPr>
                <w:sz w:val="21"/>
              </w:rPr>
            </w:pPr>
            <w:r>
              <w:rPr>
                <w:rFonts w:hAnsi="宋体"/>
                <w:sz w:val="21"/>
              </w:rPr>
              <w:t>达标</w:t>
            </w:r>
          </w:p>
          <w:p>
            <w:pPr>
              <w:spacing w:line="240" w:lineRule="auto"/>
              <w:ind w:firstLine="0" w:firstLineChars="0"/>
              <w:jc w:val="center"/>
              <w:rPr>
                <w:sz w:val="21"/>
              </w:rPr>
            </w:pPr>
            <w:r>
              <w:rPr>
                <w:rFonts w:hAnsi="宋体"/>
                <w:sz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SO</w:t>
            </w:r>
            <w:r>
              <w:rPr>
                <w:kern w:val="18"/>
                <w:sz w:val="21"/>
                <w:vertAlign w:val="subscript"/>
                <w:lang w:eastAsia="en-US" w:bidi="en-US"/>
              </w:rPr>
              <w:t>2</w:t>
            </w:r>
          </w:p>
        </w:tc>
        <w:tc>
          <w:tcPr>
            <w:tcW w:w="3165" w:type="dxa"/>
            <w:vAlign w:val="center"/>
          </w:tcPr>
          <w:p>
            <w:pPr>
              <w:widowControl/>
              <w:adjustRightInd w:val="0"/>
              <w:spacing w:line="240" w:lineRule="auto"/>
              <w:ind w:firstLine="0" w:firstLineChars="0"/>
              <w:jc w:val="center"/>
              <w:textAlignment w:val="baseline"/>
              <w:rPr>
                <w:sz w:val="21"/>
              </w:rPr>
            </w:pPr>
            <w:r>
              <w:rPr>
                <w:rFonts w:hAnsi="宋体"/>
                <w:kern w:val="18"/>
                <w:sz w:val="21"/>
                <w:lang w:eastAsia="en-US" w:bidi="en-US"/>
              </w:rPr>
              <w:t>年平均值</w:t>
            </w:r>
          </w:p>
        </w:tc>
        <w:tc>
          <w:tcPr>
            <w:tcW w:w="1142" w:type="dxa"/>
            <w:vAlign w:val="center"/>
          </w:tcPr>
          <w:p>
            <w:pPr>
              <w:spacing w:line="240" w:lineRule="auto"/>
              <w:ind w:firstLine="0" w:firstLineChars="0"/>
              <w:jc w:val="center"/>
              <w:rPr>
                <w:sz w:val="21"/>
              </w:rPr>
            </w:pPr>
            <w:r>
              <w:rPr>
                <w:rFonts w:hint="eastAsia"/>
                <w:sz w:val="21"/>
              </w:rPr>
              <w:t>37</w:t>
            </w:r>
          </w:p>
        </w:tc>
        <w:tc>
          <w:tcPr>
            <w:tcW w:w="1141" w:type="dxa"/>
            <w:vAlign w:val="center"/>
          </w:tcPr>
          <w:p>
            <w:pPr>
              <w:spacing w:line="240" w:lineRule="auto"/>
              <w:ind w:firstLine="0" w:firstLineChars="0"/>
              <w:jc w:val="center"/>
              <w:rPr>
                <w:sz w:val="21"/>
              </w:rPr>
            </w:pPr>
            <w:r>
              <w:rPr>
                <w:sz w:val="21"/>
              </w:rPr>
              <w:t>60</w:t>
            </w:r>
          </w:p>
        </w:tc>
        <w:tc>
          <w:tcPr>
            <w:tcW w:w="998" w:type="dxa"/>
            <w:vAlign w:val="center"/>
          </w:tcPr>
          <w:p>
            <w:pPr>
              <w:spacing w:line="240" w:lineRule="auto"/>
              <w:ind w:firstLine="0" w:firstLineChars="0"/>
              <w:jc w:val="center"/>
              <w:rPr>
                <w:sz w:val="21"/>
              </w:rPr>
            </w:pPr>
            <w:r>
              <w:rPr>
                <w:rFonts w:hint="eastAsia"/>
                <w:sz w:val="21"/>
              </w:rPr>
              <w:t>61.66</w:t>
            </w:r>
          </w:p>
        </w:tc>
        <w:tc>
          <w:tcPr>
            <w:tcW w:w="998" w:type="dxa"/>
            <w:vAlign w:val="center"/>
          </w:tcPr>
          <w:p>
            <w:pPr>
              <w:spacing w:line="240" w:lineRule="auto"/>
              <w:ind w:firstLine="0" w:firstLineChars="0"/>
              <w:jc w:val="center"/>
              <w:rPr>
                <w:sz w:val="21"/>
              </w:rPr>
            </w:pPr>
            <w:r>
              <w:rPr>
                <w:sz w:val="21"/>
              </w:rPr>
              <w:t>/</w:t>
            </w:r>
          </w:p>
        </w:tc>
        <w:tc>
          <w:tcPr>
            <w:tcW w:w="940" w:type="dxa"/>
            <w:vAlign w:val="center"/>
          </w:tcPr>
          <w:p>
            <w:pPr>
              <w:spacing w:line="240" w:lineRule="auto"/>
              <w:ind w:firstLine="0" w:firstLineChars="0"/>
              <w:jc w:val="center"/>
              <w:rPr>
                <w:sz w:val="21"/>
              </w:rPr>
            </w:pPr>
            <w:r>
              <w:rPr>
                <w:rFonts w:hAnsi="宋体"/>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NO</w:t>
            </w:r>
            <w:r>
              <w:rPr>
                <w:kern w:val="18"/>
                <w:sz w:val="21"/>
                <w:vertAlign w:val="subscript"/>
                <w:lang w:eastAsia="en-US" w:bidi="en-US"/>
              </w:rPr>
              <w:t>2</w:t>
            </w:r>
          </w:p>
        </w:tc>
        <w:tc>
          <w:tcPr>
            <w:tcW w:w="3165" w:type="dxa"/>
            <w:vAlign w:val="center"/>
          </w:tcPr>
          <w:p>
            <w:pPr>
              <w:widowControl/>
              <w:adjustRightInd w:val="0"/>
              <w:spacing w:line="240" w:lineRule="auto"/>
              <w:ind w:firstLine="0" w:firstLineChars="0"/>
              <w:jc w:val="center"/>
              <w:textAlignment w:val="baseline"/>
              <w:rPr>
                <w:sz w:val="21"/>
              </w:rPr>
            </w:pPr>
            <w:r>
              <w:rPr>
                <w:rFonts w:hAnsi="宋体"/>
                <w:sz w:val="21"/>
                <w:lang w:eastAsia="en-US"/>
              </w:rPr>
              <w:t>年平均值</w:t>
            </w:r>
          </w:p>
        </w:tc>
        <w:tc>
          <w:tcPr>
            <w:tcW w:w="1142" w:type="dxa"/>
            <w:vAlign w:val="center"/>
          </w:tcPr>
          <w:p>
            <w:pPr>
              <w:spacing w:line="240" w:lineRule="auto"/>
              <w:ind w:firstLine="0" w:firstLineChars="0"/>
              <w:jc w:val="center"/>
              <w:rPr>
                <w:sz w:val="21"/>
              </w:rPr>
            </w:pPr>
            <w:r>
              <w:rPr>
                <w:rFonts w:hint="eastAsia"/>
                <w:sz w:val="21"/>
              </w:rPr>
              <w:t>32</w:t>
            </w:r>
          </w:p>
        </w:tc>
        <w:tc>
          <w:tcPr>
            <w:tcW w:w="1141" w:type="dxa"/>
            <w:vAlign w:val="center"/>
          </w:tcPr>
          <w:p>
            <w:pPr>
              <w:spacing w:line="240" w:lineRule="auto"/>
              <w:ind w:firstLine="0" w:firstLineChars="0"/>
              <w:jc w:val="center"/>
              <w:rPr>
                <w:sz w:val="21"/>
              </w:rPr>
            </w:pPr>
            <w:r>
              <w:rPr>
                <w:sz w:val="21"/>
              </w:rPr>
              <w:t>40</w:t>
            </w:r>
          </w:p>
        </w:tc>
        <w:tc>
          <w:tcPr>
            <w:tcW w:w="998" w:type="dxa"/>
            <w:vAlign w:val="center"/>
          </w:tcPr>
          <w:p>
            <w:pPr>
              <w:spacing w:line="240" w:lineRule="auto"/>
              <w:ind w:firstLine="0" w:firstLineChars="0"/>
              <w:jc w:val="center"/>
              <w:rPr>
                <w:sz w:val="21"/>
              </w:rPr>
            </w:pPr>
            <w:r>
              <w:rPr>
                <w:rFonts w:hint="eastAsia"/>
                <w:sz w:val="21"/>
              </w:rPr>
              <w:t>80</w:t>
            </w:r>
          </w:p>
        </w:tc>
        <w:tc>
          <w:tcPr>
            <w:tcW w:w="998" w:type="dxa"/>
            <w:vAlign w:val="center"/>
          </w:tcPr>
          <w:p>
            <w:pPr>
              <w:spacing w:line="240" w:lineRule="auto"/>
              <w:ind w:firstLine="0" w:firstLineChars="0"/>
              <w:jc w:val="center"/>
              <w:rPr>
                <w:sz w:val="21"/>
              </w:rPr>
            </w:pPr>
            <w:r>
              <w:rPr>
                <w:rFonts w:hint="eastAsia"/>
                <w:sz w:val="21"/>
              </w:rPr>
              <w:t>/</w:t>
            </w:r>
          </w:p>
        </w:tc>
        <w:tc>
          <w:tcPr>
            <w:tcW w:w="940" w:type="dxa"/>
            <w:vAlign w:val="center"/>
          </w:tcPr>
          <w:p>
            <w:pPr>
              <w:spacing w:line="240" w:lineRule="auto"/>
              <w:ind w:firstLine="0" w:firstLineChars="0"/>
              <w:jc w:val="center"/>
              <w:rPr>
                <w:sz w:val="21"/>
              </w:rPr>
            </w:pPr>
            <w:r>
              <w:rPr>
                <w:rFonts w:hint="eastAsia" w:hAnsi="宋体"/>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CO</w:t>
            </w:r>
          </w:p>
        </w:tc>
        <w:tc>
          <w:tcPr>
            <w:tcW w:w="3165" w:type="dxa"/>
            <w:vAlign w:val="center"/>
          </w:tcPr>
          <w:p>
            <w:pPr>
              <w:widowControl/>
              <w:adjustRightInd w:val="0"/>
              <w:spacing w:line="240" w:lineRule="auto"/>
              <w:ind w:firstLine="0" w:firstLineChars="0"/>
              <w:jc w:val="center"/>
              <w:textAlignment w:val="baseline"/>
              <w:rPr>
                <w:sz w:val="21"/>
              </w:rPr>
            </w:pPr>
            <w:r>
              <w:rPr>
                <w:sz w:val="21"/>
              </w:rPr>
              <w:t>24</w:t>
            </w:r>
            <w:r>
              <w:rPr>
                <w:rFonts w:hAnsi="宋体"/>
                <w:sz w:val="21"/>
              </w:rPr>
              <w:t>小时平均第</w:t>
            </w:r>
            <w:r>
              <w:rPr>
                <w:sz w:val="21"/>
              </w:rPr>
              <w:t>95</w:t>
            </w:r>
            <w:r>
              <w:rPr>
                <w:rFonts w:hAnsi="宋体"/>
                <w:sz w:val="21"/>
              </w:rPr>
              <w:t>百分位数值</w:t>
            </w:r>
          </w:p>
        </w:tc>
        <w:tc>
          <w:tcPr>
            <w:tcW w:w="1142" w:type="dxa"/>
            <w:vAlign w:val="center"/>
          </w:tcPr>
          <w:p>
            <w:pPr>
              <w:spacing w:line="240" w:lineRule="auto"/>
              <w:ind w:firstLine="0" w:firstLineChars="0"/>
              <w:jc w:val="center"/>
              <w:rPr>
                <w:sz w:val="21"/>
              </w:rPr>
            </w:pPr>
            <w:r>
              <w:rPr>
                <w:rFonts w:hint="eastAsia"/>
                <w:sz w:val="21"/>
              </w:rPr>
              <w:t>1500</w:t>
            </w:r>
          </w:p>
        </w:tc>
        <w:tc>
          <w:tcPr>
            <w:tcW w:w="1141" w:type="dxa"/>
            <w:vAlign w:val="center"/>
          </w:tcPr>
          <w:p>
            <w:pPr>
              <w:spacing w:line="240" w:lineRule="auto"/>
              <w:ind w:firstLine="0" w:firstLineChars="0"/>
              <w:jc w:val="center"/>
              <w:rPr>
                <w:sz w:val="21"/>
              </w:rPr>
            </w:pPr>
            <w:r>
              <w:rPr>
                <w:sz w:val="21"/>
              </w:rPr>
              <w:t>4000</w:t>
            </w:r>
          </w:p>
        </w:tc>
        <w:tc>
          <w:tcPr>
            <w:tcW w:w="998" w:type="dxa"/>
            <w:vAlign w:val="center"/>
          </w:tcPr>
          <w:p>
            <w:pPr>
              <w:spacing w:line="240" w:lineRule="auto"/>
              <w:ind w:firstLine="0" w:firstLineChars="0"/>
              <w:jc w:val="center"/>
              <w:rPr>
                <w:sz w:val="21"/>
              </w:rPr>
            </w:pPr>
            <w:r>
              <w:rPr>
                <w:rFonts w:hint="eastAsia"/>
                <w:sz w:val="21"/>
              </w:rPr>
              <w:t>37.5</w:t>
            </w:r>
          </w:p>
        </w:tc>
        <w:tc>
          <w:tcPr>
            <w:tcW w:w="998" w:type="dxa"/>
            <w:vAlign w:val="center"/>
          </w:tcPr>
          <w:p>
            <w:pPr>
              <w:spacing w:line="240" w:lineRule="auto"/>
              <w:ind w:firstLine="0" w:firstLineChars="0"/>
              <w:jc w:val="center"/>
              <w:rPr>
                <w:sz w:val="21"/>
              </w:rPr>
            </w:pPr>
            <w:r>
              <w:rPr>
                <w:rFonts w:hint="eastAsia"/>
                <w:sz w:val="21"/>
              </w:rPr>
              <w:t>/</w:t>
            </w:r>
          </w:p>
        </w:tc>
        <w:tc>
          <w:tcPr>
            <w:tcW w:w="940" w:type="dxa"/>
            <w:vAlign w:val="center"/>
          </w:tcPr>
          <w:p>
            <w:pPr>
              <w:spacing w:line="240" w:lineRule="auto"/>
              <w:ind w:firstLine="0" w:firstLineChars="0"/>
              <w:jc w:val="center"/>
              <w:rPr>
                <w:sz w:val="21"/>
              </w:rPr>
            </w:pPr>
            <w:r>
              <w:rPr>
                <w:rFonts w:hint="eastAsia" w:hAnsi="宋体"/>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O</w:t>
            </w:r>
            <w:r>
              <w:rPr>
                <w:kern w:val="18"/>
                <w:sz w:val="21"/>
                <w:vertAlign w:val="subscript"/>
                <w:lang w:eastAsia="en-US" w:bidi="en-US"/>
              </w:rPr>
              <w:t>3</w:t>
            </w:r>
          </w:p>
        </w:tc>
        <w:tc>
          <w:tcPr>
            <w:tcW w:w="3165" w:type="dxa"/>
            <w:vAlign w:val="center"/>
          </w:tcPr>
          <w:p>
            <w:pPr>
              <w:widowControl/>
              <w:adjustRightInd w:val="0"/>
              <w:spacing w:line="240" w:lineRule="auto"/>
              <w:ind w:firstLine="0" w:firstLineChars="0"/>
              <w:jc w:val="center"/>
              <w:textAlignment w:val="baseline"/>
              <w:rPr>
                <w:rFonts w:hAnsi="宋体"/>
                <w:sz w:val="21"/>
              </w:rPr>
            </w:pPr>
            <w:r>
              <w:rPr>
                <w:rFonts w:hAnsi="宋体"/>
                <w:sz w:val="21"/>
              </w:rPr>
              <w:t>最大</w:t>
            </w:r>
            <w:r>
              <w:rPr>
                <w:sz w:val="21"/>
              </w:rPr>
              <w:t>8</w:t>
            </w:r>
            <w:r>
              <w:rPr>
                <w:rFonts w:hAnsi="宋体"/>
                <w:sz w:val="21"/>
              </w:rPr>
              <w:t>小时滑动平均值的</w:t>
            </w:r>
          </w:p>
          <w:p>
            <w:pPr>
              <w:widowControl/>
              <w:adjustRightInd w:val="0"/>
              <w:spacing w:line="240" w:lineRule="auto"/>
              <w:ind w:firstLine="0" w:firstLineChars="0"/>
              <w:jc w:val="center"/>
              <w:textAlignment w:val="baseline"/>
              <w:rPr>
                <w:sz w:val="21"/>
              </w:rPr>
            </w:pPr>
            <w:r>
              <w:rPr>
                <w:rFonts w:hAnsi="宋体"/>
                <w:sz w:val="21"/>
              </w:rPr>
              <w:t>第</w:t>
            </w:r>
            <w:r>
              <w:rPr>
                <w:sz w:val="21"/>
              </w:rPr>
              <w:t>90</w:t>
            </w:r>
            <w:r>
              <w:rPr>
                <w:rFonts w:hAnsi="宋体"/>
                <w:sz w:val="21"/>
              </w:rPr>
              <w:t>百分位数值</w:t>
            </w:r>
          </w:p>
        </w:tc>
        <w:tc>
          <w:tcPr>
            <w:tcW w:w="1142" w:type="dxa"/>
            <w:vAlign w:val="center"/>
          </w:tcPr>
          <w:p>
            <w:pPr>
              <w:spacing w:line="240" w:lineRule="auto"/>
              <w:ind w:firstLine="0" w:firstLineChars="0"/>
              <w:jc w:val="center"/>
              <w:rPr>
                <w:sz w:val="21"/>
              </w:rPr>
            </w:pPr>
            <w:r>
              <w:rPr>
                <w:rFonts w:hint="eastAsia"/>
                <w:sz w:val="21"/>
              </w:rPr>
              <w:t>182</w:t>
            </w:r>
          </w:p>
        </w:tc>
        <w:tc>
          <w:tcPr>
            <w:tcW w:w="1141" w:type="dxa"/>
            <w:vAlign w:val="center"/>
          </w:tcPr>
          <w:p>
            <w:pPr>
              <w:spacing w:line="240" w:lineRule="auto"/>
              <w:ind w:firstLine="0" w:firstLineChars="0"/>
              <w:jc w:val="center"/>
              <w:rPr>
                <w:sz w:val="21"/>
              </w:rPr>
            </w:pPr>
            <w:r>
              <w:rPr>
                <w:sz w:val="21"/>
              </w:rPr>
              <w:t>160</w:t>
            </w:r>
          </w:p>
        </w:tc>
        <w:tc>
          <w:tcPr>
            <w:tcW w:w="998" w:type="dxa"/>
            <w:vAlign w:val="center"/>
          </w:tcPr>
          <w:p>
            <w:pPr>
              <w:spacing w:line="240" w:lineRule="auto"/>
              <w:ind w:firstLine="0" w:firstLineChars="0"/>
              <w:jc w:val="center"/>
              <w:rPr>
                <w:sz w:val="21"/>
              </w:rPr>
            </w:pPr>
            <w:r>
              <w:rPr>
                <w:rFonts w:hint="eastAsia"/>
                <w:sz w:val="21"/>
              </w:rPr>
              <w:t>113.75</w:t>
            </w:r>
          </w:p>
        </w:tc>
        <w:tc>
          <w:tcPr>
            <w:tcW w:w="998" w:type="dxa"/>
            <w:vAlign w:val="center"/>
          </w:tcPr>
          <w:p>
            <w:pPr>
              <w:spacing w:line="240" w:lineRule="auto"/>
              <w:ind w:firstLine="0" w:firstLineChars="0"/>
              <w:jc w:val="center"/>
              <w:rPr>
                <w:sz w:val="21"/>
              </w:rPr>
            </w:pPr>
            <w:r>
              <w:rPr>
                <w:sz w:val="21"/>
              </w:rPr>
              <w:t>/</w:t>
            </w:r>
          </w:p>
        </w:tc>
        <w:tc>
          <w:tcPr>
            <w:tcW w:w="940" w:type="dxa"/>
            <w:vAlign w:val="center"/>
          </w:tcPr>
          <w:p>
            <w:pPr>
              <w:spacing w:line="240" w:lineRule="auto"/>
              <w:ind w:firstLine="0" w:firstLineChars="0"/>
              <w:jc w:val="center"/>
              <w:rPr>
                <w:sz w:val="21"/>
              </w:rPr>
            </w:pPr>
            <w:r>
              <w:rPr>
                <w:rFonts w:hint="eastAsia" w:hAnsi="宋体"/>
                <w:sz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PM</w:t>
            </w:r>
            <w:r>
              <w:rPr>
                <w:kern w:val="18"/>
                <w:sz w:val="21"/>
                <w:vertAlign w:val="subscript"/>
                <w:lang w:eastAsia="en-US" w:bidi="en-US"/>
              </w:rPr>
              <w:t>10</w:t>
            </w:r>
          </w:p>
        </w:tc>
        <w:tc>
          <w:tcPr>
            <w:tcW w:w="3165" w:type="dxa"/>
            <w:vAlign w:val="center"/>
          </w:tcPr>
          <w:p>
            <w:pPr>
              <w:widowControl/>
              <w:adjustRightInd w:val="0"/>
              <w:spacing w:line="240" w:lineRule="auto"/>
              <w:ind w:firstLine="0" w:firstLineChars="0"/>
              <w:jc w:val="center"/>
              <w:textAlignment w:val="baseline"/>
              <w:rPr>
                <w:sz w:val="21"/>
              </w:rPr>
            </w:pPr>
            <w:r>
              <w:rPr>
                <w:rFonts w:hAnsi="宋体"/>
                <w:sz w:val="21"/>
                <w:lang w:eastAsia="en-US"/>
              </w:rPr>
              <w:t>年平均值</w:t>
            </w:r>
          </w:p>
        </w:tc>
        <w:tc>
          <w:tcPr>
            <w:tcW w:w="1142" w:type="dxa"/>
            <w:vAlign w:val="center"/>
          </w:tcPr>
          <w:p>
            <w:pPr>
              <w:spacing w:line="240" w:lineRule="auto"/>
              <w:ind w:firstLine="0" w:firstLineChars="0"/>
              <w:jc w:val="center"/>
              <w:rPr>
                <w:sz w:val="21"/>
              </w:rPr>
            </w:pPr>
            <w:r>
              <w:rPr>
                <w:rFonts w:hint="eastAsia"/>
                <w:sz w:val="21"/>
              </w:rPr>
              <w:t>67</w:t>
            </w:r>
          </w:p>
        </w:tc>
        <w:tc>
          <w:tcPr>
            <w:tcW w:w="1141" w:type="dxa"/>
            <w:vAlign w:val="center"/>
          </w:tcPr>
          <w:p>
            <w:pPr>
              <w:spacing w:line="240" w:lineRule="auto"/>
              <w:ind w:firstLine="0" w:firstLineChars="0"/>
              <w:jc w:val="center"/>
              <w:rPr>
                <w:sz w:val="21"/>
              </w:rPr>
            </w:pPr>
            <w:r>
              <w:rPr>
                <w:sz w:val="21"/>
              </w:rPr>
              <w:t>70</w:t>
            </w:r>
          </w:p>
        </w:tc>
        <w:tc>
          <w:tcPr>
            <w:tcW w:w="998" w:type="dxa"/>
            <w:vAlign w:val="center"/>
          </w:tcPr>
          <w:p>
            <w:pPr>
              <w:spacing w:line="240" w:lineRule="auto"/>
              <w:ind w:firstLine="0" w:firstLineChars="0"/>
              <w:jc w:val="center"/>
              <w:rPr>
                <w:sz w:val="21"/>
              </w:rPr>
            </w:pPr>
            <w:r>
              <w:rPr>
                <w:rFonts w:hint="eastAsia"/>
                <w:sz w:val="21"/>
              </w:rPr>
              <w:t>95.71</w:t>
            </w:r>
          </w:p>
        </w:tc>
        <w:tc>
          <w:tcPr>
            <w:tcW w:w="998" w:type="dxa"/>
            <w:vAlign w:val="center"/>
          </w:tcPr>
          <w:p>
            <w:pPr>
              <w:spacing w:line="240" w:lineRule="auto"/>
              <w:ind w:firstLine="0" w:firstLineChars="0"/>
              <w:jc w:val="center"/>
              <w:rPr>
                <w:sz w:val="21"/>
              </w:rPr>
            </w:pPr>
            <w:r>
              <w:rPr>
                <w:rFonts w:hint="eastAsia"/>
                <w:sz w:val="21"/>
              </w:rPr>
              <w:t>/</w:t>
            </w:r>
          </w:p>
        </w:tc>
        <w:tc>
          <w:tcPr>
            <w:tcW w:w="940" w:type="dxa"/>
            <w:vAlign w:val="center"/>
          </w:tcPr>
          <w:p>
            <w:pPr>
              <w:spacing w:line="240" w:lineRule="auto"/>
              <w:ind w:firstLine="0" w:firstLineChars="0"/>
              <w:jc w:val="center"/>
              <w:rPr>
                <w:sz w:val="21"/>
              </w:rPr>
            </w:pPr>
            <w:r>
              <w:rPr>
                <w:rFonts w:hint="eastAsia" w:hAnsi="宋体"/>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6" w:type="dxa"/>
            <w:vAlign w:val="center"/>
          </w:tcPr>
          <w:p>
            <w:pPr>
              <w:widowControl/>
              <w:adjustRightInd w:val="0"/>
              <w:spacing w:line="240" w:lineRule="auto"/>
              <w:ind w:firstLine="0" w:firstLineChars="0"/>
              <w:jc w:val="center"/>
              <w:textAlignment w:val="baseline"/>
              <w:rPr>
                <w:sz w:val="21"/>
              </w:rPr>
            </w:pPr>
            <w:r>
              <w:rPr>
                <w:kern w:val="18"/>
                <w:sz w:val="21"/>
                <w:lang w:eastAsia="en-US" w:bidi="en-US"/>
              </w:rPr>
              <w:t>PM</w:t>
            </w:r>
            <w:r>
              <w:rPr>
                <w:kern w:val="18"/>
                <w:sz w:val="21"/>
                <w:vertAlign w:val="subscript"/>
                <w:lang w:eastAsia="en-US" w:bidi="en-US"/>
              </w:rPr>
              <w:t>2.5</w:t>
            </w:r>
          </w:p>
        </w:tc>
        <w:tc>
          <w:tcPr>
            <w:tcW w:w="3165" w:type="dxa"/>
            <w:vAlign w:val="center"/>
          </w:tcPr>
          <w:p>
            <w:pPr>
              <w:widowControl/>
              <w:adjustRightInd w:val="0"/>
              <w:spacing w:line="240" w:lineRule="auto"/>
              <w:ind w:firstLine="0" w:firstLineChars="0"/>
              <w:jc w:val="center"/>
              <w:textAlignment w:val="baseline"/>
              <w:rPr>
                <w:sz w:val="21"/>
              </w:rPr>
            </w:pPr>
            <w:r>
              <w:rPr>
                <w:rFonts w:hAnsi="宋体"/>
                <w:sz w:val="21"/>
                <w:lang w:eastAsia="en-US"/>
              </w:rPr>
              <w:t>年平均值</w:t>
            </w:r>
          </w:p>
        </w:tc>
        <w:tc>
          <w:tcPr>
            <w:tcW w:w="1142" w:type="dxa"/>
            <w:vAlign w:val="center"/>
          </w:tcPr>
          <w:p>
            <w:pPr>
              <w:spacing w:line="240" w:lineRule="auto"/>
              <w:ind w:firstLine="0" w:firstLineChars="0"/>
              <w:jc w:val="center"/>
              <w:rPr>
                <w:sz w:val="21"/>
              </w:rPr>
            </w:pPr>
            <w:r>
              <w:rPr>
                <w:rFonts w:hint="eastAsia"/>
                <w:sz w:val="21"/>
              </w:rPr>
              <w:t>37</w:t>
            </w:r>
          </w:p>
        </w:tc>
        <w:tc>
          <w:tcPr>
            <w:tcW w:w="1141" w:type="dxa"/>
            <w:vAlign w:val="center"/>
          </w:tcPr>
          <w:p>
            <w:pPr>
              <w:spacing w:line="240" w:lineRule="auto"/>
              <w:ind w:firstLine="0" w:firstLineChars="0"/>
              <w:jc w:val="center"/>
              <w:rPr>
                <w:sz w:val="21"/>
              </w:rPr>
            </w:pPr>
            <w:r>
              <w:rPr>
                <w:sz w:val="21"/>
              </w:rPr>
              <w:t>35</w:t>
            </w:r>
          </w:p>
        </w:tc>
        <w:tc>
          <w:tcPr>
            <w:tcW w:w="998" w:type="dxa"/>
            <w:vAlign w:val="center"/>
          </w:tcPr>
          <w:p>
            <w:pPr>
              <w:spacing w:line="240" w:lineRule="auto"/>
              <w:ind w:firstLine="0" w:firstLineChars="0"/>
              <w:jc w:val="center"/>
              <w:rPr>
                <w:sz w:val="21"/>
              </w:rPr>
            </w:pPr>
            <w:r>
              <w:rPr>
                <w:rFonts w:hint="eastAsia"/>
                <w:sz w:val="21"/>
              </w:rPr>
              <w:t>105.71</w:t>
            </w:r>
          </w:p>
        </w:tc>
        <w:tc>
          <w:tcPr>
            <w:tcW w:w="998" w:type="dxa"/>
            <w:vAlign w:val="center"/>
          </w:tcPr>
          <w:p>
            <w:pPr>
              <w:spacing w:line="240" w:lineRule="auto"/>
              <w:ind w:firstLine="0" w:firstLineChars="0"/>
              <w:jc w:val="center"/>
              <w:rPr>
                <w:sz w:val="21"/>
              </w:rPr>
            </w:pPr>
            <w:r>
              <w:rPr>
                <w:sz w:val="21"/>
              </w:rPr>
              <w:t>/</w:t>
            </w:r>
          </w:p>
        </w:tc>
        <w:tc>
          <w:tcPr>
            <w:tcW w:w="940" w:type="dxa"/>
            <w:vAlign w:val="center"/>
          </w:tcPr>
          <w:p>
            <w:pPr>
              <w:spacing w:line="240" w:lineRule="auto"/>
              <w:ind w:firstLine="0" w:firstLineChars="0"/>
              <w:jc w:val="center"/>
              <w:rPr>
                <w:sz w:val="21"/>
              </w:rPr>
            </w:pPr>
            <w:r>
              <w:rPr>
                <w:rFonts w:hint="eastAsia" w:hAnsi="宋体"/>
                <w:sz w:val="21"/>
              </w:rPr>
              <w:t>不达标</w:t>
            </w:r>
          </w:p>
        </w:tc>
      </w:tr>
    </w:tbl>
    <w:p>
      <w:pPr>
        <w:ind w:firstLine="480"/>
      </w:pPr>
      <w:r>
        <w:t>由上表可知，本项目所在区域为不达标区。</w:t>
      </w:r>
    </w:p>
    <w:p>
      <w:pPr>
        <w:pStyle w:val="204"/>
        <w:spacing w:line="480" w:lineRule="exact"/>
        <w:ind w:firstLine="0" w:firstLineChars="0"/>
        <w:outlineLvl w:val="2"/>
        <w:rPr>
          <w:b/>
          <w:sz w:val="28"/>
          <w:szCs w:val="28"/>
        </w:rPr>
      </w:pPr>
      <w:r>
        <w:rPr>
          <w:rFonts w:hint="eastAsia"/>
          <w:b/>
          <w:sz w:val="28"/>
          <w:szCs w:val="28"/>
        </w:rPr>
        <w:t>4.3.2区域环境噪声质量现状</w:t>
      </w:r>
    </w:p>
    <w:p>
      <w:pPr>
        <w:pStyle w:val="190"/>
        <w:spacing w:beforeLines="0" w:afterLines="0"/>
      </w:pPr>
      <w:bookmarkStart w:id="96" w:name="_Toc180983035"/>
      <w:r>
        <w:t>4.</w:t>
      </w:r>
      <w:r>
        <w:rPr>
          <w:rFonts w:hint="eastAsia"/>
        </w:rPr>
        <w:t>3</w:t>
      </w:r>
      <w:r>
        <w:t>.</w:t>
      </w:r>
      <w:r>
        <w:rPr>
          <w:rFonts w:hint="eastAsia"/>
        </w:rPr>
        <w:t>2</w:t>
      </w:r>
      <w:r>
        <w:t>.1噪声现状监测</w:t>
      </w:r>
      <w:bookmarkEnd w:id="96"/>
    </w:p>
    <w:p>
      <w:pPr>
        <w:tabs>
          <w:tab w:val="left" w:pos="0"/>
        </w:tabs>
        <w:adjustRightInd w:val="0"/>
        <w:snapToGrid w:val="0"/>
        <w:ind w:firstLine="480"/>
      </w:pPr>
      <w:r>
        <w:t>（1）监测布点</w:t>
      </w:r>
    </w:p>
    <w:p>
      <w:pPr>
        <w:ind w:firstLine="480"/>
      </w:pPr>
      <w:r>
        <w:rPr>
          <w:bCs/>
        </w:rPr>
        <w:t>本项目</w:t>
      </w:r>
      <w:r>
        <w:rPr>
          <w:rFonts w:hint="eastAsia"/>
          <w:bCs/>
        </w:rPr>
        <w:t>在项目原G112西侧吴家坑村设置1处监测断面，在遵宝线北侧学汉坨村设置1处监测断面，分别监测20m、40m、60m、80m、120m、200m噪声值</w:t>
      </w:r>
      <w:r>
        <w:rPr>
          <w:bCs/>
        </w:rPr>
        <w:t>。</w:t>
      </w:r>
    </w:p>
    <w:p>
      <w:pPr>
        <w:tabs>
          <w:tab w:val="left" w:pos="0"/>
        </w:tabs>
        <w:adjustRightInd w:val="0"/>
        <w:snapToGrid w:val="0"/>
        <w:ind w:firstLine="480"/>
      </w:pPr>
      <w:r>
        <w:t>（2）监测因子</w:t>
      </w:r>
    </w:p>
    <w:p>
      <w:pPr>
        <w:tabs>
          <w:tab w:val="left" w:pos="0"/>
        </w:tabs>
        <w:adjustRightInd w:val="0"/>
        <w:snapToGrid w:val="0"/>
        <w:ind w:firstLine="480"/>
      </w:pPr>
      <w:r>
        <w:t>等效连续A声级</w:t>
      </w:r>
      <w:r>
        <w:rPr>
          <w:rFonts w:hint="eastAsia"/>
        </w:rPr>
        <w:t>。</w:t>
      </w:r>
    </w:p>
    <w:p>
      <w:pPr>
        <w:tabs>
          <w:tab w:val="left" w:pos="0"/>
        </w:tabs>
        <w:adjustRightInd w:val="0"/>
        <w:snapToGrid w:val="0"/>
        <w:ind w:firstLine="480"/>
      </w:pPr>
      <w:r>
        <w:t>（3）监测时间及频次</w:t>
      </w:r>
    </w:p>
    <w:p>
      <w:pPr>
        <w:tabs>
          <w:tab w:val="left" w:pos="0"/>
        </w:tabs>
        <w:adjustRightInd w:val="0"/>
        <w:snapToGrid w:val="0"/>
        <w:ind w:firstLine="480"/>
      </w:pPr>
      <w:r>
        <w:rPr>
          <w:rFonts w:hint="eastAsia"/>
        </w:rPr>
        <w:t>监测两天，</w:t>
      </w:r>
      <w:r>
        <w:t>每天昼夜各监测一次</w:t>
      </w:r>
      <w:r>
        <w:rPr>
          <w:rFonts w:hint="eastAsia"/>
        </w:rPr>
        <w:t>（</w:t>
      </w:r>
      <w:r>
        <w:t>昼间监测时间段为：6：00～22：00，夜间监测时间为：22：00</w:t>
      </w:r>
      <w:r>
        <w:rPr>
          <w:rFonts w:hint="eastAsia"/>
        </w:rPr>
        <w:t>~</w:t>
      </w:r>
      <w:r>
        <w:t>06：00</w:t>
      </w:r>
      <w:r>
        <w:rPr>
          <w:rFonts w:hint="eastAsia"/>
        </w:rPr>
        <w:t>）</w:t>
      </w:r>
      <w:r>
        <w:t>，</w:t>
      </w:r>
      <w:r>
        <w:rPr>
          <w:rFonts w:hint="eastAsia"/>
        </w:rPr>
        <w:t>监测1天</w:t>
      </w:r>
      <w:r>
        <w:t>，每点连续监测</w:t>
      </w:r>
      <w:r>
        <w:rPr>
          <w:rFonts w:hint="eastAsia"/>
        </w:rPr>
        <w:t>20</w:t>
      </w:r>
      <w:r>
        <w:t>min。</w:t>
      </w:r>
    </w:p>
    <w:p>
      <w:pPr>
        <w:tabs>
          <w:tab w:val="left" w:pos="0"/>
        </w:tabs>
        <w:adjustRightInd w:val="0"/>
        <w:snapToGrid w:val="0"/>
        <w:ind w:firstLine="480"/>
      </w:pPr>
      <w:r>
        <w:t>（4）监测分析方法</w:t>
      </w:r>
    </w:p>
    <w:p>
      <w:pPr>
        <w:ind w:firstLine="480"/>
        <w:rPr>
          <w:bCs/>
        </w:rPr>
      </w:pPr>
      <w:r>
        <w:rPr>
          <w:bCs/>
        </w:rPr>
        <w:t>本次监测方法及分析仪器见表4</w:t>
      </w:r>
      <w:r>
        <w:rPr>
          <w:rFonts w:hint="eastAsia"/>
          <w:bCs/>
        </w:rPr>
        <w:t>.3</w:t>
      </w:r>
      <w:r>
        <w:rPr>
          <w:bCs/>
        </w:rPr>
        <w:t>-</w:t>
      </w:r>
      <w:r>
        <w:rPr>
          <w:rFonts w:hint="eastAsia"/>
          <w:bCs/>
        </w:rPr>
        <w:t>2</w:t>
      </w:r>
      <w:r>
        <w:rPr>
          <w:bCs/>
        </w:rPr>
        <w:t>。</w:t>
      </w:r>
    </w:p>
    <w:p>
      <w:pPr>
        <w:ind w:firstLine="0" w:firstLineChars="0"/>
        <w:jc w:val="center"/>
        <w:rPr>
          <w:b/>
          <w:sz w:val="21"/>
        </w:rPr>
      </w:pPr>
      <w:r>
        <w:rPr>
          <w:b/>
          <w:sz w:val="21"/>
        </w:rPr>
        <w:t>表4</w:t>
      </w:r>
      <w:r>
        <w:rPr>
          <w:rFonts w:hint="eastAsia"/>
          <w:b/>
          <w:sz w:val="21"/>
        </w:rPr>
        <w:t>.3</w:t>
      </w:r>
      <w:r>
        <w:rPr>
          <w:b/>
          <w:sz w:val="21"/>
        </w:rPr>
        <w:t>-</w:t>
      </w:r>
      <w:r>
        <w:rPr>
          <w:rFonts w:hint="eastAsia"/>
          <w:b/>
          <w:sz w:val="21"/>
        </w:rPr>
        <w:t xml:space="preserve">2  </w:t>
      </w:r>
      <w:r>
        <w:rPr>
          <w:b/>
          <w:sz w:val="21"/>
        </w:rPr>
        <w:t>分析方法一览表</w:t>
      </w:r>
    </w:p>
    <w:tbl>
      <w:tblPr>
        <w:tblStyle w:val="52"/>
        <w:tblW w:w="9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5"/>
        <w:gridCol w:w="3997"/>
        <w:gridCol w:w="3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5" w:type="dxa"/>
            <w:vAlign w:val="center"/>
          </w:tcPr>
          <w:p>
            <w:pPr>
              <w:spacing w:line="240" w:lineRule="auto"/>
              <w:ind w:firstLine="0" w:firstLineChars="0"/>
              <w:jc w:val="center"/>
              <w:rPr>
                <w:sz w:val="21"/>
              </w:rPr>
            </w:pPr>
            <w:r>
              <w:rPr>
                <w:sz w:val="21"/>
              </w:rPr>
              <w:t>监测项目</w:t>
            </w:r>
          </w:p>
        </w:tc>
        <w:tc>
          <w:tcPr>
            <w:tcW w:w="3997" w:type="dxa"/>
            <w:vAlign w:val="center"/>
          </w:tcPr>
          <w:p>
            <w:pPr>
              <w:spacing w:line="240" w:lineRule="auto"/>
              <w:ind w:firstLine="0" w:firstLineChars="0"/>
              <w:jc w:val="center"/>
              <w:rPr>
                <w:sz w:val="21"/>
              </w:rPr>
            </w:pPr>
            <w:r>
              <w:rPr>
                <w:sz w:val="21"/>
              </w:rPr>
              <w:t>检测仪器</w:t>
            </w:r>
          </w:p>
        </w:tc>
        <w:tc>
          <w:tcPr>
            <w:tcW w:w="3168" w:type="dxa"/>
            <w:vAlign w:val="center"/>
          </w:tcPr>
          <w:p>
            <w:pPr>
              <w:spacing w:line="240" w:lineRule="auto"/>
              <w:ind w:firstLine="0" w:firstLineChars="0"/>
              <w:jc w:val="center"/>
              <w:rPr>
                <w:sz w:val="21"/>
              </w:rPr>
            </w:pPr>
            <w:r>
              <w:rPr>
                <w:spacing w:val="-6"/>
                <w:sz w:val="21"/>
              </w:rPr>
              <w:t>检测方法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65" w:type="dxa"/>
            <w:vAlign w:val="center"/>
          </w:tcPr>
          <w:p>
            <w:pPr>
              <w:spacing w:line="240" w:lineRule="auto"/>
              <w:ind w:firstLine="0" w:firstLineChars="0"/>
              <w:jc w:val="center"/>
              <w:rPr>
                <w:sz w:val="21"/>
              </w:rPr>
            </w:pPr>
            <w:r>
              <w:rPr>
                <w:rFonts w:hint="eastAsia" w:cs="宋体"/>
                <w:sz w:val="21"/>
              </w:rPr>
              <w:t>等效连续</w:t>
            </w:r>
            <w:r>
              <w:rPr>
                <w:sz w:val="21"/>
              </w:rPr>
              <w:t>A</w:t>
            </w:r>
            <w:r>
              <w:rPr>
                <w:rFonts w:hint="eastAsia" w:cs="宋体"/>
                <w:sz w:val="21"/>
              </w:rPr>
              <w:t>声级</w:t>
            </w:r>
          </w:p>
        </w:tc>
        <w:tc>
          <w:tcPr>
            <w:tcW w:w="3997" w:type="dxa"/>
            <w:vAlign w:val="center"/>
          </w:tcPr>
          <w:p>
            <w:pPr>
              <w:spacing w:line="240" w:lineRule="auto"/>
              <w:ind w:firstLine="0" w:firstLineChars="0"/>
              <w:rPr>
                <w:sz w:val="21"/>
              </w:rPr>
            </w:pPr>
            <w:r>
              <w:rPr>
                <w:sz w:val="21"/>
              </w:rPr>
              <w:t>多功能声级计（AWA5688/YQ1060）</w:t>
            </w:r>
          </w:p>
          <w:p>
            <w:pPr>
              <w:pStyle w:val="2"/>
              <w:spacing w:line="240" w:lineRule="auto"/>
              <w:ind w:firstLine="0" w:firstLineChars="0"/>
              <w:rPr>
                <w:sz w:val="21"/>
                <w:szCs w:val="21"/>
              </w:rPr>
            </w:pPr>
            <w:r>
              <w:rPr>
                <w:sz w:val="21"/>
                <w:szCs w:val="21"/>
              </w:rPr>
              <w:t>多功能声级计（AWA6228+/YQ1018）</w:t>
            </w:r>
          </w:p>
          <w:p>
            <w:pPr>
              <w:pStyle w:val="3"/>
              <w:spacing w:before="0" w:after="0" w:line="240" w:lineRule="auto"/>
              <w:ind w:firstLine="0" w:firstLineChars="0"/>
              <w:rPr>
                <w:rFonts w:ascii="Times New Roman" w:hAnsi="Times New Roman" w:eastAsia="宋体"/>
                <w:b w:val="0"/>
                <w:bCs w:val="0"/>
                <w:sz w:val="21"/>
                <w:szCs w:val="21"/>
              </w:rPr>
            </w:pPr>
            <w:r>
              <w:rPr>
                <w:rFonts w:ascii="Times New Roman" w:hAnsi="Times New Roman" w:eastAsia="宋体"/>
                <w:b w:val="0"/>
                <w:bCs w:val="0"/>
                <w:sz w:val="21"/>
                <w:szCs w:val="21"/>
              </w:rPr>
              <w:t>声校准器（AWA6022A/YQ1052~</w:t>
            </w:r>
            <w:r>
              <w:rPr>
                <w:rFonts w:hint="eastAsia" w:ascii="Times New Roman" w:hAnsi="Times New Roman" w:eastAsia="宋体"/>
                <w:b w:val="0"/>
                <w:bCs w:val="0"/>
                <w:sz w:val="21"/>
                <w:szCs w:val="21"/>
              </w:rPr>
              <w:t>YQ1</w:t>
            </w:r>
            <w:r>
              <w:rPr>
                <w:rFonts w:ascii="Times New Roman" w:hAnsi="Times New Roman" w:eastAsia="宋体"/>
                <w:b w:val="0"/>
                <w:bCs w:val="0"/>
                <w:sz w:val="21"/>
                <w:szCs w:val="21"/>
              </w:rPr>
              <w:t>056）</w:t>
            </w:r>
          </w:p>
          <w:p>
            <w:pPr>
              <w:pStyle w:val="3"/>
              <w:spacing w:before="0" w:after="0" w:line="240" w:lineRule="auto"/>
              <w:ind w:firstLine="0" w:firstLineChars="0"/>
            </w:pPr>
            <w:r>
              <w:rPr>
                <w:rFonts w:ascii="Times New Roman" w:hAnsi="Times New Roman" w:eastAsia="宋体"/>
                <w:b w:val="0"/>
                <w:bCs w:val="0"/>
                <w:sz w:val="21"/>
                <w:szCs w:val="21"/>
              </w:rPr>
              <w:t>声校准器（AWA6021A/YQ1020）</w:t>
            </w:r>
          </w:p>
        </w:tc>
        <w:tc>
          <w:tcPr>
            <w:tcW w:w="3168" w:type="dxa"/>
            <w:vAlign w:val="center"/>
          </w:tcPr>
          <w:p>
            <w:pPr>
              <w:spacing w:line="240" w:lineRule="auto"/>
              <w:ind w:firstLine="0" w:firstLineChars="0"/>
              <w:jc w:val="center"/>
              <w:rPr>
                <w:sz w:val="21"/>
              </w:rPr>
            </w:pPr>
            <w:r>
              <w:rPr>
                <w:rFonts w:hint="eastAsia"/>
                <w:sz w:val="21"/>
              </w:rPr>
              <w:t>《</w:t>
            </w:r>
            <w:r>
              <w:rPr>
                <w:sz w:val="21"/>
              </w:rPr>
              <w:t>声环境质量标准</w:t>
            </w:r>
            <w:r>
              <w:rPr>
                <w:rFonts w:hint="eastAsia"/>
                <w:sz w:val="21"/>
              </w:rPr>
              <w:t>》（</w:t>
            </w:r>
            <w:r>
              <w:rPr>
                <w:sz w:val="21"/>
              </w:rPr>
              <w:t>GB3096-2008</w:t>
            </w:r>
            <w:r>
              <w:rPr>
                <w:rFonts w:hint="eastAsia"/>
                <w:sz w:val="21"/>
              </w:rPr>
              <w:t>）、《环境噪声监测技术规范 噪声测量值修正》（HJ706-2014）</w:t>
            </w:r>
          </w:p>
        </w:tc>
      </w:tr>
    </w:tbl>
    <w:p>
      <w:pPr>
        <w:tabs>
          <w:tab w:val="left" w:pos="0"/>
        </w:tabs>
        <w:adjustRightInd w:val="0"/>
        <w:snapToGrid w:val="0"/>
        <w:ind w:firstLine="480"/>
      </w:pPr>
      <w:r>
        <w:t>（5）监测结果</w:t>
      </w:r>
    </w:p>
    <w:p>
      <w:pPr>
        <w:tabs>
          <w:tab w:val="left" w:pos="0"/>
        </w:tabs>
        <w:adjustRightInd w:val="0"/>
        <w:snapToGrid w:val="0"/>
        <w:ind w:firstLine="480"/>
      </w:pPr>
      <w:r>
        <w:t>噪声监测数据统计结果见表4</w:t>
      </w:r>
      <w:r>
        <w:rPr>
          <w:rFonts w:hint="eastAsia"/>
        </w:rPr>
        <w:t>.3</w:t>
      </w:r>
      <w:r>
        <w:t>-</w:t>
      </w:r>
      <w:r>
        <w:rPr>
          <w:rFonts w:hint="eastAsia"/>
        </w:rPr>
        <w:t>3</w:t>
      </w:r>
      <w:r>
        <w:t>。</w:t>
      </w:r>
    </w:p>
    <w:p>
      <w:pPr>
        <w:wordWrap w:val="0"/>
        <w:adjustRightInd w:val="0"/>
        <w:snapToGrid w:val="0"/>
        <w:ind w:firstLine="0" w:firstLineChars="0"/>
        <w:jc w:val="right"/>
        <w:rPr>
          <w:b/>
          <w:sz w:val="21"/>
        </w:rPr>
      </w:pPr>
      <w:r>
        <w:rPr>
          <w:b/>
          <w:sz w:val="21"/>
        </w:rPr>
        <w:t>表4</w:t>
      </w:r>
      <w:r>
        <w:rPr>
          <w:rFonts w:hint="eastAsia"/>
          <w:b/>
          <w:sz w:val="21"/>
        </w:rPr>
        <w:t>.3</w:t>
      </w:r>
      <w:r>
        <w:rPr>
          <w:b/>
          <w:sz w:val="21"/>
        </w:rPr>
        <w:t>-</w:t>
      </w:r>
      <w:r>
        <w:rPr>
          <w:rFonts w:hint="eastAsia"/>
          <w:b/>
          <w:sz w:val="21"/>
        </w:rPr>
        <w:t>3</w:t>
      </w:r>
      <w:r>
        <w:rPr>
          <w:b/>
          <w:sz w:val="21"/>
        </w:rPr>
        <w:t>声环境现状监测</w:t>
      </w:r>
      <w:r>
        <w:rPr>
          <w:rFonts w:hint="eastAsia"/>
          <w:b/>
          <w:sz w:val="21"/>
        </w:rPr>
        <w:t>与评价</w:t>
      </w:r>
      <w:r>
        <w:rPr>
          <w:b/>
          <w:sz w:val="21"/>
        </w:rPr>
        <w:t>结果</w:t>
      </w:r>
      <w:r>
        <w:rPr>
          <w:rFonts w:hint="eastAsia"/>
          <w:b/>
          <w:sz w:val="21"/>
        </w:rPr>
        <w:t xml:space="preserve">一览表           </w:t>
      </w:r>
      <w:r>
        <w:rPr>
          <w:b/>
          <w:sz w:val="21"/>
        </w:rPr>
        <w:t>单位：dB（A）</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09"/>
        <w:gridCol w:w="2862"/>
        <w:gridCol w:w="1096"/>
        <w:gridCol w:w="711"/>
        <w:gridCol w:w="910"/>
        <w:gridCol w:w="913"/>
        <w:gridCol w:w="910"/>
        <w:gridCol w:w="9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序号</w:t>
            </w:r>
          </w:p>
        </w:tc>
        <w:tc>
          <w:tcPr>
            <w:tcW w:w="1586" w:type="pct"/>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监测点位</w:t>
            </w:r>
          </w:p>
        </w:tc>
        <w:tc>
          <w:tcPr>
            <w:tcW w:w="1001" w:type="pct"/>
            <w:gridSpan w:val="2"/>
            <w:vMerge w:val="restart"/>
            <w:vAlign w:val="center"/>
          </w:tcPr>
          <w:p>
            <w:pPr>
              <w:pStyle w:val="675"/>
              <w:jc w:val="center"/>
              <w:rPr>
                <w:rFonts w:ascii="Times New Roman" w:hAnsi="Times New Roman" w:cs="Times New Roman"/>
                <w:sz w:val="21"/>
                <w:szCs w:val="21"/>
              </w:rPr>
            </w:pPr>
            <w:r>
              <w:rPr>
                <w:rFonts w:ascii="Times New Roman" w:cs="Times New Roman"/>
                <w:bCs/>
                <w:sz w:val="21"/>
                <w:szCs w:val="21"/>
              </w:rPr>
              <w:t>时间</w:t>
            </w:r>
          </w:p>
        </w:tc>
        <w:tc>
          <w:tcPr>
            <w:tcW w:w="1010" w:type="pct"/>
            <w:gridSpan w:val="2"/>
            <w:vAlign w:val="center"/>
          </w:tcPr>
          <w:p>
            <w:pPr>
              <w:pStyle w:val="675"/>
              <w:jc w:val="center"/>
              <w:rPr>
                <w:rFonts w:ascii="Times New Roman" w:hAnsi="Times New Roman" w:cs="Times New Roman"/>
                <w:sz w:val="21"/>
                <w:szCs w:val="21"/>
              </w:rPr>
            </w:pPr>
            <w:r>
              <w:rPr>
                <w:rFonts w:ascii="Times New Roman" w:cs="Times New Roman"/>
                <w:bCs/>
                <w:sz w:val="21"/>
                <w:szCs w:val="21"/>
              </w:rPr>
              <w:t>监测声级（</w:t>
            </w:r>
            <w:r>
              <w:rPr>
                <w:rFonts w:ascii="Times New Roman" w:hAnsi="Times New Roman" w:eastAsia="Times New Roman" w:cs="Times New Roman"/>
                <w:bCs/>
                <w:sz w:val="21"/>
                <w:szCs w:val="21"/>
              </w:rPr>
              <w:t>dB</w:t>
            </w:r>
            <w:r>
              <w:rPr>
                <w:rFonts w:ascii="Times New Roman" w:cs="Times New Roman"/>
                <w:bCs/>
                <w:sz w:val="21"/>
                <w:szCs w:val="21"/>
              </w:rPr>
              <w:t>）</w:t>
            </w:r>
          </w:p>
        </w:tc>
        <w:tc>
          <w:tcPr>
            <w:tcW w:w="1010" w:type="pct"/>
            <w:gridSpan w:val="2"/>
            <w:vAlign w:val="center"/>
          </w:tcPr>
          <w:p>
            <w:pPr>
              <w:pStyle w:val="675"/>
              <w:jc w:val="center"/>
              <w:rPr>
                <w:rFonts w:ascii="Times New Roman" w:hAnsi="Times New Roman" w:cs="Times New Roman"/>
                <w:sz w:val="21"/>
                <w:szCs w:val="21"/>
              </w:rPr>
            </w:pPr>
            <w:r>
              <w:rPr>
                <w:rFonts w:ascii="Times New Roman" w:cs="Times New Roman"/>
                <w:bCs/>
                <w:sz w:val="21"/>
                <w:szCs w:val="21"/>
              </w:rPr>
              <w:t>超标情况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lang w:eastAsia="en-US"/>
              </w:rPr>
            </w:pPr>
          </w:p>
        </w:tc>
        <w:tc>
          <w:tcPr>
            <w:tcW w:w="1586" w:type="pct"/>
            <w:vMerge w:val="continue"/>
            <w:vAlign w:val="center"/>
          </w:tcPr>
          <w:p>
            <w:pPr>
              <w:spacing w:line="240" w:lineRule="auto"/>
              <w:ind w:firstLine="0" w:firstLineChars="0"/>
              <w:jc w:val="center"/>
              <w:rPr>
                <w:kern w:val="0"/>
                <w:sz w:val="21"/>
                <w:lang w:eastAsia="en-US"/>
              </w:rPr>
            </w:pPr>
          </w:p>
        </w:tc>
        <w:tc>
          <w:tcPr>
            <w:tcW w:w="1001" w:type="pct"/>
            <w:gridSpan w:val="2"/>
            <w:vMerge w:val="continue"/>
            <w:vAlign w:val="center"/>
          </w:tcPr>
          <w:p>
            <w:pPr>
              <w:spacing w:line="240" w:lineRule="auto"/>
              <w:ind w:firstLine="0" w:firstLineChars="0"/>
              <w:jc w:val="center"/>
              <w:rPr>
                <w:kern w:val="0"/>
                <w:sz w:val="21"/>
                <w:lang w:eastAsia="en-US"/>
              </w:rPr>
            </w:pPr>
          </w:p>
        </w:tc>
        <w:tc>
          <w:tcPr>
            <w:tcW w:w="504"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2</w:t>
            </w:r>
            <w:r>
              <w:rPr>
                <w:rFonts w:ascii="Times New Roman" w:cs="Times New Roman"/>
                <w:sz w:val="21"/>
                <w:szCs w:val="21"/>
              </w:rPr>
              <w:t>类</w:t>
            </w:r>
          </w:p>
        </w:tc>
        <w:tc>
          <w:tcPr>
            <w:tcW w:w="506"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4a</w:t>
            </w:r>
            <w:r>
              <w:rPr>
                <w:rFonts w:ascii="Times New Roman" w:cs="Times New Roman"/>
                <w:sz w:val="21"/>
                <w:szCs w:val="21"/>
              </w:rPr>
              <w:t>类</w:t>
            </w:r>
          </w:p>
        </w:tc>
        <w:tc>
          <w:tcPr>
            <w:tcW w:w="504"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2</w:t>
            </w:r>
            <w:r>
              <w:rPr>
                <w:rFonts w:ascii="Times New Roman" w:cs="Times New Roman"/>
                <w:sz w:val="21"/>
                <w:szCs w:val="21"/>
              </w:rPr>
              <w:t>类</w:t>
            </w:r>
          </w:p>
        </w:tc>
        <w:tc>
          <w:tcPr>
            <w:tcW w:w="506" w:type="pct"/>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sz w:val="21"/>
                <w:szCs w:val="21"/>
              </w:rPr>
              <w:t>4a</w:t>
            </w:r>
            <w:r>
              <w:rPr>
                <w:rFonts w:ascii="Times New Roman" w:cs="Times New Roman"/>
                <w:sz w:val="21"/>
                <w:szCs w:val="21"/>
              </w:rPr>
              <w:t>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1</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20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lang w:eastAsia="en-US"/>
              </w:rPr>
            </w:pPr>
          </w:p>
        </w:tc>
        <w:tc>
          <w:tcPr>
            <w:tcW w:w="506" w:type="pct"/>
            <w:vAlign w:val="center"/>
          </w:tcPr>
          <w:p>
            <w:pPr>
              <w:spacing w:line="240" w:lineRule="auto"/>
              <w:ind w:firstLine="0" w:firstLineChars="0"/>
              <w:jc w:val="center"/>
              <w:rPr>
                <w:kern w:val="0"/>
                <w:sz w:val="21"/>
              </w:rPr>
            </w:pPr>
            <w:r>
              <w:rPr>
                <w:rFonts w:hint="eastAsia"/>
                <w:kern w:val="0"/>
                <w:sz w:val="21"/>
              </w:rPr>
              <w:t>67</w:t>
            </w:r>
          </w:p>
        </w:tc>
        <w:tc>
          <w:tcPr>
            <w:tcW w:w="504" w:type="pct"/>
            <w:vAlign w:val="center"/>
          </w:tcPr>
          <w:p>
            <w:pPr>
              <w:spacing w:line="240" w:lineRule="auto"/>
              <w:ind w:firstLine="0" w:firstLineChars="0"/>
              <w:jc w:val="center"/>
              <w:rPr>
                <w:kern w:val="0"/>
                <w:sz w:val="21"/>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lang w:eastAsia="en-US"/>
              </w:rPr>
            </w:pPr>
          </w:p>
        </w:tc>
        <w:tc>
          <w:tcPr>
            <w:tcW w:w="506" w:type="pct"/>
            <w:vAlign w:val="center"/>
          </w:tcPr>
          <w:p>
            <w:pPr>
              <w:spacing w:line="240" w:lineRule="auto"/>
              <w:ind w:firstLine="0" w:firstLineChars="0"/>
              <w:jc w:val="center"/>
              <w:rPr>
                <w:kern w:val="0"/>
                <w:sz w:val="21"/>
              </w:rPr>
            </w:pPr>
            <w:r>
              <w:rPr>
                <w:rFonts w:hint="eastAsia"/>
                <w:kern w:val="0"/>
                <w:sz w:val="21"/>
              </w:rPr>
              <w:t>53</w:t>
            </w:r>
          </w:p>
        </w:tc>
        <w:tc>
          <w:tcPr>
            <w:tcW w:w="504" w:type="pct"/>
            <w:vAlign w:val="center"/>
          </w:tcPr>
          <w:p>
            <w:pPr>
              <w:spacing w:line="240" w:lineRule="auto"/>
              <w:ind w:firstLine="0" w:firstLineChars="0"/>
              <w:jc w:val="center"/>
              <w:rPr>
                <w:kern w:val="0"/>
                <w:sz w:val="21"/>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2</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40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lang w:eastAsia="en-US"/>
              </w:rPr>
            </w:pPr>
          </w:p>
        </w:tc>
        <w:tc>
          <w:tcPr>
            <w:tcW w:w="506" w:type="pct"/>
            <w:vAlign w:val="center"/>
          </w:tcPr>
          <w:p>
            <w:pPr>
              <w:spacing w:line="240" w:lineRule="auto"/>
              <w:ind w:firstLine="0" w:firstLineChars="0"/>
              <w:jc w:val="center"/>
              <w:rPr>
                <w:kern w:val="0"/>
                <w:sz w:val="21"/>
              </w:rPr>
            </w:pPr>
            <w:r>
              <w:rPr>
                <w:rFonts w:hint="eastAsia"/>
                <w:kern w:val="0"/>
                <w:sz w:val="21"/>
              </w:rPr>
              <w:t>65</w:t>
            </w:r>
          </w:p>
        </w:tc>
        <w:tc>
          <w:tcPr>
            <w:tcW w:w="504" w:type="pct"/>
            <w:vAlign w:val="center"/>
          </w:tcPr>
          <w:p>
            <w:pPr>
              <w:pStyle w:val="675"/>
              <w:jc w:val="center"/>
              <w:rPr>
                <w:rFonts w:ascii="Times New Roman" w:hAnsi="Times New Roman" w:cs="Times New Roman"/>
                <w:sz w:val="21"/>
                <w:szCs w:val="21"/>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lang w:eastAsia="en-US"/>
              </w:rPr>
            </w:pPr>
          </w:p>
        </w:tc>
        <w:tc>
          <w:tcPr>
            <w:tcW w:w="506" w:type="pct"/>
            <w:vAlign w:val="center"/>
          </w:tcPr>
          <w:p>
            <w:pPr>
              <w:spacing w:line="240" w:lineRule="auto"/>
              <w:ind w:firstLine="0" w:firstLineChars="0"/>
              <w:jc w:val="center"/>
              <w:rPr>
                <w:kern w:val="0"/>
                <w:sz w:val="21"/>
              </w:rPr>
            </w:pPr>
            <w:r>
              <w:rPr>
                <w:rFonts w:hint="eastAsia"/>
                <w:kern w:val="0"/>
                <w:sz w:val="21"/>
              </w:rPr>
              <w:t>52</w:t>
            </w:r>
          </w:p>
        </w:tc>
        <w:tc>
          <w:tcPr>
            <w:tcW w:w="504" w:type="pct"/>
            <w:vAlign w:val="center"/>
          </w:tcPr>
          <w:p>
            <w:pPr>
              <w:pStyle w:val="675"/>
              <w:jc w:val="center"/>
              <w:rPr>
                <w:rFonts w:ascii="Times New Roman" w:hAnsi="Times New Roman" w:cs="Times New Roman"/>
                <w:sz w:val="21"/>
                <w:szCs w:val="21"/>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3</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60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c>
          <w:tcPr>
            <w:tcW w:w="506" w:type="pct"/>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45</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c>
          <w:tcPr>
            <w:tcW w:w="506" w:type="pct"/>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4</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80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46</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5</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120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c>
          <w:tcPr>
            <w:tcW w:w="506" w:type="pct"/>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46</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c>
          <w:tcPr>
            <w:tcW w:w="506" w:type="pct"/>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6</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学汉坨村</w:t>
            </w:r>
            <w:r>
              <w:rPr>
                <w:spacing w:val="-4"/>
                <w:kern w:val="0"/>
                <w:sz w:val="21"/>
              </w:rPr>
              <w:t>监测断面选取距中心线</w:t>
            </w:r>
            <w:r>
              <w:rPr>
                <w:rFonts w:hint="eastAsia"/>
                <w:spacing w:val="-4"/>
                <w:kern w:val="0"/>
                <w:sz w:val="21"/>
              </w:rPr>
              <w:t>200</w:t>
            </w:r>
            <w:r>
              <w:rPr>
                <w:spacing w:val="-4"/>
                <w:kern w:val="0"/>
                <w:sz w:val="21"/>
              </w:rPr>
              <w:t>m</w:t>
            </w:r>
          </w:p>
        </w:tc>
        <w:tc>
          <w:tcPr>
            <w:tcW w:w="607" w:type="pct"/>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5</w:t>
            </w:r>
            <w:r>
              <w:rPr>
                <w:rFonts w:ascii="Times New Roman" w:hAnsi="Times New Roman" w:cs="Times New Roman"/>
                <w:sz w:val="21"/>
                <w:szCs w:val="21"/>
              </w:rPr>
              <w:t>月</w:t>
            </w:r>
            <w:r>
              <w:rPr>
                <w:rFonts w:hint="eastAsia" w:ascii="Times New Roman" w:hAnsi="Times New Roman" w:cs="Times New Roman"/>
                <w:sz w:val="21"/>
                <w:szCs w:val="21"/>
                <w:lang w:eastAsia="zh-CN"/>
              </w:rPr>
              <w:t>14</w:t>
            </w:r>
            <w:r>
              <w:rPr>
                <w:rFonts w:ascii="Times New Roman" w:hAnsi="Times New Roman" w:cs="Times New Roman"/>
                <w:sz w:val="21"/>
                <w:szCs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54</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7</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20</w:t>
            </w:r>
            <w:r>
              <w:rPr>
                <w:spacing w:val="-4"/>
                <w:kern w:val="0"/>
                <w:sz w:val="21"/>
              </w:rPr>
              <w:t>m</w:t>
            </w:r>
          </w:p>
          <w:p>
            <w:pPr>
              <w:spacing w:line="240" w:lineRule="auto"/>
              <w:ind w:firstLine="0" w:firstLineChars="0"/>
              <w:jc w:val="center"/>
              <w:rPr>
                <w:kern w:val="0"/>
                <w:sz w:val="21"/>
              </w:rPr>
            </w:pP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p>
        </w:tc>
        <w:tc>
          <w:tcPr>
            <w:tcW w:w="506" w:type="pct"/>
            <w:vAlign w:val="center"/>
          </w:tcPr>
          <w:p>
            <w:pPr>
              <w:spacing w:line="240" w:lineRule="auto"/>
              <w:ind w:firstLine="0" w:firstLineChars="0"/>
              <w:jc w:val="center"/>
              <w:rPr>
                <w:kern w:val="0"/>
                <w:sz w:val="21"/>
              </w:rPr>
            </w:pPr>
            <w:r>
              <w:rPr>
                <w:rFonts w:hint="eastAsia"/>
                <w:kern w:val="0"/>
                <w:sz w:val="21"/>
              </w:rPr>
              <w:t>66</w:t>
            </w:r>
          </w:p>
        </w:tc>
        <w:tc>
          <w:tcPr>
            <w:tcW w:w="504" w:type="pct"/>
            <w:vAlign w:val="center"/>
          </w:tcPr>
          <w:p>
            <w:pPr>
              <w:pStyle w:val="675"/>
              <w:jc w:val="center"/>
              <w:rPr>
                <w:rFonts w:ascii="Times New Roman" w:hAnsi="Times New Roman" w:cs="Times New Roman"/>
                <w:sz w:val="21"/>
                <w:szCs w:val="21"/>
                <w:lang w:eastAsia="zh-CN"/>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p>
        </w:tc>
        <w:tc>
          <w:tcPr>
            <w:tcW w:w="506" w:type="pct"/>
            <w:vAlign w:val="center"/>
          </w:tcPr>
          <w:p>
            <w:pPr>
              <w:spacing w:line="240" w:lineRule="auto"/>
              <w:ind w:firstLine="0" w:firstLineChars="0"/>
              <w:jc w:val="center"/>
              <w:rPr>
                <w:kern w:val="0"/>
                <w:sz w:val="21"/>
              </w:rPr>
            </w:pPr>
            <w:r>
              <w:rPr>
                <w:rFonts w:hint="eastAsia"/>
                <w:kern w:val="0"/>
                <w:sz w:val="21"/>
              </w:rPr>
              <w:t>53</w:t>
            </w:r>
          </w:p>
        </w:tc>
        <w:tc>
          <w:tcPr>
            <w:tcW w:w="504" w:type="pct"/>
            <w:vAlign w:val="center"/>
          </w:tcPr>
          <w:p>
            <w:pPr>
              <w:pStyle w:val="675"/>
              <w:jc w:val="center"/>
              <w:rPr>
                <w:rFonts w:ascii="Times New Roman" w:hAnsi="Times New Roman" w:cs="Times New Roman"/>
                <w:sz w:val="21"/>
                <w:szCs w:val="21"/>
                <w:lang w:eastAsia="zh-CN"/>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8</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40</w:t>
            </w:r>
            <w:r>
              <w:rPr>
                <w:spacing w:val="-4"/>
                <w:kern w:val="0"/>
                <w:sz w:val="21"/>
              </w:rPr>
              <w:t>m</w:t>
            </w:r>
          </w:p>
          <w:p>
            <w:pPr>
              <w:spacing w:line="240" w:lineRule="auto"/>
              <w:ind w:firstLine="0" w:firstLineChars="0"/>
              <w:jc w:val="center"/>
              <w:rPr>
                <w:kern w:val="0"/>
                <w:sz w:val="21"/>
              </w:rPr>
            </w:pP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p>
        </w:tc>
        <w:tc>
          <w:tcPr>
            <w:tcW w:w="506" w:type="pct"/>
            <w:vAlign w:val="center"/>
          </w:tcPr>
          <w:p>
            <w:pPr>
              <w:spacing w:line="240" w:lineRule="auto"/>
              <w:ind w:firstLine="0" w:firstLineChars="0"/>
              <w:jc w:val="center"/>
              <w:rPr>
                <w:kern w:val="0"/>
                <w:sz w:val="21"/>
              </w:rPr>
            </w:pPr>
            <w:r>
              <w:rPr>
                <w:rFonts w:hint="eastAsia"/>
                <w:kern w:val="0"/>
                <w:sz w:val="21"/>
              </w:rPr>
              <w:t>66</w:t>
            </w:r>
          </w:p>
        </w:tc>
        <w:tc>
          <w:tcPr>
            <w:tcW w:w="504" w:type="pct"/>
            <w:vAlign w:val="center"/>
          </w:tcPr>
          <w:p>
            <w:pPr>
              <w:pStyle w:val="675"/>
              <w:jc w:val="center"/>
              <w:rPr>
                <w:rFonts w:ascii="Times New Roman" w:hAnsi="Times New Roman" w:cs="Times New Roman"/>
                <w:sz w:val="21"/>
                <w:szCs w:val="21"/>
                <w:lang w:eastAsia="zh-CN"/>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p>
        </w:tc>
        <w:tc>
          <w:tcPr>
            <w:tcW w:w="506" w:type="pct"/>
            <w:vAlign w:val="center"/>
          </w:tcPr>
          <w:p>
            <w:pPr>
              <w:spacing w:line="240" w:lineRule="auto"/>
              <w:ind w:firstLine="0" w:firstLineChars="0"/>
              <w:jc w:val="center"/>
              <w:rPr>
                <w:kern w:val="0"/>
                <w:sz w:val="21"/>
              </w:rPr>
            </w:pPr>
            <w:r>
              <w:rPr>
                <w:rFonts w:hint="eastAsia"/>
                <w:kern w:val="0"/>
                <w:sz w:val="21"/>
              </w:rPr>
              <w:t>50</w:t>
            </w:r>
          </w:p>
        </w:tc>
        <w:tc>
          <w:tcPr>
            <w:tcW w:w="504" w:type="pct"/>
            <w:vAlign w:val="center"/>
          </w:tcPr>
          <w:p>
            <w:pPr>
              <w:pStyle w:val="675"/>
              <w:jc w:val="center"/>
              <w:rPr>
                <w:rFonts w:ascii="Times New Roman" w:hAnsi="Times New Roman" w:cs="Times New Roman"/>
                <w:sz w:val="21"/>
                <w:szCs w:val="21"/>
                <w:lang w:eastAsia="zh-CN"/>
              </w:rPr>
            </w:pPr>
          </w:p>
        </w:tc>
        <w:tc>
          <w:tcPr>
            <w:tcW w:w="5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达标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9</w:t>
            </w:r>
          </w:p>
        </w:tc>
        <w:tc>
          <w:tcPr>
            <w:tcW w:w="1586" w:type="pct"/>
            <w:vMerge w:val="restart"/>
            <w:vAlign w:val="center"/>
          </w:tcPr>
          <w:p>
            <w:pPr>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60</w:t>
            </w:r>
            <w:r>
              <w:rPr>
                <w:spacing w:val="-4"/>
                <w:kern w:val="0"/>
                <w:sz w:val="21"/>
              </w:rPr>
              <w:t>m</w:t>
            </w:r>
          </w:p>
          <w:p>
            <w:pPr>
              <w:spacing w:line="240" w:lineRule="auto"/>
              <w:ind w:firstLine="0" w:firstLineChars="0"/>
              <w:jc w:val="center"/>
              <w:rPr>
                <w:kern w:val="0"/>
                <w:sz w:val="21"/>
              </w:rPr>
            </w:pP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48</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10</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80</w:t>
            </w:r>
            <w:r>
              <w:rPr>
                <w:spacing w:val="-4"/>
                <w:kern w:val="0"/>
                <w:sz w:val="21"/>
              </w:rPr>
              <w:t>m</w:t>
            </w:r>
          </w:p>
          <w:p>
            <w:pPr>
              <w:spacing w:line="240" w:lineRule="auto"/>
              <w:ind w:firstLine="0" w:firstLineChars="0"/>
              <w:jc w:val="center"/>
              <w:rPr>
                <w:kern w:val="0"/>
                <w:sz w:val="21"/>
              </w:rPr>
            </w:pP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11</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120</w:t>
            </w:r>
            <w:r>
              <w:rPr>
                <w:spacing w:val="-4"/>
                <w:kern w:val="0"/>
                <w:sz w:val="21"/>
              </w:rPr>
              <w:t>m</w:t>
            </w:r>
          </w:p>
          <w:p>
            <w:pPr>
              <w:spacing w:line="240" w:lineRule="auto"/>
              <w:ind w:firstLine="0" w:firstLineChars="0"/>
              <w:jc w:val="center"/>
              <w:rPr>
                <w:kern w:val="0"/>
                <w:sz w:val="21"/>
              </w:rPr>
            </w:pP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57</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46</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restart"/>
            <w:vAlign w:val="center"/>
          </w:tcPr>
          <w:p>
            <w:pPr>
              <w:spacing w:line="240" w:lineRule="auto"/>
              <w:ind w:firstLine="0" w:firstLineChars="0"/>
              <w:jc w:val="center"/>
              <w:rPr>
                <w:kern w:val="0"/>
                <w:sz w:val="21"/>
              </w:rPr>
            </w:pPr>
            <w:r>
              <w:rPr>
                <w:rFonts w:hint="eastAsia"/>
                <w:kern w:val="0"/>
                <w:sz w:val="21"/>
              </w:rPr>
              <w:t>12</w:t>
            </w:r>
          </w:p>
        </w:tc>
        <w:tc>
          <w:tcPr>
            <w:tcW w:w="1586" w:type="pct"/>
            <w:vMerge w:val="restart"/>
            <w:vAlign w:val="center"/>
          </w:tcPr>
          <w:p>
            <w:pPr>
              <w:widowControl/>
              <w:spacing w:line="240" w:lineRule="auto"/>
              <w:ind w:firstLine="0" w:firstLineChars="0"/>
              <w:jc w:val="center"/>
              <w:rPr>
                <w:kern w:val="0"/>
                <w:sz w:val="21"/>
              </w:rPr>
            </w:pPr>
            <w:r>
              <w:rPr>
                <w:rFonts w:hint="eastAsia"/>
                <w:spacing w:val="-4"/>
                <w:kern w:val="0"/>
                <w:sz w:val="21"/>
              </w:rPr>
              <w:t>吴家坑村</w:t>
            </w:r>
            <w:r>
              <w:rPr>
                <w:spacing w:val="-4"/>
                <w:kern w:val="0"/>
                <w:sz w:val="21"/>
              </w:rPr>
              <w:t>监测断面选取距中心线</w:t>
            </w:r>
            <w:r>
              <w:rPr>
                <w:rFonts w:hint="eastAsia"/>
                <w:spacing w:val="-4"/>
                <w:kern w:val="0"/>
                <w:sz w:val="21"/>
              </w:rPr>
              <w:t>200</w:t>
            </w:r>
            <w:r>
              <w:rPr>
                <w:spacing w:val="-4"/>
                <w:kern w:val="0"/>
                <w:sz w:val="21"/>
              </w:rPr>
              <w:t>m</w:t>
            </w:r>
          </w:p>
        </w:tc>
        <w:tc>
          <w:tcPr>
            <w:tcW w:w="607" w:type="pct"/>
            <w:vMerge w:val="restart"/>
            <w:vAlign w:val="center"/>
          </w:tcPr>
          <w:p>
            <w:pPr>
              <w:spacing w:line="240" w:lineRule="auto"/>
              <w:ind w:firstLine="0" w:firstLineChars="0"/>
              <w:jc w:val="center"/>
              <w:rPr>
                <w:kern w:val="0"/>
                <w:sz w:val="21"/>
              </w:rPr>
            </w:pPr>
            <w:r>
              <w:rPr>
                <w:rFonts w:hint="eastAsia"/>
                <w:sz w:val="21"/>
              </w:rPr>
              <w:t>5</w:t>
            </w:r>
            <w:r>
              <w:rPr>
                <w:sz w:val="21"/>
              </w:rPr>
              <w:t>月</w:t>
            </w:r>
            <w:r>
              <w:rPr>
                <w:rFonts w:hint="eastAsia"/>
                <w:sz w:val="21"/>
              </w:rPr>
              <w:t>14</w:t>
            </w:r>
            <w:r>
              <w:rPr>
                <w:sz w:val="21"/>
              </w:rPr>
              <w:t>日</w:t>
            </w: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昼间</w:t>
            </w:r>
          </w:p>
        </w:tc>
        <w:tc>
          <w:tcPr>
            <w:tcW w:w="504" w:type="pct"/>
            <w:vAlign w:val="center"/>
          </w:tcPr>
          <w:p>
            <w:pPr>
              <w:spacing w:line="240" w:lineRule="auto"/>
              <w:ind w:firstLine="0" w:firstLineChars="0"/>
              <w:jc w:val="center"/>
              <w:rPr>
                <w:kern w:val="0"/>
                <w:sz w:val="21"/>
              </w:rPr>
            </w:pPr>
            <w:r>
              <w:rPr>
                <w:rFonts w:hint="eastAsia"/>
                <w:kern w:val="0"/>
                <w:sz w:val="21"/>
              </w:rPr>
              <w:t>55</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93" w:type="pct"/>
            <w:vMerge w:val="continue"/>
            <w:vAlign w:val="center"/>
          </w:tcPr>
          <w:p>
            <w:pPr>
              <w:spacing w:line="240" w:lineRule="auto"/>
              <w:ind w:firstLine="0" w:firstLineChars="0"/>
              <w:jc w:val="center"/>
              <w:rPr>
                <w:kern w:val="0"/>
                <w:sz w:val="21"/>
              </w:rPr>
            </w:pPr>
          </w:p>
        </w:tc>
        <w:tc>
          <w:tcPr>
            <w:tcW w:w="1586" w:type="pct"/>
            <w:vMerge w:val="continue"/>
            <w:vAlign w:val="center"/>
          </w:tcPr>
          <w:p>
            <w:pPr>
              <w:spacing w:line="240" w:lineRule="auto"/>
              <w:ind w:firstLine="0" w:firstLineChars="0"/>
              <w:jc w:val="center"/>
              <w:rPr>
                <w:kern w:val="0"/>
                <w:sz w:val="21"/>
              </w:rPr>
            </w:pPr>
          </w:p>
        </w:tc>
        <w:tc>
          <w:tcPr>
            <w:tcW w:w="607" w:type="pct"/>
            <w:vMerge w:val="continue"/>
            <w:vAlign w:val="center"/>
          </w:tcPr>
          <w:p>
            <w:pPr>
              <w:spacing w:line="240" w:lineRule="auto"/>
              <w:ind w:firstLine="0" w:firstLineChars="0"/>
              <w:jc w:val="center"/>
              <w:rPr>
                <w:kern w:val="0"/>
                <w:sz w:val="21"/>
              </w:rPr>
            </w:pPr>
          </w:p>
        </w:tc>
        <w:tc>
          <w:tcPr>
            <w:tcW w:w="394"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夜间</w:t>
            </w:r>
          </w:p>
        </w:tc>
        <w:tc>
          <w:tcPr>
            <w:tcW w:w="504" w:type="pct"/>
            <w:vAlign w:val="center"/>
          </w:tcPr>
          <w:p>
            <w:pPr>
              <w:spacing w:line="240" w:lineRule="auto"/>
              <w:ind w:firstLine="0" w:firstLineChars="0"/>
              <w:jc w:val="center"/>
              <w:rPr>
                <w:kern w:val="0"/>
                <w:sz w:val="21"/>
              </w:rPr>
            </w:pPr>
            <w:r>
              <w:rPr>
                <w:rFonts w:hint="eastAsia"/>
                <w:kern w:val="0"/>
                <w:sz w:val="21"/>
              </w:rPr>
              <w:t>45</w:t>
            </w:r>
          </w:p>
        </w:tc>
        <w:tc>
          <w:tcPr>
            <w:tcW w:w="506" w:type="pct"/>
            <w:vAlign w:val="center"/>
          </w:tcPr>
          <w:p>
            <w:pPr>
              <w:spacing w:line="240" w:lineRule="auto"/>
              <w:ind w:firstLine="0" w:firstLineChars="0"/>
              <w:jc w:val="center"/>
              <w:rPr>
                <w:kern w:val="0"/>
                <w:sz w:val="21"/>
              </w:rPr>
            </w:pPr>
          </w:p>
        </w:tc>
        <w:tc>
          <w:tcPr>
            <w:tcW w:w="50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达标</w:t>
            </w:r>
          </w:p>
        </w:tc>
        <w:tc>
          <w:tcPr>
            <w:tcW w:w="506" w:type="pct"/>
            <w:vAlign w:val="center"/>
          </w:tcPr>
          <w:p>
            <w:pPr>
              <w:pStyle w:val="675"/>
              <w:jc w:val="center"/>
              <w:rPr>
                <w:rFonts w:ascii="Times New Roman" w:hAnsi="Times New Roman" w:cs="Times New Roman"/>
                <w:sz w:val="21"/>
                <w:szCs w:val="21"/>
              </w:rPr>
            </w:pPr>
          </w:p>
        </w:tc>
      </w:tr>
    </w:tbl>
    <w:p>
      <w:pPr>
        <w:adjustRightInd w:val="0"/>
        <w:snapToGrid w:val="0"/>
        <w:ind w:firstLine="0" w:firstLineChars="0"/>
        <w:jc w:val="center"/>
        <w:rPr>
          <w:b/>
          <w:sz w:val="21"/>
          <w:highlight w:val="yellow"/>
        </w:rPr>
      </w:pPr>
      <w:r>
        <w:rPr>
          <w:b/>
          <w:sz w:val="21"/>
        </w:rPr>
        <w:t>表</w:t>
      </w:r>
      <w:r>
        <w:rPr>
          <w:rFonts w:hint="eastAsia"/>
          <w:b/>
          <w:sz w:val="21"/>
        </w:rPr>
        <w:t>4.3-4</w:t>
      </w:r>
      <w:r>
        <w:rPr>
          <w:b/>
          <w:sz w:val="21"/>
        </w:rPr>
        <w:t>道路车流量监测结果</w:t>
      </w:r>
    </w:p>
    <w:tbl>
      <w:tblPr>
        <w:tblStyle w:val="52"/>
        <w:tblW w:w="48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181"/>
        <w:gridCol w:w="1780"/>
        <w:gridCol w:w="978"/>
        <w:gridCol w:w="1068"/>
        <w:gridCol w:w="1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restart"/>
            <w:vAlign w:val="center"/>
          </w:tcPr>
          <w:p>
            <w:pPr>
              <w:spacing w:line="240" w:lineRule="auto"/>
              <w:ind w:firstLine="0" w:firstLineChars="0"/>
              <w:jc w:val="center"/>
              <w:rPr>
                <w:sz w:val="21"/>
              </w:rPr>
            </w:pPr>
            <w:r>
              <w:rPr>
                <w:sz w:val="21"/>
              </w:rPr>
              <w:t>检测时间</w:t>
            </w:r>
          </w:p>
        </w:tc>
        <w:tc>
          <w:tcPr>
            <w:tcW w:w="1769" w:type="pct"/>
            <w:vMerge w:val="restart"/>
            <w:vAlign w:val="center"/>
          </w:tcPr>
          <w:p>
            <w:pPr>
              <w:spacing w:line="240" w:lineRule="auto"/>
              <w:ind w:firstLine="0" w:firstLineChars="0"/>
              <w:jc w:val="center"/>
              <w:rPr>
                <w:sz w:val="21"/>
              </w:rPr>
            </w:pPr>
            <w:r>
              <w:rPr>
                <w:sz w:val="21"/>
              </w:rPr>
              <w:t>监测点</w:t>
            </w:r>
          </w:p>
        </w:tc>
        <w:tc>
          <w:tcPr>
            <w:tcW w:w="990" w:type="pct"/>
            <w:vMerge w:val="restart"/>
            <w:vAlign w:val="center"/>
          </w:tcPr>
          <w:p>
            <w:pPr>
              <w:spacing w:line="240" w:lineRule="auto"/>
              <w:ind w:firstLine="0" w:firstLineChars="0"/>
              <w:jc w:val="center"/>
              <w:rPr>
                <w:sz w:val="21"/>
              </w:rPr>
            </w:pPr>
            <w:r>
              <w:rPr>
                <w:sz w:val="21"/>
              </w:rPr>
              <w:t>时间</w:t>
            </w:r>
          </w:p>
        </w:tc>
        <w:tc>
          <w:tcPr>
            <w:tcW w:w="544" w:type="pct"/>
            <w:vAlign w:val="center"/>
          </w:tcPr>
          <w:p>
            <w:pPr>
              <w:spacing w:line="240" w:lineRule="auto"/>
              <w:ind w:firstLine="0" w:firstLineChars="0"/>
              <w:jc w:val="center"/>
              <w:rPr>
                <w:sz w:val="21"/>
              </w:rPr>
            </w:pPr>
            <w:r>
              <w:rPr>
                <w:sz w:val="21"/>
              </w:rPr>
              <w:t>大型车</w:t>
            </w:r>
          </w:p>
        </w:tc>
        <w:tc>
          <w:tcPr>
            <w:tcW w:w="594" w:type="pct"/>
            <w:vAlign w:val="center"/>
          </w:tcPr>
          <w:p>
            <w:pPr>
              <w:spacing w:line="240" w:lineRule="auto"/>
              <w:ind w:firstLine="0" w:firstLineChars="0"/>
              <w:jc w:val="center"/>
              <w:rPr>
                <w:sz w:val="21"/>
              </w:rPr>
            </w:pPr>
            <w:r>
              <w:rPr>
                <w:sz w:val="21"/>
              </w:rPr>
              <w:t>中型车</w:t>
            </w:r>
          </w:p>
        </w:tc>
        <w:tc>
          <w:tcPr>
            <w:tcW w:w="571" w:type="pct"/>
            <w:vAlign w:val="center"/>
          </w:tcPr>
          <w:p>
            <w:pPr>
              <w:spacing w:line="240" w:lineRule="auto"/>
              <w:ind w:firstLine="0" w:firstLineChars="0"/>
              <w:jc w:val="center"/>
              <w:rPr>
                <w:sz w:val="21"/>
              </w:rPr>
            </w:pPr>
            <w:r>
              <w:rPr>
                <w:sz w:val="21"/>
              </w:rPr>
              <w:t>小型车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continue"/>
            <w:vAlign w:val="center"/>
          </w:tcPr>
          <w:p>
            <w:pPr>
              <w:spacing w:line="240" w:lineRule="auto"/>
              <w:ind w:firstLine="0" w:firstLineChars="0"/>
              <w:jc w:val="center"/>
              <w:rPr>
                <w:sz w:val="21"/>
              </w:rPr>
            </w:pPr>
          </w:p>
        </w:tc>
        <w:tc>
          <w:tcPr>
            <w:tcW w:w="1769" w:type="pct"/>
            <w:vMerge w:val="continue"/>
            <w:vAlign w:val="center"/>
          </w:tcPr>
          <w:p>
            <w:pPr>
              <w:spacing w:line="240" w:lineRule="auto"/>
              <w:ind w:firstLine="0" w:firstLineChars="0"/>
              <w:jc w:val="center"/>
              <w:rPr>
                <w:sz w:val="21"/>
              </w:rPr>
            </w:pPr>
          </w:p>
        </w:tc>
        <w:tc>
          <w:tcPr>
            <w:tcW w:w="990" w:type="pct"/>
            <w:vMerge w:val="continue"/>
            <w:vAlign w:val="center"/>
          </w:tcPr>
          <w:p>
            <w:pPr>
              <w:spacing w:line="240" w:lineRule="auto"/>
              <w:ind w:firstLine="0" w:firstLineChars="0"/>
              <w:jc w:val="center"/>
              <w:rPr>
                <w:sz w:val="21"/>
              </w:rPr>
            </w:pPr>
          </w:p>
        </w:tc>
        <w:tc>
          <w:tcPr>
            <w:tcW w:w="1709" w:type="pct"/>
            <w:gridSpan w:val="3"/>
            <w:vAlign w:val="center"/>
          </w:tcPr>
          <w:p>
            <w:pPr>
              <w:spacing w:line="240" w:lineRule="auto"/>
              <w:ind w:firstLine="0" w:firstLineChars="0"/>
              <w:jc w:val="center"/>
              <w:rPr>
                <w:sz w:val="21"/>
              </w:rPr>
            </w:pPr>
            <w:r>
              <w:rPr>
                <w:sz w:val="21"/>
              </w:rPr>
              <w:t>车流量:辆/20min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restart"/>
            <w:vAlign w:val="center"/>
          </w:tcPr>
          <w:p>
            <w:pPr>
              <w:spacing w:line="240" w:lineRule="auto"/>
              <w:ind w:firstLine="0" w:firstLineChars="0"/>
              <w:jc w:val="center"/>
              <w:rPr>
                <w:sz w:val="21"/>
              </w:rPr>
            </w:pPr>
            <w:r>
              <w:rPr>
                <w:rFonts w:hint="eastAsia"/>
                <w:sz w:val="21"/>
              </w:rPr>
              <w:t>5</w:t>
            </w:r>
            <w:r>
              <w:rPr>
                <w:sz w:val="21"/>
              </w:rPr>
              <w:t>月</w:t>
            </w:r>
            <w:r>
              <w:rPr>
                <w:rFonts w:hint="eastAsia"/>
                <w:sz w:val="21"/>
              </w:rPr>
              <w:t>14</w:t>
            </w:r>
            <w:r>
              <w:rPr>
                <w:sz w:val="21"/>
              </w:rPr>
              <w:t>日</w:t>
            </w:r>
          </w:p>
        </w:tc>
        <w:tc>
          <w:tcPr>
            <w:tcW w:w="1769" w:type="pct"/>
            <w:vMerge w:val="restart"/>
            <w:vAlign w:val="center"/>
          </w:tcPr>
          <w:p>
            <w:pPr>
              <w:widowControl/>
              <w:spacing w:line="240" w:lineRule="auto"/>
              <w:ind w:firstLine="0" w:firstLineChars="0"/>
              <w:jc w:val="center"/>
              <w:rPr>
                <w:rFonts w:ascii="宋体" w:hAnsi="宋体"/>
                <w:sz w:val="21"/>
              </w:rPr>
            </w:pPr>
            <w:r>
              <w:rPr>
                <w:rFonts w:hint="eastAsia"/>
                <w:spacing w:val="-4"/>
                <w:kern w:val="0"/>
                <w:sz w:val="21"/>
              </w:rPr>
              <w:t>学汉坨村</w:t>
            </w:r>
            <w:r>
              <w:rPr>
                <w:spacing w:val="-4"/>
                <w:kern w:val="0"/>
                <w:sz w:val="21"/>
              </w:rPr>
              <w:t>监测断面</w:t>
            </w:r>
          </w:p>
        </w:tc>
        <w:tc>
          <w:tcPr>
            <w:tcW w:w="990" w:type="pct"/>
            <w:vAlign w:val="center"/>
          </w:tcPr>
          <w:p>
            <w:pPr>
              <w:spacing w:line="240" w:lineRule="auto"/>
              <w:ind w:firstLine="0" w:firstLineChars="0"/>
              <w:jc w:val="center"/>
              <w:rPr>
                <w:sz w:val="21"/>
              </w:rPr>
            </w:pPr>
            <w:r>
              <w:rPr>
                <w:sz w:val="21"/>
              </w:rPr>
              <w:t>昼间</w:t>
            </w:r>
            <w:r>
              <w:rPr>
                <w:rFonts w:hint="eastAsia"/>
                <w:sz w:val="21"/>
              </w:rPr>
              <w:t>07:53</w:t>
            </w:r>
          </w:p>
        </w:tc>
        <w:tc>
          <w:tcPr>
            <w:tcW w:w="544" w:type="pct"/>
            <w:vAlign w:val="center"/>
          </w:tcPr>
          <w:p>
            <w:pPr>
              <w:spacing w:line="240" w:lineRule="auto"/>
              <w:ind w:firstLine="0" w:firstLineChars="0"/>
              <w:jc w:val="center"/>
              <w:rPr>
                <w:sz w:val="21"/>
              </w:rPr>
            </w:pPr>
            <w:r>
              <w:rPr>
                <w:rFonts w:hint="eastAsia"/>
                <w:sz w:val="21"/>
              </w:rPr>
              <w:t>4</w:t>
            </w:r>
          </w:p>
        </w:tc>
        <w:tc>
          <w:tcPr>
            <w:tcW w:w="594" w:type="pct"/>
            <w:vAlign w:val="center"/>
          </w:tcPr>
          <w:p>
            <w:pPr>
              <w:spacing w:line="240" w:lineRule="auto"/>
              <w:ind w:firstLine="0" w:firstLineChars="0"/>
              <w:jc w:val="center"/>
              <w:rPr>
                <w:sz w:val="21"/>
              </w:rPr>
            </w:pPr>
            <w:r>
              <w:rPr>
                <w:rFonts w:hint="eastAsia"/>
                <w:sz w:val="21"/>
              </w:rPr>
              <w:t>7</w:t>
            </w:r>
          </w:p>
        </w:tc>
        <w:tc>
          <w:tcPr>
            <w:tcW w:w="571" w:type="pct"/>
            <w:vAlign w:val="center"/>
          </w:tcPr>
          <w:p>
            <w:pPr>
              <w:spacing w:line="240" w:lineRule="auto"/>
              <w:ind w:firstLine="0" w:firstLineChars="0"/>
              <w:jc w:val="center"/>
              <w:rPr>
                <w:sz w:val="21"/>
              </w:rPr>
            </w:pPr>
            <w:r>
              <w:rPr>
                <w:rFonts w:hint="eastAsia"/>
                <w:sz w:val="21"/>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continue"/>
            <w:vAlign w:val="center"/>
          </w:tcPr>
          <w:p>
            <w:pPr>
              <w:spacing w:line="240" w:lineRule="auto"/>
              <w:ind w:firstLine="0" w:firstLineChars="0"/>
              <w:jc w:val="center"/>
              <w:rPr>
                <w:sz w:val="21"/>
              </w:rPr>
            </w:pPr>
          </w:p>
        </w:tc>
        <w:tc>
          <w:tcPr>
            <w:tcW w:w="1769" w:type="pct"/>
            <w:vMerge w:val="continue"/>
            <w:vAlign w:val="center"/>
          </w:tcPr>
          <w:p>
            <w:pPr>
              <w:spacing w:line="240" w:lineRule="auto"/>
              <w:ind w:firstLine="0" w:firstLineChars="0"/>
              <w:jc w:val="center"/>
              <w:rPr>
                <w:rFonts w:ascii="宋体" w:hAnsi="宋体"/>
                <w:sz w:val="21"/>
              </w:rPr>
            </w:pPr>
          </w:p>
        </w:tc>
        <w:tc>
          <w:tcPr>
            <w:tcW w:w="990" w:type="pct"/>
            <w:vAlign w:val="center"/>
          </w:tcPr>
          <w:p>
            <w:pPr>
              <w:spacing w:line="240" w:lineRule="auto"/>
              <w:ind w:firstLine="0" w:firstLineChars="0"/>
              <w:jc w:val="center"/>
              <w:rPr>
                <w:sz w:val="21"/>
              </w:rPr>
            </w:pPr>
            <w:r>
              <w:rPr>
                <w:sz w:val="21"/>
              </w:rPr>
              <w:t>夜间22:0</w:t>
            </w:r>
            <w:r>
              <w:rPr>
                <w:rFonts w:hint="eastAsia"/>
                <w:sz w:val="21"/>
              </w:rPr>
              <w:t>9</w:t>
            </w:r>
          </w:p>
        </w:tc>
        <w:tc>
          <w:tcPr>
            <w:tcW w:w="544" w:type="pct"/>
            <w:vAlign w:val="center"/>
          </w:tcPr>
          <w:p>
            <w:pPr>
              <w:spacing w:line="240" w:lineRule="auto"/>
              <w:ind w:firstLine="0" w:firstLineChars="0"/>
              <w:jc w:val="center"/>
              <w:rPr>
                <w:sz w:val="21"/>
              </w:rPr>
            </w:pPr>
            <w:r>
              <w:rPr>
                <w:sz w:val="21"/>
              </w:rPr>
              <w:t>0</w:t>
            </w:r>
          </w:p>
        </w:tc>
        <w:tc>
          <w:tcPr>
            <w:tcW w:w="594" w:type="pct"/>
            <w:vAlign w:val="center"/>
          </w:tcPr>
          <w:p>
            <w:pPr>
              <w:spacing w:line="240" w:lineRule="auto"/>
              <w:ind w:firstLine="0" w:firstLineChars="0"/>
              <w:jc w:val="center"/>
              <w:rPr>
                <w:sz w:val="21"/>
              </w:rPr>
            </w:pPr>
            <w:r>
              <w:rPr>
                <w:rFonts w:hint="eastAsia"/>
                <w:sz w:val="21"/>
              </w:rPr>
              <w:t>0</w:t>
            </w:r>
          </w:p>
        </w:tc>
        <w:tc>
          <w:tcPr>
            <w:tcW w:w="571" w:type="pct"/>
            <w:vAlign w:val="center"/>
          </w:tcPr>
          <w:p>
            <w:pPr>
              <w:spacing w:line="240" w:lineRule="auto"/>
              <w:ind w:firstLine="0" w:firstLineChars="0"/>
              <w:jc w:val="center"/>
              <w:rPr>
                <w:sz w:val="21"/>
              </w:rPr>
            </w:pPr>
            <w:r>
              <w:rPr>
                <w:rFonts w:hint="eastAsia"/>
                <w:sz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continue"/>
            <w:vAlign w:val="center"/>
          </w:tcPr>
          <w:p>
            <w:pPr>
              <w:spacing w:line="240" w:lineRule="auto"/>
              <w:ind w:firstLine="0" w:firstLineChars="0"/>
              <w:jc w:val="center"/>
              <w:rPr>
                <w:sz w:val="21"/>
              </w:rPr>
            </w:pPr>
          </w:p>
        </w:tc>
        <w:tc>
          <w:tcPr>
            <w:tcW w:w="1769" w:type="pct"/>
            <w:vMerge w:val="restart"/>
            <w:vAlign w:val="center"/>
          </w:tcPr>
          <w:p>
            <w:pPr>
              <w:widowControl/>
              <w:spacing w:line="240" w:lineRule="auto"/>
              <w:ind w:firstLine="0" w:firstLineChars="0"/>
              <w:jc w:val="center"/>
              <w:rPr>
                <w:rFonts w:ascii="宋体" w:hAnsi="宋体"/>
                <w:sz w:val="21"/>
              </w:rPr>
            </w:pPr>
            <w:r>
              <w:rPr>
                <w:rFonts w:hint="eastAsia"/>
                <w:spacing w:val="-4"/>
                <w:kern w:val="0"/>
                <w:sz w:val="21"/>
              </w:rPr>
              <w:t>吴家坑村</w:t>
            </w:r>
            <w:r>
              <w:rPr>
                <w:spacing w:val="-4"/>
                <w:kern w:val="0"/>
                <w:sz w:val="21"/>
              </w:rPr>
              <w:t>监测断面</w:t>
            </w:r>
          </w:p>
        </w:tc>
        <w:tc>
          <w:tcPr>
            <w:tcW w:w="990" w:type="pct"/>
            <w:vAlign w:val="center"/>
          </w:tcPr>
          <w:p>
            <w:pPr>
              <w:spacing w:line="240" w:lineRule="auto"/>
              <w:ind w:firstLine="0" w:firstLineChars="0"/>
              <w:jc w:val="center"/>
              <w:rPr>
                <w:sz w:val="21"/>
              </w:rPr>
            </w:pPr>
            <w:r>
              <w:rPr>
                <w:sz w:val="21"/>
              </w:rPr>
              <w:t>昼间</w:t>
            </w:r>
            <w:r>
              <w:rPr>
                <w:rFonts w:hint="eastAsia"/>
                <w:sz w:val="21"/>
              </w:rPr>
              <w:t>09:33</w:t>
            </w:r>
          </w:p>
        </w:tc>
        <w:tc>
          <w:tcPr>
            <w:tcW w:w="544" w:type="pct"/>
            <w:vAlign w:val="center"/>
          </w:tcPr>
          <w:p>
            <w:pPr>
              <w:spacing w:line="240" w:lineRule="auto"/>
              <w:ind w:firstLine="0" w:firstLineChars="0"/>
              <w:jc w:val="center"/>
              <w:rPr>
                <w:sz w:val="21"/>
              </w:rPr>
            </w:pPr>
            <w:r>
              <w:rPr>
                <w:rFonts w:hint="eastAsia"/>
                <w:sz w:val="21"/>
              </w:rPr>
              <w:t>0</w:t>
            </w:r>
          </w:p>
        </w:tc>
        <w:tc>
          <w:tcPr>
            <w:tcW w:w="594" w:type="pct"/>
            <w:vAlign w:val="center"/>
          </w:tcPr>
          <w:p>
            <w:pPr>
              <w:spacing w:line="240" w:lineRule="auto"/>
              <w:ind w:firstLine="0" w:firstLineChars="0"/>
              <w:jc w:val="center"/>
              <w:rPr>
                <w:sz w:val="21"/>
              </w:rPr>
            </w:pPr>
            <w:r>
              <w:rPr>
                <w:rFonts w:hint="eastAsia"/>
                <w:sz w:val="21"/>
              </w:rPr>
              <w:t>4</w:t>
            </w:r>
          </w:p>
        </w:tc>
        <w:tc>
          <w:tcPr>
            <w:tcW w:w="571" w:type="pct"/>
            <w:vAlign w:val="center"/>
          </w:tcPr>
          <w:p>
            <w:pPr>
              <w:spacing w:line="240" w:lineRule="auto"/>
              <w:ind w:firstLine="0" w:firstLineChars="0"/>
              <w:jc w:val="center"/>
              <w:rPr>
                <w:sz w:val="21"/>
              </w:rPr>
            </w:pPr>
            <w:r>
              <w:rPr>
                <w:rFonts w:hint="eastAsia"/>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3" w:type="pct"/>
            <w:vMerge w:val="continue"/>
            <w:vAlign w:val="center"/>
          </w:tcPr>
          <w:p>
            <w:pPr>
              <w:spacing w:line="240" w:lineRule="auto"/>
              <w:ind w:firstLine="0" w:firstLineChars="0"/>
              <w:jc w:val="center"/>
              <w:rPr>
                <w:sz w:val="21"/>
              </w:rPr>
            </w:pPr>
          </w:p>
        </w:tc>
        <w:tc>
          <w:tcPr>
            <w:tcW w:w="1769" w:type="pct"/>
            <w:vMerge w:val="continue"/>
            <w:vAlign w:val="center"/>
          </w:tcPr>
          <w:p>
            <w:pPr>
              <w:spacing w:line="240" w:lineRule="auto"/>
              <w:ind w:firstLine="0" w:firstLineChars="0"/>
              <w:jc w:val="center"/>
              <w:rPr>
                <w:rFonts w:ascii="宋体" w:hAnsi="宋体"/>
                <w:sz w:val="21"/>
              </w:rPr>
            </w:pPr>
          </w:p>
        </w:tc>
        <w:tc>
          <w:tcPr>
            <w:tcW w:w="990" w:type="pct"/>
            <w:vAlign w:val="center"/>
          </w:tcPr>
          <w:p>
            <w:pPr>
              <w:spacing w:line="240" w:lineRule="auto"/>
              <w:ind w:firstLine="0" w:firstLineChars="0"/>
              <w:jc w:val="center"/>
              <w:rPr>
                <w:sz w:val="21"/>
              </w:rPr>
            </w:pPr>
            <w:r>
              <w:rPr>
                <w:sz w:val="21"/>
              </w:rPr>
              <w:t>夜间</w:t>
            </w:r>
            <w:r>
              <w:rPr>
                <w:rFonts w:hint="eastAsia"/>
                <w:sz w:val="21"/>
              </w:rPr>
              <w:t>23:49</w:t>
            </w:r>
          </w:p>
        </w:tc>
        <w:tc>
          <w:tcPr>
            <w:tcW w:w="544" w:type="pct"/>
            <w:vAlign w:val="center"/>
          </w:tcPr>
          <w:p>
            <w:pPr>
              <w:spacing w:line="240" w:lineRule="auto"/>
              <w:ind w:firstLine="0" w:firstLineChars="0"/>
              <w:jc w:val="center"/>
              <w:rPr>
                <w:sz w:val="21"/>
              </w:rPr>
            </w:pPr>
            <w:r>
              <w:rPr>
                <w:rFonts w:hint="eastAsia"/>
                <w:sz w:val="21"/>
              </w:rPr>
              <w:t>0</w:t>
            </w:r>
          </w:p>
        </w:tc>
        <w:tc>
          <w:tcPr>
            <w:tcW w:w="594" w:type="pct"/>
            <w:vAlign w:val="center"/>
          </w:tcPr>
          <w:p>
            <w:pPr>
              <w:spacing w:line="240" w:lineRule="auto"/>
              <w:ind w:firstLine="0" w:firstLineChars="0"/>
              <w:jc w:val="center"/>
              <w:rPr>
                <w:sz w:val="21"/>
              </w:rPr>
            </w:pPr>
            <w:r>
              <w:rPr>
                <w:rFonts w:hint="eastAsia"/>
                <w:sz w:val="21"/>
              </w:rPr>
              <w:t>0</w:t>
            </w:r>
          </w:p>
        </w:tc>
        <w:tc>
          <w:tcPr>
            <w:tcW w:w="571" w:type="pct"/>
            <w:vAlign w:val="center"/>
          </w:tcPr>
          <w:p>
            <w:pPr>
              <w:spacing w:line="240" w:lineRule="auto"/>
              <w:ind w:firstLine="0" w:firstLineChars="0"/>
              <w:jc w:val="center"/>
              <w:rPr>
                <w:sz w:val="21"/>
              </w:rPr>
            </w:pPr>
            <w:r>
              <w:rPr>
                <w:rFonts w:hint="eastAsia"/>
                <w:sz w:val="21"/>
              </w:rPr>
              <w:t>4</w:t>
            </w:r>
          </w:p>
        </w:tc>
      </w:tr>
    </w:tbl>
    <w:p>
      <w:pPr>
        <w:pStyle w:val="190"/>
        <w:spacing w:beforeLines="0" w:afterLines="0"/>
      </w:pPr>
      <w:r>
        <w:t>4.</w:t>
      </w:r>
      <w:r>
        <w:rPr>
          <w:rFonts w:hint="eastAsia"/>
        </w:rPr>
        <w:t>3</w:t>
      </w:r>
      <w:r>
        <w:t>.</w:t>
      </w:r>
      <w:r>
        <w:rPr>
          <w:rFonts w:hint="eastAsia"/>
        </w:rPr>
        <w:t>2</w:t>
      </w:r>
      <w:r>
        <w:t>.2噪声现状评价</w:t>
      </w:r>
    </w:p>
    <w:p>
      <w:pPr>
        <w:tabs>
          <w:tab w:val="left" w:pos="0"/>
        </w:tabs>
        <w:spacing w:line="460" w:lineRule="exact"/>
        <w:ind w:firstLine="480"/>
      </w:pPr>
      <w:r>
        <w:t>（1）评价方法</w:t>
      </w:r>
    </w:p>
    <w:p>
      <w:pPr>
        <w:tabs>
          <w:tab w:val="left" w:pos="0"/>
        </w:tabs>
        <w:spacing w:line="460" w:lineRule="exact"/>
        <w:ind w:firstLine="480"/>
        <w:rPr>
          <w:highlight w:val="yellow"/>
        </w:rPr>
      </w:pPr>
      <w:r>
        <w:t>将统计结果与采用的评价标准直接对比。</w:t>
      </w:r>
    </w:p>
    <w:p>
      <w:pPr>
        <w:tabs>
          <w:tab w:val="left" w:pos="0"/>
        </w:tabs>
        <w:spacing w:line="460" w:lineRule="exact"/>
        <w:ind w:firstLine="480"/>
      </w:pPr>
      <w:r>
        <w:t>（2）评价标准</w:t>
      </w:r>
    </w:p>
    <w:p>
      <w:pPr>
        <w:tabs>
          <w:tab w:val="left" w:pos="0"/>
        </w:tabs>
        <w:spacing w:line="460" w:lineRule="exact"/>
        <w:ind w:firstLine="480"/>
      </w:pPr>
      <w:r>
        <w:t>项目</w:t>
      </w:r>
      <w:r>
        <w:rPr>
          <w:rFonts w:hint="eastAsia"/>
        </w:rPr>
        <w:t>区域</w:t>
      </w:r>
      <w:r>
        <w:t>声环境执行《声环境质量标准》（GB3096-2008）</w:t>
      </w:r>
      <w:r>
        <w:rPr>
          <w:rFonts w:hint="eastAsia"/>
        </w:rPr>
        <w:t>4a/2</w:t>
      </w:r>
      <w:r>
        <w:t>类标准</w:t>
      </w:r>
      <w:r>
        <w:rPr>
          <w:rFonts w:hint="eastAsia"/>
        </w:rPr>
        <w:t>；根据《关于公路、铁路（含轻轨）等建设项目环境影响评价中环境噪声有关问题的通知》（环发[2003]94号</w:t>
      </w:r>
      <w:r>
        <w:t>）</w:t>
      </w:r>
      <w:r>
        <w:rPr>
          <w:rFonts w:hint="eastAsia"/>
        </w:rPr>
        <w:t>评价范围内的学校、医院（疗养院、敬老院）等特殊敏感建筑物，其室外昼间按60dB（A）、夜间按50dB（A）执行</w:t>
      </w:r>
      <w:r>
        <w:t>。</w:t>
      </w:r>
    </w:p>
    <w:p>
      <w:pPr>
        <w:tabs>
          <w:tab w:val="left" w:pos="0"/>
        </w:tabs>
        <w:spacing w:line="460" w:lineRule="exact"/>
        <w:ind w:firstLine="480"/>
      </w:pPr>
      <w:r>
        <w:t>（3）评价结果</w:t>
      </w:r>
    </w:p>
    <w:p>
      <w:pPr>
        <w:tabs>
          <w:tab w:val="left" w:pos="0"/>
        </w:tabs>
        <w:spacing w:line="460" w:lineRule="exact"/>
        <w:ind w:firstLine="480"/>
      </w:pPr>
      <w:r>
        <w:t>由表</w:t>
      </w:r>
      <w:r>
        <w:rPr>
          <w:rFonts w:hint="eastAsia"/>
        </w:rPr>
        <w:t>4.3-3</w:t>
      </w:r>
      <w:r>
        <w:t>可以看出，项目</w:t>
      </w:r>
      <w:r>
        <w:rPr>
          <w:rFonts w:hint="eastAsia"/>
        </w:rPr>
        <w:t>区域敏感点声环境</w:t>
      </w:r>
      <w:r>
        <w:t>均能满足</w:t>
      </w:r>
      <w:bookmarkStart w:id="97" w:name="OLE_LINK1"/>
      <w:r>
        <w:t>《声环境质量标准》（GB3096-2008）</w:t>
      </w:r>
      <w:bookmarkEnd w:id="97"/>
      <w:r>
        <w:rPr>
          <w:rFonts w:hint="eastAsia"/>
        </w:rPr>
        <w:t>相应</w:t>
      </w:r>
      <w:r>
        <w:t>标准要求。</w:t>
      </w:r>
    </w:p>
    <w:p>
      <w:pPr>
        <w:pStyle w:val="204"/>
        <w:spacing w:line="480" w:lineRule="exact"/>
        <w:ind w:firstLine="0" w:firstLineChars="0"/>
        <w:outlineLvl w:val="2"/>
        <w:rPr>
          <w:b/>
          <w:sz w:val="28"/>
          <w:szCs w:val="28"/>
        </w:rPr>
      </w:pPr>
      <w:r>
        <w:rPr>
          <w:rFonts w:hint="eastAsia"/>
          <w:b/>
          <w:sz w:val="28"/>
          <w:szCs w:val="28"/>
        </w:rPr>
        <w:t>4.3.</w:t>
      </w:r>
      <w:r>
        <w:rPr>
          <w:b/>
          <w:sz w:val="28"/>
          <w:szCs w:val="28"/>
        </w:rPr>
        <w:t>3</w:t>
      </w:r>
      <w:r>
        <w:rPr>
          <w:rFonts w:hint="eastAsia"/>
          <w:b/>
          <w:sz w:val="28"/>
          <w:szCs w:val="28"/>
        </w:rPr>
        <w:t>区域地表水环境质量现状</w:t>
      </w:r>
    </w:p>
    <w:p>
      <w:pPr>
        <w:tabs>
          <w:tab w:val="left" w:pos="0"/>
        </w:tabs>
        <w:spacing w:line="460" w:lineRule="exact"/>
        <w:ind w:firstLine="480"/>
      </w:pPr>
      <w:r>
        <w:rPr>
          <w:rFonts w:hint="eastAsia"/>
        </w:rPr>
        <w:t>（1）项目区域地表水质情况</w:t>
      </w:r>
    </w:p>
    <w:p>
      <w:pPr>
        <w:tabs>
          <w:tab w:val="left" w:pos="0"/>
        </w:tabs>
        <w:spacing w:line="460" w:lineRule="exact"/>
        <w:ind w:firstLine="480"/>
      </w:pPr>
      <w:r>
        <w:rPr>
          <w:rFonts w:hint="eastAsia"/>
        </w:rPr>
        <w:t>根据《2023年6月唐山市地表水环境质量状况》可知，沙河、黎河的水质均满足《地表水环境质量标准》（GB 3838-2002）</w:t>
      </w:r>
      <w:r>
        <w:fldChar w:fldCharType="begin"/>
      </w:r>
      <w:r>
        <w:instrText xml:space="preserve"> </w:instrText>
      </w:r>
      <w:r>
        <w:rPr>
          <w:rFonts w:hint="eastAsia"/>
        </w:rPr>
        <w:instrText xml:space="preserve">= 2 \* ROMAN</w:instrText>
      </w:r>
      <w:r>
        <w:instrText xml:space="preserve"> </w:instrText>
      </w:r>
      <w:r>
        <w:fldChar w:fldCharType="separate"/>
      </w:r>
      <w:r>
        <w:t>II</w:t>
      </w:r>
      <w:r>
        <w:fldChar w:fldCharType="end"/>
      </w:r>
      <w:r>
        <w:rPr>
          <w:rFonts w:hint="eastAsia"/>
        </w:rPr>
        <w:t>类标准限值要求。根据区域地表水系图可知，清水河属于沙河一级支流，因此，可知清水河的水质也处于良好状态。</w:t>
      </w:r>
    </w:p>
    <w:p>
      <w:pPr>
        <w:pStyle w:val="2"/>
        <w:ind w:firstLine="480"/>
      </w:pPr>
      <w:r>
        <w:rPr>
          <w:rFonts w:hint="eastAsia"/>
        </w:rPr>
        <w:t>（2）项目跨越区域水文情势情况</w:t>
      </w:r>
    </w:p>
    <w:p>
      <w:pPr>
        <w:tabs>
          <w:tab w:val="left" w:pos="0"/>
        </w:tabs>
        <w:spacing w:line="460" w:lineRule="exact"/>
        <w:ind w:firstLine="480"/>
      </w:pPr>
      <w:r>
        <w:rPr>
          <w:rFonts w:hint="eastAsia"/>
        </w:rPr>
        <w:t>根据现场勘察及查阅资料可知，本项目跨越河流为清水河、沙河、黎河。根据当地水文统计资料可知，</w:t>
      </w:r>
      <w:r>
        <w:rPr>
          <w:snapToGrid w:val="0"/>
        </w:rPr>
        <w:t>沙河由东起市域东的主支沙河，清水河源于兴隆县</w:t>
      </w:r>
      <w:r>
        <w:rPr>
          <w:rFonts w:hint="eastAsia"/>
          <w:snapToGrid w:val="0"/>
        </w:rPr>
        <w:t>，</w:t>
      </w:r>
      <w:r>
        <w:rPr>
          <w:rFonts w:hint="eastAsia"/>
        </w:rPr>
        <w:t>属于沙河的一级支流，目前本项目所跨越清水河、沙河区段均属于</w:t>
      </w:r>
      <w:r>
        <w:rPr>
          <w:snapToGrid w:val="0"/>
        </w:rPr>
        <w:t>沙河水系在水平口以上</w:t>
      </w:r>
      <w:r>
        <w:rPr>
          <w:rFonts w:hint="eastAsia"/>
          <w:snapToGrid w:val="0"/>
        </w:rPr>
        <w:t>区段，该区段河流属于</w:t>
      </w:r>
      <w:r>
        <w:rPr>
          <w:snapToGrid w:val="0"/>
        </w:rPr>
        <w:t>季节性河流</w:t>
      </w:r>
      <w:r>
        <w:rPr>
          <w:rFonts w:hint="eastAsia"/>
          <w:snapToGrid w:val="0"/>
        </w:rPr>
        <w:t>，枯水季为干涸状态。</w:t>
      </w:r>
    </w:p>
    <w:p>
      <w:pPr>
        <w:ind w:firstLine="480"/>
        <w:rPr>
          <w:snapToGrid w:val="0"/>
        </w:rPr>
      </w:pPr>
      <w:r>
        <w:rPr>
          <w:snapToGrid w:val="0"/>
        </w:rPr>
        <w:t>黎河</w:t>
      </w:r>
      <w:r>
        <w:rPr>
          <w:rFonts w:hint="eastAsia"/>
          <w:snapToGrid w:val="0"/>
        </w:rPr>
        <w:t>目前</w:t>
      </w:r>
      <w:r>
        <w:rPr>
          <w:snapToGrid w:val="0"/>
        </w:rPr>
        <w:t>河道已干涸，主要肩负行洪排泄和临时向天津供水双重功能，</w:t>
      </w:r>
      <w:r>
        <w:rPr>
          <w:rFonts w:hint="eastAsia"/>
          <w:snapToGrid w:val="0"/>
        </w:rPr>
        <w:t>根据调查，黎河每年4月左右放水，其余时段基本没水</w:t>
      </w:r>
      <w:r>
        <w:rPr>
          <w:snapToGrid w:val="0"/>
        </w:rPr>
        <w:t>。</w:t>
      </w:r>
    </w:p>
    <w:p>
      <w:pPr>
        <w:pStyle w:val="2"/>
        <w:ind w:firstLine="480"/>
      </w:pPr>
    </w:p>
    <w:p>
      <w:pPr>
        <w:tabs>
          <w:tab w:val="left" w:pos="0"/>
        </w:tabs>
        <w:spacing w:line="460" w:lineRule="exact"/>
        <w:ind w:firstLine="480"/>
        <w:sectPr>
          <w:pgSz w:w="11906" w:h="16838"/>
          <w:pgMar w:top="1418" w:right="1418" w:bottom="1418" w:left="1474" w:header="964" w:footer="964" w:gutter="0"/>
          <w:cols w:space="720" w:num="1"/>
          <w:docGrid w:linePitch="326" w:charSpace="0"/>
        </w:sectPr>
      </w:pPr>
    </w:p>
    <w:p>
      <w:pPr>
        <w:pStyle w:val="4"/>
        <w:spacing w:beforeLines="0" w:afterLines="0"/>
      </w:pPr>
      <w:bookmarkStart w:id="98" w:name="_Toc141284072"/>
      <w:r>
        <w:rPr>
          <w:rFonts w:hint="eastAsia"/>
        </w:rPr>
        <w:t>5环境影响预测与评价</w:t>
      </w:r>
      <w:bookmarkEnd w:id="98"/>
    </w:p>
    <w:p>
      <w:pPr>
        <w:pStyle w:val="5"/>
        <w:spacing w:beforeLines="0" w:afterLines="0"/>
      </w:pPr>
      <w:bookmarkStart w:id="99" w:name="_Toc141284073"/>
      <w:r>
        <w:rPr>
          <w:rFonts w:hint="eastAsia"/>
        </w:rPr>
        <w:t>5</w:t>
      </w:r>
      <w:r>
        <w:t>.1</w:t>
      </w:r>
      <w:r>
        <w:rPr>
          <w:rFonts w:hint="eastAsia"/>
        </w:rPr>
        <w:t>施工期环境影响分析</w:t>
      </w:r>
      <w:bookmarkEnd w:id="99"/>
    </w:p>
    <w:p>
      <w:pPr>
        <w:pStyle w:val="204"/>
        <w:spacing w:line="480" w:lineRule="exact"/>
        <w:ind w:firstLine="0" w:firstLineChars="0"/>
        <w:outlineLvl w:val="2"/>
        <w:rPr>
          <w:b/>
          <w:sz w:val="28"/>
          <w:szCs w:val="28"/>
        </w:rPr>
      </w:pPr>
      <w:r>
        <w:rPr>
          <w:rFonts w:hint="eastAsia"/>
          <w:b/>
          <w:sz w:val="28"/>
          <w:szCs w:val="28"/>
        </w:rPr>
        <w:t>5.1.1施工期生态环境影响分析</w:t>
      </w:r>
    </w:p>
    <w:p>
      <w:pPr>
        <w:ind w:firstLine="480"/>
      </w:pPr>
      <w:r>
        <w:rPr>
          <w:rFonts w:hint="eastAsia"/>
        </w:rPr>
        <w:t>1、工程占地对农业生态环境影响分析</w:t>
      </w:r>
    </w:p>
    <w:p>
      <w:pPr>
        <w:ind w:firstLine="480"/>
      </w:pPr>
      <w:r>
        <w:t>（</w:t>
      </w:r>
      <w:r>
        <w:rPr>
          <w:rFonts w:eastAsia="Times New Roman"/>
        </w:rPr>
        <w:t>1</w:t>
      </w:r>
      <w:r>
        <w:t>）</w:t>
      </w:r>
      <w:r>
        <w:rPr>
          <w:rFonts w:hint="eastAsia"/>
        </w:rPr>
        <w:t>施工期</w:t>
      </w:r>
      <w:r>
        <w:t>对农业生态影响分析</w:t>
      </w:r>
    </w:p>
    <w:p>
      <w:pPr>
        <w:ind w:firstLine="480"/>
      </w:pPr>
      <w:r>
        <w:t>工程永久性占地主要为路基工程、桥涵工程等，被占用的土地将丧失其原有土地利用功能。本项目总占地</w:t>
      </w:r>
      <w:r>
        <w:rPr>
          <w:rFonts w:hint="eastAsia"/>
        </w:rPr>
        <w:t>面积680.9974亩（新增用地规模为648.746亩），其中旱地93.3</w:t>
      </w:r>
      <w:r>
        <w:t>39</w:t>
      </w:r>
      <w:r>
        <w:rPr>
          <w:rFonts w:hint="eastAsia"/>
        </w:rPr>
        <w:t>亩、果园379.</w:t>
      </w:r>
      <w:r>
        <w:t>150</w:t>
      </w:r>
      <w:r>
        <w:rPr>
          <w:rFonts w:hint="eastAsia"/>
        </w:rPr>
        <w:t>亩、林地60.</w:t>
      </w:r>
      <w:r>
        <w:t>584</w:t>
      </w:r>
      <w:r>
        <w:rPr>
          <w:rFonts w:hint="eastAsia"/>
        </w:rPr>
        <w:t>亩、水域9.7</w:t>
      </w:r>
      <w:r>
        <w:t>36</w:t>
      </w:r>
      <w:r>
        <w:rPr>
          <w:rFonts w:hint="eastAsia"/>
        </w:rPr>
        <w:t>亩、住宅用地73.5</w:t>
      </w:r>
      <w:r>
        <w:t>42</w:t>
      </w:r>
      <w:r>
        <w:rPr>
          <w:rFonts w:hint="eastAsia"/>
        </w:rPr>
        <w:t>亩、公路铁路用地</w:t>
      </w:r>
      <w:r>
        <w:t>32.252</w:t>
      </w:r>
      <w:r>
        <w:rPr>
          <w:rFonts w:hint="eastAsia"/>
        </w:rPr>
        <w:t>亩、未利用地24.1</w:t>
      </w:r>
      <w:r>
        <w:t>35</w:t>
      </w:r>
      <w:r>
        <w:rPr>
          <w:rFonts w:hint="eastAsia"/>
        </w:rPr>
        <w:t>亩、其它土地8.</w:t>
      </w:r>
      <w:r>
        <w:t>260</w:t>
      </w:r>
      <w:r>
        <w:rPr>
          <w:rFonts w:hint="eastAsia"/>
        </w:rPr>
        <w:t>亩，</w:t>
      </w:r>
      <w:r>
        <w:t>项目占地会对沿线各乡镇造成一定的农业损失。</w:t>
      </w:r>
    </w:p>
    <w:p>
      <w:pPr>
        <w:ind w:firstLine="480"/>
        <w:rPr>
          <w:rFonts w:ascii="宋体" w:hAnsi="宋体" w:cs="宋体"/>
          <w:b/>
          <w:bCs/>
          <w:sz w:val="21"/>
        </w:rPr>
      </w:pPr>
      <w:r>
        <w:t>根据</w:t>
      </w:r>
      <w:r>
        <w:rPr>
          <w:rFonts w:hint="eastAsia"/>
        </w:rPr>
        <w:t>当地</w:t>
      </w:r>
      <w:r>
        <w:t>统计年鉴区域农作物生产情况调查统计结果，若以玉米产量</w:t>
      </w:r>
      <w:r>
        <w:rPr>
          <w:rFonts w:eastAsia="Times New Roman"/>
        </w:rPr>
        <w:t>0.56</w:t>
      </w:r>
      <w:r>
        <w:t>吨</w:t>
      </w:r>
      <w:r>
        <w:rPr>
          <w:rFonts w:eastAsia="Times New Roman"/>
        </w:rPr>
        <w:t>/</w:t>
      </w:r>
      <w:r>
        <w:t>亩，项目占用农业用地将使区域内玉米每年减少</w:t>
      </w:r>
      <w:r>
        <w:rPr>
          <w:rFonts w:hint="eastAsia"/>
        </w:rPr>
        <w:t>52.27</w:t>
      </w:r>
      <w:r>
        <w:t>吨。若以玉米每吨</w:t>
      </w:r>
      <w:r>
        <w:rPr>
          <w:rFonts w:eastAsia="Times New Roman"/>
        </w:rPr>
        <w:t>2000</w:t>
      </w:r>
      <w:r>
        <w:t>元计，项目建设每年将造成途经区域农业损失共</w:t>
      </w:r>
      <w:r>
        <w:rPr>
          <w:rFonts w:hint="eastAsia"/>
        </w:rPr>
        <w:t>10.45</w:t>
      </w:r>
      <w:r>
        <w:t>万元。</w:t>
      </w:r>
    </w:p>
    <w:p>
      <w:pPr>
        <w:ind w:firstLine="496"/>
        <w:rPr>
          <w:rFonts w:cs="宋体"/>
          <w:spacing w:val="4"/>
        </w:rPr>
      </w:pPr>
      <w:r>
        <w:rPr>
          <w:rFonts w:hint="eastAsia" w:cs="宋体"/>
          <w:spacing w:val="4"/>
        </w:rPr>
        <w:t>根据《中华人民共和国土地管理法》的规定，国家保护耕地，严格控制耕地转为非耕地。国家实行占用耕地补偿制度，非农业建设经批准占用耕地的，按照“占多少，垦多少”的原则，由占用耕地的单位负责开垦与所占用耕地的数量和质量相当的耕地；没有条件开垦或者开垦的耕地不符合要求的，应当按照省、自治区、直辖市的规定缴纳耕地开垦费，专款用于开垦新的耕地。</w:t>
      </w:r>
    </w:p>
    <w:p>
      <w:pPr>
        <w:ind w:firstLine="496"/>
        <w:rPr>
          <w:rFonts w:cs="宋体"/>
          <w:spacing w:val="4"/>
        </w:rPr>
      </w:pPr>
      <w:r>
        <w:rPr>
          <w:rFonts w:hint="eastAsia" w:cs="宋体"/>
          <w:spacing w:val="4"/>
        </w:rPr>
        <w:t>因此，本工程应严格按照相关法律规定，对永久占用的耕地按照“占一补一”的原则，提出补划方案，以保证石家庄市、辛集市、衡水市耕地面积总量不减少。</w:t>
      </w:r>
    </w:p>
    <w:p>
      <w:pPr>
        <w:ind w:firstLine="480"/>
      </w:pPr>
      <w:r>
        <w:t>（</w:t>
      </w:r>
      <w:r>
        <w:rPr>
          <w:rFonts w:hint="eastAsia"/>
        </w:rPr>
        <w:t>2</w:t>
      </w:r>
      <w:r>
        <w:t>）施工活动对农业生产的影响</w:t>
      </w:r>
    </w:p>
    <w:p>
      <w:pPr>
        <w:ind w:firstLine="480"/>
      </w:pPr>
      <w:r>
        <w:t>根据现场踏勘，公路沿线耕地为旱地，</w:t>
      </w:r>
      <w:r>
        <w:rPr>
          <w:rFonts w:hint="eastAsia"/>
        </w:rPr>
        <w:t>当地农田未设置灌渠，依靠日常降雨补水或依靠地表河流取水灌溉，为减少对农业的影响，</w:t>
      </w:r>
      <w:r>
        <w:rPr>
          <w:spacing w:val="3"/>
        </w:rPr>
        <w:t>施工期间，在设计时均考虑了减缓影响灌溉的措施</w:t>
      </w:r>
      <w:r>
        <w:rPr>
          <w:rFonts w:hint="eastAsia"/>
          <w:spacing w:val="3"/>
        </w:rPr>
        <w:t>—</w:t>
      </w:r>
      <w:r>
        <w:rPr>
          <w:spacing w:val="3"/>
        </w:rPr>
        <w:t>设过水涵洞以保障原有</w:t>
      </w:r>
      <w:r>
        <w:rPr>
          <w:rFonts w:hint="eastAsia"/>
        </w:rPr>
        <w:t>支流系统</w:t>
      </w:r>
      <w:r>
        <w:t>的灌溉不受影响，因此这种影响是短期的，公路建成后这种影响就可以消</w:t>
      </w:r>
      <w:r>
        <w:rPr>
          <w:spacing w:val="12"/>
        </w:rPr>
        <w:t>除。</w:t>
      </w:r>
    </w:p>
    <w:p>
      <w:pPr>
        <w:ind w:firstLine="480"/>
      </w:pPr>
      <w:r>
        <w:t>扬尘污染对农业生态环境产生的影响主要体现在施工期路面施工、材料运输过程。如果同时采取洒水、遮盖及大风天停止施工等防尘措施，粉</w:t>
      </w:r>
      <w:r>
        <w:rPr>
          <w:spacing w:val="-3"/>
        </w:rPr>
        <w:t>尘影响和污染程度会明显减轻。实践证明，采取必要的防尘措施后，一般不会造</w:t>
      </w:r>
      <w:r>
        <w:t>成公路两侧的农作物的明显减产现象。</w:t>
      </w:r>
    </w:p>
    <w:p>
      <w:pPr>
        <w:ind w:firstLine="480"/>
      </w:pPr>
      <w:r>
        <w:rPr>
          <w:rFonts w:hint="eastAsia"/>
        </w:rPr>
        <w:t>2、工程占地对生物量得影响分析</w:t>
      </w:r>
    </w:p>
    <w:p>
      <w:pPr>
        <w:ind w:firstLine="480"/>
        <w:rPr>
          <w:szCs w:val="24"/>
        </w:rPr>
      </w:pPr>
      <w:r>
        <w:t>（</w:t>
      </w:r>
      <w:r>
        <w:rPr>
          <w:rFonts w:eastAsia="Times New Roman"/>
        </w:rPr>
        <w:t>1</w:t>
      </w:r>
      <w:r>
        <w:t>）工程永久占地对生物量损失影响分析</w:t>
      </w:r>
    </w:p>
    <w:p>
      <w:pPr>
        <w:ind w:firstLine="480"/>
        <w:rPr>
          <w:rFonts w:ascii="宋体" w:hAnsi="宋体" w:cs="宋体"/>
          <w:b/>
          <w:bCs/>
          <w:spacing w:val="-6"/>
          <w:sz w:val="18"/>
          <w:szCs w:val="18"/>
        </w:rPr>
      </w:pPr>
      <w:r>
        <w:t>本项目新增</w:t>
      </w:r>
      <w:r>
        <w:rPr>
          <w:rFonts w:hint="eastAsia"/>
        </w:rPr>
        <w:t>占用</w:t>
      </w:r>
      <w:r>
        <w:t>面积为</w:t>
      </w:r>
      <w:r>
        <w:rPr>
          <w:rFonts w:hint="eastAsia"/>
        </w:rPr>
        <w:t>648.746亩（43.21hm</w:t>
      </w:r>
      <w:r>
        <w:rPr>
          <w:rFonts w:hint="eastAsia"/>
          <w:vertAlign w:val="superscript"/>
        </w:rPr>
        <w:t>2</w:t>
      </w:r>
      <w:r>
        <w:rPr>
          <w:rFonts w:hint="eastAsia"/>
        </w:rPr>
        <w:t>）</w:t>
      </w:r>
      <w:r>
        <w:t>，永久占地将导致项目区生物量的永久损失，</w:t>
      </w:r>
      <w:r>
        <w:rPr>
          <w:rFonts w:hint="eastAsia"/>
        </w:rPr>
        <w:t>根据</w:t>
      </w:r>
      <w:r>
        <w:t>《中国森林生态系统的生物量及生产力》及中国环境出版社《非污染生态评价技术导则培训教材》</w:t>
      </w:r>
      <w:r>
        <w:rPr>
          <w:rFonts w:hint="eastAsia"/>
        </w:rPr>
        <w:t>，起平均生物量按5t/hm</w:t>
      </w:r>
      <w:r>
        <w:rPr>
          <w:rFonts w:hint="eastAsia"/>
          <w:vertAlign w:val="superscript"/>
        </w:rPr>
        <w:t>2</w:t>
      </w:r>
      <w:r>
        <w:rPr>
          <w:rFonts w:hint="eastAsia"/>
        </w:rPr>
        <w:t>计，本项目损失生物量为216.05t。</w:t>
      </w:r>
    </w:p>
    <w:p>
      <w:pPr>
        <w:ind w:firstLine="480"/>
      </w:pPr>
      <w:r>
        <w:t>通过以上分析可知，永久占地将导致项目区生物量的永久损失。因此，项目建成后，可通过</w:t>
      </w:r>
      <w:r>
        <w:rPr>
          <w:rFonts w:hint="eastAsia"/>
        </w:rPr>
        <w:t>道路两侧</w:t>
      </w:r>
      <w:r>
        <w:t>种植乔、灌木及草本植物等绿化方式减少因工程建设对生态环境的影响。</w:t>
      </w:r>
    </w:p>
    <w:p>
      <w:pPr>
        <w:ind w:firstLine="496"/>
        <w:rPr>
          <w:spacing w:val="4"/>
        </w:rPr>
      </w:pPr>
      <w:r>
        <w:rPr>
          <w:spacing w:val="4"/>
        </w:rPr>
        <w:t>工程建设对沿线农作物会产生一定影响，导致项目区生物量的损失。</w:t>
      </w:r>
      <w:r>
        <w:rPr>
          <w:rFonts w:hint="eastAsia"/>
          <w:spacing w:val="4"/>
        </w:rPr>
        <w:t>根据现场勘查，本项目取土场占地区植被主要有杨树、灌木、草本等植被，分布情况比较稀疏，生物量较少。</w:t>
      </w:r>
    </w:p>
    <w:p>
      <w:pPr>
        <w:ind w:firstLine="496"/>
        <w:rPr>
          <w:spacing w:val="4"/>
        </w:rPr>
      </w:pPr>
      <w:r>
        <w:rPr>
          <w:rFonts w:hint="eastAsia"/>
          <w:spacing w:val="4"/>
        </w:rPr>
        <w:t>取土场取土结束后及时利用保存的表土对取土场进行覆土并绿化，按照原有生物量进行恢复，购入不少于原有数量的松树、杨树、灌木，并洒满草籽恢复原有生态系统，减少临时占地对该区域生态系统产生影响。</w:t>
      </w:r>
    </w:p>
    <w:p>
      <w:pPr>
        <w:ind w:firstLine="496"/>
      </w:pPr>
      <w:r>
        <w:rPr>
          <w:spacing w:val="4"/>
        </w:rPr>
        <w:t>项目建成后可以通过对路基边坡的绿化弥补沿线生物量的损失</w:t>
      </w:r>
      <w:r>
        <w:rPr>
          <w:rFonts w:hint="eastAsia"/>
          <w:spacing w:val="4"/>
        </w:rPr>
        <w:t>及</w:t>
      </w:r>
      <w:r>
        <w:rPr>
          <w:spacing w:val="4"/>
        </w:rPr>
        <w:t>重建人工生态系统，如种植</w:t>
      </w:r>
      <w:r>
        <w:rPr>
          <w:rFonts w:hint="eastAsia"/>
          <w:spacing w:val="4"/>
        </w:rPr>
        <w:t>杨树、</w:t>
      </w:r>
      <w:r>
        <w:rPr>
          <w:spacing w:val="4"/>
        </w:rPr>
        <w:t>灌木及与草本植物</w:t>
      </w:r>
      <w:r>
        <w:rPr>
          <w:rFonts w:hint="eastAsia"/>
          <w:spacing w:val="4"/>
        </w:rPr>
        <w:t>，加大种植密度</w:t>
      </w:r>
      <w:r>
        <w:rPr>
          <w:spacing w:val="4"/>
        </w:rPr>
        <w:t>，可减小</w:t>
      </w:r>
      <w:r>
        <w:rPr>
          <w:rFonts w:hint="eastAsia"/>
          <w:spacing w:val="4"/>
        </w:rPr>
        <w:t>或消除</w:t>
      </w:r>
      <w:r>
        <w:rPr>
          <w:spacing w:val="4"/>
        </w:rPr>
        <w:t>因工程建设对生态环境的影响。项目护坡、边坡及边沟外绿化，绿化可选择杨树等</w:t>
      </w:r>
      <w:r>
        <w:rPr>
          <w:rFonts w:hint="eastAsia"/>
          <w:spacing w:val="4"/>
        </w:rPr>
        <w:t>当地</w:t>
      </w:r>
      <w:r>
        <w:rPr>
          <w:spacing w:val="4"/>
        </w:rPr>
        <w:t>树种。通过绿化植树种草以及生态系统的恢复，将沿线生物量的损</w:t>
      </w:r>
      <w:r>
        <w:t>失减少到最小程度。</w:t>
      </w:r>
    </w:p>
    <w:p>
      <w:pPr>
        <w:ind w:firstLine="480"/>
      </w:pPr>
      <w:r>
        <w:rPr>
          <w:rFonts w:hint="eastAsia"/>
        </w:rPr>
        <w:t>3、项目建设</w:t>
      </w:r>
      <w:r>
        <w:t>对沿线植物物种多样性的影响分析</w:t>
      </w:r>
    </w:p>
    <w:p>
      <w:pPr>
        <w:pStyle w:val="18"/>
        <w:spacing w:after="0"/>
        <w:ind w:firstLine="480"/>
        <w:rPr>
          <w:rFonts w:cs="宋体"/>
        </w:rPr>
      </w:pPr>
      <w:r>
        <w:rPr>
          <w:rFonts w:cs="宋体"/>
        </w:rPr>
        <w:t>公路建设中由于占用土地、扰动地表等因素，侵占了一部分植物赖以生存的土壤基质，导致了生态环境评价范围内植物物种数量减少和种群数量上的改变。跟据</w:t>
      </w:r>
      <w:r>
        <w:rPr>
          <w:rFonts w:hint="eastAsia" w:cs="宋体"/>
        </w:rPr>
        <w:t>现场勘查</w:t>
      </w:r>
      <w:r>
        <w:rPr>
          <w:rFonts w:cs="宋体"/>
        </w:rPr>
        <w:t>，生态环境评价范围的植被以耕地、</w:t>
      </w:r>
      <w:r>
        <w:rPr>
          <w:rFonts w:hint="eastAsia" w:cs="宋体"/>
        </w:rPr>
        <w:t>杨树</w:t>
      </w:r>
      <w:r>
        <w:rPr>
          <w:rFonts w:cs="宋体"/>
        </w:rPr>
        <w:t>为主，人工培育植物物种占据绝对优势，在路旁、田间可常见杂草物种。生态环境评价范围内</w:t>
      </w:r>
      <w:r>
        <w:rPr>
          <w:rFonts w:hint="eastAsia" w:cs="宋体"/>
        </w:rPr>
        <w:t>无</w:t>
      </w:r>
      <w:r>
        <w:rPr>
          <w:rFonts w:cs="宋体"/>
        </w:rPr>
        <w:t>受国家和地方保护的珍稀野生植物物种。因此，公路建设造成植被面积损失对植物物种的影响主要是造成其数量上的减少，并不会导致物种的消失，不会对区域内植物资源和植物物种多样性产生明显的不良影响，亦不会对植物种类及其分布造成不利影响。</w:t>
      </w:r>
    </w:p>
    <w:p>
      <w:pPr>
        <w:ind w:firstLine="480"/>
      </w:pPr>
      <w:r>
        <w:rPr>
          <w:rFonts w:hint="eastAsia"/>
        </w:rPr>
        <w:t>4、项目建设</w:t>
      </w:r>
      <w:r>
        <w:t>对沿线</w:t>
      </w:r>
      <w:r>
        <w:rPr>
          <w:rFonts w:hint="eastAsia"/>
        </w:rPr>
        <w:t>动物及其栖息地</w:t>
      </w:r>
      <w:r>
        <w:t>的影响分析</w:t>
      </w:r>
    </w:p>
    <w:p>
      <w:pPr>
        <w:pStyle w:val="18"/>
        <w:spacing w:after="0"/>
        <w:ind w:firstLine="480"/>
        <w:rPr>
          <w:rFonts w:cs="宋体"/>
        </w:rPr>
      </w:pPr>
      <w:r>
        <w:rPr>
          <w:rFonts w:cs="宋体"/>
        </w:rPr>
        <w:t>公路施工期对野生动物的影响主要表现为：施工人员的施工活动对动物栖息地生境的干扰和破坏，施工机械噪声对动物的干扰。工程永久和临时占地缩小了野生动物的栖息空间，阻隔了部分野生动物的活动区域、迁移途径、觅食范围等，从而对动物的生存产生一定的影响。公路占地范围内栖息、避敌于自挖洞穴中的动物</w:t>
      </w:r>
      <w:r>
        <w:rPr>
          <w:rFonts w:hint="eastAsia" w:cs="宋体"/>
        </w:rPr>
        <w:t>，</w:t>
      </w:r>
      <w:r>
        <w:rPr>
          <w:rFonts w:cs="宋体"/>
        </w:rPr>
        <w:t>由于其洞穴被破坏，导致其被迫迁徙到新的环境中，在熟悉新的环境中，遇到缺食、天敌等的机会变大，受到的影响也较大。由于评价区植被类型基本一致，变化不大，在大的尺度上具有相同的生境，因此评价区内有许多动物的替代生境，动物比较容易</w:t>
      </w:r>
      <w:r>
        <w:rPr>
          <w:rFonts w:hint="eastAsia" w:cs="宋体"/>
        </w:rPr>
        <w:t>找</w:t>
      </w:r>
      <w:r>
        <w:rPr>
          <w:rFonts w:cs="宋体"/>
        </w:rPr>
        <w:t>到栖息场所，当植被恢复后，它们仍可回到原来的领域。施工人员及施工机械、车辆的噪声以及施工人员对沿线附近野生动物的狩猎，这将迫使动物离开在建公路沿线附近区域。施工人员集中施工和机械噪声对鸟类的影响较大，这些动物在施工期间将被迫向远离施工范围的地区迁移，但这种影响仅限于施工期。</w:t>
      </w:r>
    </w:p>
    <w:p>
      <w:pPr>
        <w:pStyle w:val="18"/>
        <w:spacing w:after="0"/>
        <w:ind w:firstLine="480"/>
        <w:rPr>
          <w:rFonts w:cs="宋体"/>
        </w:rPr>
      </w:pPr>
      <w:r>
        <w:rPr>
          <w:rFonts w:cs="宋体"/>
        </w:rPr>
        <w:t>沿线区域被影响动物的种类多为农村驯养的家禽家畜如牛、猪、羊、鸡、兔等</w:t>
      </w:r>
      <w:r>
        <w:rPr>
          <w:rFonts w:hint="eastAsia" w:cs="宋体"/>
        </w:rPr>
        <w:t>，容易受到施工影响</w:t>
      </w:r>
      <w:r>
        <w:rPr>
          <w:rFonts w:cs="宋体"/>
        </w:rPr>
        <w:t>。常见野生兽类有老鼠、野兔、蛇、黄鼠狼等，其中鸟类有麻雀等，公路施工范围小，工程建设影响的范围不大且影响时间短，因此对野生动物不会造成大的影响。</w:t>
      </w:r>
    </w:p>
    <w:p>
      <w:pPr>
        <w:ind w:firstLine="480"/>
      </w:pPr>
      <w:r>
        <w:rPr>
          <w:rFonts w:hint="eastAsia"/>
        </w:rPr>
        <w:t>5、项目建设</w:t>
      </w:r>
      <w:r>
        <w:t>对沿线</w:t>
      </w:r>
      <w:r>
        <w:rPr>
          <w:rFonts w:hint="eastAsia"/>
        </w:rPr>
        <w:t>土地利用现状</w:t>
      </w:r>
      <w:r>
        <w:t>的影响分析</w:t>
      </w:r>
    </w:p>
    <w:p>
      <w:pPr>
        <w:pStyle w:val="18"/>
        <w:spacing w:after="0"/>
        <w:ind w:firstLine="480"/>
        <w:rPr>
          <w:rFonts w:cs="宋体"/>
        </w:rPr>
      </w:pPr>
      <w:r>
        <w:rPr>
          <w:rFonts w:cs="宋体"/>
        </w:rPr>
        <w:t>本工程对沿线土地利用的影响主要为永久性占地造成的影响。项目全线永久</w:t>
      </w:r>
      <w:r>
        <w:rPr>
          <w:rFonts w:hint="eastAsia" w:cs="宋体"/>
        </w:rPr>
        <w:t>总</w:t>
      </w:r>
      <w:r>
        <w:rPr>
          <w:rFonts w:cs="宋体"/>
        </w:rPr>
        <w:t>占地</w:t>
      </w:r>
      <w:r>
        <w:t>面积</w:t>
      </w:r>
      <w:r>
        <w:rPr>
          <w:rFonts w:hint="eastAsia"/>
        </w:rPr>
        <w:t>680.9974亩（新增用地规模为648.746亩）</w:t>
      </w:r>
      <w:r>
        <w:rPr>
          <w:rFonts w:cs="宋体"/>
        </w:rPr>
        <w:t>。永久性占地将在公路使用期内永久性地、不可逆地改变土地利用方式，即公路征地范围内由原先的耕地</w:t>
      </w:r>
      <w:r>
        <w:rPr>
          <w:rFonts w:hint="eastAsia" w:cs="宋体"/>
        </w:rPr>
        <w:t>、林地</w:t>
      </w:r>
      <w:r>
        <w:rPr>
          <w:rFonts w:cs="宋体"/>
        </w:rPr>
        <w:t>等其他土地类型转变为公路交通用地，其土地利用功能发生了永久的、不可逆转的变化。由生态功能转变为物流大动脉功能，发挥更深远、更重要的经济作用。公路对土地的永久占用，将使被占地范围内的土壤理化性质发生改变，破坏原来宜农、宜林土壤结构及肥力，导致该范围内的土壤不能或不宜作为耕作、种植土壤。公路永久占地将使评价范围内土地利用格局发生改变。公路征地范围外的用地基本不受公路营运的影响，可继续保持其土地利用功能，对沿线土地利用格局不会产生明显影响。</w:t>
      </w:r>
    </w:p>
    <w:p>
      <w:pPr>
        <w:pStyle w:val="18"/>
        <w:spacing w:after="0"/>
        <w:ind w:firstLine="480"/>
      </w:pPr>
      <w:r>
        <w:rPr>
          <w:rFonts w:cs="宋体"/>
        </w:rPr>
        <w:t>公路建设永久性占地占</w:t>
      </w:r>
      <w:r>
        <w:rPr>
          <w:rFonts w:hint="eastAsia" w:cs="宋体"/>
        </w:rPr>
        <w:t>遵化市</w:t>
      </w:r>
      <w:r>
        <w:rPr>
          <w:rFonts w:cs="宋体"/>
        </w:rPr>
        <w:t>总面积的比例较少，对生态环境评价范围土地利用格局影响较小，仅永久占地会对土地利用性质和功能造</w:t>
      </w:r>
      <w:r>
        <w:rPr>
          <w:rFonts w:hint="eastAsia" w:cs="宋体"/>
        </w:rPr>
        <w:t>成</w:t>
      </w:r>
      <w:r>
        <w:rPr>
          <w:rFonts w:cs="宋体"/>
        </w:rPr>
        <w:t>一定程度影响，这也是公路建设不可避免的。总的来看，公路建设不可避免的对生态环境造成影响，针对不同区、段及施工内容采取不同的生态恢复措施及计划，路基工程、桥梁工程及交叉工程完毕后应立即进行边坡绿化，应结合绿化景观设计，迅速开展生态恢复工作；取土场使用完毕后应及时进行生态恢复作业，恢复其原有使用功能；本项目采取必要的生态恢复措施后，从整个生态环境评价范围来看，公路建设对生态环境的影响较小，在可接受范围内</w:t>
      </w:r>
      <w:r>
        <w:rPr>
          <w:rFonts w:hint="eastAsia" w:cs="宋体"/>
        </w:rPr>
        <w:t>。</w:t>
      </w:r>
    </w:p>
    <w:p>
      <w:pPr>
        <w:pStyle w:val="204"/>
        <w:spacing w:line="480" w:lineRule="exact"/>
        <w:ind w:firstLine="0" w:firstLineChars="0"/>
        <w:outlineLvl w:val="2"/>
        <w:rPr>
          <w:b/>
          <w:sz w:val="28"/>
          <w:szCs w:val="28"/>
        </w:rPr>
      </w:pPr>
      <w:r>
        <w:rPr>
          <w:rFonts w:hint="eastAsia"/>
          <w:b/>
          <w:sz w:val="28"/>
          <w:szCs w:val="28"/>
        </w:rPr>
        <w:t>5.1.2施工期声环境影响分析</w:t>
      </w:r>
    </w:p>
    <w:p>
      <w:pPr>
        <w:pStyle w:val="18"/>
        <w:spacing w:after="0"/>
        <w:ind w:firstLine="480"/>
        <w:rPr>
          <w:rFonts w:cs="宋体"/>
        </w:rPr>
      </w:pPr>
      <w:r>
        <w:rPr>
          <w:rFonts w:cs="宋体"/>
        </w:rPr>
        <w:t>（1）施工噪声污染源分析</w:t>
      </w:r>
    </w:p>
    <w:p>
      <w:pPr>
        <w:pStyle w:val="18"/>
        <w:spacing w:after="0"/>
        <w:ind w:firstLine="480"/>
        <w:rPr>
          <w:rFonts w:cs="宋体"/>
        </w:rPr>
      </w:pPr>
      <w:r>
        <w:rPr>
          <w:rFonts w:hint="eastAsia" w:cs="宋体"/>
        </w:rPr>
        <w:t>本项目</w:t>
      </w:r>
      <w:r>
        <w:rPr>
          <w:rFonts w:cs="宋体"/>
        </w:rPr>
        <w:t>建设内容主要包括路基工程、路面工程、桥梁工程、交叉工程以及</w:t>
      </w:r>
      <w:r>
        <w:rPr>
          <w:rFonts w:hint="eastAsia" w:cs="宋体"/>
        </w:rPr>
        <w:t>养护工区</w:t>
      </w:r>
      <w:r>
        <w:rPr>
          <w:rFonts w:cs="宋体"/>
        </w:rPr>
        <w:t>；施工过程中需要使用许多施工机械和运输车辆，这些设备会辐射出强烈的噪声，对附近居民、学校产生影响。主要施工机械包括挖掘机、平地机、推土机、装载机、压路机、通风机等，运输车辆包括各种卡车、自卸车，各施工机械噪声值见表</w:t>
      </w:r>
      <w:r>
        <w:rPr>
          <w:rFonts w:hint="eastAsia" w:cs="宋体"/>
        </w:rPr>
        <w:t>5.1-1。</w:t>
      </w:r>
    </w:p>
    <w:p>
      <w:pPr>
        <w:pStyle w:val="185"/>
        <w:spacing w:line="480" w:lineRule="exact"/>
        <w:rPr>
          <w:sz w:val="21"/>
          <w:szCs w:val="21"/>
        </w:rPr>
      </w:pPr>
      <w:r>
        <w:rPr>
          <w:sz w:val="21"/>
          <w:szCs w:val="21"/>
        </w:rPr>
        <w:t>表</w:t>
      </w:r>
      <w:r>
        <w:rPr>
          <w:rFonts w:hint="eastAsia"/>
          <w:sz w:val="21"/>
          <w:szCs w:val="21"/>
        </w:rPr>
        <w:t xml:space="preserve">5.1-1 </w:t>
      </w:r>
      <w:r>
        <w:rPr>
          <w:sz w:val="21"/>
          <w:szCs w:val="21"/>
        </w:rPr>
        <w:t>主要施工机械噪声值一览表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66"/>
        <w:gridCol w:w="1502"/>
        <w:gridCol w:w="2251"/>
        <w:gridCol w:w="2600"/>
        <w:gridCol w:w="180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cs="Times New Roman"/>
                <w:bCs/>
                <w:sz w:val="21"/>
                <w:szCs w:val="21"/>
              </w:rPr>
              <w:t>序号</w:t>
            </w:r>
          </w:p>
        </w:tc>
        <w:tc>
          <w:tcPr>
            <w:tcW w:w="1322" w:type="pct"/>
            <w:gridSpan w:val="2"/>
            <w:vAlign w:val="center"/>
          </w:tcPr>
          <w:p>
            <w:pPr>
              <w:pStyle w:val="675"/>
              <w:jc w:val="center"/>
              <w:rPr>
                <w:rFonts w:ascii="Times New Roman" w:hAnsi="Times New Roman" w:cs="Times New Roman"/>
                <w:sz w:val="21"/>
                <w:szCs w:val="21"/>
              </w:rPr>
            </w:pPr>
            <w:r>
              <w:rPr>
                <w:rFonts w:ascii="Times New Roman" w:cs="Times New Roman"/>
                <w:bCs/>
                <w:sz w:val="21"/>
                <w:szCs w:val="21"/>
              </w:rPr>
              <w:t>设备名称</w:t>
            </w:r>
          </w:p>
        </w:tc>
        <w:tc>
          <w:tcPr>
            <w:tcW w:w="916" w:type="pct"/>
            <w:vAlign w:val="center"/>
          </w:tcPr>
          <w:p>
            <w:pPr>
              <w:pStyle w:val="675"/>
              <w:jc w:val="center"/>
              <w:rPr>
                <w:rFonts w:ascii="Times New Roman" w:hAnsi="Times New Roman" w:cs="Times New Roman"/>
                <w:sz w:val="21"/>
                <w:szCs w:val="21"/>
                <w:lang w:eastAsia="zh-CN"/>
              </w:rPr>
            </w:pPr>
            <w:r>
              <w:rPr>
                <w:rFonts w:ascii="Times New Roman" w:cs="Times New Roman"/>
                <w:bCs/>
                <w:sz w:val="21"/>
                <w:szCs w:val="21"/>
                <w:lang w:eastAsia="zh-CN"/>
              </w:rPr>
              <w:t>测点与声源距离（</w:t>
            </w:r>
            <w:r>
              <w:rPr>
                <w:rFonts w:ascii="Times New Roman" w:hAnsi="Times New Roman" w:cs="Times New Roman"/>
                <w:bCs/>
                <w:sz w:val="21"/>
                <w:szCs w:val="21"/>
                <w:lang w:eastAsia="zh-CN"/>
              </w:rPr>
              <w:t>m</w:t>
            </w:r>
            <w:r>
              <w:rPr>
                <w:rFonts w:ascii="Times New Roman" w:cs="Times New Roman"/>
                <w:bCs/>
                <w:sz w:val="21"/>
                <w:szCs w:val="21"/>
                <w:lang w:eastAsia="zh-CN"/>
              </w:rPr>
              <w:t>）</w:t>
            </w:r>
          </w:p>
        </w:tc>
        <w:tc>
          <w:tcPr>
            <w:tcW w:w="636" w:type="pct"/>
            <w:vAlign w:val="center"/>
          </w:tcPr>
          <w:p>
            <w:pPr>
              <w:pStyle w:val="675"/>
              <w:jc w:val="center"/>
              <w:rPr>
                <w:rFonts w:ascii="Times New Roman" w:hAnsi="Times New Roman" w:cs="Times New Roman"/>
                <w:sz w:val="21"/>
                <w:szCs w:val="21"/>
              </w:rPr>
            </w:pPr>
            <w:r>
              <w:rPr>
                <w:rFonts w:ascii="Times New Roman" w:cs="Times New Roman"/>
                <w:bCs/>
                <w:sz w:val="21"/>
                <w:szCs w:val="21"/>
              </w:rPr>
              <w:t>最大声级</w:t>
            </w:r>
            <w:r>
              <w:rPr>
                <w:rFonts w:ascii="Times New Roman" w:hAnsi="Times New Roman" w:cs="Times New Roman"/>
                <w:bCs/>
                <w:spacing w:val="-22"/>
                <w:sz w:val="21"/>
                <w:szCs w:val="21"/>
              </w:rPr>
              <w:t>dB</w:t>
            </w:r>
            <w:r>
              <w:rPr>
                <w:rFonts w:ascii="Times New Roman" w:cs="Times New Roman"/>
                <w:bCs/>
                <w:spacing w:val="-22"/>
                <w:sz w:val="21"/>
                <w:szCs w:val="21"/>
              </w:rPr>
              <w:t>（</w:t>
            </w:r>
            <w:r>
              <w:rPr>
                <w:rFonts w:ascii="Times New Roman" w:hAnsi="Times New Roman" w:cs="Times New Roman"/>
                <w:bCs/>
                <w:spacing w:val="-22"/>
                <w:sz w:val="21"/>
                <w:szCs w:val="21"/>
              </w:rPr>
              <w:t>A</w:t>
            </w:r>
            <w:r>
              <w:rPr>
                <w:rFonts w:ascii="Times New Roman" w:cs="Times New Roman"/>
                <w:bCs/>
                <w:spacing w:val="-22"/>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w:t>
            </w:r>
          </w:p>
        </w:tc>
        <w:tc>
          <w:tcPr>
            <w:tcW w:w="529" w:type="pct"/>
            <w:vMerge w:val="restart"/>
            <w:vAlign w:val="center"/>
          </w:tcPr>
          <w:p>
            <w:pPr>
              <w:pStyle w:val="675"/>
              <w:jc w:val="center"/>
              <w:rPr>
                <w:rFonts w:ascii="Times New Roman" w:hAnsi="Times New Roman" w:cs="Times New Roman"/>
                <w:sz w:val="21"/>
                <w:szCs w:val="21"/>
              </w:rPr>
            </w:pPr>
            <w:r>
              <w:rPr>
                <w:rFonts w:ascii="Times New Roman" w:cs="Times New Roman"/>
                <w:sz w:val="21"/>
                <w:szCs w:val="21"/>
              </w:rPr>
              <w:t>路基工程</w:t>
            </w: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轮式装载机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2</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平地机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3</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推土机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4</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轮胎式液压挖掘机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529" w:type="pct"/>
            <w:vMerge w:val="restart"/>
            <w:vAlign w:val="center"/>
          </w:tcPr>
          <w:p>
            <w:pPr>
              <w:pStyle w:val="675"/>
              <w:jc w:val="center"/>
              <w:rPr>
                <w:rFonts w:ascii="Times New Roman" w:hAnsi="Times New Roman" w:cs="Times New Roman"/>
                <w:sz w:val="21"/>
                <w:szCs w:val="21"/>
              </w:rPr>
            </w:pPr>
            <w:r>
              <w:rPr>
                <w:rFonts w:ascii="Times New Roman" w:cs="Times New Roman"/>
                <w:sz w:val="21"/>
                <w:szCs w:val="21"/>
              </w:rPr>
              <w:t>路面工程</w:t>
            </w: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轮式装载机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6</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振动式压路机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7</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双轮双振压路机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摊铺机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w:t>
            </w:r>
          </w:p>
        </w:tc>
        <w:tc>
          <w:tcPr>
            <w:tcW w:w="529" w:type="pct"/>
            <w:vMerge w:val="restart"/>
            <w:vAlign w:val="center"/>
          </w:tcPr>
          <w:p>
            <w:pPr>
              <w:pStyle w:val="675"/>
              <w:jc w:val="center"/>
              <w:rPr>
                <w:rFonts w:ascii="Times New Roman" w:hAnsi="Times New Roman" w:cs="Times New Roman"/>
                <w:sz w:val="21"/>
                <w:szCs w:val="21"/>
              </w:rPr>
            </w:pPr>
            <w:r>
              <w:rPr>
                <w:rFonts w:ascii="Times New Roman" w:cs="Times New Roman"/>
                <w:sz w:val="21"/>
                <w:szCs w:val="21"/>
              </w:rPr>
              <w:t>桥涵工程</w:t>
            </w: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液压式旋钻挖机</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10</w:t>
            </w:r>
          </w:p>
        </w:tc>
        <w:tc>
          <w:tcPr>
            <w:tcW w:w="529" w:type="pct"/>
            <w:vMerge w:val="continue"/>
            <w:vAlign w:val="center"/>
          </w:tcPr>
          <w:p>
            <w:pPr>
              <w:spacing w:line="240" w:lineRule="auto"/>
              <w:ind w:firstLine="0" w:firstLineChars="0"/>
              <w:jc w:val="center"/>
              <w:rPr>
                <w:kern w:val="0"/>
                <w:sz w:val="21"/>
                <w:szCs w:val="22"/>
                <w:lang w:eastAsia="en-US"/>
              </w:rPr>
            </w:pP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混凝土输送泵车</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05" w:type="pct"/>
            <w:vAlign w:val="center"/>
          </w:tcPr>
          <w:p>
            <w:pPr>
              <w:pStyle w:val="675"/>
              <w:jc w:val="center"/>
              <w:rPr>
                <w:rFonts w:ascii="Times New Roman" w:hAnsi="Times New Roman" w:cs="Times New Roman"/>
                <w:sz w:val="21"/>
                <w:szCs w:val="21"/>
              </w:rPr>
            </w:pPr>
            <w:r>
              <w:rPr>
                <w:rFonts w:ascii="Times New Roman" w:hAnsi="Times New Roman" w:cs="Times New Roman"/>
                <w:spacing w:val="-8"/>
                <w:sz w:val="21"/>
                <w:szCs w:val="21"/>
              </w:rPr>
              <w:t>11</w:t>
            </w:r>
          </w:p>
        </w:tc>
        <w:tc>
          <w:tcPr>
            <w:tcW w:w="529" w:type="pct"/>
            <w:vAlign w:val="center"/>
          </w:tcPr>
          <w:p>
            <w:pPr>
              <w:pStyle w:val="675"/>
              <w:jc w:val="center"/>
              <w:rPr>
                <w:rFonts w:ascii="Times New Roman" w:hAnsi="Times New Roman" w:cs="Times New Roman"/>
                <w:sz w:val="21"/>
                <w:szCs w:val="21"/>
              </w:rPr>
            </w:pPr>
            <w:r>
              <w:rPr>
                <w:rFonts w:ascii="Times New Roman" w:cs="Times New Roman"/>
                <w:sz w:val="21"/>
                <w:szCs w:val="21"/>
              </w:rPr>
              <w:t>其他</w:t>
            </w:r>
          </w:p>
        </w:tc>
        <w:tc>
          <w:tcPr>
            <w:tcW w:w="793" w:type="pct"/>
            <w:vAlign w:val="center"/>
          </w:tcPr>
          <w:p>
            <w:pPr>
              <w:pStyle w:val="675"/>
              <w:jc w:val="center"/>
              <w:rPr>
                <w:rFonts w:ascii="Times New Roman" w:hAnsi="Times New Roman" w:cs="Times New Roman"/>
                <w:sz w:val="21"/>
                <w:szCs w:val="21"/>
              </w:rPr>
            </w:pPr>
            <w:r>
              <w:rPr>
                <w:rFonts w:ascii="Times New Roman" w:cs="Times New Roman"/>
                <w:sz w:val="21"/>
                <w:szCs w:val="21"/>
              </w:rPr>
              <w:t>自卸卡车</w:t>
            </w:r>
          </w:p>
        </w:tc>
        <w:tc>
          <w:tcPr>
            <w:tcW w:w="91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7.5</w:t>
            </w:r>
          </w:p>
        </w:tc>
        <w:tc>
          <w:tcPr>
            <w:tcW w:w="63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88</w:t>
            </w:r>
          </w:p>
        </w:tc>
      </w:tr>
    </w:tbl>
    <w:p>
      <w:pPr>
        <w:pStyle w:val="18"/>
        <w:spacing w:after="0"/>
        <w:ind w:firstLine="480"/>
        <w:rPr>
          <w:rFonts w:cs="宋体"/>
        </w:rPr>
      </w:pPr>
      <w:r>
        <w:rPr>
          <w:rFonts w:cs="宋体"/>
        </w:rPr>
        <w:t>（2）施工噪声影响范围</w:t>
      </w:r>
    </w:p>
    <w:p>
      <w:pPr>
        <w:pStyle w:val="18"/>
        <w:spacing w:after="0"/>
        <w:ind w:firstLine="480"/>
        <w:rPr>
          <w:rFonts w:cs="宋体"/>
        </w:rPr>
      </w:pPr>
      <w:r>
        <w:rPr>
          <w:rFonts w:cs="宋体"/>
        </w:rPr>
        <w:t>鉴于施工过程产噪声源的复杂性，以及施工噪声影响的区域性和阶段性，本评价针对不同施工阶段计算出不同施工设备的噪声污染范围，以便施工单位在施工过程中结合实际情况采取适当的噪声污染防治措施。</w:t>
      </w:r>
    </w:p>
    <w:p>
      <w:pPr>
        <w:pStyle w:val="18"/>
        <w:spacing w:after="0"/>
        <w:ind w:firstLine="480"/>
        <w:rPr>
          <w:rFonts w:cs="宋体"/>
        </w:rPr>
      </w:pPr>
      <w:r>
        <w:rPr>
          <w:rFonts w:cs="宋体"/>
        </w:rPr>
        <w:t>施工机械作业时需要一定的作业空间，操作运转时有一定的工作间距，一般各施工机械中心与预测点的距离超过声源最大几何尺寸的2倍，因此各声源可近似视为点声源处理。</w:t>
      </w:r>
      <w:r>
        <w:rPr>
          <w:rFonts w:hint="eastAsia" w:cs="宋体"/>
        </w:rPr>
        <w:t>其施工过程中设备影响范围如下</w:t>
      </w:r>
      <w:r>
        <w:rPr>
          <w:rFonts w:cs="宋体"/>
        </w:rPr>
        <w:t>：</w:t>
      </w:r>
    </w:p>
    <w:p>
      <w:pPr>
        <w:pStyle w:val="185"/>
        <w:spacing w:line="480" w:lineRule="exact"/>
        <w:rPr>
          <w:sz w:val="21"/>
          <w:szCs w:val="21"/>
        </w:rPr>
      </w:pPr>
      <w:r>
        <w:rPr>
          <w:sz w:val="21"/>
          <w:szCs w:val="21"/>
        </w:rPr>
        <w:t>表</w:t>
      </w:r>
      <w:r>
        <w:rPr>
          <w:rFonts w:hint="eastAsia"/>
          <w:sz w:val="21"/>
          <w:szCs w:val="21"/>
        </w:rPr>
        <w:t xml:space="preserve">5.1-2 </w:t>
      </w:r>
      <w:r>
        <w:rPr>
          <w:sz w:val="21"/>
          <w:szCs w:val="21"/>
        </w:rPr>
        <w:tab/>
      </w:r>
      <w:r>
        <w:rPr>
          <w:sz w:val="21"/>
          <w:szCs w:val="21"/>
        </w:rPr>
        <w:t>主要施工机械施工噪声达标范围</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38"/>
        <w:gridCol w:w="1845"/>
        <w:gridCol w:w="621"/>
        <w:gridCol w:w="621"/>
        <w:gridCol w:w="732"/>
        <w:gridCol w:w="732"/>
        <w:gridCol w:w="738"/>
        <w:gridCol w:w="1481"/>
        <w:gridCol w:w="15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09" w:type="pct"/>
            <w:gridSpan w:val="2"/>
            <w:vMerge w:val="restart"/>
            <w:vAlign w:val="center"/>
          </w:tcPr>
          <w:p>
            <w:pPr>
              <w:pStyle w:val="675"/>
              <w:jc w:val="center"/>
              <w:rPr>
                <w:sz w:val="21"/>
                <w:szCs w:val="21"/>
              </w:rPr>
            </w:pPr>
            <w:r>
              <w:rPr>
                <w:bCs/>
                <w:sz w:val="21"/>
                <w:szCs w:val="21"/>
              </w:rPr>
              <w:t>设备名称</w:t>
            </w:r>
          </w:p>
        </w:tc>
        <w:tc>
          <w:tcPr>
            <w:tcW w:w="1214" w:type="pct"/>
            <w:gridSpan w:val="5"/>
            <w:vAlign w:val="center"/>
          </w:tcPr>
          <w:p>
            <w:pPr>
              <w:pStyle w:val="675"/>
              <w:jc w:val="center"/>
              <w:rPr>
                <w:rFonts w:ascii="Times New Roman" w:hAnsi="Times New Roman" w:eastAsia="Times New Roman" w:cs="Times New Roman"/>
                <w:sz w:val="21"/>
                <w:szCs w:val="21"/>
              </w:rPr>
            </w:pPr>
            <w:r>
              <w:rPr>
                <w:bCs/>
                <w:sz w:val="21"/>
                <w:szCs w:val="21"/>
              </w:rPr>
              <w:t>不同距离处声级</w:t>
            </w:r>
            <w:r>
              <w:rPr>
                <w:rFonts w:ascii="Times New Roman" w:hAnsi="Times New Roman" w:eastAsia="Times New Roman" w:cs="Times New Roman"/>
                <w:bCs/>
                <w:sz w:val="21"/>
                <w:szCs w:val="21"/>
              </w:rPr>
              <w:t>dB(A)</w:t>
            </w:r>
          </w:p>
        </w:tc>
        <w:tc>
          <w:tcPr>
            <w:tcW w:w="522" w:type="pct"/>
            <w:vMerge w:val="restart"/>
            <w:vAlign w:val="center"/>
          </w:tcPr>
          <w:p>
            <w:pPr>
              <w:pStyle w:val="675"/>
              <w:jc w:val="center"/>
              <w:rPr>
                <w:sz w:val="21"/>
                <w:szCs w:val="21"/>
                <w:lang w:eastAsia="zh-CN"/>
              </w:rPr>
            </w:pPr>
            <w:r>
              <w:rPr>
                <w:bCs/>
                <w:sz w:val="21"/>
                <w:szCs w:val="21"/>
                <w:lang w:eastAsia="zh-CN"/>
              </w:rPr>
              <w:t>施工场界昼</w:t>
            </w:r>
          </w:p>
          <w:p>
            <w:pPr>
              <w:pStyle w:val="675"/>
              <w:jc w:val="center"/>
              <w:rPr>
                <w:sz w:val="21"/>
                <w:szCs w:val="21"/>
                <w:lang w:eastAsia="zh-CN"/>
              </w:rPr>
            </w:pPr>
            <w:r>
              <w:rPr>
                <w:bCs/>
                <w:sz w:val="21"/>
                <w:szCs w:val="21"/>
                <w:lang w:eastAsia="zh-CN"/>
              </w:rPr>
              <w:t>间达标距离</w:t>
            </w:r>
          </w:p>
          <w:p>
            <w:pPr>
              <w:pStyle w:val="675"/>
              <w:jc w:val="center"/>
              <w:rPr>
                <w:rFonts w:ascii="Times New Roman" w:hAnsi="Times New Roman" w:eastAsia="Times New Roman" w:cs="Times New Roman"/>
                <w:sz w:val="21"/>
                <w:szCs w:val="21"/>
                <w:lang w:eastAsia="zh-CN"/>
              </w:rPr>
            </w:pPr>
            <w:r>
              <w:rPr>
                <w:rFonts w:ascii="Times New Roman"/>
                <w:sz w:val="21"/>
                <w:lang w:eastAsia="zh-CN"/>
              </w:rPr>
              <w:t>(m)</w:t>
            </w:r>
          </w:p>
        </w:tc>
        <w:tc>
          <w:tcPr>
            <w:tcW w:w="534" w:type="pct"/>
            <w:vMerge w:val="restart"/>
            <w:vAlign w:val="center"/>
          </w:tcPr>
          <w:p>
            <w:pPr>
              <w:pStyle w:val="675"/>
              <w:jc w:val="center"/>
              <w:rPr>
                <w:sz w:val="21"/>
                <w:szCs w:val="21"/>
                <w:lang w:eastAsia="zh-CN"/>
              </w:rPr>
            </w:pPr>
            <w:r>
              <w:rPr>
                <w:bCs/>
                <w:sz w:val="21"/>
                <w:szCs w:val="21"/>
                <w:lang w:eastAsia="zh-CN"/>
              </w:rPr>
              <w:t>施工场界夜</w:t>
            </w:r>
          </w:p>
          <w:p>
            <w:pPr>
              <w:pStyle w:val="675"/>
              <w:jc w:val="center"/>
              <w:rPr>
                <w:sz w:val="21"/>
                <w:szCs w:val="21"/>
                <w:lang w:eastAsia="zh-CN"/>
              </w:rPr>
            </w:pPr>
            <w:r>
              <w:rPr>
                <w:bCs/>
                <w:sz w:val="21"/>
                <w:szCs w:val="21"/>
                <w:lang w:eastAsia="zh-CN"/>
              </w:rPr>
              <w:t>间达标距离</w:t>
            </w:r>
          </w:p>
          <w:p>
            <w:pPr>
              <w:pStyle w:val="675"/>
              <w:jc w:val="center"/>
              <w:rPr>
                <w:rFonts w:ascii="Times New Roman" w:hAnsi="Times New Roman" w:eastAsia="Times New Roman" w:cs="Times New Roman"/>
                <w:sz w:val="21"/>
                <w:szCs w:val="21"/>
                <w:lang w:eastAsia="zh-CN"/>
              </w:rPr>
            </w:pPr>
            <w:r>
              <w:rPr>
                <w:rFonts w:ascii="Times New Roman"/>
                <w:sz w:val="21"/>
                <w:lang w:eastAsia="zh-CN"/>
              </w:rPr>
              <w:t>(m)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09" w:type="pct"/>
            <w:gridSpan w:val="2"/>
            <w:vMerge w:val="continue"/>
            <w:vAlign w:val="center"/>
          </w:tcPr>
          <w:p>
            <w:pPr>
              <w:spacing w:line="240" w:lineRule="auto"/>
              <w:ind w:firstLine="0" w:firstLineChars="0"/>
              <w:jc w:val="center"/>
              <w:rPr>
                <w:kern w:val="0"/>
                <w:szCs w:val="22"/>
              </w:rPr>
            </w:pP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20m</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40m</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100m</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200m</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300m</w:t>
            </w:r>
          </w:p>
        </w:tc>
        <w:tc>
          <w:tcPr>
            <w:tcW w:w="522" w:type="pct"/>
            <w:vMerge w:val="continue"/>
            <w:vAlign w:val="center"/>
          </w:tcPr>
          <w:p>
            <w:pPr>
              <w:spacing w:line="240" w:lineRule="auto"/>
              <w:ind w:firstLine="0" w:firstLineChars="0"/>
              <w:jc w:val="center"/>
              <w:rPr>
                <w:kern w:val="0"/>
                <w:szCs w:val="22"/>
                <w:lang w:eastAsia="en-US"/>
              </w:rPr>
            </w:pPr>
          </w:p>
        </w:tc>
        <w:tc>
          <w:tcPr>
            <w:tcW w:w="534" w:type="pct"/>
            <w:vMerge w:val="continue"/>
            <w:vAlign w:val="center"/>
          </w:tcPr>
          <w:p>
            <w:pPr>
              <w:spacing w:line="240" w:lineRule="auto"/>
              <w:ind w:firstLine="0" w:firstLineChars="0"/>
              <w:jc w:val="center"/>
              <w:rPr>
                <w:kern w:val="0"/>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restart"/>
            <w:vAlign w:val="center"/>
          </w:tcPr>
          <w:p>
            <w:pPr>
              <w:pStyle w:val="675"/>
              <w:jc w:val="center"/>
              <w:rPr>
                <w:sz w:val="21"/>
                <w:szCs w:val="21"/>
                <w:lang w:eastAsia="zh-CN"/>
              </w:rPr>
            </w:pPr>
            <w:r>
              <w:rPr>
                <w:sz w:val="21"/>
                <w:szCs w:val="21"/>
              </w:rPr>
              <w:t>路基</w:t>
            </w:r>
          </w:p>
          <w:p>
            <w:pPr>
              <w:pStyle w:val="675"/>
              <w:jc w:val="center"/>
              <w:rPr>
                <w:sz w:val="21"/>
                <w:szCs w:val="21"/>
              </w:rPr>
            </w:pPr>
            <w:r>
              <w:rPr>
                <w:sz w:val="21"/>
                <w:szCs w:val="21"/>
              </w:rPr>
              <w:t>工程</w:t>
            </w:r>
          </w:p>
        </w:tc>
        <w:tc>
          <w:tcPr>
            <w:tcW w:w="650" w:type="pct"/>
            <w:vAlign w:val="center"/>
          </w:tcPr>
          <w:p>
            <w:pPr>
              <w:pStyle w:val="675"/>
              <w:jc w:val="center"/>
              <w:rPr>
                <w:sz w:val="21"/>
                <w:szCs w:val="21"/>
              </w:rPr>
            </w:pPr>
            <w:r>
              <w:rPr>
                <w:sz w:val="21"/>
                <w:szCs w:val="21"/>
              </w:rPr>
              <w:t>轮式装载机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78</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54.5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lang w:eastAsia="en-US"/>
              </w:rPr>
            </w:pPr>
          </w:p>
        </w:tc>
        <w:tc>
          <w:tcPr>
            <w:tcW w:w="650" w:type="pct"/>
            <w:vAlign w:val="center"/>
          </w:tcPr>
          <w:p>
            <w:pPr>
              <w:pStyle w:val="675"/>
              <w:jc w:val="center"/>
              <w:rPr>
                <w:sz w:val="21"/>
                <w:szCs w:val="21"/>
              </w:rPr>
            </w:pPr>
            <w:r>
              <w:rPr>
                <w:sz w:val="21"/>
                <w:szCs w:val="21"/>
              </w:rPr>
              <w:t>平地机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78</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54.5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lang w:eastAsia="en-US"/>
              </w:rPr>
            </w:pPr>
          </w:p>
        </w:tc>
        <w:tc>
          <w:tcPr>
            <w:tcW w:w="650" w:type="pct"/>
            <w:vAlign w:val="center"/>
          </w:tcPr>
          <w:p>
            <w:pPr>
              <w:pStyle w:val="675"/>
              <w:jc w:val="center"/>
              <w:rPr>
                <w:sz w:val="21"/>
                <w:szCs w:val="21"/>
              </w:rPr>
            </w:pPr>
            <w:r>
              <w:rPr>
                <w:sz w:val="21"/>
                <w:szCs w:val="21"/>
              </w:rPr>
              <w:t>推土机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74</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68</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60</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54</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50.5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35</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180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lang w:eastAsia="en-US"/>
              </w:rPr>
            </w:pPr>
          </w:p>
        </w:tc>
        <w:tc>
          <w:tcPr>
            <w:tcW w:w="650" w:type="pct"/>
            <w:vAlign w:val="center"/>
          </w:tcPr>
          <w:p>
            <w:pPr>
              <w:pStyle w:val="675"/>
              <w:jc w:val="center"/>
              <w:rPr>
                <w:sz w:val="21"/>
                <w:szCs w:val="21"/>
              </w:rPr>
            </w:pPr>
            <w:r>
              <w:rPr>
                <w:sz w:val="21"/>
                <w:szCs w:val="21"/>
              </w:rPr>
              <w:t>轮胎液压挖掘机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66</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52</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48.5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25</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150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restart"/>
            <w:vAlign w:val="center"/>
          </w:tcPr>
          <w:p>
            <w:pPr>
              <w:pStyle w:val="675"/>
              <w:jc w:val="center"/>
              <w:rPr>
                <w:sz w:val="21"/>
                <w:szCs w:val="21"/>
                <w:lang w:eastAsia="zh-CN"/>
              </w:rPr>
            </w:pPr>
            <w:r>
              <w:rPr>
                <w:sz w:val="21"/>
                <w:szCs w:val="21"/>
              </w:rPr>
              <w:t>路面</w:t>
            </w:r>
          </w:p>
          <w:p>
            <w:pPr>
              <w:pStyle w:val="675"/>
              <w:jc w:val="center"/>
              <w:rPr>
                <w:sz w:val="21"/>
                <w:szCs w:val="21"/>
              </w:rPr>
            </w:pPr>
            <w:r>
              <w:rPr>
                <w:sz w:val="21"/>
                <w:szCs w:val="21"/>
              </w:rPr>
              <w:t>工程</w:t>
            </w:r>
          </w:p>
        </w:tc>
        <w:tc>
          <w:tcPr>
            <w:tcW w:w="650" w:type="pct"/>
            <w:vAlign w:val="center"/>
          </w:tcPr>
          <w:p>
            <w:pPr>
              <w:pStyle w:val="675"/>
              <w:jc w:val="center"/>
              <w:rPr>
                <w:sz w:val="21"/>
                <w:szCs w:val="21"/>
              </w:rPr>
            </w:pPr>
            <w:r>
              <w:rPr>
                <w:sz w:val="21"/>
                <w:szCs w:val="21"/>
              </w:rPr>
              <w:t>轮式装载机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78</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54.5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highlight w:val="yellow"/>
                <w:lang w:eastAsia="en-US"/>
              </w:rPr>
            </w:pPr>
          </w:p>
        </w:tc>
        <w:tc>
          <w:tcPr>
            <w:tcW w:w="650" w:type="pct"/>
            <w:vAlign w:val="center"/>
          </w:tcPr>
          <w:p>
            <w:pPr>
              <w:pStyle w:val="675"/>
              <w:jc w:val="center"/>
              <w:rPr>
                <w:sz w:val="21"/>
                <w:szCs w:val="21"/>
              </w:rPr>
            </w:pPr>
            <w:r>
              <w:rPr>
                <w:sz w:val="21"/>
                <w:szCs w:val="21"/>
              </w:rPr>
              <w:t>振动式压路机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74</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68</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60</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54</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50.5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35</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180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highlight w:val="yellow"/>
                <w:lang w:eastAsia="en-US"/>
              </w:rPr>
            </w:pPr>
          </w:p>
        </w:tc>
        <w:tc>
          <w:tcPr>
            <w:tcW w:w="650" w:type="pct"/>
            <w:vAlign w:val="center"/>
          </w:tcPr>
          <w:p>
            <w:pPr>
              <w:pStyle w:val="675"/>
              <w:jc w:val="center"/>
              <w:rPr>
                <w:sz w:val="21"/>
                <w:szCs w:val="21"/>
              </w:rPr>
            </w:pPr>
            <w:r>
              <w:rPr>
                <w:sz w:val="21"/>
                <w:szCs w:val="21"/>
              </w:rPr>
              <w:t>双轮双振压路机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69</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63</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55</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49</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45.5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18</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highlight w:val="yellow"/>
                <w:lang w:eastAsia="en-US"/>
              </w:rPr>
            </w:pPr>
          </w:p>
        </w:tc>
        <w:tc>
          <w:tcPr>
            <w:tcW w:w="650" w:type="pct"/>
            <w:vAlign w:val="center"/>
          </w:tcPr>
          <w:p>
            <w:pPr>
              <w:pStyle w:val="675"/>
              <w:jc w:val="center"/>
              <w:rPr>
                <w:sz w:val="21"/>
                <w:szCs w:val="21"/>
              </w:rPr>
            </w:pPr>
            <w:r>
              <w:rPr>
                <w:sz w:val="21"/>
                <w:szCs w:val="21"/>
              </w:rPr>
              <w:t>摊铺机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70</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56</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46.5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20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restart"/>
            <w:vAlign w:val="center"/>
          </w:tcPr>
          <w:p>
            <w:pPr>
              <w:pStyle w:val="675"/>
              <w:jc w:val="center"/>
              <w:rPr>
                <w:sz w:val="21"/>
                <w:szCs w:val="21"/>
                <w:lang w:eastAsia="zh-CN"/>
              </w:rPr>
            </w:pPr>
            <w:r>
              <w:rPr>
                <w:sz w:val="21"/>
                <w:szCs w:val="21"/>
              </w:rPr>
              <w:t>桥涵</w:t>
            </w:r>
          </w:p>
          <w:p>
            <w:pPr>
              <w:pStyle w:val="675"/>
              <w:jc w:val="center"/>
              <w:rPr>
                <w:sz w:val="21"/>
                <w:szCs w:val="21"/>
              </w:rPr>
            </w:pPr>
            <w:r>
              <w:rPr>
                <w:sz w:val="21"/>
                <w:szCs w:val="21"/>
              </w:rPr>
              <w:t>工程</w:t>
            </w:r>
          </w:p>
        </w:tc>
        <w:tc>
          <w:tcPr>
            <w:tcW w:w="650" w:type="pct"/>
            <w:vAlign w:val="center"/>
          </w:tcPr>
          <w:p>
            <w:pPr>
              <w:pStyle w:val="675"/>
              <w:jc w:val="center"/>
              <w:rPr>
                <w:sz w:val="21"/>
                <w:szCs w:val="21"/>
              </w:rPr>
            </w:pPr>
            <w:r>
              <w:rPr>
                <w:sz w:val="21"/>
                <w:szCs w:val="21"/>
              </w:rPr>
              <w:t>液压式旋钻挖机</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62</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56</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48</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42</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38.5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8</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Merge w:val="continue"/>
            <w:vAlign w:val="center"/>
          </w:tcPr>
          <w:p>
            <w:pPr>
              <w:spacing w:line="240" w:lineRule="auto"/>
              <w:ind w:firstLine="0" w:firstLineChars="0"/>
              <w:jc w:val="center"/>
              <w:rPr>
                <w:kern w:val="0"/>
                <w:szCs w:val="22"/>
                <w:lang w:eastAsia="en-US"/>
              </w:rPr>
            </w:pPr>
          </w:p>
        </w:tc>
        <w:tc>
          <w:tcPr>
            <w:tcW w:w="650" w:type="pct"/>
            <w:vAlign w:val="center"/>
          </w:tcPr>
          <w:p>
            <w:pPr>
              <w:pStyle w:val="675"/>
              <w:jc w:val="center"/>
              <w:rPr>
                <w:sz w:val="21"/>
                <w:szCs w:val="21"/>
              </w:rPr>
            </w:pPr>
            <w:r>
              <w:rPr>
                <w:sz w:val="21"/>
                <w:szCs w:val="21"/>
              </w:rPr>
              <w:t>混凝土输送泵车</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78</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54.5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280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60" w:type="pct"/>
            <w:vAlign w:val="center"/>
          </w:tcPr>
          <w:p>
            <w:pPr>
              <w:pStyle w:val="675"/>
              <w:jc w:val="center"/>
              <w:rPr>
                <w:sz w:val="21"/>
                <w:szCs w:val="21"/>
              </w:rPr>
            </w:pPr>
            <w:r>
              <w:rPr>
                <w:sz w:val="21"/>
                <w:szCs w:val="21"/>
              </w:rPr>
              <w:t>其他</w:t>
            </w:r>
          </w:p>
        </w:tc>
        <w:tc>
          <w:tcPr>
            <w:tcW w:w="650" w:type="pct"/>
            <w:vAlign w:val="center"/>
          </w:tcPr>
          <w:p>
            <w:pPr>
              <w:pStyle w:val="675"/>
              <w:jc w:val="center"/>
              <w:rPr>
                <w:sz w:val="21"/>
                <w:szCs w:val="21"/>
              </w:rPr>
            </w:pPr>
            <w:r>
              <w:rPr>
                <w:sz w:val="21"/>
                <w:szCs w:val="21"/>
              </w:rPr>
              <w:t>自卸卡车</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78</w:t>
            </w:r>
          </w:p>
        </w:tc>
        <w:tc>
          <w:tcPr>
            <w:tcW w:w="219" w:type="pct"/>
            <w:vAlign w:val="center"/>
          </w:tcPr>
          <w:p>
            <w:pPr>
              <w:pStyle w:val="675"/>
              <w:jc w:val="center"/>
              <w:rPr>
                <w:rFonts w:ascii="Times New Roman" w:hAnsi="Times New Roman" w:eastAsia="Times New Roman" w:cs="Times New Roman"/>
                <w:sz w:val="21"/>
                <w:szCs w:val="21"/>
              </w:rPr>
            </w:pPr>
            <w:r>
              <w:rPr>
                <w:rFonts w:ascii="Times New Roman"/>
                <w:sz w:val="21"/>
              </w:rPr>
              <w:t>72</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64</w:t>
            </w:r>
          </w:p>
        </w:tc>
        <w:tc>
          <w:tcPr>
            <w:tcW w:w="258" w:type="pct"/>
            <w:vAlign w:val="center"/>
          </w:tcPr>
          <w:p>
            <w:pPr>
              <w:pStyle w:val="675"/>
              <w:jc w:val="center"/>
              <w:rPr>
                <w:rFonts w:ascii="Times New Roman" w:hAnsi="Times New Roman" w:eastAsia="Times New Roman" w:cs="Times New Roman"/>
                <w:sz w:val="21"/>
                <w:szCs w:val="21"/>
              </w:rPr>
            </w:pPr>
            <w:r>
              <w:rPr>
                <w:rFonts w:ascii="Times New Roman"/>
                <w:sz w:val="21"/>
              </w:rPr>
              <w:t>58</w:t>
            </w:r>
          </w:p>
        </w:tc>
        <w:tc>
          <w:tcPr>
            <w:tcW w:w="259" w:type="pct"/>
            <w:vAlign w:val="center"/>
          </w:tcPr>
          <w:p>
            <w:pPr>
              <w:pStyle w:val="675"/>
              <w:jc w:val="center"/>
              <w:rPr>
                <w:rFonts w:ascii="Times New Roman" w:hAnsi="Times New Roman" w:eastAsia="Times New Roman" w:cs="Times New Roman"/>
                <w:sz w:val="21"/>
                <w:szCs w:val="21"/>
              </w:rPr>
            </w:pPr>
            <w:r>
              <w:rPr>
                <w:rFonts w:ascii="Times New Roman"/>
                <w:sz w:val="21"/>
              </w:rPr>
              <w:t>54.5</w:t>
            </w:r>
          </w:p>
        </w:tc>
        <w:tc>
          <w:tcPr>
            <w:tcW w:w="522" w:type="pct"/>
            <w:vAlign w:val="center"/>
          </w:tcPr>
          <w:p>
            <w:pPr>
              <w:pStyle w:val="675"/>
              <w:jc w:val="center"/>
              <w:rPr>
                <w:rFonts w:ascii="Times New Roman" w:hAnsi="Times New Roman" w:eastAsia="Times New Roman" w:cs="Times New Roman"/>
                <w:sz w:val="21"/>
                <w:szCs w:val="21"/>
              </w:rPr>
            </w:pPr>
            <w:r>
              <w:rPr>
                <w:rFonts w:ascii="Times New Roman"/>
                <w:sz w:val="21"/>
              </w:rPr>
              <w:t>50</w:t>
            </w:r>
          </w:p>
        </w:tc>
        <w:tc>
          <w:tcPr>
            <w:tcW w:w="534" w:type="pct"/>
            <w:vAlign w:val="center"/>
          </w:tcPr>
          <w:p>
            <w:pPr>
              <w:pStyle w:val="675"/>
              <w:jc w:val="center"/>
              <w:rPr>
                <w:rFonts w:ascii="Times New Roman" w:hAnsi="Times New Roman" w:eastAsia="Times New Roman" w:cs="Times New Roman"/>
                <w:sz w:val="21"/>
                <w:szCs w:val="21"/>
              </w:rPr>
            </w:pPr>
            <w:r>
              <w:rPr>
                <w:rFonts w:ascii="Times New Roman"/>
                <w:sz w:val="21"/>
              </w:rPr>
              <w:t>280</w:t>
            </w:r>
          </w:p>
        </w:tc>
      </w:tr>
    </w:tbl>
    <w:p>
      <w:pPr>
        <w:pStyle w:val="18"/>
        <w:spacing w:after="0"/>
        <w:ind w:firstLine="480"/>
        <w:rPr>
          <w:rFonts w:cs="宋体"/>
          <w:highlight w:val="yellow"/>
        </w:rPr>
      </w:pPr>
      <w:r>
        <w:rPr>
          <w:rFonts w:cs="宋体"/>
        </w:rPr>
        <w:t>由上表可知，在未考虑障碍物、反射、空气吸收、地面效应等引起的衰减的情况下，施工机械昼间达标距离在65m以内，夜间达标距离在280m以内。在考虑障碍物、反射、空气吸收、地面效应等引起的衰减的情况下，施工机械噪声实际影响应在200m以内。</w:t>
      </w:r>
      <w:r>
        <w:rPr>
          <w:rFonts w:hint="eastAsia" w:cs="宋体"/>
        </w:rPr>
        <w:t>根据现场勘查，本项目施工道路两侧涉及村庄为骆各庄村、吴家坑村、学汉坨村、白方寺村等沿线村庄，根据项目建设位置与周边村庄位置关系，距离骆各庄村较近，位于项目东侧3m处，项目施工过程中对该村庄临近道路住户最大噪声贡献值（采取围挡隔声降噪后）为7</w:t>
      </w:r>
      <w:r>
        <w:rPr>
          <w:rFonts w:cs="宋体"/>
        </w:rPr>
        <w:t>9 dB(A)</w:t>
      </w:r>
      <w:r>
        <w:rPr>
          <w:rFonts w:hint="eastAsia" w:cs="宋体"/>
        </w:rPr>
        <w:t>，属于昼间超标，施工期间通过村庄住户的围墙遮挡、窗户隔声等措施，户内居民噪声影响程度会大大降低，为此，本环评建议在骆各庄村、吴家坑村、学汉坨村等村庄施工时间选择在冬季，可以方便村民闭窗隔声，降低噪声影响同时，不影响居民正常通风需求</w:t>
      </w:r>
      <w:r>
        <w:rPr>
          <w:rFonts w:cs="宋体"/>
        </w:rPr>
        <w:t>，</w:t>
      </w:r>
      <w:r>
        <w:rPr>
          <w:rFonts w:hint="eastAsia" w:cs="宋体"/>
        </w:rPr>
        <w:t>同时此区段严禁夜间施工，</w:t>
      </w:r>
      <w:r>
        <w:rPr>
          <w:rFonts w:cs="宋体"/>
        </w:rPr>
        <w:t>以减少施工噪声对居民的影响</w:t>
      </w:r>
      <w:r>
        <w:rPr>
          <w:rFonts w:hint="eastAsia" w:cs="宋体"/>
        </w:rPr>
        <w:t>。</w:t>
      </w:r>
    </w:p>
    <w:p>
      <w:pPr>
        <w:pStyle w:val="18"/>
        <w:spacing w:after="0"/>
        <w:ind w:firstLine="480"/>
        <w:rPr>
          <w:rFonts w:cs="宋体"/>
        </w:rPr>
      </w:pPr>
      <w:r>
        <w:rPr>
          <w:rFonts w:cs="宋体"/>
        </w:rPr>
        <w:t>（3）施工期声环境影响分析</w:t>
      </w:r>
    </w:p>
    <w:p>
      <w:pPr>
        <w:pStyle w:val="18"/>
        <w:spacing w:after="0"/>
        <w:ind w:firstLine="480"/>
        <w:rPr>
          <w:rFonts w:cs="宋体"/>
        </w:rPr>
      </w:pPr>
      <w:r>
        <w:rPr>
          <w:rFonts w:cs="宋体"/>
        </w:rPr>
        <w:t>本工程施工机械作业过程如不采取有效的控制措施，施工机械噪声将对沿线敏感点声环境造成影响。为避免施工机械对周围声环境的影响，本评价要求项目施工期间应采取以下措施：</w:t>
      </w:r>
    </w:p>
    <w:p>
      <w:pPr>
        <w:pStyle w:val="18"/>
        <w:spacing w:after="0"/>
        <w:ind w:firstLine="480"/>
        <w:rPr>
          <w:rFonts w:cs="宋体"/>
        </w:rPr>
      </w:pPr>
      <w:r>
        <w:rPr>
          <w:rFonts w:hint="eastAsia" w:ascii="宋体" w:hAnsi="宋体" w:cs="宋体"/>
          <w:lang w:eastAsia="ja-JP"/>
        </w:rPr>
        <w:t>①</w:t>
      </w:r>
      <w:r>
        <w:rPr>
          <w:rFonts w:cs="宋体"/>
        </w:rPr>
        <w:t>合理科学地布局施工现场，施工现场的固定噪声源相对集中放置在远离敏感点一侧。</w:t>
      </w:r>
    </w:p>
    <w:p>
      <w:pPr>
        <w:pStyle w:val="18"/>
        <w:spacing w:after="0"/>
        <w:ind w:firstLine="480"/>
        <w:rPr>
          <w:rFonts w:cs="宋体"/>
        </w:rPr>
      </w:pPr>
      <w:r>
        <w:rPr>
          <w:rFonts w:hint="eastAsia" w:ascii="宋体" w:hAnsi="宋体" w:cs="宋体"/>
          <w:lang w:eastAsia="ja-JP"/>
        </w:rPr>
        <w:t>②</w:t>
      </w:r>
      <w:r>
        <w:rPr>
          <w:rFonts w:cs="宋体"/>
        </w:rPr>
        <w:t>施工单位应合理设计建筑材料等运输路线，尽可能绕开居民点、学校等敏感建筑物。</w:t>
      </w:r>
    </w:p>
    <w:p>
      <w:pPr>
        <w:pStyle w:val="18"/>
        <w:spacing w:after="0"/>
        <w:ind w:firstLine="480"/>
        <w:rPr>
          <w:rFonts w:cs="宋体"/>
        </w:rPr>
      </w:pPr>
      <w:r>
        <w:rPr>
          <w:rFonts w:hint="eastAsia" w:ascii="宋体" w:hAnsi="宋体" w:cs="宋体"/>
          <w:lang w:eastAsia="ja-JP"/>
        </w:rPr>
        <w:t>③</w:t>
      </w:r>
      <w:r>
        <w:rPr>
          <w:rFonts w:cs="宋体"/>
        </w:rPr>
        <w:t>施单位合理安排施工时间，距沿线声环境敏感点较近路段禁止昼</w:t>
      </w:r>
      <w:r>
        <w:rPr>
          <w:rFonts w:hint="eastAsia" w:cs="宋体"/>
        </w:rPr>
        <w:t>间</w:t>
      </w:r>
      <w:r>
        <w:rPr>
          <w:rFonts w:cs="宋体"/>
        </w:rPr>
        <w:t>12:00~14:00和夜间22:00~6:00进行施工。施工运输车辆在过沿线声环境敏感点时应控制车速、禁鸣，加强车辆维护，来减轻噪声对周围声环境的影响。</w:t>
      </w:r>
    </w:p>
    <w:p>
      <w:pPr>
        <w:pStyle w:val="18"/>
        <w:spacing w:after="0"/>
        <w:ind w:firstLine="480"/>
        <w:rPr>
          <w:rFonts w:cs="宋体"/>
        </w:rPr>
      </w:pPr>
      <w:r>
        <w:rPr>
          <w:rFonts w:cs="宋体"/>
        </w:rPr>
        <w:t>对于噪声影响较大的施工，施工单位应尽量避开早晨、夜间等影响较大的时段，开工前与周边居民、单位做好沟通。</w:t>
      </w:r>
    </w:p>
    <w:p>
      <w:pPr>
        <w:pStyle w:val="18"/>
        <w:spacing w:after="0"/>
        <w:ind w:firstLine="480"/>
        <w:rPr>
          <w:rFonts w:cs="宋体"/>
        </w:rPr>
      </w:pPr>
      <w:r>
        <w:rPr>
          <w:rFonts w:cs="宋体"/>
        </w:rPr>
        <w:t>④施工单位应尽量选用低噪声、低振动的施工机械设备，施工现场靠近</w:t>
      </w:r>
      <w:r>
        <w:rPr>
          <w:rFonts w:hint="eastAsia" w:cs="宋体"/>
        </w:rPr>
        <w:t>声</w:t>
      </w:r>
      <w:r>
        <w:rPr>
          <w:rFonts w:cs="宋体"/>
        </w:rPr>
        <w:t>环境敏感点一侧设置不低于2.0m高的围挡，减少对周围声环境的影响。加强施工机械的保养维护，使其处于良好的运行状态。</w:t>
      </w:r>
    </w:p>
    <w:p>
      <w:pPr>
        <w:pStyle w:val="18"/>
        <w:spacing w:after="0"/>
        <w:ind w:firstLine="480"/>
        <w:rPr>
          <w:rFonts w:cs="宋体"/>
        </w:rPr>
      </w:pPr>
      <w:r>
        <w:rPr>
          <w:rFonts w:cs="宋体"/>
        </w:rPr>
        <w:t>⑤做好宣传工作，倡导科学管理和文明施工。采取以上防治措施后，可最大程度降低施工噪声对村庄、学校等声敏感点的影响。施工噪声是暂时的，具有局部路段特性，噪声影响将随着各施工路段的结束而消除。</w:t>
      </w:r>
    </w:p>
    <w:p>
      <w:pPr>
        <w:pStyle w:val="204"/>
        <w:spacing w:line="480" w:lineRule="exact"/>
        <w:ind w:firstLine="0" w:firstLineChars="0"/>
        <w:outlineLvl w:val="2"/>
        <w:rPr>
          <w:b/>
          <w:sz w:val="28"/>
          <w:szCs w:val="28"/>
        </w:rPr>
      </w:pPr>
      <w:r>
        <w:rPr>
          <w:rFonts w:hint="eastAsia"/>
          <w:b/>
          <w:sz w:val="28"/>
          <w:szCs w:val="28"/>
        </w:rPr>
        <w:t>5.1.3施工期水环境影响分析</w:t>
      </w:r>
    </w:p>
    <w:p>
      <w:pPr>
        <w:adjustRightInd w:val="0"/>
        <w:snapToGrid w:val="0"/>
        <w:ind w:firstLine="480"/>
        <w:rPr>
          <w:rFonts w:cs="宋体"/>
        </w:rPr>
      </w:pPr>
      <w:r>
        <w:rPr>
          <w:rFonts w:cs="宋体"/>
        </w:rPr>
        <w:t>（1）生活污水</w:t>
      </w:r>
    </w:p>
    <w:p>
      <w:pPr>
        <w:adjustRightInd w:val="0"/>
        <w:snapToGrid w:val="0"/>
        <w:ind w:firstLine="480"/>
        <w:rPr>
          <w:rFonts w:cs="宋体"/>
        </w:rPr>
      </w:pPr>
      <w:r>
        <w:rPr>
          <w:rFonts w:cs="宋体"/>
        </w:rPr>
        <w:t>施工期生活污水主要</w:t>
      </w:r>
      <w:r>
        <w:rPr>
          <w:rFonts w:hint="eastAsia" w:cs="宋体"/>
        </w:rPr>
        <w:t>为</w:t>
      </w:r>
      <w:r>
        <w:rPr>
          <w:rFonts w:cs="宋体"/>
        </w:rPr>
        <w:t>施工人员生活污水。按道路施工期间施工人员为</w:t>
      </w:r>
      <w:r>
        <w:rPr>
          <w:rFonts w:hint="eastAsia" w:cs="宋体"/>
        </w:rPr>
        <w:t>200</w:t>
      </w:r>
      <w:r>
        <w:rPr>
          <w:rFonts w:cs="宋体"/>
        </w:rPr>
        <w:t>人考虑，人均生活用水量按0.08m</w:t>
      </w:r>
      <w:r>
        <w:rPr>
          <w:rFonts w:cs="宋体"/>
          <w:vertAlign w:val="superscript"/>
        </w:rPr>
        <w:t>3</w:t>
      </w:r>
      <w:r>
        <w:rPr>
          <w:rFonts w:cs="宋体"/>
        </w:rPr>
        <w:t>/d·人计，产污系数取0.8，则施工期生活污水产生量为</w:t>
      </w:r>
      <w:r>
        <w:rPr>
          <w:rFonts w:hint="eastAsia" w:cs="宋体"/>
        </w:rPr>
        <w:t>12.8</w:t>
      </w:r>
      <w:r>
        <w:rPr>
          <w:rFonts w:cs="宋体"/>
        </w:rPr>
        <w:t>m</w:t>
      </w:r>
      <w:r>
        <w:rPr>
          <w:rFonts w:cs="宋体"/>
          <w:vertAlign w:val="superscript"/>
        </w:rPr>
        <w:t>3</w:t>
      </w:r>
      <w:r>
        <w:rPr>
          <w:rFonts w:cs="宋体"/>
        </w:rPr>
        <w:t>/d</w:t>
      </w:r>
      <w:r>
        <w:rPr>
          <w:rFonts w:hint="eastAsia" w:cs="宋体"/>
        </w:rPr>
        <w:t>，房舍中均设置防渗旱厕，定期清掏用作农肥。</w:t>
      </w:r>
    </w:p>
    <w:p>
      <w:pPr>
        <w:adjustRightInd w:val="0"/>
        <w:snapToGrid w:val="0"/>
        <w:ind w:firstLine="480"/>
        <w:rPr>
          <w:rFonts w:cs="宋体"/>
        </w:rPr>
      </w:pPr>
      <w:r>
        <w:rPr>
          <w:rFonts w:cs="宋体"/>
        </w:rPr>
        <w:t>（</w:t>
      </w:r>
      <w:r>
        <w:rPr>
          <w:rFonts w:hint="eastAsia" w:cs="宋体"/>
        </w:rPr>
        <w:t>2</w:t>
      </w:r>
      <w:r>
        <w:rPr>
          <w:rFonts w:cs="宋体"/>
        </w:rPr>
        <w:t>）桥梁施工废水</w:t>
      </w:r>
    </w:p>
    <w:p>
      <w:pPr>
        <w:adjustRightInd w:val="0"/>
        <w:snapToGrid w:val="0"/>
        <w:ind w:firstLine="480"/>
        <w:rPr>
          <w:rFonts w:cs="宋体"/>
        </w:rPr>
      </w:pPr>
      <w:r>
        <w:rPr>
          <w:rFonts w:cs="宋体"/>
        </w:rPr>
        <w:t>跨河桥梁施工工序为基坑开挖</w:t>
      </w:r>
      <w:r>
        <w:rPr>
          <w:szCs w:val="24"/>
        </w:rPr>
        <w:t>→</w:t>
      </w:r>
      <w:r>
        <w:rPr>
          <w:rFonts w:cs="宋体"/>
        </w:rPr>
        <w:t>基础施工</w:t>
      </w:r>
      <w:r>
        <w:rPr>
          <w:szCs w:val="24"/>
        </w:rPr>
        <w:t>→</w:t>
      </w:r>
      <w:r>
        <w:rPr>
          <w:rFonts w:cs="宋体"/>
        </w:rPr>
        <w:t>墩台施工</w:t>
      </w:r>
      <w:r>
        <w:rPr>
          <w:szCs w:val="24"/>
        </w:rPr>
        <w:t>→</w:t>
      </w:r>
      <w:r>
        <w:rPr>
          <w:rFonts w:cs="宋体"/>
        </w:rPr>
        <w:t>上部结构施工</w:t>
      </w:r>
      <w:r>
        <w:rPr>
          <w:szCs w:val="24"/>
        </w:rPr>
        <w:t>→</w:t>
      </w:r>
      <w:r>
        <w:rPr>
          <w:rFonts w:cs="宋体"/>
        </w:rPr>
        <w:t>桥面构造施工，对河流水质产生影响的主要环节是下部的水中墩台基础部分施工，包括围堰工程、基坑开挖、基坑排水和水中基础施工。表现为工程施工扰动河床，使少量底泥发生悬浮，悬浮的底泥物质随水流扩散等因素的作用下，在一定范围内将导致水质泥沙含量增大，水体混浊度相应增加。另一方面，基坑排水和桩基础施工还会产生大量含泥沙的高浊度泥浆水。工程设计水中</w:t>
      </w:r>
      <w:r>
        <w:rPr>
          <w:rFonts w:hint="eastAsia" w:cs="宋体"/>
        </w:rPr>
        <w:t>桥</w:t>
      </w:r>
      <w:r>
        <w:rPr>
          <w:rFonts w:cs="宋体"/>
        </w:rPr>
        <w:t>墩施工采用钢围堰，可有效阻隔围堰内外水体的交换，减少施工废水泥沙量。为减少桥梁挖基弃碴滑入水中对水体产生影响，</w:t>
      </w:r>
      <w:r>
        <w:rPr>
          <w:rFonts w:hint="eastAsia" w:cs="宋体"/>
        </w:rPr>
        <w:t>建议在周边陆地区建设沉淀池将泥浆水进行沉淀处理，上清液用于施工用水，沉泥回用于施工过程</w:t>
      </w:r>
      <w:r>
        <w:rPr>
          <w:rFonts w:cs="宋体"/>
        </w:rPr>
        <w:t>，以减轻对水体的影响。桥梁施工期对水环境有一定影响，随着道路工程施工的结束，影响将随之消失。</w:t>
      </w:r>
    </w:p>
    <w:p>
      <w:pPr>
        <w:adjustRightInd w:val="0"/>
        <w:snapToGrid w:val="0"/>
        <w:ind w:firstLine="480"/>
        <w:rPr>
          <w:rFonts w:cs="宋体"/>
        </w:rPr>
      </w:pPr>
      <w:r>
        <w:rPr>
          <w:rFonts w:hint="eastAsia" w:cs="宋体"/>
        </w:rPr>
        <w:t>桥梁施工时间选择每年1</w:t>
      </w:r>
      <w:r>
        <w:rPr>
          <w:rFonts w:cs="宋体"/>
        </w:rPr>
        <w:t>-3</w:t>
      </w:r>
      <w:r>
        <w:rPr>
          <w:rFonts w:hint="eastAsia" w:cs="宋体"/>
        </w:rPr>
        <w:t>月，施工期间采用</w:t>
      </w:r>
      <w:r>
        <w:rPr>
          <w:rFonts w:cs="宋体"/>
        </w:rPr>
        <w:t>钢围堰</w:t>
      </w:r>
      <w:r>
        <w:rPr>
          <w:rFonts w:hint="eastAsia" w:cs="宋体"/>
        </w:rPr>
        <w:t>工艺及泥浆收集设施，防治泥浆溢流进入水体，可有效防止水体污染。为减少桥梁挖基弃碴对水体产生影响，将挖方砂石及时远运至储存池内，晾晒后用作路基填料，以减轻对水体的影响。桥梁上部结构架设、箱梁连接浇筑及路面铺筑过程中应注意对清水河、沙河、黎河涉及区域进行遮盖，防止混凝土、沥青混凝土等材料掉落水中，造成水体污染。本项目桥梁施工期对水环境影响较小，随着道路工程施工的结束，影响将随之消失。清水河、沙河、黎河桥梁基础施工应注意减少同时作业的桥墩数量，使用低振动施工设备，减少振动对河流水质的影响。</w:t>
      </w:r>
    </w:p>
    <w:p>
      <w:pPr>
        <w:adjustRightInd w:val="0"/>
        <w:snapToGrid w:val="0"/>
        <w:ind w:firstLine="480"/>
        <w:rPr>
          <w:rFonts w:cs="宋体"/>
        </w:rPr>
      </w:pPr>
      <w:r>
        <w:rPr>
          <w:rFonts w:hint="eastAsia" w:cs="宋体"/>
        </w:rPr>
        <w:t>工程所需建材主要由汽车运输工具运至工地。运输工具维修、运行中滴漏的油污遇雨天会被地表径流融入地表水，对水体造成局部石油类污染。为减少石油类的污染，应加强施工车辆、机械的日常养护和维修，避免油料滴漏等事件发生。</w:t>
      </w:r>
    </w:p>
    <w:p>
      <w:pPr>
        <w:pStyle w:val="204"/>
        <w:spacing w:line="480" w:lineRule="exact"/>
        <w:ind w:firstLine="0" w:firstLineChars="0"/>
        <w:outlineLvl w:val="2"/>
        <w:rPr>
          <w:b/>
          <w:sz w:val="28"/>
          <w:szCs w:val="28"/>
        </w:rPr>
      </w:pPr>
      <w:r>
        <w:rPr>
          <w:rFonts w:hint="eastAsia"/>
          <w:b/>
          <w:sz w:val="28"/>
          <w:szCs w:val="28"/>
        </w:rPr>
        <w:t>5.1.4施工期环境空气影响分析</w:t>
      </w:r>
    </w:p>
    <w:p>
      <w:pPr>
        <w:adjustRightInd w:val="0"/>
        <w:snapToGrid w:val="0"/>
        <w:ind w:firstLine="480"/>
        <w:rPr>
          <w:rFonts w:cs="宋体"/>
          <w:highlight w:val="yellow"/>
        </w:rPr>
      </w:pPr>
      <w:r>
        <w:rPr>
          <w:rFonts w:cs="宋体"/>
        </w:rPr>
        <w:t>公路施工过程会产生扬尘污染、沥青烟气污染以及施工机械燃油废气污染。</w:t>
      </w:r>
    </w:p>
    <w:p>
      <w:pPr>
        <w:pStyle w:val="18"/>
        <w:spacing w:after="0"/>
        <w:ind w:firstLine="480"/>
        <w:rPr>
          <w:rFonts w:cs="宋体"/>
        </w:rPr>
      </w:pPr>
      <w:r>
        <w:rPr>
          <w:rFonts w:cs="宋体"/>
        </w:rPr>
        <w:t>（</w:t>
      </w:r>
      <w:r>
        <w:rPr>
          <w:rFonts w:hint="eastAsia" w:cs="宋体"/>
        </w:rPr>
        <w:t>1</w:t>
      </w:r>
      <w:r>
        <w:rPr>
          <w:rFonts w:cs="宋体"/>
        </w:rPr>
        <w:t>）扬尘影响分析</w:t>
      </w:r>
    </w:p>
    <w:p>
      <w:pPr>
        <w:pStyle w:val="18"/>
        <w:spacing w:after="0"/>
        <w:ind w:firstLine="480"/>
        <w:rPr>
          <w:rFonts w:cs="宋体"/>
        </w:rPr>
      </w:pPr>
      <w:r>
        <w:rPr>
          <w:rFonts w:cs="宋体"/>
        </w:rPr>
        <w:t>土方的开挖、回填和拆迁作业产生的扬尘污染与气候有关，晴天大风时对下风向的污染较重，一般情况下在距施工现场500m以外可满足环境空气质量标准中二级标准要求。出现重污染天气状况时，施工单位应当停止土石方作业、拆除工程以及其他可能产生扬尘污染的施工建设行为，并应注意洒水抑尘。</w:t>
      </w:r>
    </w:p>
    <w:p>
      <w:pPr>
        <w:pStyle w:val="18"/>
        <w:spacing w:after="0"/>
        <w:ind w:firstLine="480"/>
        <w:rPr>
          <w:rFonts w:cs="宋体"/>
        </w:rPr>
      </w:pPr>
      <w:r>
        <w:rPr>
          <w:rFonts w:cs="宋体"/>
        </w:rPr>
        <w:t>在施工期，施工材料的装卸和运输将给道路沿线带来扬尘污染。道路扬尘的起尘量与运输车辆的车速、载重量、轮胎与地面的接触面积、路面含尘量相对湿度等因素有关。有关资料表明，灰土的起尘量与其表面含水量的</w:t>
      </w:r>
      <w:r>
        <w:rPr>
          <w:rFonts w:hint="eastAsia" w:cs="宋体"/>
        </w:rPr>
        <w:t>6</w:t>
      </w:r>
      <w:r>
        <w:rPr>
          <w:rFonts w:cs="宋体"/>
        </w:rPr>
        <w:t>次方成反比，随含水量的增加而降低，与车速成正比关系。施工期施工区内运输车辆大多行驶在土路便道上，路面含尘量高，道路扬尘比较严重。</w:t>
      </w:r>
      <w:r>
        <w:rPr>
          <w:rFonts w:hint="eastAsia" w:cs="宋体"/>
        </w:rPr>
        <w:t>类比公路项目</w:t>
      </w:r>
      <w:r>
        <w:rPr>
          <w:rFonts w:cs="宋体"/>
        </w:rPr>
        <w:t>施工现场运输引起扬尘的现场监测结果，在采样点距施工路50</w:t>
      </w:r>
      <w:r>
        <w:rPr>
          <w:rFonts w:hint="eastAsia" w:cs="宋体"/>
        </w:rPr>
        <w:t>m</w:t>
      </w:r>
      <w:r>
        <w:rPr>
          <w:rFonts w:cs="宋体"/>
        </w:rPr>
        <w:t>下风向处</w:t>
      </w:r>
      <w:r>
        <w:rPr>
          <w:rFonts w:hint="eastAsia" w:cs="宋体"/>
        </w:rPr>
        <w:t>，</w:t>
      </w:r>
      <w:r>
        <w:rPr>
          <w:rFonts w:cs="宋体"/>
        </w:rPr>
        <w:t>TS</w:t>
      </w:r>
      <w:r>
        <w:rPr>
          <w:rFonts w:hint="eastAsia" w:cs="宋体"/>
        </w:rPr>
        <w:t>P</w:t>
      </w:r>
      <w:r>
        <w:rPr>
          <w:rFonts w:cs="宋体"/>
        </w:rPr>
        <w:t>监测浓度为11.652mg/m</w:t>
      </w:r>
      <w:r>
        <w:rPr>
          <w:rFonts w:cs="宋体"/>
          <w:vertAlign w:val="superscript"/>
        </w:rPr>
        <w:t>3</w:t>
      </w:r>
      <w:r>
        <w:rPr>
          <w:rFonts w:cs="宋体"/>
        </w:rPr>
        <w:t>，100m处浓度为9.694mg/m</w:t>
      </w:r>
      <w:r>
        <w:rPr>
          <w:rFonts w:cs="宋体"/>
          <w:vertAlign w:val="superscript"/>
        </w:rPr>
        <w:t>3</w:t>
      </w:r>
      <w:r>
        <w:rPr>
          <w:rFonts w:cs="宋体"/>
        </w:rPr>
        <w:t>，150m处浓度为5.093mg/m</w:t>
      </w:r>
      <w:r>
        <w:rPr>
          <w:rFonts w:cs="宋体"/>
          <w:vertAlign w:val="superscript"/>
        </w:rPr>
        <w:t>3</w:t>
      </w:r>
      <w:r>
        <w:rPr>
          <w:rFonts w:cs="宋体"/>
        </w:rPr>
        <w:t>，超过环境空气质量二级标准，说明施工期车辆运输扬尘对施工沿线地区污染较重。因此，在施工过程中，对于扬尘较敏感的路段（居民区、学校等），要向道路表面洒水降尘，在经过村庄、学校等人口较密集的地段时，要控制运输车辆车速，减少道路扬尘影响。施工期施工现场</w:t>
      </w:r>
      <w:r>
        <w:rPr>
          <w:rFonts w:hint="eastAsia" w:cs="宋体"/>
        </w:rPr>
        <w:t>具体抑尘措施如下：</w:t>
      </w:r>
    </w:p>
    <w:p>
      <w:pPr>
        <w:pStyle w:val="2"/>
        <w:spacing w:line="500" w:lineRule="exact"/>
        <w:ind w:firstLine="480"/>
      </w:pPr>
      <w:r>
        <w:t>根据建筑施工扬尘治理</w:t>
      </w:r>
      <w:r>
        <w:rPr>
          <w:rFonts w:hint="eastAsia"/>
        </w:rPr>
        <w:t>政策要求</w:t>
      </w:r>
      <w:r>
        <w:t>，其主要治理任务为：Ⅰ、全面加强施工现场扬尘治理，包括：裸露土方扬尘污染控制、建筑施工现场封闭管理、施工过程的防尘降尘管理、垃圾的处理控制；Ⅱ、全面加强房屋建筑和市政工程拆除作业扬尘治理；Ⅲ、全面加强建筑渣土运输处置扬尘治理，包括：渣土运输、渣土处置；Ⅳ、全面加强混凝土搅拌站扬尘治理，根据本项目特点，并结合河北省建筑施工扬尘防治标准，本项目施工期应严格执行如下扬尘治理措施：</w:t>
      </w:r>
    </w:p>
    <w:p>
      <w:pPr>
        <w:pStyle w:val="2"/>
        <w:spacing w:line="500" w:lineRule="exact"/>
        <w:ind w:firstLine="480"/>
      </w:pPr>
      <w:r>
        <w:rPr>
          <w:rFonts w:ascii="宋体"/>
        </w:rPr>
        <w:t>①</w:t>
      </w:r>
      <w:r>
        <w:t>施工单位必须在施工现场出入口明显位置设置扬尘防治公示牌，内容包括建设、施工、监理及监管等单位名称、扬尘防治负责人的名称、联系电话、举报电话等</w:t>
      </w:r>
      <w:r>
        <w:rPr>
          <w:rFonts w:hint="eastAsia"/>
        </w:rPr>
        <w:t>，</w:t>
      </w:r>
      <w:r>
        <w:t>要求标牌设置率达</w:t>
      </w:r>
      <w:r>
        <w:rPr>
          <w:rFonts w:hint="eastAsia"/>
        </w:rPr>
        <w:t>100</w:t>
      </w:r>
      <w:r>
        <w:t>%。</w:t>
      </w:r>
    </w:p>
    <w:p>
      <w:pPr>
        <w:pStyle w:val="2"/>
        <w:spacing w:line="500" w:lineRule="exact"/>
        <w:ind w:firstLine="480"/>
      </w:pPr>
      <w:r>
        <w:rPr>
          <w:rFonts w:ascii="宋体"/>
        </w:rPr>
        <w:t>②</w:t>
      </w:r>
      <w:r>
        <w:t>施工现场必须连续设置硬质围挡，围挡应坚固、美观，严禁围挡不严或敞开式施工。城区主干道两侧的围挡高度不低于2.5米，一般路段高度不低于1.8米。本项目围挡高度应不低于1.8米</w:t>
      </w:r>
      <w:r>
        <w:rPr>
          <w:rFonts w:hint="eastAsia"/>
        </w:rPr>
        <w:t>，</w:t>
      </w:r>
      <w:r>
        <w:t>实现</w:t>
      </w:r>
      <w:r>
        <w:rPr>
          <w:rFonts w:hint="eastAsia"/>
        </w:rPr>
        <w:t>施工现场</w:t>
      </w:r>
      <w:r>
        <w:t>沿工程四周连续围挡设置率达</w:t>
      </w:r>
      <w:r>
        <w:rPr>
          <w:rFonts w:hint="eastAsia"/>
        </w:rPr>
        <w:t>100</w:t>
      </w:r>
      <w:r>
        <w:t>%。</w:t>
      </w:r>
    </w:p>
    <w:p>
      <w:pPr>
        <w:pStyle w:val="2"/>
        <w:spacing w:line="500" w:lineRule="exact"/>
        <w:ind w:firstLine="480"/>
      </w:pPr>
      <w:r>
        <w:rPr>
          <w:rFonts w:ascii="宋体"/>
        </w:rPr>
        <w:t>③</w:t>
      </w:r>
      <w:r>
        <w:t>施工现场出入口和场内施工道路、材料加工堆放区、办公区、生活区必须采用混凝土硬化或用硬质砌块铺设</w:t>
      </w:r>
      <w:r>
        <w:rPr>
          <w:rFonts w:hint="eastAsia"/>
        </w:rPr>
        <w:t>，</w:t>
      </w:r>
      <w:r>
        <w:t>并实现硬化率达</w:t>
      </w:r>
      <w:r>
        <w:rPr>
          <w:rFonts w:hint="eastAsia"/>
        </w:rPr>
        <w:t>100%</w:t>
      </w:r>
      <w:r>
        <w:t>，硬化后的地面应清扫整洁无浮土、积土，严禁使用其他软质材料铺设。</w:t>
      </w:r>
    </w:p>
    <w:p>
      <w:pPr>
        <w:pStyle w:val="2"/>
        <w:spacing w:line="500" w:lineRule="exact"/>
        <w:ind w:firstLine="480"/>
      </w:pPr>
      <w:r>
        <w:rPr>
          <w:rFonts w:ascii="宋体"/>
        </w:rPr>
        <w:t>④</w:t>
      </w:r>
      <w:r>
        <w:t>施工现场出入口必须配备车辆冲洗设施，设置排水、泥浆沉淀池等设施，建立冲洗制度并设专人管理，严禁车辆带泥上路</w:t>
      </w:r>
      <w:r>
        <w:rPr>
          <w:rFonts w:hint="eastAsia"/>
        </w:rPr>
        <w:t>，保证</w:t>
      </w:r>
      <w:r>
        <w:t>制度落实率达</w:t>
      </w:r>
      <w:r>
        <w:rPr>
          <w:rFonts w:hint="eastAsia"/>
        </w:rPr>
        <w:t>100</w:t>
      </w:r>
      <w:r>
        <w:t>%。</w:t>
      </w:r>
    </w:p>
    <w:p>
      <w:pPr>
        <w:pStyle w:val="2"/>
        <w:spacing w:line="500" w:lineRule="exact"/>
        <w:ind w:firstLine="480"/>
      </w:pPr>
      <w:r>
        <w:rPr>
          <w:rFonts w:ascii="宋体"/>
        </w:rPr>
        <w:t>⑤</w:t>
      </w:r>
      <w:r>
        <w:t>施工现场集中堆放的土方和裸露场地必须采取覆盖、固化或绿化等防尘措施，严禁裸露。</w:t>
      </w:r>
    </w:p>
    <w:p>
      <w:pPr>
        <w:pStyle w:val="2"/>
        <w:spacing w:line="500" w:lineRule="exact"/>
        <w:ind w:firstLine="480"/>
      </w:pPr>
      <w:r>
        <w:rPr>
          <w:rFonts w:ascii="宋体"/>
        </w:rPr>
        <w:t>⑥</w:t>
      </w:r>
      <w:r>
        <w:t>施工现场易飞扬的细颗粒建筑材料必须密闭存放或严密覆盖</w:t>
      </w:r>
      <w:r>
        <w:rPr>
          <w:rFonts w:hint="eastAsia"/>
        </w:rPr>
        <w:t>，</w:t>
      </w:r>
      <w:r>
        <w:t>要求遮盖率达</w:t>
      </w:r>
      <w:r>
        <w:rPr>
          <w:rFonts w:hint="eastAsia"/>
        </w:rPr>
        <w:t>100</w:t>
      </w:r>
      <w:r>
        <w:t>%，严禁露天放置；搬运时应有降尘措施，余料及时回收。</w:t>
      </w:r>
    </w:p>
    <w:p>
      <w:pPr>
        <w:pStyle w:val="2"/>
        <w:spacing w:line="500" w:lineRule="exact"/>
        <w:ind w:firstLine="480"/>
      </w:pPr>
      <w:r>
        <w:rPr>
          <w:rFonts w:ascii="宋体"/>
        </w:rPr>
        <w:t>⑦</w:t>
      </w:r>
      <w:r>
        <w:t>具备条件的地区施工现场必须使用商品混凝土、预拌砂浆，严禁现场搅拌</w:t>
      </w:r>
      <w:r>
        <w:rPr>
          <w:rFonts w:hint="eastAsia"/>
        </w:rPr>
        <w:t>，</w:t>
      </w:r>
      <w:r>
        <w:t>要求商品混凝土</w:t>
      </w:r>
      <w:r>
        <w:rPr>
          <w:rFonts w:hint="eastAsia"/>
        </w:rPr>
        <w:t>率</w:t>
      </w:r>
      <w:r>
        <w:t>达</w:t>
      </w:r>
      <w:r>
        <w:rPr>
          <w:rFonts w:hint="eastAsia"/>
        </w:rPr>
        <w:t>100</w:t>
      </w:r>
      <w:r>
        <w:t>%。</w:t>
      </w:r>
    </w:p>
    <w:p>
      <w:pPr>
        <w:pStyle w:val="2"/>
        <w:spacing w:line="500" w:lineRule="exact"/>
        <w:ind w:firstLine="480"/>
      </w:pPr>
      <w:r>
        <w:t>本工程所用水泥混凝土</w:t>
      </w:r>
      <w:r>
        <w:rPr>
          <w:rFonts w:hint="eastAsia"/>
        </w:rPr>
        <w:t>、基础拌合料、沥青混凝土等均</w:t>
      </w:r>
      <w:r>
        <w:t>为外购成品，项目不设搅拌站。</w:t>
      </w:r>
    </w:p>
    <w:p>
      <w:pPr>
        <w:pStyle w:val="2"/>
        <w:spacing w:line="500" w:lineRule="exact"/>
        <w:ind w:firstLine="480"/>
      </w:pPr>
      <w:r>
        <w:rPr>
          <w:rFonts w:ascii="宋体"/>
        </w:rPr>
        <w:t>⑧</w:t>
      </w:r>
      <w:r>
        <w:t>施工现场运送土方、渣土的车辆必须封闭或遮盖严密，</w:t>
      </w:r>
      <w:r>
        <w:rPr>
          <w:rFonts w:hint="eastAsia"/>
        </w:rPr>
        <w:t>保证密闭率</w:t>
      </w:r>
      <w:r>
        <w:t>达</w:t>
      </w:r>
      <w:r>
        <w:rPr>
          <w:rFonts w:hint="eastAsia"/>
        </w:rPr>
        <w:t>100</w:t>
      </w:r>
      <w:r>
        <w:t>%，严禁使用未办理相关手续的渣土等运输车辆，严禁沿路遗撒和随意倾倒。</w:t>
      </w:r>
    </w:p>
    <w:p>
      <w:pPr>
        <w:pStyle w:val="2"/>
        <w:spacing w:line="500" w:lineRule="exact"/>
        <w:ind w:firstLine="480"/>
      </w:pPr>
      <w:r>
        <w:rPr>
          <w:rFonts w:ascii="宋体"/>
        </w:rPr>
        <w:t>⑨</w:t>
      </w:r>
      <w:r>
        <w:t>施工现场的建筑垃圾必须设置垃圾存放点，集中堆放并严密覆盖，及时清运</w:t>
      </w:r>
      <w:r>
        <w:rPr>
          <w:rFonts w:hint="eastAsia"/>
        </w:rPr>
        <w:t>，</w:t>
      </w:r>
      <w:r>
        <w:t>建筑渣土运输车辆密闭率达</w:t>
      </w:r>
      <w:r>
        <w:rPr>
          <w:rFonts w:hint="eastAsia"/>
        </w:rPr>
        <w:t>100</w:t>
      </w:r>
      <w:r>
        <w:t>%。生活垃圾应用封闭式容器存放，日产日清，严禁随意丢弃。</w:t>
      </w:r>
    </w:p>
    <w:p>
      <w:pPr>
        <w:pStyle w:val="18"/>
        <w:spacing w:after="0"/>
        <w:ind w:firstLine="480"/>
      </w:pPr>
      <w:r>
        <w:rPr>
          <w:rFonts w:ascii="宋体"/>
        </w:rPr>
        <w:t>⑩</w:t>
      </w:r>
      <w:r>
        <w:t>施工现场必须建立洒水清扫抑尘制度，配备洒水设备。非冰冻期每天洒水不少于2次，并有专人负责。重污染天气时相应增加洒水频次。遇有4级以上大风或重污染天气预警时，必须采取扬尘防治应急措施，严禁土方开挖、土方回填或其他有可能产生扬尘的作业</w:t>
      </w:r>
      <w:r>
        <w:rPr>
          <w:rFonts w:hint="eastAsia"/>
        </w:rPr>
        <w:t>，</w:t>
      </w:r>
      <w:r>
        <w:t>要求作业洒水压尘措施落实率达</w:t>
      </w:r>
      <w:r>
        <w:rPr>
          <w:rFonts w:hint="eastAsia"/>
        </w:rPr>
        <w:t>100%。</w:t>
      </w:r>
    </w:p>
    <w:p>
      <w:pPr>
        <w:ind w:firstLine="480"/>
      </w:pPr>
      <w:r>
        <w:rPr>
          <w:rFonts w:ascii="Cambria Math" w:hAnsi="Cambria Math" w:cs="Cambria Math"/>
        </w:rPr>
        <w:t>⑪</w:t>
      </w:r>
      <w:r>
        <w:rPr>
          <w:rFonts w:hint="eastAsia" w:ascii="Cambria Math" w:hAnsi="Cambria Math" w:cs="Cambria Math"/>
        </w:rPr>
        <w:t>根据项目特点，本项目涉及村庄拆迁工程，房屋拆除过程中，施工单位设置围挡、雾炮抑尘等措施，同时要求施工单位及时清理拆除工程的建筑垃圾，暂时不能清理的建筑垃圾采取防尘网遮盖，减少拆除过程扬尘产生量。</w:t>
      </w:r>
    </w:p>
    <w:p>
      <w:pPr>
        <w:pStyle w:val="18"/>
        <w:spacing w:after="0"/>
        <w:ind w:firstLine="480"/>
        <w:rPr>
          <w:rFonts w:cs="宋体"/>
        </w:rPr>
      </w:pPr>
      <w:r>
        <w:rPr>
          <w:rFonts w:hint="eastAsia" w:cs="宋体"/>
        </w:rPr>
        <w:t>采取以上措施后，施工区域边界颗粒物浓度满足</w:t>
      </w:r>
      <w:r>
        <w:rPr>
          <w:szCs w:val="24"/>
        </w:rPr>
        <w:t>《施工场地扬尘排放标准》</w:t>
      </w:r>
      <w:r>
        <w:rPr>
          <w:rFonts w:hint="eastAsia"/>
          <w:szCs w:val="24"/>
        </w:rPr>
        <w:t>（</w:t>
      </w:r>
      <w:r>
        <w:rPr>
          <w:szCs w:val="24"/>
        </w:rPr>
        <w:t>DB13/2934-2019</w:t>
      </w:r>
      <w:r>
        <w:rPr>
          <w:rFonts w:hint="eastAsia"/>
          <w:szCs w:val="24"/>
        </w:rPr>
        <w:t>）</w:t>
      </w:r>
      <w:r>
        <w:rPr>
          <w:szCs w:val="24"/>
        </w:rPr>
        <w:t>表</w:t>
      </w:r>
      <w:r>
        <w:rPr>
          <w:rFonts w:hint="eastAsia"/>
          <w:szCs w:val="24"/>
        </w:rPr>
        <w:t>1扬尘排放浓度限值。</w:t>
      </w:r>
    </w:p>
    <w:p>
      <w:pPr>
        <w:pStyle w:val="18"/>
        <w:spacing w:after="0"/>
        <w:ind w:firstLine="480"/>
        <w:rPr>
          <w:rFonts w:cs="宋体"/>
        </w:rPr>
      </w:pPr>
      <w:r>
        <w:rPr>
          <w:rFonts w:hint="eastAsia" w:cs="宋体"/>
        </w:rPr>
        <w:t>（2）沥青烟气污染</w:t>
      </w:r>
    </w:p>
    <w:p>
      <w:pPr>
        <w:adjustRightInd w:val="0"/>
        <w:snapToGrid w:val="0"/>
        <w:ind w:firstLine="480"/>
        <w:rPr>
          <w:rFonts w:cs="宋体"/>
        </w:rPr>
      </w:pPr>
      <w:r>
        <w:rPr>
          <w:rFonts w:cs="宋体"/>
        </w:rPr>
        <w:t>路面铺砌时会有少量沥青烟产生，但相对分散，排放量较少，环境空旷，易扩散，并且时间较短，随着施工结束而消失，不会对当地环境空气产生明显影响。根据有关资料，</w:t>
      </w:r>
      <w:r>
        <w:rPr>
          <w:rFonts w:hAnsi="宋体"/>
        </w:rPr>
        <w:t>在风速介于</w:t>
      </w:r>
      <w:r>
        <w:t>2~3m/s</w:t>
      </w:r>
      <w:r>
        <w:rPr>
          <w:rFonts w:hAnsi="宋体"/>
        </w:rPr>
        <w:t>之间时，沥青铺浇路面时所排放的</w:t>
      </w:r>
      <w:r>
        <w:rPr>
          <w:rFonts w:hint="eastAsia" w:hAnsi="宋体"/>
        </w:rPr>
        <w:t>沥青烟</w:t>
      </w:r>
      <w:r>
        <w:rPr>
          <w:rFonts w:hAnsi="宋体"/>
        </w:rPr>
        <w:t>污染物影响距离约为下风向</w:t>
      </w:r>
      <w:r>
        <w:t>100m</w:t>
      </w:r>
      <w:r>
        <w:rPr>
          <w:rFonts w:hAnsi="宋体"/>
        </w:rPr>
        <w:t>左右</w:t>
      </w:r>
      <w:r>
        <w:rPr>
          <w:rFonts w:cs="宋体"/>
        </w:rPr>
        <w:t>；摊铺完成10~20min后，经自然冷却沥青混合料温度</w:t>
      </w:r>
      <w:r>
        <w:rPr>
          <w:rFonts w:hint="eastAsia" w:cs="宋体"/>
        </w:rPr>
        <w:t>下降后</w:t>
      </w:r>
      <w:r>
        <w:rPr>
          <w:rFonts w:cs="宋体"/>
        </w:rPr>
        <w:t>，沥青烟污染明显减弱，待沥青凝固后，沥青烟也随即消失。根据已有资料分析</w:t>
      </w:r>
      <w:r>
        <w:rPr>
          <w:rFonts w:hint="eastAsia" w:cs="宋体"/>
        </w:rPr>
        <w:t>，</w:t>
      </w:r>
      <w:r>
        <w:rPr>
          <w:rFonts w:cs="宋体"/>
        </w:rPr>
        <w:t>沥青烟排放</w:t>
      </w:r>
      <w:r>
        <w:rPr>
          <w:rFonts w:hint="eastAsia" w:cs="宋体"/>
        </w:rPr>
        <w:t>满足</w:t>
      </w:r>
      <w:r>
        <w:rPr>
          <w:rFonts w:cs="宋体"/>
        </w:rPr>
        <w:t>《大气污染物综合排放标准》（GB16297-1996）表2无组织排放监控浓度限值</w:t>
      </w:r>
      <w:r>
        <w:rPr>
          <w:rFonts w:hint="eastAsia" w:cs="宋体"/>
        </w:rPr>
        <w:t>。</w:t>
      </w:r>
    </w:p>
    <w:p>
      <w:pPr>
        <w:pStyle w:val="18"/>
        <w:spacing w:after="0"/>
        <w:ind w:firstLine="480"/>
        <w:rPr>
          <w:rFonts w:cs="宋体"/>
        </w:rPr>
      </w:pPr>
      <w:r>
        <w:rPr>
          <w:rFonts w:cs="宋体"/>
        </w:rPr>
        <w:t>（</w:t>
      </w:r>
      <w:r>
        <w:rPr>
          <w:rFonts w:hint="eastAsia" w:cs="宋体"/>
        </w:rPr>
        <w:t>3</w:t>
      </w:r>
      <w:r>
        <w:rPr>
          <w:rFonts w:cs="宋体"/>
        </w:rPr>
        <w:t>）施工机械燃油废气</w:t>
      </w:r>
    </w:p>
    <w:p>
      <w:pPr>
        <w:adjustRightInd w:val="0"/>
        <w:snapToGrid w:val="0"/>
        <w:ind w:firstLine="480"/>
        <w:rPr>
          <w:rFonts w:cs="宋体"/>
        </w:rPr>
      </w:pPr>
      <w:r>
        <w:rPr>
          <w:rFonts w:cs="宋体"/>
        </w:rPr>
        <w:t>施工机械主要以油类为燃料，燃油机械排放尾气中有一氧化碳、氮氧化物等污染物，通过使用高品质燃料，合理控制使用时间，减少尾气排放量，不会对区域环境空气造成明显影响</w:t>
      </w:r>
      <w:r>
        <w:rPr>
          <w:rFonts w:hint="eastAsia" w:cs="宋体"/>
        </w:rPr>
        <w:t>。</w:t>
      </w:r>
    </w:p>
    <w:p>
      <w:pPr>
        <w:pStyle w:val="204"/>
        <w:spacing w:line="480" w:lineRule="exact"/>
        <w:ind w:firstLine="0" w:firstLineChars="0"/>
        <w:outlineLvl w:val="2"/>
        <w:rPr>
          <w:b/>
          <w:sz w:val="28"/>
          <w:szCs w:val="28"/>
        </w:rPr>
      </w:pPr>
      <w:r>
        <w:rPr>
          <w:rFonts w:hint="eastAsia"/>
          <w:b/>
          <w:sz w:val="28"/>
          <w:szCs w:val="28"/>
        </w:rPr>
        <w:t>5.1.5施工期固体废物影响分析</w:t>
      </w:r>
    </w:p>
    <w:p>
      <w:pPr>
        <w:pStyle w:val="18"/>
        <w:spacing w:after="0"/>
        <w:ind w:firstLine="480"/>
        <w:rPr>
          <w:rFonts w:cs="宋体"/>
        </w:rPr>
      </w:pPr>
      <w:r>
        <w:rPr>
          <w:rFonts w:cs="宋体"/>
        </w:rPr>
        <w:t>施工期固体废物主要包括拆迁房屋产生的建筑垃圾，桥梁基础钻孔灌注桩产生的钻渣</w:t>
      </w:r>
      <w:r>
        <w:rPr>
          <w:rFonts w:hint="eastAsia" w:cs="宋体"/>
        </w:rPr>
        <w:t>、开挖产生土方、沉淀池沉淀泥浆</w:t>
      </w:r>
      <w:r>
        <w:rPr>
          <w:rFonts w:cs="宋体"/>
        </w:rPr>
        <w:t>以及</w:t>
      </w:r>
      <w:r>
        <w:rPr>
          <w:rFonts w:hint="eastAsia" w:cs="宋体"/>
        </w:rPr>
        <w:t>施工人员日常生活</w:t>
      </w:r>
      <w:r>
        <w:rPr>
          <w:rFonts w:cs="宋体"/>
        </w:rPr>
        <w:t>产生的生活垃圾。</w:t>
      </w:r>
      <w:r>
        <w:rPr>
          <w:rFonts w:hint="eastAsia" w:cs="宋体"/>
        </w:rPr>
        <w:t>本项目拆除工程产生</w:t>
      </w:r>
      <w:r>
        <w:rPr>
          <w:rFonts w:cs="宋体"/>
        </w:rPr>
        <w:t>建筑垃圾</w:t>
      </w:r>
      <w:r>
        <w:rPr>
          <w:rFonts w:hint="eastAsia" w:cs="宋体"/>
        </w:rPr>
        <w:t>，产生量约3</w:t>
      </w:r>
      <w:r>
        <w:rPr>
          <w:rFonts w:cs="宋体"/>
        </w:rPr>
        <w:t>95</w:t>
      </w:r>
      <w:r>
        <w:rPr>
          <w:rFonts w:hint="eastAsia" w:cs="宋体"/>
        </w:rPr>
        <w:t>t，</w:t>
      </w:r>
      <w:r>
        <w:rPr>
          <w:rFonts w:cs="宋体"/>
        </w:rPr>
        <w:t>全部运往当地城建部门指定地点统一处理。</w:t>
      </w:r>
      <w:r>
        <w:rPr>
          <w:rFonts w:hint="eastAsia" w:cs="宋体"/>
        </w:rPr>
        <w:t>本项目开挖产生土方</w:t>
      </w:r>
      <w:r>
        <w:rPr>
          <w:rFonts w:hint="eastAsia"/>
        </w:rPr>
        <w:t>44172m</w:t>
      </w:r>
      <w:r>
        <w:rPr>
          <w:rFonts w:hint="eastAsia"/>
          <w:vertAlign w:val="superscript"/>
        </w:rPr>
        <w:t>3</w:t>
      </w:r>
      <w:r>
        <w:rPr>
          <w:rFonts w:hint="eastAsia"/>
        </w:rPr>
        <w:t>（折合6</w:t>
      </w:r>
      <w:r>
        <w:t>6258</w:t>
      </w:r>
      <w:r>
        <w:rPr>
          <w:rFonts w:hint="eastAsia"/>
        </w:rPr>
        <w:t>t）</w:t>
      </w:r>
      <w:r>
        <w:rPr>
          <w:rFonts w:hint="eastAsia" w:cs="宋体"/>
        </w:rPr>
        <w:t>，作为道路的基础填方及绿化用土，其中</w:t>
      </w:r>
      <w:r>
        <w:rPr>
          <w:rFonts w:cs="宋体"/>
        </w:rPr>
        <w:t>挖方</w:t>
      </w:r>
      <w:r>
        <w:rPr>
          <w:rFonts w:hint="eastAsia" w:cs="宋体"/>
        </w:rPr>
        <w:t>的</w:t>
      </w:r>
      <w:r>
        <w:rPr>
          <w:rFonts w:cs="宋体"/>
        </w:rPr>
        <w:t>表层熟土</w:t>
      </w:r>
      <w:r>
        <w:rPr>
          <w:rFonts w:hint="eastAsia" w:cs="宋体"/>
        </w:rPr>
        <w:t>1</w:t>
      </w:r>
      <w:r>
        <w:rPr>
          <w:rFonts w:cs="宋体"/>
        </w:rPr>
        <w:t>6400</w:t>
      </w:r>
      <w:r>
        <w:rPr>
          <w:rFonts w:hint="eastAsia" w:cs="宋体"/>
        </w:rPr>
        <w:t>m</w:t>
      </w:r>
      <w:r>
        <w:rPr>
          <w:rFonts w:hint="eastAsia" w:cs="宋体"/>
          <w:vertAlign w:val="superscript"/>
        </w:rPr>
        <w:t>3</w:t>
      </w:r>
      <w:r>
        <w:rPr>
          <w:rFonts w:hint="eastAsia" w:cs="宋体"/>
        </w:rPr>
        <w:t>（</w:t>
      </w:r>
      <w:r>
        <w:rPr>
          <w:rFonts w:hint="eastAsia"/>
        </w:rPr>
        <w:t>折合</w:t>
      </w:r>
      <w:r>
        <w:t>24600</w:t>
      </w:r>
      <w:r>
        <w:rPr>
          <w:rFonts w:hint="eastAsia"/>
        </w:rPr>
        <w:t>t）</w:t>
      </w:r>
      <w:r>
        <w:rPr>
          <w:rFonts w:cs="宋体"/>
        </w:rPr>
        <w:t>，</w:t>
      </w:r>
      <w:r>
        <w:rPr>
          <w:rFonts w:hint="eastAsia" w:cs="宋体"/>
        </w:rPr>
        <w:t>可以作为</w:t>
      </w:r>
      <w:r>
        <w:rPr>
          <w:rFonts w:cs="宋体"/>
        </w:rPr>
        <w:t>道路边坡、绿化带等绿化覆土利用</w:t>
      </w:r>
      <w:r>
        <w:rPr>
          <w:rFonts w:hint="eastAsia" w:cs="宋体"/>
        </w:rPr>
        <w:t>，剩余2</w:t>
      </w:r>
      <w:r>
        <w:rPr>
          <w:rFonts w:cs="宋体"/>
        </w:rPr>
        <w:t>7772</w:t>
      </w:r>
      <w:r>
        <w:rPr>
          <w:rFonts w:hint="eastAsia"/>
        </w:rPr>
        <w:t>m</w:t>
      </w:r>
      <w:r>
        <w:rPr>
          <w:rFonts w:hint="eastAsia"/>
          <w:vertAlign w:val="superscript"/>
        </w:rPr>
        <w:t>3</w:t>
      </w:r>
      <w:r>
        <w:rPr>
          <w:rFonts w:hint="eastAsia"/>
        </w:rPr>
        <w:t>（折合</w:t>
      </w:r>
      <w:r>
        <w:t>41658</w:t>
      </w:r>
      <w:r>
        <w:rPr>
          <w:rFonts w:hint="eastAsia"/>
        </w:rPr>
        <w:t>t），</w:t>
      </w:r>
      <w:r>
        <w:rPr>
          <w:rFonts w:hint="eastAsia" w:cs="宋体"/>
        </w:rPr>
        <w:t>用于路基垫土；</w:t>
      </w:r>
      <w:r>
        <w:rPr>
          <w:rFonts w:cs="宋体"/>
        </w:rPr>
        <w:t>桥梁基础钻孔灌注桩产生的钻渣</w:t>
      </w:r>
      <w:r>
        <w:rPr>
          <w:rFonts w:hint="eastAsia" w:cs="宋体"/>
        </w:rPr>
        <w:t>（约2</w:t>
      </w:r>
      <w:r>
        <w:rPr>
          <w:rFonts w:cs="宋体"/>
        </w:rPr>
        <w:t>85</w:t>
      </w:r>
      <w:r>
        <w:rPr>
          <w:rFonts w:hint="eastAsia" w:cs="宋体"/>
        </w:rPr>
        <w:t>t）及沉淀池沉淀泥浆（约1</w:t>
      </w:r>
      <w:r>
        <w:rPr>
          <w:rFonts w:cs="宋体"/>
        </w:rPr>
        <w:t>00</w:t>
      </w:r>
      <w:r>
        <w:rPr>
          <w:rFonts w:hint="eastAsia" w:cs="宋体"/>
        </w:rPr>
        <w:t>t）</w:t>
      </w:r>
      <w:r>
        <w:rPr>
          <w:rFonts w:cs="宋体"/>
        </w:rPr>
        <w:t>作为路基底层填料利用。施工人员产生的生活垃圾，</w:t>
      </w:r>
      <w:r>
        <w:rPr>
          <w:rFonts w:hint="eastAsia" w:cs="宋体"/>
        </w:rPr>
        <w:t>产生量为</w:t>
      </w:r>
      <w:r>
        <w:rPr>
          <w:rFonts w:cs="宋体"/>
        </w:rPr>
        <w:t>36.5</w:t>
      </w:r>
      <w:r>
        <w:rPr>
          <w:rFonts w:hint="eastAsia" w:cs="宋体"/>
        </w:rPr>
        <w:t>t/a，</w:t>
      </w:r>
      <w:r>
        <w:rPr>
          <w:rFonts w:cs="宋体"/>
        </w:rPr>
        <w:t>集中收集后定期</w:t>
      </w:r>
      <w:r>
        <w:rPr>
          <w:rFonts w:hint="eastAsia" w:cs="宋体"/>
        </w:rPr>
        <w:t>由环卫部门处理。</w:t>
      </w:r>
    </w:p>
    <w:p>
      <w:pPr>
        <w:pStyle w:val="204"/>
        <w:spacing w:line="480" w:lineRule="exact"/>
        <w:ind w:firstLine="0" w:firstLineChars="0"/>
        <w:outlineLvl w:val="2"/>
        <w:rPr>
          <w:b/>
          <w:sz w:val="28"/>
          <w:szCs w:val="28"/>
        </w:rPr>
      </w:pPr>
      <w:r>
        <w:rPr>
          <w:rFonts w:hint="eastAsia"/>
          <w:b/>
          <w:sz w:val="28"/>
          <w:szCs w:val="28"/>
        </w:rPr>
        <w:t>5.1.6施工期对沿线景观影响分析</w:t>
      </w:r>
    </w:p>
    <w:p>
      <w:pPr>
        <w:pStyle w:val="18"/>
        <w:spacing w:after="0"/>
        <w:ind w:firstLine="480"/>
        <w:rPr>
          <w:rFonts w:cs="宋体"/>
        </w:rPr>
      </w:pPr>
      <w:r>
        <w:rPr>
          <w:rFonts w:cs="宋体"/>
        </w:rPr>
        <w:t>施工期对地表形态改变显著，路基施工时的土层裸露、分割，将影响生物的活动和繁衍，致使生物向其它景观要素迁移，导致生物多样性减少。施工期对景观产生主要影响有以下几方面：</w:t>
      </w:r>
    </w:p>
    <w:p>
      <w:pPr>
        <w:pStyle w:val="18"/>
        <w:spacing w:after="0"/>
        <w:ind w:firstLine="480"/>
        <w:rPr>
          <w:rFonts w:cs="宋体"/>
        </w:rPr>
      </w:pPr>
      <w:r>
        <w:rPr>
          <w:rFonts w:cs="宋体"/>
        </w:rPr>
        <w:t>（1）施工过程中将会破坏沿线植被和拆迁建筑物，会对沿线自然景观带来一定影响。拆迁建筑物及临时设施时，周围要用挡板或帆布围挡，减少对环境和景观的影响。</w:t>
      </w:r>
    </w:p>
    <w:p>
      <w:pPr>
        <w:pStyle w:val="18"/>
        <w:spacing w:after="0"/>
        <w:ind w:firstLine="480"/>
        <w:rPr>
          <w:rFonts w:cs="宋体"/>
        </w:rPr>
      </w:pPr>
      <w:r>
        <w:rPr>
          <w:rFonts w:cs="宋体"/>
        </w:rPr>
        <w:t>（2）施工过程中基础开挖、土方、建筑材料的堆放，尤其是施工建筑垃圾的临时堆放等，都会影响周围环境和景观。因此施工过程中应及时清理恢复。</w:t>
      </w:r>
    </w:p>
    <w:p>
      <w:pPr>
        <w:pStyle w:val="18"/>
        <w:spacing w:after="0"/>
        <w:ind w:firstLine="480"/>
        <w:rPr>
          <w:rFonts w:cs="宋体"/>
        </w:rPr>
      </w:pPr>
      <w:r>
        <w:rPr>
          <w:rFonts w:cs="宋体"/>
        </w:rPr>
        <w:t>（3）工程施工期间，施工机械和施工营地所排放的噪声、扬尘、废气、工程垃圾、施工排水等都会对周围环境造成污染。施工营地合理布设、营房建设要与周围景观协调。工程垃圾、生活垃圾、生活污水要收集处理，避免对周围景观环境产生影响。</w:t>
      </w:r>
    </w:p>
    <w:p>
      <w:pPr>
        <w:pStyle w:val="18"/>
        <w:spacing w:after="0"/>
        <w:ind w:firstLine="480"/>
        <w:rPr>
          <w:rFonts w:cs="宋体"/>
        </w:rPr>
      </w:pPr>
      <w:r>
        <w:rPr>
          <w:rFonts w:cs="宋体"/>
        </w:rPr>
        <w:t>（4）原有路面拓宽</w:t>
      </w:r>
      <w:r>
        <w:rPr>
          <w:rFonts w:hint="eastAsia" w:cs="宋体"/>
        </w:rPr>
        <w:t>或挖除修建</w:t>
      </w:r>
      <w:r>
        <w:rPr>
          <w:rFonts w:cs="宋体"/>
        </w:rPr>
        <w:t>施工将会影响周围交通正常秩序，易造成堵车现象，</w:t>
      </w:r>
      <w:r>
        <w:rPr>
          <w:rFonts w:hint="eastAsia" w:cs="宋体"/>
        </w:rPr>
        <w:t>影响周边居民的出行及</w:t>
      </w:r>
      <w:r>
        <w:rPr>
          <w:rFonts w:cs="宋体"/>
        </w:rPr>
        <w:t>对周围景观</w:t>
      </w:r>
      <w:r>
        <w:rPr>
          <w:rFonts w:hint="eastAsia" w:cs="宋体"/>
        </w:rPr>
        <w:t>也</w:t>
      </w:r>
      <w:r>
        <w:rPr>
          <w:rFonts w:cs="宋体"/>
        </w:rPr>
        <w:t>会产生一定影响，因此，应设专人维护交通秩序，做好车辆分流工作，临时路线调整公告，确保施工地点的交通状况正常运行。而且施工车辆运送物料时，可能会发生洒落物料现象，影响路面卫生环境。运输物资车辆要用帆布掩盖材料，避免洒落影响环境。</w:t>
      </w:r>
    </w:p>
    <w:p>
      <w:pPr>
        <w:pStyle w:val="18"/>
        <w:spacing w:after="0"/>
        <w:ind w:firstLine="480"/>
        <w:rPr>
          <w:rFonts w:cs="宋体"/>
        </w:rPr>
      </w:pPr>
      <w:r>
        <w:rPr>
          <w:rFonts w:cs="宋体"/>
        </w:rPr>
        <w:t>但以上影响是暂时的，并且通过采取有效措施，可以减少对沿线周围景观的影响。随着施工的结束，其不利影响也会随之消失</w:t>
      </w:r>
      <w:r>
        <w:rPr>
          <w:rFonts w:hint="eastAsia" w:cs="宋体"/>
        </w:rPr>
        <w:t>。</w:t>
      </w:r>
    </w:p>
    <w:p>
      <w:pPr>
        <w:pStyle w:val="5"/>
        <w:spacing w:beforeLines="0" w:afterLines="0"/>
      </w:pPr>
      <w:bookmarkStart w:id="100" w:name="_Toc141284074"/>
      <w:r>
        <w:rPr>
          <w:rFonts w:hint="eastAsia"/>
        </w:rPr>
        <w:t>5</w:t>
      </w:r>
      <w:r>
        <w:t>.</w:t>
      </w:r>
      <w:r>
        <w:rPr>
          <w:rFonts w:hint="eastAsia"/>
        </w:rPr>
        <w:t>2运营期环境影响分析</w:t>
      </w:r>
      <w:bookmarkEnd w:id="100"/>
    </w:p>
    <w:p>
      <w:pPr>
        <w:pStyle w:val="204"/>
        <w:spacing w:line="480" w:lineRule="exact"/>
        <w:ind w:firstLine="0" w:firstLineChars="0"/>
        <w:outlineLvl w:val="2"/>
        <w:rPr>
          <w:b/>
          <w:sz w:val="28"/>
          <w:szCs w:val="28"/>
        </w:rPr>
      </w:pPr>
      <w:r>
        <w:rPr>
          <w:rFonts w:hint="eastAsia"/>
          <w:b/>
          <w:sz w:val="28"/>
          <w:szCs w:val="28"/>
        </w:rPr>
        <w:t>5.2.1运营期生态环境影响分析</w:t>
      </w:r>
    </w:p>
    <w:p>
      <w:pPr>
        <w:pStyle w:val="190"/>
        <w:spacing w:beforeLines="0" w:afterLines="0"/>
      </w:pPr>
      <w:r>
        <w:rPr>
          <w:rFonts w:hint="eastAsia"/>
        </w:rPr>
        <w:t>5.2.2.1对沿线土地利用及植被的影响分析</w:t>
      </w:r>
    </w:p>
    <w:p>
      <w:pPr>
        <w:pStyle w:val="18"/>
        <w:spacing w:after="0"/>
        <w:ind w:firstLine="480"/>
        <w:rPr>
          <w:rFonts w:cs="宋体"/>
        </w:rPr>
      </w:pPr>
      <w:r>
        <w:rPr>
          <w:rFonts w:hint="eastAsia" w:cs="宋体"/>
        </w:rPr>
        <w:t>本项目新增永久占地</w:t>
      </w:r>
      <w:r>
        <w:rPr>
          <w:rFonts w:hint="eastAsia"/>
        </w:rPr>
        <w:t>648.746亩</w:t>
      </w:r>
      <w:r>
        <w:rPr>
          <w:rFonts w:hint="eastAsia" w:cs="宋体"/>
        </w:rPr>
        <w:t>，拟建工程建成后，将在公路使用期内永久性地、不可逆地改变土地利用方式，即公路征地范围内由原先的旱地和林地等其他土地类型转变为公路交通用地。本公路的新增占地会使沿线的植被受到破坏，可能受到直接影响的植被类型主要为农田、人工林、果园和草地，耕地、人工林、果园和草地的减少将造成生物量的减少。</w:t>
      </w:r>
    </w:p>
    <w:p>
      <w:pPr>
        <w:pStyle w:val="18"/>
        <w:spacing w:after="0"/>
        <w:ind w:firstLine="480"/>
        <w:rPr>
          <w:rFonts w:cs="宋体"/>
        </w:rPr>
      </w:pPr>
      <w:r>
        <w:rPr>
          <w:rFonts w:hint="eastAsia" w:cs="宋体"/>
        </w:rPr>
        <w:t>在施工结束后，会在本公路两侧种植部分树木、花卉，损失的物种量会有所补偿。工程建设完成后，公路占地区域内损失的物种都是评价区内常见的普通植物，评价区原有的物种都仍存在，因此公路的建设对区域植物多样性的影响甚微。绿化的乔、灌、草种类主要树种如杨树、板栗树等。通过采取绿化措施，将使沿线的植被和生物量得到一定的补偿。同时，本项目建成后，做好临时占地的生态恢复，对生态环境的影响较小。</w:t>
      </w:r>
    </w:p>
    <w:p>
      <w:pPr>
        <w:pStyle w:val="18"/>
        <w:spacing w:after="0"/>
        <w:ind w:firstLine="480"/>
        <w:rPr>
          <w:rFonts w:cs="宋体"/>
        </w:rPr>
      </w:pPr>
      <w:r>
        <w:rPr>
          <w:rFonts w:hint="eastAsia" w:cs="宋体"/>
        </w:rPr>
        <w:t>因此，本项目的建设对沿线生态系统的生物量和生态功能产生一定的影响，但这种影响很小。</w:t>
      </w:r>
    </w:p>
    <w:p>
      <w:pPr>
        <w:pStyle w:val="190"/>
        <w:spacing w:beforeLines="0" w:afterLines="0"/>
      </w:pPr>
      <w:r>
        <w:rPr>
          <w:rFonts w:hint="eastAsia"/>
        </w:rPr>
        <w:t>5.2.2.</w:t>
      </w:r>
      <w:r>
        <w:t>2</w:t>
      </w:r>
      <w:r>
        <w:rPr>
          <w:rFonts w:hint="eastAsia"/>
        </w:rPr>
        <w:t>对动物影响分析</w:t>
      </w:r>
    </w:p>
    <w:p>
      <w:pPr>
        <w:pStyle w:val="18"/>
        <w:spacing w:after="0"/>
        <w:ind w:firstLine="480"/>
        <w:rPr>
          <w:rFonts w:cs="宋体"/>
        </w:rPr>
      </w:pPr>
      <w:r>
        <w:rPr>
          <w:rFonts w:hint="eastAsia" w:cs="宋体"/>
        </w:rPr>
        <w:t>（</w:t>
      </w:r>
      <w:r>
        <w:rPr>
          <w:rFonts w:cs="宋体"/>
        </w:rPr>
        <w:t>1</w:t>
      </w:r>
      <w:r>
        <w:rPr>
          <w:rFonts w:hint="eastAsia" w:cs="宋体"/>
        </w:rPr>
        <w:t>）对动物活动阻隔的影响</w:t>
      </w:r>
    </w:p>
    <w:p>
      <w:pPr>
        <w:pStyle w:val="18"/>
        <w:spacing w:after="0"/>
        <w:ind w:firstLine="480"/>
        <w:rPr>
          <w:rFonts w:cs="宋体"/>
        </w:rPr>
      </w:pPr>
      <w:r>
        <w:rPr>
          <w:rFonts w:hint="eastAsia" w:cs="宋体"/>
        </w:rPr>
        <w:t>对分布在公路沿线区域的动物而言，道路存在对动物的活动形成了一道屏障，使得动物的活动范围受到限制，动物生境破碎化，对其觅食、交偶的潜在影响较大。路线主要对兽类、两栖类和爬行类动物产生一定的阻隔影响，对鸟类活动阻隔影响较小。本项目设置大桥</w:t>
      </w:r>
      <w:r>
        <w:rPr>
          <w:rFonts w:hint="eastAsia"/>
          <w:szCs w:val="20"/>
        </w:rPr>
        <w:t>517m/3座</w:t>
      </w:r>
      <w:r>
        <w:rPr>
          <w:rFonts w:hint="eastAsia" w:cs="宋体"/>
        </w:rPr>
        <w:t>，</w:t>
      </w:r>
      <w:r>
        <w:rPr>
          <w:rFonts w:hint="eastAsia"/>
          <w:szCs w:val="20"/>
        </w:rPr>
        <w:t>中桥65m/1座</w:t>
      </w:r>
      <w:r>
        <w:rPr>
          <w:rFonts w:hint="eastAsia" w:cs="宋体"/>
        </w:rPr>
        <w:t>，涵洞</w:t>
      </w:r>
      <w:r>
        <w:rPr>
          <w:rFonts w:cs="宋体"/>
        </w:rPr>
        <w:t>51</w:t>
      </w:r>
      <w:r>
        <w:rPr>
          <w:rFonts w:hint="eastAsia" w:cs="宋体"/>
        </w:rPr>
        <w:t>道，在设计时已充分考虑野生动物的通行，在野生动物分布较多的路段增加了涵洞的建设，桥涵工程的设置有利于小型啮齿动物、爬行动物等的通行。随着时间的推移，野生动物对沿线生境适应，涵洞、通道的通行作用显现，可减轻因公路建设而产生的分离和阻隔，缓解公路的阻隔效应。</w:t>
      </w:r>
    </w:p>
    <w:p>
      <w:pPr>
        <w:pStyle w:val="18"/>
        <w:spacing w:after="0"/>
        <w:ind w:firstLine="480"/>
        <w:rPr>
          <w:rFonts w:cs="宋体"/>
        </w:rPr>
      </w:pPr>
      <w:r>
        <w:rPr>
          <w:rFonts w:hint="eastAsia" w:cs="宋体"/>
        </w:rPr>
        <w:t>（</w:t>
      </w:r>
      <w:r>
        <w:rPr>
          <w:rFonts w:cs="宋体"/>
        </w:rPr>
        <w:t>2</w:t>
      </w:r>
      <w:r>
        <w:rPr>
          <w:rFonts w:hint="eastAsia" w:cs="宋体"/>
        </w:rPr>
        <w:t>）对动物生存环境的影响</w:t>
      </w:r>
    </w:p>
    <w:p>
      <w:pPr>
        <w:pStyle w:val="18"/>
        <w:spacing w:after="0"/>
        <w:ind w:firstLine="480"/>
        <w:rPr>
          <w:rFonts w:cs="宋体"/>
        </w:rPr>
      </w:pPr>
      <w:r>
        <w:rPr>
          <w:rFonts w:hint="eastAsia" w:cs="宋体"/>
        </w:rPr>
        <w:t>公路建设影响野生动物迁涉途径、栖息环境、觅食范围等。鉴于评价区域无大型野生动物，也没有集中性的野生动物栖息地，当地的优势种和常见种为小型啮齿类动物，如野兔、鼠类等，生态适应性强。禽鸟类因活动范围较大，可另行选择栖息地，公路建成后对其影响也较小；对于爬行类、两栖类动物在局部地区的迁移有一定影响，但很快就能适应，影响较小。总之，该区域没有大型迁移性野生动物，故本工程建设对动物的迁移、栖息、觅食的影响不大。</w:t>
      </w:r>
    </w:p>
    <w:p>
      <w:pPr>
        <w:pStyle w:val="190"/>
        <w:spacing w:beforeLines="0" w:afterLines="0"/>
      </w:pPr>
      <w:r>
        <w:rPr>
          <w:rFonts w:hint="eastAsia"/>
        </w:rPr>
        <w:t>5.2.2.</w:t>
      </w:r>
      <w:r>
        <w:t>3</w:t>
      </w:r>
      <w:r>
        <w:rPr>
          <w:rFonts w:hint="eastAsia"/>
        </w:rPr>
        <w:t>景观生态影响分析</w:t>
      </w:r>
    </w:p>
    <w:p>
      <w:pPr>
        <w:pStyle w:val="18"/>
        <w:spacing w:after="0"/>
        <w:ind w:firstLine="480"/>
        <w:rPr>
          <w:rFonts w:cs="宋体"/>
        </w:rPr>
      </w:pPr>
      <w:r>
        <w:rPr>
          <w:rFonts w:hint="eastAsia" w:cs="宋体"/>
        </w:rPr>
        <w:t>（</w:t>
      </w:r>
      <w:r>
        <w:rPr>
          <w:rFonts w:cs="宋体"/>
        </w:rPr>
        <w:t>1</w:t>
      </w:r>
      <w:r>
        <w:rPr>
          <w:rFonts w:hint="eastAsia" w:cs="宋体"/>
        </w:rPr>
        <w:t>）公路景观协调性分析</w:t>
      </w:r>
    </w:p>
    <w:p>
      <w:pPr>
        <w:pStyle w:val="18"/>
        <w:spacing w:after="0"/>
        <w:ind w:firstLine="480"/>
        <w:rPr>
          <w:rFonts w:cs="宋体"/>
        </w:rPr>
      </w:pPr>
      <w:r>
        <w:rPr>
          <w:rFonts w:hint="eastAsia" w:cs="宋体"/>
        </w:rPr>
        <w:t>作为一条现代化公路，公路本身的构筑物（如护坡、排水、桥涵等）、辅助设施（如标牌等）、绿化等都构成公路自身景观，若人为设计不当，对公路自身的景观也会带来负面影响。从其它已建的公路看，本项目的自身景观可以达到和谐统一。</w:t>
      </w:r>
    </w:p>
    <w:p>
      <w:pPr>
        <w:pStyle w:val="18"/>
        <w:spacing w:after="0"/>
        <w:ind w:firstLine="480"/>
        <w:rPr>
          <w:rFonts w:cs="宋体"/>
        </w:rPr>
      </w:pPr>
      <w:r>
        <w:rPr>
          <w:rFonts w:hint="eastAsia" w:cs="宋体"/>
        </w:rPr>
        <w:t>本项目为人文景观，呈带状蜿蜒在成片的农田、人工林、板栗园和村镇之间，进一步切割了原有的景观面貌，使其空间的连续性和自然性被破坏，在区域内划上了不可磨灭的人工痕迹，此种影响是永久性的。就目前环境而言，现有道路与其周围的农田、园地等较好的融合在一起。但随着路面宽度的增加，道路景观对视觉的冲击作用进一步加强，与周边的自然环境形成更强烈的对比。可见，拟建工程建设对周围的景观也有一定的影响。减缓影响的方法主要在于加强公路的绿化工作，在现有景观与公路间形成绿色通道，既可以掩饰公路在色彩、质感上的不协调，又可以起到点缀、缓冲和美化的作用，使公路尽量与周围景观相协调。</w:t>
      </w:r>
    </w:p>
    <w:p>
      <w:pPr>
        <w:pStyle w:val="18"/>
        <w:spacing w:after="0"/>
        <w:ind w:firstLine="480"/>
        <w:rPr>
          <w:rFonts w:cs="宋体"/>
        </w:rPr>
      </w:pPr>
      <w:r>
        <w:rPr>
          <w:rFonts w:hint="eastAsia" w:cs="宋体"/>
        </w:rPr>
        <w:t>根据项目所在区域景观特点，跨河大桥等局部敏感区域将成为运营期影响周围景观的重点。公路跨河桥梁中，大桥的景观影响比较突出。本项目设置大桥</w:t>
      </w:r>
      <w:r>
        <w:rPr>
          <w:rFonts w:hint="eastAsia"/>
          <w:szCs w:val="20"/>
        </w:rPr>
        <w:t>517m/3座</w:t>
      </w:r>
      <w:r>
        <w:rPr>
          <w:rFonts w:hint="eastAsia" w:cs="宋体"/>
        </w:rPr>
        <w:t>，</w:t>
      </w:r>
      <w:r>
        <w:rPr>
          <w:rFonts w:hint="eastAsia"/>
          <w:szCs w:val="20"/>
        </w:rPr>
        <w:t>中桥65m/1座</w:t>
      </w:r>
      <w:r>
        <w:rPr>
          <w:rFonts w:hint="eastAsia" w:cs="宋体"/>
        </w:rPr>
        <w:t>。桥梁将分割水面的整体性，尤其是桥面高出水面形成一处高大的屏障；而且柱式桥墩的设置也切割了河水的连续性。所以桥梁将河流连续的景观一分为二，也对附近的居民和行人造成视觉的隔断，影响了河流及两岸的景观环境。桥梁对河流的切割影响是无法避免的，但可以在桥梁设计方面注重对景观的设计，包括桥型、色彩等方面的设计，避免与周围的景观产生强烈的对比冲突，则可能对周围的普通景观起到增色的效果，并且可能成为当地景观的亮点。</w:t>
      </w:r>
    </w:p>
    <w:p>
      <w:pPr>
        <w:pStyle w:val="18"/>
        <w:spacing w:after="0"/>
        <w:ind w:firstLine="480"/>
        <w:rPr>
          <w:rFonts w:cs="宋体"/>
        </w:rPr>
      </w:pPr>
      <w:r>
        <w:rPr>
          <w:rFonts w:hint="eastAsia" w:cs="宋体"/>
        </w:rPr>
        <w:t>（</w:t>
      </w:r>
      <w:r>
        <w:rPr>
          <w:rFonts w:cs="宋体"/>
        </w:rPr>
        <w:t>2</w:t>
      </w:r>
      <w:r>
        <w:rPr>
          <w:rFonts w:hint="eastAsia" w:cs="宋体"/>
        </w:rPr>
        <w:t>）公路对沿线景观的影响分析</w:t>
      </w:r>
    </w:p>
    <w:p>
      <w:pPr>
        <w:pStyle w:val="18"/>
        <w:spacing w:after="0"/>
        <w:ind w:firstLine="480"/>
        <w:rPr>
          <w:rFonts w:cs="宋体"/>
        </w:rPr>
      </w:pPr>
      <w:r>
        <w:rPr>
          <w:rFonts w:hint="eastAsia" w:cs="宋体"/>
        </w:rPr>
        <w:t>①对沿线景观的有利影响</w:t>
      </w:r>
    </w:p>
    <w:p>
      <w:pPr>
        <w:pStyle w:val="18"/>
        <w:spacing w:after="0"/>
        <w:ind w:firstLine="480"/>
        <w:rPr>
          <w:rFonts w:cs="宋体"/>
        </w:rPr>
      </w:pPr>
      <w:r>
        <w:rPr>
          <w:rFonts w:cs="宋体"/>
        </w:rPr>
        <w:t>a.</w:t>
      </w:r>
      <w:r>
        <w:rPr>
          <w:rFonts w:hint="eastAsia" w:cs="宋体"/>
        </w:rPr>
        <w:t>形成新的人工景观</w:t>
      </w:r>
    </w:p>
    <w:p>
      <w:pPr>
        <w:pStyle w:val="18"/>
        <w:spacing w:after="0"/>
        <w:ind w:firstLine="480"/>
        <w:rPr>
          <w:rFonts w:cs="宋体"/>
        </w:rPr>
      </w:pPr>
      <w:r>
        <w:rPr>
          <w:rFonts w:hint="eastAsia" w:cs="宋体"/>
        </w:rPr>
        <w:t>公路构造物及沿线设施作为有形的实体构成了新的景观因子，影响着整体景观的生态和美学功能。公路景观不同于城市景观，其组成要素和界面以自然因素为主，人工因素为辅，是大地景观不可分割的组成部分。公路在注重自身线形优美的同时，结合所经地区的自然特征和风格，充分利用周围环境的风景资源来实施绿化，更好地使人工构造物融合于自然环境中，形成新的景观，达到视觉上的和谐、舒适、优美。</w:t>
      </w:r>
    </w:p>
    <w:p>
      <w:pPr>
        <w:pStyle w:val="18"/>
        <w:spacing w:after="0"/>
        <w:ind w:firstLine="480"/>
        <w:rPr>
          <w:rFonts w:cs="宋体"/>
        </w:rPr>
      </w:pPr>
      <w:r>
        <w:rPr>
          <w:rFonts w:cs="宋体"/>
        </w:rPr>
        <w:t>b.</w:t>
      </w:r>
      <w:r>
        <w:rPr>
          <w:rFonts w:hint="eastAsia" w:cs="宋体"/>
        </w:rPr>
        <w:t>提供了观景通道</w:t>
      </w:r>
    </w:p>
    <w:p>
      <w:pPr>
        <w:pStyle w:val="18"/>
        <w:spacing w:after="0"/>
        <w:ind w:firstLine="480"/>
        <w:rPr>
          <w:rFonts w:cs="宋体"/>
        </w:rPr>
      </w:pPr>
      <w:r>
        <w:rPr>
          <w:rFonts w:hint="eastAsia" w:cs="宋体"/>
        </w:rPr>
        <w:t>公路的修建为沿线的自然景观提供了一条观景通道，使旅途中的人们，在公路走向的引导下，不断变换视角观赏沿途风光。</w:t>
      </w:r>
    </w:p>
    <w:p>
      <w:pPr>
        <w:pStyle w:val="18"/>
        <w:spacing w:after="0"/>
        <w:ind w:firstLine="480"/>
        <w:rPr>
          <w:rFonts w:cs="宋体"/>
        </w:rPr>
      </w:pPr>
      <w:r>
        <w:rPr>
          <w:rFonts w:hint="eastAsia" w:cs="宋体"/>
        </w:rPr>
        <w:t>②对沿线景观的不利影响</w:t>
      </w:r>
    </w:p>
    <w:p>
      <w:pPr>
        <w:pStyle w:val="18"/>
        <w:spacing w:after="0"/>
        <w:ind w:firstLine="480"/>
        <w:rPr>
          <w:rFonts w:cs="宋体"/>
        </w:rPr>
      </w:pPr>
      <w:r>
        <w:rPr>
          <w:rFonts w:hint="eastAsia" w:cs="宋体"/>
        </w:rPr>
        <w:t>拟建项目竣工营运后，随着车流量的增加，汽车尾气的排放将对局部地区环境空气质量造成一定的影响，进而影响到周围的生态环境，沿线的自然景观也会随着生态环境的变化而发生改变。</w:t>
      </w:r>
    </w:p>
    <w:p>
      <w:pPr>
        <w:pStyle w:val="18"/>
        <w:spacing w:after="0"/>
        <w:ind w:firstLine="480"/>
        <w:rPr>
          <w:rFonts w:cs="宋体"/>
        </w:rPr>
      </w:pPr>
      <w:r>
        <w:rPr>
          <w:rFonts w:hint="eastAsia" w:cs="宋体"/>
        </w:rPr>
        <w:t>（</w:t>
      </w:r>
      <w:r>
        <w:rPr>
          <w:rFonts w:cs="宋体"/>
        </w:rPr>
        <w:t>3</w:t>
      </w:r>
      <w:r>
        <w:rPr>
          <w:rFonts w:hint="eastAsia" w:cs="宋体"/>
        </w:rPr>
        <w:t>）生态完整性影响分析</w:t>
      </w:r>
    </w:p>
    <w:p>
      <w:pPr>
        <w:pStyle w:val="18"/>
        <w:spacing w:after="0"/>
        <w:ind w:firstLine="480"/>
      </w:pPr>
      <w:r>
        <w:rPr>
          <w:rFonts w:hint="eastAsia" w:cs="宋体"/>
        </w:rPr>
        <w:t>拟建项目完成后，跨越河流、分割农田，在一定程度上会使公路沿线各类生态系统产生破碎化。由于本项目永久占地相对评价区内旱地、林地等用地而言数量较小，因此，本项目建设不会对沿线生态完整性产生明显的影响。</w:t>
      </w:r>
    </w:p>
    <w:p>
      <w:pPr>
        <w:pStyle w:val="190"/>
        <w:spacing w:beforeLines="0" w:afterLines="0"/>
      </w:pPr>
      <w:r>
        <w:rPr>
          <w:rFonts w:hint="eastAsia"/>
        </w:rPr>
        <w:t>5.2.2.</w:t>
      </w:r>
      <w:r>
        <w:t>4</w:t>
      </w:r>
      <w:r>
        <w:rPr>
          <w:rFonts w:hint="eastAsia"/>
        </w:rPr>
        <w:t>生态影响评价自查表</w:t>
      </w:r>
    </w:p>
    <w:p>
      <w:pPr>
        <w:pStyle w:val="185"/>
        <w:spacing w:line="480" w:lineRule="exact"/>
        <w:rPr>
          <w:sz w:val="21"/>
          <w:szCs w:val="21"/>
        </w:rPr>
      </w:pPr>
      <w:r>
        <w:rPr>
          <w:sz w:val="21"/>
          <w:szCs w:val="21"/>
        </w:rPr>
        <w:t>表</w:t>
      </w:r>
      <w:r>
        <w:rPr>
          <w:rFonts w:hint="eastAsia"/>
          <w:sz w:val="21"/>
          <w:szCs w:val="21"/>
        </w:rPr>
        <w:t>5.2-1 生态环境影响自查表</w:t>
      </w:r>
    </w:p>
    <w:tbl>
      <w:tblPr>
        <w:tblStyle w:val="683"/>
        <w:tblW w:w="0" w:type="auto"/>
        <w:tblInd w:w="1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49"/>
        <w:gridCol w:w="1535"/>
        <w:gridCol w:w="59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84" w:type="dxa"/>
            <w:gridSpan w:val="2"/>
            <w:vAlign w:val="center"/>
          </w:tcPr>
          <w:p>
            <w:pPr>
              <w:pStyle w:val="675"/>
              <w:jc w:val="center"/>
              <w:rPr>
                <w:rFonts w:ascii="Times New Roman" w:hAnsi="Times New Roman" w:cs="Times New Roman" w:eastAsiaTheme="minorEastAsia"/>
                <w:spacing w:val="-1"/>
                <w:sz w:val="21"/>
                <w:szCs w:val="21"/>
                <w:lang w:eastAsia="zh-CN"/>
              </w:rPr>
            </w:pPr>
            <w:r>
              <w:rPr>
                <w:rFonts w:ascii="Times New Roman" w:hAnsi="Times New Roman" w:cs="Times New Roman" w:eastAsiaTheme="minorEastAsia"/>
                <w:spacing w:val="-1"/>
                <w:sz w:val="21"/>
                <w:szCs w:val="21"/>
                <w:lang w:eastAsia="zh-CN"/>
              </w:rPr>
              <w:t>工作内容</w:t>
            </w:r>
          </w:p>
        </w:tc>
        <w:tc>
          <w:tcPr>
            <w:tcW w:w="5939" w:type="dxa"/>
            <w:vAlign w:val="center"/>
          </w:tcPr>
          <w:p>
            <w:pPr>
              <w:pStyle w:val="675"/>
              <w:jc w:val="center"/>
              <w:rPr>
                <w:rFonts w:ascii="Times New Roman" w:hAnsi="Times New Roman" w:cs="Times New Roman" w:eastAsiaTheme="minorEastAsia"/>
                <w:spacing w:val="-1"/>
                <w:sz w:val="21"/>
                <w:szCs w:val="21"/>
                <w:lang w:eastAsia="zh-CN"/>
              </w:rPr>
            </w:pPr>
            <w:r>
              <w:rPr>
                <w:rFonts w:ascii="Times New Roman" w:hAnsi="Times New Roman" w:cs="Times New Roman" w:eastAsiaTheme="minorEastAsia"/>
                <w:spacing w:val="-1"/>
                <w:sz w:val="21"/>
                <w:szCs w:val="21"/>
                <w:lang w:eastAsia="zh-CN"/>
              </w:rPr>
              <w:t>自查项目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5" w:hRule="atLeast"/>
        </w:trPr>
        <w:tc>
          <w:tcPr>
            <w:tcW w:w="949" w:type="dxa"/>
            <w:vMerge w:val="restart"/>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4"/>
                <w:sz w:val="21"/>
                <w:szCs w:val="21"/>
              </w:rPr>
              <w:t>生态影响识别</w:t>
            </w:r>
          </w:p>
        </w:tc>
        <w:tc>
          <w:tcPr>
            <w:tcW w:w="1535" w:type="dxa"/>
            <w:vAlign w:val="center"/>
          </w:tcPr>
          <w:p>
            <w:pPr>
              <w:pStyle w:val="675"/>
              <w:jc w:val="center"/>
              <w:rPr>
                <w:rFonts w:ascii="Times New Roman" w:hAnsi="Times New Roman" w:cs="Times New Roman" w:eastAsiaTheme="minorEastAsia"/>
                <w:spacing w:val="-1"/>
                <w:sz w:val="21"/>
                <w:szCs w:val="21"/>
                <w:lang w:eastAsia="zh-CN"/>
              </w:rPr>
            </w:pPr>
            <w:r>
              <w:rPr>
                <w:rFonts w:ascii="Times New Roman" w:hAnsi="Times New Roman" w:cs="Times New Roman" w:eastAsiaTheme="minorEastAsia"/>
                <w:spacing w:val="-1"/>
                <w:sz w:val="21"/>
                <w:szCs w:val="21"/>
                <w:lang w:eastAsia="zh-CN"/>
              </w:rPr>
              <w:t>生态保护目标</w:t>
            </w:r>
          </w:p>
        </w:tc>
        <w:tc>
          <w:tcPr>
            <w:tcW w:w="5939" w:type="dxa"/>
            <w:vAlign w:val="center"/>
          </w:tcPr>
          <w:p>
            <w:pPr>
              <w:pStyle w:val="675"/>
              <w:jc w:val="both"/>
              <w:rPr>
                <w:rFonts w:ascii="Times New Roman" w:hAnsi="Times New Roman" w:cs="Times New Roman" w:eastAsiaTheme="minorEastAsia"/>
                <w:spacing w:val="-1"/>
                <w:sz w:val="21"/>
                <w:szCs w:val="21"/>
                <w:lang w:eastAsia="zh-CN"/>
              </w:rPr>
            </w:pPr>
            <w:r>
              <w:rPr>
                <w:rFonts w:ascii="Times New Roman" w:hAnsi="Times New Roman" w:cs="Times New Roman" w:eastAsiaTheme="minorEastAsia"/>
                <w:spacing w:val="-1"/>
                <w:sz w:val="21"/>
                <w:szCs w:val="21"/>
                <w:lang w:eastAsia="zh-CN"/>
              </w:rPr>
              <w:t>重要物种□；国家公园□；自然保护区□；自然公园□；世界遗产□；生态保护红线□；重要生境□；其他具有重要生态功能、对保护生物多样性具有重要意义的区域□；其他√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影响方式</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工程占用√；施工活动干扰√；改变环境条件□；其他□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07"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评价因子</w:t>
            </w:r>
          </w:p>
        </w:tc>
        <w:tc>
          <w:tcPr>
            <w:tcW w:w="5939" w:type="dxa"/>
            <w:vAlign w:val="center"/>
          </w:tcPr>
          <w:p>
            <w:pPr>
              <w:pStyle w:val="675"/>
              <w:jc w:val="both"/>
              <w:rPr>
                <w:rFonts w:ascii="Times New Roman" w:hAnsi="Times New Roman" w:cs="Times New Roman" w:eastAsiaTheme="minorEastAsia"/>
                <w:spacing w:val="-4"/>
                <w:sz w:val="21"/>
                <w:szCs w:val="21"/>
                <w:lang w:eastAsia="zh-CN"/>
              </w:rPr>
            </w:pPr>
            <w:r>
              <w:rPr>
                <w:rFonts w:ascii="Times New Roman" w:hAnsi="Times New Roman" w:cs="Times New Roman" w:eastAsiaTheme="minorEastAsia"/>
                <w:spacing w:val="-4"/>
                <w:sz w:val="21"/>
                <w:szCs w:val="21"/>
                <w:lang w:eastAsia="zh-CN"/>
              </w:rPr>
              <w:t>物种□</w:t>
            </w:r>
            <w:r>
              <w:rPr>
                <w:rFonts w:hint="eastAsia" w:ascii="Times New Roman" w:hAnsi="Times New Roman" w:cs="Times New Roman" w:eastAsiaTheme="minorEastAsia"/>
                <w:spacing w:val="-4"/>
                <w:sz w:val="21"/>
                <w:szCs w:val="21"/>
                <w:lang w:eastAsia="zh-CN"/>
              </w:rPr>
              <w:t xml:space="preserve">（ </w:t>
            </w:r>
            <w:r>
              <w:rPr>
                <w:rFonts w:ascii="Times New Roman" w:hAnsi="Times New Roman" w:cs="Times New Roman" w:eastAsiaTheme="minorEastAsia"/>
                <w:spacing w:val="-4"/>
                <w:sz w:val="21"/>
                <w:szCs w:val="21"/>
                <w:lang w:eastAsia="zh-CN"/>
              </w:rPr>
              <w:t xml:space="preserve">             </w:t>
            </w:r>
            <w:r>
              <w:rPr>
                <w:rFonts w:hint="eastAsia" w:ascii="Times New Roman" w:hAnsi="Times New Roman" w:cs="Times New Roman" w:eastAsiaTheme="minorEastAsia"/>
                <w:spacing w:val="-4"/>
                <w:sz w:val="21"/>
                <w:szCs w:val="21"/>
                <w:lang w:eastAsia="zh-CN"/>
              </w:rPr>
              <w:t>）；</w:t>
            </w:r>
          </w:p>
          <w:p>
            <w:pPr>
              <w:pStyle w:val="675"/>
              <w:jc w:val="both"/>
              <w:rPr>
                <w:rFonts w:ascii="Times New Roman" w:hAnsi="Times New Roman" w:cs="Times New Roman" w:eastAsiaTheme="minorEastAsia"/>
                <w:sz w:val="21"/>
                <w:szCs w:val="21"/>
                <w:lang w:eastAsia="zh-CN"/>
              </w:rPr>
            </w:pPr>
            <w:r>
              <w:rPr>
                <w:rFonts w:ascii="Times New Roman" w:hAnsi="Times New Roman" w:cs="Times New Roman" w:eastAsiaTheme="minorEastAsia"/>
                <w:spacing w:val="-2"/>
                <w:sz w:val="21"/>
                <w:szCs w:val="21"/>
                <w:lang w:eastAsia="zh-CN"/>
              </w:rPr>
              <w:t>生境□</w:t>
            </w:r>
            <w:r>
              <w:rPr>
                <w:rFonts w:ascii="Times New Roman" w:hAnsi="Times New Roman" w:cs="Times New Roman" w:eastAsiaTheme="minorEastAsia"/>
                <w:spacing w:val="-5"/>
                <w:sz w:val="21"/>
                <w:szCs w:val="21"/>
                <w:lang w:eastAsia="zh-CN"/>
              </w:rPr>
              <w:t>（</w:t>
            </w:r>
            <w:r>
              <w:rPr>
                <w:rFonts w:hint="eastAsia" w:ascii="Times New Roman" w:hAnsi="Times New Roman" w:cs="Times New Roman" w:eastAsiaTheme="minorEastAsia"/>
                <w:spacing w:val="-5"/>
                <w:sz w:val="21"/>
                <w:szCs w:val="21"/>
                <w:lang w:eastAsia="zh-CN"/>
              </w:rPr>
              <w:t xml:space="preserve"> </w:t>
            </w:r>
            <w:r>
              <w:rPr>
                <w:rFonts w:ascii="Times New Roman" w:hAnsi="Times New Roman" w:cs="Times New Roman" w:eastAsiaTheme="minorEastAsia"/>
                <w:spacing w:val="-5"/>
                <w:sz w:val="21"/>
                <w:szCs w:val="21"/>
                <w:lang w:eastAsia="zh-CN"/>
              </w:rPr>
              <w:t xml:space="preserve">             </w:t>
            </w:r>
            <w:r>
              <w:rPr>
                <w:rFonts w:hint="eastAsia" w:ascii="Times New Roman" w:hAnsi="Times New Roman" w:cs="Times New Roman" w:eastAsiaTheme="minorEastAsia"/>
                <w:spacing w:val="-5"/>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生物群落√</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生态系统√</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生物多样性√</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生态敏感区□</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自然景观□</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pacing w:val="-2"/>
                <w:sz w:val="21"/>
                <w:szCs w:val="21"/>
                <w:lang w:eastAsia="zh-CN"/>
              </w:rPr>
            </w:pPr>
            <w:r>
              <w:rPr>
                <w:rFonts w:ascii="Times New Roman" w:hAnsi="Times New Roman" w:cs="Times New Roman" w:eastAsiaTheme="minorEastAsia"/>
                <w:spacing w:val="-2"/>
                <w:sz w:val="21"/>
                <w:szCs w:val="21"/>
                <w:lang w:eastAsia="zh-CN"/>
              </w:rPr>
              <w:t>自然遗迹□</w:t>
            </w:r>
            <w:r>
              <w:rPr>
                <w:rFonts w:hint="eastAsia" w:ascii="Times New Roman" w:hAnsi="Times New Roman" w:cs="Times New Roman" w:eastAsiaTheme="minorEastAsia"/>
                <w:spacing w:val="-2"/>
                <w:sz w:val="21"/>
                <w:szCs w:val="21"/>
                <w:lang w:eastAsia="zh-CN"/>
              </w:rPr>
              <w:t xml:space="preserve">（ </w:t>
            </w:r>
            <w:r>
              <w:rPr>
                <w:rFonts w:ascii="Times New Roman" w:hAnsi="Times New Roman" w:cs="Times New Roman" w:eastAsiaTheme="minorEastAsia"/>
                <w:spacing w:val="-2"/>
                <w:sz w:val="21"/>
                <w:szCs w:val="21"/>
                <w:lang w:eastAsia="zh-CN"/>
              </w:rPr>
              <w:t xml:space="preserve">        </w:t>
            </w:r>
            <w:r>
              <w:rPr>
                <w:rFonts w:hint="eastAsia" w:ascii="Times New Roman" w:hAnsi="Times New Roman" w:cs="Times New Roman" w:eastAsiaTheme="minorEastAsia"/>
                <w:spacing w:val="-2"/>
                <w:sz w:val="21"/>
                <w:szCs w:val="21"/>
                <w:lang w:eastAsia="zh-CN"/>
              </w:rPr>
              <w:t>）；</w:t>
            </w:r>
          </w:p>
          <w:p>
            <w:pPr>
              <w:pStyle w:val="675"/>
              <w:jc w:val="both"/>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其他</w:t>
            </w:r>
            <w:r>
              <w:rPr>
                <w:rFonts w:ascii="Times New Roman" w:hAnsi="Times New Roman" w:cs="Times New Roman" w:eastAsiaTheme="minorEastAsia"/>
                <w:spacing w:val="-5"/>
                <w:sz w:val="21"/>
                <w:szCs w:val="21"/>
                <w:lang w:eastAsia="zh-CN"/>
              </w:rPr>
              <w:t>□</w:t>
            </w:r>
            <w:r>
              <w:rPr>
                <w:rFonts w:hint="eastAsia" w:ascii="Times New Roman" w:hAnsi="Times New Roman" w:cs="Times New Roman" w:eastAsiaTheme="minorEastAsia"/>
                <w:spacing w:val="-5"/>
                <w:sz w:val="21"/>
                <w:szCs w:val="21"/>
                <w:lang w:eastAsia="zh-CN"/>
              </w:rPr>
              <w:t xml:space="preserve">（ </w:t>
            </w:r>
            <w:r>
              <w:rPr>
                <w:rFonts w:ascii="Times New Roman" w:hAnsi="Times New Roman" w:cs="Times New Roman" w:eastAsiaTheme="minorEastAsia"/>
                <w:spacing w:val="-5"/>
                <w:sz w:val="21"/>
                <w:szCs w:val="21"/>
                <w:lang w:eastAsia="zh-CN"/>
              </w:rPr>
              <w:t xml:space="preserve">             </w:t>
            </w:r>
            <w:r>
              <w:rPr>
                <w:rFonts w:hint="eastAsia" w:ascii="Times New Roman" w:hAnsi="Times New Roman" w:cs="Times New Roman" w:eastAsiaTheme="minorEastAsia"/>
                <w:spacing w:val="-5"/>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2484" w:type="dxa"/>
            <w:gridSpan w:val="2"/>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评价等级</w:t>
            </w:r>
          </w:p>
        </w:tc>
        <w:tc>
          <w:tcPr>
            <w:tcW w:w="5939" w:type="dxa"/>
            <w:vAlign w:val="center"/>
          </w:tcPr>
          <w:p>
            <w:pPr>
              <w:pStyle w:val="675"/>
              <w:tabs>
                <w:tab w:val="left" w:pos="1220"/>
              </w:tabs>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一级</w:t>
            </w:r>
            <w:r>
              <w:rPr>
                <w:rFonts w:ascii="Times New Roman" w:hAnsi="Times New Roman" w:cs="Times New Roman" w:eastAsiaTheme="minorEastAsia"/>
                <w:spacing w:val="-10"/>
                <w:sz w:val="21"/>
                <w:szCs w:val="21"/>
                <w:lang w:eastAsia="zh-CN"/>
              </w:rPr>
              <w:t>□</w:t>
            </w:r>
            <w:r>
              <w:rPr>
                <w:rFonts w:ascii="Times New Roman" w:hAnsi="Times New Roman" w:cs="Times New Roman" w:eastAsiaTheme="minorEastAsia"/>
                <w:sz w:val="21"/>
                <w:szCs w:val="21"/>
                <w:lang w:eastAsia="zh-CN"/>
              </w:rPr>
              <w:tab/>
            </w:r>
            <w:r>
              <w:rPr>
                <w:rFonts w:ascii="Times New Roman" w:hAnsi="Times New Roman" w:cs="Times New Roman" w:eastAsiaTheme="minorEastAsia"/>
                <w:sz w:val="21"/>
                <w:szCs w:val="21"/>
                <w:lang w:eastAsia="zh-CN"/>
              </w:rPr>
              <w:t>二级</w:t>
            </w:r>
            <w:r>
              <w:rPr>
                <w:rFonts w:ascii="Times New Roman" w:hAnsi="Times New Roman" w:cs="Times New Roman" w:eastAsiaTheme="minorEastAsia"/>
                <w:spacing w:val="-10"/>
                <w:sz w:val="21"/>
                <w:szCs w:val="21"/>
                <w:lang w:eastAsia="zh-CN"/>
              </w:rPr>
              <w:t xml:space="preserve">□       </w:t>
            </w:r>
            <w:r>
              <w:rPr>
                <w:rFonts w:ascii="Times New Roman" w:hAnsi="Times New Roman" w:cs="Times New Roman" w:eastAsiaTheme="minorEastAsia"/>
                <w:spacing w:val="-4"/>
                <w:sz w:val="21"/>
                <w:szCs w:val="21"/>
                <w:lang w:eastAsia="zh-CN"/>
              </w:rPr>
              <w:t xml:space="preserve">三级√        </w:t>
            </w:r>
            <w:r>
              <w:rPr>
                <w:rFonts w:ascii="Times New Roman" w:hAnsi="Times New Roman" w:cs="Times New Roman" w:eastAsiaTheme="minorEastAsia"/>
                <w:spacing w:val="-3"/>
                <w:sz w:val="21"/>
                <w:szCs w:val="21"/>
                <w:lang w:eastAsia="zh-CN"/>
              </w:rPr>
              <w:t>生态影响简单分析□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2484" w:type="dxa"/>
            <w:gridSpan w:val="2"/>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评价范围</w:t>
            </w:r>
          </w:p>
        </w:tc>
        <w:tc>
          <w:tcPr>
            <w:tcW w:w="5939" w:type="dxa"/>
            <w:vAlign w:val="center"/>
          </w:tcPr>
          <w:p>
            <w:pPr>
              <w:pStyle w:val="675"/>
              <w:tabs>
                <w:tab w:val="left" w:pos="4332"/>
              </w:tabs>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2"/>
                <w:sz w:val="21"/>
                <w:szCs w:val="21"/>
                <w:lang w:eastAsia="zh-CN"/>
              </w:rPr>
              <w:t>陆域面积：（6.12）km</w:t>
            </w:r>
            <w:r>
              <w:rPr>
                <w:rFonts w:ascii="Times New Roman" w:hAnsi="Times New Roman" w:cs="Times New Roman" w:eastAsiaTheme="minorEastAsia"/>
                <w:spacing w:val="-2"/>
                <w:sz w:val="21"/>
                <w:szCs w:val="21"/>
                <w:vertAlign w:val="superscript"/>
                <w:lang w:eastAsia="zh-CN"/>
              </w:rPr>
              <w:t>2</w:t>
            </w:r>
            <w:r>
              <w:rPr>
                <w:rFonts w:ascii="Times New Roman" w:hAnsi="Times New Roman" w:cs="Times New Roman" w:eastAsiaTheme="minorEastAsia"/>
                <w:spacing w:val="-2"/>
                <w:sz w:val="21"/>
                <w:szCs w:val="21"/>
                <w:lang w:eastAsia="zh-CN"/>
              </w:rPr>
              <w:t>；水域面积</w:t>
            </w:r>
            <w:r>
              <w:rPr>
                <w:rFonts w:ascii="Times New Roman" w:hAnsi="Times New Roman" w:cs="Times New Roman" w:eastAsiaTheme="minorEastAsia"/>
                <w:spacing w:val="-5"/>
                <w:sz w:val="21"/>
                <w:szCs w:val="21"/>
                <w:lang w:eastAsia="zh-CN"/>
              </w:rPr>
              <w:t>：（</w:t>
            </w:r>
            <w:r>
              <w:rPr>
                <w:rFonts w:ascii="Times New Roman" w:hAnsi="Times New Roman" w:cs="Times New Roman" w:eastAsiaTheme="minorEastAsia"/>
                <w:sz w:val="21"/>
                <w:szCs w:val="21"/>
                <w:lang w:eastAsia="zh-CN"/>
              </w:rPr>
              <w:tab/>
            </w:r>
            <w:r>
              <w:rPr>
                <w:rFonts w:ascii="Times New Roman" w:hAnsi="Times New Roman" w:cs="Times New Roman" w:eastAsiaTheme="minorEastAsia"/>
                <w:spacing w:val="-4"/>
                <w:sz w:val="21"/>
                <w:szCs w:val="21"/>
                <w:lang w:eastAsia="zh-CN"/>
              </w:rPr>
              <w:t>）km</w:t>
            </w:r>
            <w:r>
              <w:rPr>
                <w:rFonts w:ascii="Times New Roman" w:hAnsi="Times New Roman" w:cs="Times New Roman" w:eastAsiaTheme="minorEastAsia"/>
                <w:spacing w:val="-4"/>
                <w:sz w:val="21"/>
                <w:szCs w:val="21"/>
                <w:vertAlign w:val="superscript"/>
                <w:lang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49" w:type="dxa"/>
            <w:vMerge w:val="restart"/>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4"/>
                <w:sz w:val="21"/>
                <w:szCs w:val="21"/>
              </w:rPr>
              <w:t>生态现状调查与评价</w:t>
            </w: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调查方法</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5"/>
                <w:sz w:val="21"/>
                <w:szCs w:val="21"/>
                <w:lang w:eastAsia="zh-CN"/>
              </w:rPr>
              <w:t>资料收集√；遥感调查</w:t>
            </w:r>
            <w:r>
              <w:rPr>
                <w:rFonts w:ascii="Times New Roman" w:hAnsi="Times New Roman" w:cs="Times New Roman" w:eastAsiaTheme="minorEastAsia"/>
                <w:spacing w:val="-1"/>
                <w:sz w:val="21"/>
                <w:szCs w:val="21"/>
                <w:lang w:eastAsia="zh-CN"/>
              </w:rPr>
              <w:t>□</w:t>
            </w:r>
            <w:r>
              <w:rPr>
                <w:rFonts w:ascii="Times New Roman" w:hAnsi="Times New Roman" w:cs="Times New Roman" w:eastAsiaTheme="minorEastAsia"/>
                <w:spacing w:val="-5"/>
                <w:sz w:val="21"/>
                <w:szCs w:val="21"/>
                <w:lang w:eastAsia="zh-CN"/>
              </w:rPr>
              <w:t>；调查样方、样线</w:t>
            </w:r>
            <w:r>
              <w:rPr>
                <w:rFonts w:ascii="Times New Roman" w:hAnsi="Times New Roman" w:cs="Times New Roman" w:eastAsiaTheme="minorEastAsia"/>
                <w:spacing w:val="-1"/>
                <w:sz w:val="21"/>
                <w:szCs w:val="21"/>
                <w:lang w:eastAsia="zh-CN"/>
              </w:rPr>
              <w:t>□</w:t>
            </w:r>
            <w:r>
              <w:rPr>
                <w:rFonts w:ascii="Times New Roman" w:hAnsi="Times New Roman" w:cs="Times New Roman" w:eastAsiaTheme="minorEastAsia"/>
                <w:spacing w:val="-5"/>
                <w:sz w:val="21"/>
                <w:szCs w:val="21"/>
                <w:lang w:eastAsia="zh-CN"/>
              </w:rPr>
              <w:t>；调查点位、断面</w:t>
            </w:r>
          </w:p>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□；专家和公众咨询法□；其他□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调查时间</w:t>
            </w:r>
          </w:p>
        </w:tc>
        <w:tc>
          <w:tcPr>
            <w:tcW w:w="5939"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1"/>
                <w:sz w:val="21"/>
                <w:szCs w:val="21"/>
              </w:rPr>
              <w:t>春季□；夏季□；秋季</w:t>
            </w:r>
            <w:r>
              <w:rPr>
                <w:rFonts w:ascii="Times New Roman" w:hAnsi="Times New Roman" w:cs="Times New Roman" w:eastAsiaTheme="minorEastAsia"/>
                <w:spacing w:val="-1"/>
                <w:sz w:val="21"/>
                <w:szCs w:val="21"/>
                <w:lang w:eastAsia="zh-CN"/>
              </w:rPr>
              <w:t>□</w:t>
            </w:r>
            <w:r>
              <w:rPr>
                <w:rFonts w:ascii="Times New Roman" w:hAnsi="Times New Roman" w:cs="Times New Roman" w:eastAsiaTheme="minorEastAsia"/>
                <w:spacing w:val="-1"/>
                <w:sz w:val="21"/>
                <w:szCs w:val="21"/>
              </w:rPr>
              <w:t>；冬季□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49" w:type="dxa"/>
            <w:vMerge w:val="continue"/>
            <w:vAlign w:val="center"/>
          </w:tcPr>
          <w:p>
            <w:pPr>
              <w:spacing w:line="240" w:lineRule="auto"/>
              <w:ind w:firstLine="0" w:firstLineChars="0"/>
              <w:jc w:val="center"/>
              <w:rPr>
                <w:rFonts w:eastAsiaTheme="minorEastAsia"/>
                <w:sz w:val="21"/>
                <w:szCs w:val="21"/>
                <w:lang w:eastAsia="en-US"/>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2"/>
                <w:sz w:val="21"/>
                <w:szCs w:val="21"/>
              </w:rPr>
              <w:t>所在区域的生</w:t>
            </w:r>
            <w:r>
              <w:rPr>
                <w:rFonts w:ascii="Times New Roman" w:hAnsi="Times New Roman" w:cs="Times New Roman" w:eastAsiaTheme="minorEastAsia"/>
                <w:spacing w:val="-4"/>
                <w:sz w:val="21"/>
                <w:szCs w:val="21"/>
              </w:rPr>
              <w:t>态问题</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5"/>
                <w:sz w:val="21"/>
                <w:szCs w:val="21"/>
                <w:lang w:eastAsia="zh-CN"/>
              </w:rPr>
              <w:t>水土流失√；沙漠化□；石漠化□；盐渍化□；生物入侵□；污</w:t>
            </w:r>
            <w:r>
              <w:rPr>
                <w:rFonts w:ascii="Times New Roman" w:hAnsi="Times New Roman" w:cs="Times New Roman" w:eastAsiaTheme="minorEastAsia"/>
                <w:spacing w:val="-2"/>
                <w:sz w:val="21"/>
                <w:szCs w:val="21"/>
                <w:lang w:eastAsia="zh-CN"/>
              </w:rPr>
              <w:t>染危害□；其他□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评价内容</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植被/</w:t>
            </w:r>
            <w:r>
              <w:rPr>
                <w:rFonts w:ascii="Times New Roman" w:hAnsi="Times New Roman" w:cs="Times New Roman" w:eastAsiaTheme="minorEastAsia"/>
                <w:spacing w:val="-2"/>
                <w:sz w:val="21"/>
                <w:szCs w:val="21"/>
                <w:lang w:eastAsia="zh-CN"/>
              </w:rPr>
              <w:t>植物群落√；土地利用√；生态系统√；生物多样性□；</w:t>
            </w:r>
          </w:p>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重要物种□；生态敏感区□；其他□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949" w:type="dxa"/>
            <w:vMerge w:val="restart"/>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4"/>
                <w:sz w:val="21"/>
                <w:szCs w:val="21"/>
              </w:rPr>
              <w:t>生态影响预测与评价</w:t>
            </w: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评价方法</w:t>
            </w:r>
          </w:p>
        </w:tc>
        <w:tc>
          <w:tcPr>
            <w:tcW w:w="5939" w:type="dxa"/>
            <w:vAlign w:val="center"/>
          </w:tcPr>
          <w:p>
            <w:pPr>
              <w:pStyle w:val="675"/>
              <w:rPr>
                <w:rFonts w:ascii="Times New Roman" w:hAnsi="Times New Roman" w:cs="Times New Roman" w:eastAsiaTheme="minorEastAsia"/>
                <w:sz w:val="21"/>
                <w:szCs w:val="21"/>
              </w:rPr>
            </w:pPr>
            <w:r>
              <w:rPr>
                <w:rFonts w:ascii="Times New Roman" w:hAnsi="Times New Roman" w:cs="Times New Roman" w:eastAsiaTheme="minorEastAsia"/>
                <w:spacing w:val="-1"/>
                <w:sz w:val="21"/>
                <w:szCs w:val="21"/>
              </w:rPr>
              <w:t>定性□；定性和定量√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trPr>
        <w:tc>
          <w:tcPr>
            <w:tcW w:w="949" w:type="dxa"/>
            <w:vMerge w:val="continue"/>
            <w:vAlign w:val="center"/>
          </w:tcPr>
          <w:p>
            <w:pPr>
              <w:spacing w:line="240" w:lineRule="auto"/>
              <w:ind w:firstLine="0" w:firstLineChars="0"/>
              <w:jc w:val="center"/>
              <w:rPr>
                <w:rFonts w:eastAsiaTheme="minorEastAsia"/>
                <w:sz w:val="21"/>
                <w:szCs w:val="21"/>
                <w:lang w:eastAsia="en-US"/>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评价内容</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植被/</w:t>
            </w:r>
            <w:r>
              <w:rPr>
                <w:rFonts w:ascii="Times New Roman" w:hAnsi="Times New Roman" w:cs="Times New Roman" w:eastAsiaTheme="minorEastAsia"/>
                <w:spacing w:val="-2"/>
                <w:sz w:val="21"/>
                <w:szCs w:val="21"/>
                <w:lang w:eastAsia="zh-CN"/>
              </w:rPr>
              <w:t>植物群落√；土地利用√；生态系统√；生物多样性□；</w:t>
            </w:r>
          </w:p>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重要物种□；生态敏感区□；生物入侵风险□；其他□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949" w:type="dxa"/>
            <w:vMerge w:val="restart"/>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4"/>
                <w:sz w:val="21"/>
                <w:szCs w:val="21"/>
              </w:rPr>
              <w:t>生态保护对策</w:t>
            </w:r>
            <w:r>
              <w:rPr>
                <w:rFonts w:ascii="Times New Roman" w:hAnsi="Times New Roman" w:cs="Times New Roman" w:eastAsiaTheme="minorEastAsia"/>
                <w:spacing w:val="-6"/>
                <w:sz w:val="21"/>
                <w:szCs w:val="21"/>
              </w:rPr>
              <w:t>措施</w:t>
            </w: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对策措施</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避让√；减缓√；生态修复√；生态补偿√；科研□；其他□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2"/>
                <w:sz w:val="21"/>
                <w:szCs w:val="21"/>
              </w:rPr>
              <w:t>生态监测计划</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全生命周期□；长期跟踪√；常规□；无□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12" w:hRule="atLeast"/>
        </w:trPr>
        <w:tc>
          <w:tcPr>
            <w:tcW w:w="949" w:type="dxa"/>
            <w:vMerge w:val="continue"/>
            <w:vAlign w:val="center"/>
          </w:tcPr>
          <w:p>
            <w:pPr>
              <w:spacing w:line="240" w:lineRule="auto"/>
              <w:ind w:firstLine="0" w:firstLineChars="0"/>
              <w:jc w:val="center"/>
              <w:rPr>
                <w:rFonts w:eastAsiaTheme="minorEastAsia"/>
                <w:sz w:val="21"/>
                <w:szCs w:val="21"/>
                <w:lang w:eastAsia="zh-CN"/>
              </w:rPr>
            </w:pP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环境管理</w:t>
            </w:r>
          </w:p>
        </w:tc>
        <w:tc>
          <w:tcPr>
            <w:tcW w:w="5939"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pacing w:val="-1"/>
                <w:sz w:val="21"/>
                <w:szCs w:val="21"/>
                <w:lang w:eastAsia="zh-CN"/>
              </w:rPr>
              <w:t>环境监测√；环境影响后评价□；其他□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23" w:hRule="atLeast"/>
        </w:trPr>
        <w:tc>
          <w:tcPr>
            <w:tcW w:w="949"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5"/>
                <w:sz w:val="21"/>
                <w:szCs w:val="21"/>
              </w:rPr>
              <w:t>评价结论</w:t>
            </w:r>
          </w:p>
        </w:tc>
        <w:tc>
          <w:tcPr>
            <w:tcW w:w="1535"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3"/>
                <w:sz w:val="21"/>
                <w:szCs w:val="21"/>
              </w:rPr>
              <w:t>生态影响</w:t>
            </w:r>
          </w:p>
        </w:tc>
        <w:tc>
          <w:tcPr>
            <w:tcW w:w="5939" w:type="dxa"/>
            <w:vAlign w:val="center"/>
          </w:tcPr>
          <w:p>
            <w:pPr>
              <w:pStyle w:val="675"/>
              <w:jc w:val="center"/>
              <w:rPr>
                <w:rFonts w:ascii="Times New Roman" w:hAnsi="Times New Roman" w:cs="Times New Roman" w:eastAsiaTheme="minorEastAsia"/>
                <w:sz w:val="21"/>
                <w:szCs w:val="21"/>
              </w:rPr>
            </w:pPr>
            <w:r>
              <w:rPr>
                <w:rFonts w:ascii="Times New Roman" w:hAnsi="Times New Roman" w:cs="Times New Roman" w:eastAsiaTheme="minorEastAsia"/>
                <w:spacing w:val="-2"/>
                <w:sz w:val="21"/>
                <w:szCs w:val="21"/>
              </w:rPr>
              <w:t>可行√；不可行□</w:t>
            </w:r>
          </w:p>
        </w:tc>
      </w:tr>
    </w:tbl>
    <w:p>
      <w:pPr>
        <w:pStyle w:val="204"/>
        <w:spacing w:line="480" w:lineRule="exact"/>
        <w:ind w:firstLine="0" w:firstLineChars="0"/>
        <w:outlineLvl w:val="2"/>
        <w:rPr>
          <w:b/>
          <w:sz w:val="28"/>
          <w:szCs w:val="28"/>
          <w:highlight w:val="yellow"/>
        </w:rPr>
      </w:pPr>
      <w:r>
        <w:rPr>
          <w:rFonts w:hint="eastAsia"/>
          <w:b/>
          <w:sz w:val="28"/>
          <w:szCs w:val="28"/>
        </w:rPr>
        <w:t>5.2.2运营期交通噪声影响预测与评价</w:t>
      </w:r>
    </w:p>
    <w:p>
      <w:pPr>
        <w:pStyle w:val="190"/>
        <w:spacing w:beforeLines="0" w:afterLines="0"/>
      </w:pPr>
      <w:r>
        <w:rPr>
          <w:rFonts w:hint="eastAsia"/>
        </w:rPr>
        <w:t>5.2.2.1公路交通噪声预测模式</w:t>
      </w:r>
    </w:p>
    <w:p>
      <w:pPr>
        <w:ind w:firstLine="480"/>
        <w:rPr>
          <w:szCs w:val="24"/>
        </w:rPr>
      </w:pPr>
      <w:r>
        <w:rPr>
          <w:szCs w:val="24"/>
        </w:rPr>
        <w:t>根据拟建项目特点、沿线的环境特征，以及工程设计的交通量等因素，本评价采用《环境影响评价技术导则</w:t>
      </w:r>
      <w:r>
        <w:rPr>
          <w:rFonts w:hint="eastAsia"/>
          <w:szCs w:val="24"/>
        </w:rPr>
        <w:t xml:space="preserve"> </w:t>
      </w:r>
      <w:r>
        <w:rPr>
          <w:szCs w:val="24"/>
        </w:rPr>
        <w:t>声环境》（HJ2.4-20</w:t>
      </w:r>
      <w:r>
        <w:rPr>
          <w:rFonts w:hint="eastAsia"/>
          <w:szCs w:val="24"/>
        </w:rPr>
        <w:t>21</w:t>
      </w:r>
      <w:r>
        <w:rPr>
          <w:szCs w:val="24"/>
        </w:rPr>
        <w:t>）中推荐的公路噪声预测模式进行预测。地面任何一点的环境噪声是指线声源传至该点时的噪声能量与该点背景噪声能量的叠加。</w:t>
      </w:r>
    </w:p>
    <w:p>
      <w:pPr>
        <w:ind w:firstLine="480"/>
        <w:rPr>
          <w:szCs w:val="24"/>
        </w:rPr>
      </w:pPr>
      <w:r>
        <w:rPr>
          <w:szCs w:val="24"/>
        </w:rPr>
        <w:t>（1）</w:t>
      </w:r>
      <w:r>
        <w:rPr>
          <w:rFonts w:hint="eastAsia"/>
          <w:szCs w:val="24"/>
        </w:rPr>
        <w:t>第</w:t>
      </w:r>
      <w:r>
        <w:rPr>
          <w:szCs w:val="24"/>
        </w:rPr>
        <w:t>i型</w:t>
      </w:r>
      <w:r>
        <w:rPr>
          <w:rFonts w:hint="eastAsia"/>
          <w:szCs w:val="24"/>
        </w:rPr>
        <w:t>等效声级的</w:t>
      </w:r>
      <w:r>
        <w:rPr>
          <w:szCs w:val="24"/>
        </w:rPr>
        <w:t>预测模</w:t>
      </w:r>
      <w:r>
        <w:rPr>
          <w:rFonts w:hint="eastAsia"/>
          <w:szCs w:val="24"/>
        </w:rPr>
        <w:t>式：</w:t>
      </w:r>
    </w:p>
    <w:p>
      <w:pPr>
        <w:spacing w:line="240" w:lineRule="auto"/>
        <w:ind w:firstLine="480"/>
        <w:jc w:val="center"/>
        <w:rPr>
          <w:i/>
          <w:highlight w:val="yellow"/>
        </w:rPr>
      </w:pPr>
      <m:oMathPara>
        <m:oMath>
          <m:sSub>
            <m:sSubPr>
              <m:ctrlPr>
                <w:rPr>
                  <w:rFonts w:ascii="Cambria Math" w:hAnsi="Cambria Math"/>
                  <w:i/>
                </w:rPr>
              </m:ctrlPr>
            </m:sSubPr>
            <m:e>
              <m:r>
                <w:rPr>
                  <w:rFonts w:ascii="Cambria Math"/>
                </w:rPr>
                <m:t>L</m:t>
              </m:r>
              <m:ctrlPr>
                <w:rPr>
                  <w:rFonts w:ascii="Cambria Math" w:hAnsi="Cambria Math"/>
                  <w:i/>
                </w:rPr>
              </m:ctrlPr>
            </m:e>
            <m:sub>
              <m:r>
                <w:rPr>
                  <w:rFonts w:ascii="Cambria Math"/>
                </w:rPr>
                <m:t>eq</m:t>
              </m:r>
              <m:ctrlPr>
                <w:rPr>
                  <w:rFonts w:ascii="Cambria Math" w:hAnsi="Cambria Math"/>
                  <w:i/>
                </w:rPr>
              </m:ctrlPr>
            </m:sub>
          </m:sSub>
          <m:sSub>
            <m:sSubPr>
              <m:ctrlPr>
                <w:rPr>
                  <w:rFonts w:ascii="Cambria Math" w:hAnsi="Cambria Math"/>
                  <w:i/>
                </w:rPr>
              </m:ctrlPr>
            </m:sSubPr>
            <m:e>
              <m:r>
                <w:rPr>
                  <w:rFonts w:ascii="Cambria Math"/>
                </w:rPr>
                <m:t>(</m:t>
              </m:r>
              <m:r>
                <w:rPr>
                  <w:rFonts w:hAnsi="Cambria Math"/>
                </w:rPr>
                <m:t>h</m:t>
              </m:r>
              <m:r>
                <w:rPr>
                  <w:rFonts w:ascii="Cambria Math"/>
                </w:rPr>
                <m:t>)</m:t>
              </m:r>
              <m:ctrlPr>
                <w:rPr>
                  <w:rFonts w:ascii="Cambria Math" w:hAnsi="Cambria Math"/>
                  <w:i/>
                </w:rPr>
              </m:ctrlPr>
            </m:e>
            <m:sub>
              <m:r>
                <w:rPr>
                  <w:rFonts w:ascii="Cambria Math"/>
                </w:rPr>
                <m:t>i</m:t>
              </m:r>
              <m:ctrlPr>
                <w:rPr>
                  <w:rFonts w:ascii="Cambria Math" w:hAnsi="Cambria Math"/>
                  <w:i/>
                </w:rPr>
              </m:ctrlPr>
            </m:sub>
          </m:sSub>
          <m:r>
            <w:rPr>
              <w:rFonts w:ascii="Cambria Math"/>
            </w:rPr>
            <m:t>=</m:t>
          </m:r>
          <m:sSub>
            <m:sSubPr>
              <m:ctrlPr>
                <w:rPr>
                  <w:rFonts w:ascii="Cambria Math" w:hAnsi="Cambria Math"/>
                  <w:i/>
                </w:rPr>
              </m:ctrlPr>
            </m:sSubPr>
            <m:e>
              <m:r>
                <w:rPr>
                  <w:rFonts w:ascii="Cambria Math"/>
                </w:rPr>
                <m:t>(</m:t>
              </m:r>
              <m:acc>
                <m:accPr>
                  <m:chr m:val="̅"/>
                  <m:ctrlPr>
                    <w:rPr>
                      <w:rFonts w:ascii="Cambria Math" w:hAnsi="Cambria Math"/>
                      <w:i/>
                    </w:rPr>
                  </m:ctrlPr>
                </m:accPr>
                <m:e>
                  <m:sSub>
                    <m:sSubPr>
                      <m:ctrlPr>
                        <w:rPr>
                          <w:rFonts w:ascii="Cambria Math" w:hAnsi="Cambria Math"/>
                          <w:i/>
                        </w:rPr>
                      </m:ctrlPr>
                    </m:sSubPr>
                    <m:e>
                      <m:r>
                        <w:rPr>
                          <w:rFonts w:ascii="Cambria Math"/>
                        </w:rPr>
                        <m:t>L</m:t>
                      </m:r>
                      <m:ctrlPr>
                        <w:rPr>
                          <w:rFonts w:ascii="Cambria Math" w:hAnsi="Cambria Math"/>
                          <w:i/>
                        </w:rPr>
                      </m:ctrlPr>
                    </m:e>
                    <m:sub>
                      <m:r>
                        <w:rPr>
                          <w:rFonts w:ascii="Cambria Math"/>
                        </w:rPr>
                        <m:t>0E</m:t>
                      </m:r>
                      <m:ctrlPr>
                        <w:rPr>
                          <w:rFonts w:ascii="Cambria Math" w:hAnsi="Cambria Math"/>
                          <w:i/>
                        </w:rPr>
                      </m:ctrlPr>
                    </m:sub>
                  </m:sSub>
                  <m:ctrlPr>
                    <w:rPr>
                      <w:rFonts w:ascii="Cambria Math" w:hAnsi="Cambria Math"/>
                      <w:i/>
                    </w:rPr>
                  </m:ctrlPr>
                </m:e>
              </m:acc>
              <m:r>
                <w:rPr>
                  <w:rFonts w:ascii="Cambria Math"/>
                </w:rPr>
                <m:t>)</m:t>
              </m:r>
              <m:ctrlPr>
                <w:rPr>
                  <w:rFonts w:ascii="Cambria Math" w:hAnsi="Cambria Math"/>
                  <w:i/>
                </w:rPr>
              </m:ctrlPr>
            </m:e>
            <m:sub>
              <m:r>
                <w:rPr>
                  <w:rFonts w:ascii="Cambria Math"/>
                </w:rPr>
                <m:t>i</m:t>
              </m:r>
              <m:ctrlPr>
                <w:rPr>
                  <w:rFonts w:ascii="Cambria Math" w:hAnsi="Cambria Math"/>
                  <w:i/>
                </w:rPr>
              </m:ctrlPr>
            </m:sub>
          </m:sSub>
          <m:r>
            <w:rPr>
              <w:rFonts w:ascii="Cambria Math"/>
            </w:rPr>
            <m:t>+10</m:t>
          </m:r>
          <m:func>
            <m:funcPr>
              <m:ctrlPr>
                <w:rPr>
                  <w:rFonts w:ascii="Cambria Math" w:hAnsi="Cambria Math"/>
                  <w:i/>
                </w:rPr>
              </m:ctrlPr>
            </m:funcPr>
            <m:fName>
              <m:r>
                <w:rPr>
                  <w:rFonts w:ascii="Cambria Math"/>
                </w:rPr>
                <m:t>lg</m:t>
              </m:r>
              <m:ctrlPr>
                <w:rPr>
                  <w:rFonts w:ascii="Cambria Math" w:hAnsi="Cambria Math"/>
                  <w:i/>
                </w:rPr>
              </m:ctrlP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N</m:t>
                          </m:r>
                          <m:ctrlPr>
                            <w:rPr>
                              <w:rFonts w:ascii="Cambria Math" w:hAnsi="Cambria Math"/>
                              <w:i/>
                            </w:rPr>
                          </m:ctrlPr>
                        </m:e>
                        <m:sub>
                          <m:r>
                            <w:rPr>
                              <w:rFonts w:ascii="Cambria Math"/>
                            </w:rPr>
                            <m:t>i</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w:rPr>
                              <w:rFonts w:ascii="Cambria Math"/>
                            </w:rPr>
                            <m:t>V</m:t>
                          </m:r>
                          <m:ctrlPr>
                            <w:rPr>
                              <w:rFonts w:ascii="Cambria Math" w:hAnsi="Cambria Math"/>
                              <w:i/>
                            </w:rPr>
                          </m:ctrlPr>
                        </m:e>
                        <m:sub>
                          <m:r>
                            <w:rPr>
                              <w:rFonts w:ascii="Cambria Math"/>
                            </w:rPr>
                            <m:t>i</m:t>
                          </m:r>
                          <m:ctrlPr>
                            <w:rPr>
                              <w:rFonts w:ascii="Cambria Math" w:hAnsi="Cambria Math"/>
                              <w:i/>
                            </w:rPr>
                          </m:ctrlPr>
                        </m:sub>
                      </m:sSub>
                      <m:r>
                        <w:rPr>
                          <w:rFonts w:ascii="Cambria Math"/>
                        </w:rPr>
                        <m:t>T</m:t>
                      </m:r>
                      <m:ctrlPr>
                        <w:rPr>
                          <w:rFonts w:ascii="Cambria Math" w:hAnsi="Cambria Math"/>
                          <w:i/>
                        </w:rPr>
                      </m:ctrlPr>
                    </m:den>
                  </m:f>
                  <m:ctrlPr>
                    <w:rPr>
                      <w:rFonts w:ascii="Cambria Math" w:hAnsi="Cambria Math"/>
                      <w:i/>
                    </w:rPr>
                  </m:ctrlPr>
                </m:e>
              </m:d>
              <m:ctrlPr>
                <w:rPr>
                  <w:rFonts w:ascii="Cambria Math" w:hAnsi="Cambria Math"/>
                  <w:i/>
                </w:rPr>
              </m:ctrlPr>
            </m:e>
          </m:func>
          <m:r>
            <w:rPr>
              <w:rFonts w:ascii="Cambria Math"/>
            </w:rPr>
            <m:t>+</m:t>
          </m:r>
          <m:sSub>
            <m:sSubPr>
              <m:ctrlPr>
                <w:rPr>
                  <w:rFonts w:ascii="Cambria Math" w:hAnsi="Cambria Math"/>
                  <w:i/>
                </w:rPr>
              </m:ctrlPr>
            </m:sSubPr>
            <m:e>
              <m:r>
                <w:rPr>
                  <w:rFonts w:ascii="Cambria Math" w:hAnsi="Cambria Math"/>
                </w:rPr>
                <m:t>∆</m:t>
              </m:r>
              <m:r>
                <w:rPr>
                  <w:rFonts w:ascii="Cambria Math"/>
                </w:rPr>
                <m:t>L</m:t>
              </m:r>
              <m:ctrlPr>
                <w:rPr>
                  <w:rFonts w:ascii="Cambria Math" w:hAnsi="Cambria Math"/>
                  <w:i/>
                </w:rPr>
              </m:ctrlPr>
            </m:e>
            <m:sub>
              <m:r>
                <w:rPr>
                  <w:rFonts w:hAnsi="Cambria Math"/>
                </w:rPr>
                <m:t>距离</m:t>
              </m:r>
              <m:ctrlPr>
                <w:rPr>
                  <w:rFonts w:ascii="Cambria Math" w:hAnsi="Cambria Math"/>
                  <w:i/>
                </w:rPr>
              </m:ctrlPr>
            </m:sub>
          </m:sSub>
          <m:r>
            <w:rPr>
              <w:rFonts w:ascii="Cambria Math"/>
            </w:rPr>
            <m:t>+10</m:t>
          </m:r>
          <m:func>
            <m:funcPr>
              <m:ctrlPr>
                <w:rPr>
                  <w:rFonts w:ascii="Cambria Math" w:hAnsi="Cambria Math"/>
                  <w:i/>
                </w:rPr>
              </m:ctrlPr>
            </m:funcPr>
            <m:fName>
              <m:r>
                <w:rPr>
                  <w:rFonts w:ascii="Cambria Math"/>
                </w:rPr>
                <m:t>lg</m:t>
              </m:r>
              <m:ctrlPr>
                <w:rPr>
                  <w:rFonts w:ascii="Cambria Math" w:hAnsi="Cambria Math"/>
                  <w:i/>
                </w:rPr>
              </m:ctrlPr>
            </m:fName>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rPr>
                            <m:t>Ψ</m:t>
                          </m:r>
                          <m:ctrlPr>
                            <w:rPr>
                              <w:rFonts w:ascii="Cambria Math" w:hAnsi="Cambria Math"/>
                              <w:i/>
                            </w:rPr>
                          </m:ctrlPr>
                        </m:e>
                        <m:sub>
                          <m:r>
                            <w:rPr>
                              <w:rFonts w:ascii="Cambria Math"/>
                            </w:rPr>
                            <m:t>1</m:t>
                          </m:r>
                          <m:ctrlPr>
                            <w:rPr>
                              <w:rFonts w:ascii="Cambria Math" w:hAnsi="Cambria Math"/>
                              <w:i/>
                            </w:rPr>
                          </m:ctrlPr>
                        </m:sub>
                      </m:sSub>
                      <m:r>
                        <w:rPr>
                          <w:rFonts w:ascii="Cambria Math"/>
                        </w:rPr>
                        <m:t>+</m:t>
                      </m:r>
                      <m:sSub>
                        <m:sSubPr>
                          <m:ctrlPr>
                            <w:rPr>
                              <w:rFonts w:ascii="Cambria Math" w:hAnsi="Cambria Math"/>
                              <w:i/>
                            </w:rPr>
                          </m:ctrlPr>
                        </m:sSubPr>
                        <m:e>
                          <m:r>
                            <w:rPr>
                              <w:rFonts w:ascii="Cambria Math"/>
                            </w:rPr>
                            <m:t>Ψ</m:t>
                          </m:r>
                          <m:ctrlPr>
                            <w:rPr>
                              <w:rFonts w:ascii="Cambria Math" w:hAnsi="Cambria Math"/>
                              <w:i/>
                            </w:rPr>
                          </m:ctrlPr>
                        </m:e>
                        <m:sub>
                          <m:r>
                            <w:rPr>
                              <w:rFonts w:ascii="Cambria Math"/>
                            </w:rPr>
                            <m:t>2</m:t>
                          </m:r>
                          <m:ctrlPr>
                            <w:rPr>
                              <w:rFonts w:ascii="Cambria Math" w:hAnsi="Cambria Math"/>
                              <w:i/>
                            </w:rPr>
                          </m:ctrlPr>
                        </m:sub>
                      </m:sSub>
                      <m:ctrlPr>
                        <w:rPr>
                          <w:rFonts w:ascii="Cambria Math" w:hAnsi="Cambria Math"/>
                          <w:i/>
                        </w:rPr>
                      </m:ctrlPr>
                    </m:num>
                    <m:den>
                      <m:r>
                        <w:rPr>
                          <w:rFonts w:ascii="Cambria Math"/>
                        </w:rPr>
                        <m:t>π</m:t>
                      </m:r>
                      <m:ctrlPr>
                        <w:rPr>
                          <w:rFonts w:ascii="Cambria Math" w:hAnsi="Cambria Math"/>
                          <w:i/>
                        </w:rPr>
                      </m:ctrlPr>
                    </m:den>
                  </m:f>
                  <m:ctrlPr>
                    <w:rPr>
                      <w:rFonts w:ascii="Cambria Math" w:hAnsi="Cambria Math"/>
                      <w:i/>
                    </w:rPr>
                  </m:ctrlPr>
                </m:e>
              </m:d>
              <m:ctrlPr>
                <w:rPr>
                  <w:rFonts w:ascii="Cambria Math" w:hAnsi="Cambria Math"/>
                  <w:i/>
                </w:rPr>
              </m:ctrlPr>
            </m:e>
          </m:func>
          <m:r>
            <w:rPr>
              <w:rFonts w:ascii="Cambria Math"/>
            </w:rPr>
            <m:t>+</m:t>
          </m:r>
          <m:r>
            <w:rPr>
              <w:rFonts w:ascii="Cambria Math" w:hAnsi="Cambria Math"/>
            </w:rPr>
            <m:t>∆</m:t>
          </m:r>
          <m:r>
            <w:rPr>
              <w:rFonts w:ascii="Cambria Math"/>
            </w:rPr>
            <m:t>L</m:t>
          </m:r>
          <m:r>
            <w:rPr>
              <w:rFonts w:ascii="Cambria Math" w:hAnsi="Cambria Math"/>
            </w:rPr>
            <m:t>-</m:t>
          </m:r>
          <m:r>
            <w:rPr>
              <w:rFonts w:ascii="Cambria Math"/>
            </w:rPr>
            <m:t>16</m:t>
          </m:r>
        </m:oMath>
      </m:oMathPara>
    </w:p>
    <w:p>
      <w:pPr>
        <w:ind w:firstLine="480"/>
      </w:pPr>
      <w:r>
        <w:t>式中：</w:t>
      </w:r>
    </w:p>
    <w:p>
      <w:pPr>
        <w:ind w:firstLine="960" w:firstLineChars="400"/>
      </w:pPr>
      <w:r>
        <w:t>L</w:t>
      </w:r>
      <w:r>
        <w:rPr>
          <w:vertAlign w:val="subscript"/>
        </w:rPr>
        <w:t>eq(h)i</w:t>
      </w:r>
      <w:r>
        <w:t>—第i类车的小时等效声级，dB（A）；</w:t>
      </w:r>
    </w:p>
    <w:p>
      <w:pPr>
        <w:ind w:firstLine="960" w:firstLineChars="400"/>
      </w:pPr>
      <w:r>
        <w:t>(L</w:t>
      </w:r>
      <w:r>
        <w:rPr>
          <w:vertAlign w:val="subscript"/>
        </w:rPr>
        <w:t>0E</w:t>
      </w:r>
      <w:r>
        <w:t>)</w:t>
      </w:r>
      <w:r>
        <w:rPr>
          <w:vertAlign w:val="subscript"/>
        </w:rPr>
        <w:t>i</w:t>
      </w:r>
      <w:r>
        <w:t>—第i类车速度为Vi，km/h；水平距离为7.5米处的能量平均A声级，dB(A)；</w:t>
      </w:r>
    </w:p>
    <w:p>
      <w:pPr>
        <w:ind w:firstLine="960" w:firstLineChars="400"/>
      </w:pPr>
      <w:r>
        <w:t>N</w:t>
      </w:r>
      <w:r>
        <w:rPr>
          <w:vertAlign w:val="subscript"/>
        </w:rPr>
        <w:t>i</w:t>
      </w:r>
      <w:r>
        <w:t>—昼间，夜间通过某个预测点的第i类车平均小时车流量，辆/h；</w:t>
      </w:r>
    </w:p>
    <w:p>
      <w:pPr>
        <w:ind w:firstLine="960" w:firstLineChars="400"/>
      </w:pPr>
      <w:r>
        <w:t>V</w:t>
      </w:r>
      <w:r>
        <w:rPr>
          <w:vertAlign w:val="subscript"/>
        </w:rPr>
        <w:t>i</w:t>
      </w:r>
      <w:r>
        <w:t>—第i类车的平均车速，km/h；</w:t>
      </w:r>
    </w:p>
    <w:p>
      <w:pPr>
        <w:ind w:firstLine="960" w:firstLineChars="400"/>
      </w:pPr>
      <w:r>
        <w:t>T—计算等效声级的时间，1h；</w:t>
      </w:r>
    </w:p>
    <w:p>
      <w:pPr>
        <w:ind w:firstLine="960" w:firstLineChars="400"/>
      </w:pPr>
      <m:oMath>
        <m:r>
          <m:rPr>
            <m:sty m:val="p"/>
          </m:rPr>
          <w:rPr>
            <w:rFonts w:ascii="Cambria Math" w:hAnsi="Cambria Math"/>
          </w:rPr>
          <m:t>∆</m:t>
        </m:r>
        <m:sSub>
          <m:sSubPr>
            <m:ctrlPr>
              <w:rPr>
                <w:rFonts w:ascii="Cambria Math" w:hAnsi="Cambria Math"/>
              </w:rPr>
            </m:ctrlPr>
          </m:sSubPr>
          <m:e>
            <m:r>
              <m:rPr>
                <m:sty m:val="p"/>
              </m:rPr>
              <w:rPr>
                <w:rFonts w:ascii="Cambria Math"/>
              </w:rPr>
              <m:t>L</m:t>
            </m:r>
            <m:ctrlPr>
              <w:rPr>
                <w:rFonts w:ascii="Cambria Math" w:hAnsi="Cambria Math"/>
              </w:rPr>
            </m:ctrlPr>
          </m:e>
          <m:sub>
            <m:r>
              <m:rPr>
                <m:sty m:val="p"/>
              </m:rPr>
              <w:rPr>
                <w:rFonts w:hAnsi="Cambria Math"/>
              </w:rPr>
              <m:t>距离</m:t>
            </m:r>
            <m:ctrlPr>
              <w:rPr>
                <w:rFonts w:ascii="Cambria Math" w:hAnsi="Cambria Math"/>
              </w:rPr>
            </m:ctrlPr>
          </m:sub>
        </m:sSub>
      </m:oMath>
      <w:r>
        <w:t>—距离衰减量，dB(A)，小时车流量大于等于300辆/小时：</w:t>
      </w:r>
      <m:oMath>
        <m:r>
          <m:rPr>
            <m:sty m:val="p"/>
          </m:rPr>
          <w:rPr>
            <w:rFonts w:ascii="Cambria Math" w:hAnsi="Cambria Math"/>
          </w:rPr>
          <m:t>∆</m:t>
        </m:r>
        <m:sSub>
          <m:sSubPr>
            <m:ctrlPr>
              <w:rPr>
                <w:rFonts w:ascii="Cambria Math" w:hAnsi="Cambria Math"/>
              </w:rPr>
            </m:ctrlPr>
          </m:sSubPr>
          <m:e>
            <m:r>
              <m:rPr>
                <m:sty m:val="p"/>
              </m:rPr>
              <w:rPr>
                <w:rFonts w:ascii="Cambria Math"/>
              </w:rPr>
              <m:t>L</m:t>
            </m:r>
            <m:ctrlPr>
              <w:rPr>
                <w:rFonts w:ascii="Cambria Math" w:hAnsi="Cambria Math"/>
              </w:rPr>
            </m:ctrlPr>
          </m:e>
          <m:sub>
            <m:r>
              <m:rPr>
                <m:sty m:val="p"/>
              </m:rPr>
              <w:rPr>
                <w:rFonts w:hAnsi="Cambria Math"/>
              </w:rPr>
              <m:t>距离</m:t>
            </m:r>
            <m:ctrlPr>
              <w:rPr>
                <w:rFonts w:ascii="Cambria Math" w:hAnsi="Cambria Math"/>
              </w:rPr>
            </m:ctrlPr>
          </m:sub>
        </m:sSub>
        <m:r>
          <m:rPr>
            <m:sty m:val="p"/>
          </m:rPr>
          <w:rPr>
            <w:rFonts w:ascii="Cambria Math"/>
          </w:rPr>
          <m:t>=10lg</m:t>
        </m:r>
        <m:r>
          <m:rPr>
            <m:sty m:val="p"/>
          </m:rPr>
          <w:rPr>
            <w:rFonts w:ascii="Cambria Math" w:hAnsi="Cambria Math"/>
          </w:rPr>
          <m:t>⁡</m:t>
        </m:r>
        <m:r>
          <m:rPr>
            <m:sty m:val="p"/>
          </m:rPr>
          <w:rPr>
            <w:rFonts w:ascii="Cambria Math"/>
          </w:rPr>
          <m:t>(7.5/r)</m:t>
        </m:r>
      </m:oMath>
      <w:r>
        <w:t>，小时车流量小于300辆/小时：</w:t>
      </w:r>
      <m:oMath>
        <m:r>
          <m:rPr>
            <m:sty m:val="p"/>
          </m:rPr>
          <w:rPr>
            <w:rFonts w:ascii="Cambria Math" w:hAnsi="Cambria Math"/>
          </w:rPr>
          <m:t>∆</m:t>
        </m:r>
        <m:sSub>
          <m:sSubPr>
            <m:ctrlPr>
              <w:rPr>
                <w:rFonts w:ascii="Cambria Math" w:hAnsi="Cambria Math"/>
              </w:rPr>
            </m:ctrlPr>
          </m:sSubPr>
          <m:e>
            <m:r>
              <m:rPr>
                <m:sty m:val="p"/>
              </m:rPr>
              <w:rPr>
                <w:rFonts w:ascii="Cambria Math"/>
              </w:rPr>
              <m:t>L</m:t>
            </m:r>
            <m:ctrlPr>
              <w:rPr>
                <w:rFonts w:ascii="Cambria Math" w:hAnsi="Cambria Math"/>
              </w:rPr>
            </m:ctrlPr>
          </m:e>
          <m:sub>
            <m:r>
              <m:rPr>
                <m:sty m:val="p"/>
              </m:rPr>
              <w:rPr>
                <w:rFonts w:hAnsi="Cambria Math"/>
              </w:rPr>
              <m:t>距离</m:t>
            </m:r>
            <m:ctrlPr>
              <w:rPr>
                <w:rFonts w:ascii="Cambria Math" w:hAnsi="Cambria Math"/>
              </w:rPr>
            </m:ctrlPr>
          </m:sub>
        </m:sSub>
        <m:r>
          <m:rPr>
            <m:sty m:val="p"/>
          </m:rPr>
          <w:rPr>
            <w:rFonts w:ascii="Cambria Math"/>
          </w:rPr>
          <m:t>=15lg</m:t>
        </m:r>
        <m:r>
          <m:rPr>
            <m:sty m:val="p"/>
          </m:rPr>
          <w:rPr>
            <w:rFonts w:ascii="Cambria Math" w:hAnsi="Cambria Math"/>
          </w:rPr>
          <m:t>⁡</m:t>
        </m:r>
        <m:r>
          <m:rPr>
            <m:sty m:val="p"/>
          </m:rPr>
          <w:rPr>
            <w:rFonts w:ascii="Cambria Math"/>
          </w:rPr>
          <m:t>(7.5/r)</m:t>
        </m:r>
      </m:oMath>
      <w:r>
        <w:t>；</w:t>
      </w:r>
    </w:p>
    <w:p>
      <w:pPr>
        <w:ind w:firstLine="960" w:firstLineChars="400"/>
      </w:pPr>
      <w:r>
        <w:t>r—从车道中心线到预测点的距离，m；适用于r＞7.5m预测点的噪声预测；</w:t>
      </w:r>
    </w:p>
    <w:p>
      <w:pPr>
        <w:ind w:firstLine="960" w:firstLineChars="400"/>
      </w:pPr>
      <w:r>
        <w:t>Ψ1、Ψ2——预测点到有限长路段两端的张角</w:t>
      </w:r>
      <w:r>
        <w:rPr>
          <w:rFonts w:hint="eastAsia"/>
        </w:rPr>
        <w:t>、</w:t>
      </w:r>
      <w:r>
        <w:t>弧度，见图</w:t>
      </w:r>
      <w:r>
        <w:rPr>
          <w:rFonts w:hint="eastAsia"/>
        </w:rPr>
        <w:t>5</w:t>
      </w:r>
      <w:r>
        <w:t>.</w:t>
      </w:r>
      <w:r>
        <w:rPr>
          <w:rFonts w:hint="eastAsia"/>
        </w:rPr>
        <w:t>2</w:t>
      </w:r>
      <w:r>
        <w:t>-1所示</w:t>
      </w:r>
      <w:r>
        <w:rPr>
          <w:rFonts w:hint="eastAsia"/>
        </w:rPr>
        <w:t>；</w:t>
      </w:r>
    </w:p>
    <w:p>
      <w:pPr>
        <w:spacing w:line="240" w:lineRule="auto"/>
        <w:ind w:firstLine="0" w:firstLineChars="0"/>
        <w:jc w:val="center"/>
        <w:rPr>
          <w:highlight w:val="yellow"/>
        </w:rPr>
      </w:pPr>
      <w:r>
        <w:drawing>
          <wp:inline distT="0" distB="0" distL="0" distR="0">
            <wp:extent cx="3228340" cy="1184910"/>
            <wp:effectExtent l="19050" t="0" r="0" b="0"/>
            <wp:docPr id="9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48"/>
                    <pic:cNvPicPr>
                      <a:picLocks noChangeAspect="1" noChangeArrowheads="1"/>
                    </pic:cNvPicPr>
                  </pic:nvPicPr>
                  <pic:blipFill>
                    <a:blip r:embed="rId84" cstate="print"/>
                    <a:srcRect t="7928" b="5286"/>
                    <a:stretch>
                      <a:fillRect/>
                    </a:stretch>
                  </pic:blipFill>
                  <pic:spPr>
                    <a:xfrm>
                      <a:off x="0" y="0"/>
                      <a:ext cx="3228340" cy="1184910"/>
                    </a:xfrm>
                    <a:prstGeom prst="rect">
                      <a:avLst/>
                    </a:prstGeom>
                    <a:noFill/>
                    <a:ln w="9525">
                      <a:noFill/>
                      <a:miter lim="800000"/>
                      <a:headEnd/>
                      <a:tailEnd/>
                    </a:ln>
                  </pic:spPr>
                </pic:pic>
              </a:graphicData>
            </a:graphic>
          </wp:inline>
        </w:drawing>
      </w:r>
    </w:p>
    <w:p>
      <w:pPr>
        <w:pStyle w:val="185"/>
        <w:spacing w:line="480" w:lineRule="exact"/>
        <w:rPr>
          <w:sz w:val="21"/>
          <w:szCs w:val="21"/>
        </w:rPr>
      </w:pPr>
      <w:r>
        <w:rPr>
          <w:sz w:val="21"/>
          <w:szCs w:val="21"/>
        </w:rPr>
        <w:t>图</w:t>
      </w:r>
      <w:r>
        <w:rPr>
          <w:rFonts w:hint="eastAsia"/>
          <w:sz w:val="21"/>
          <w:szCs w:val="21"/>
        </w:rPr>
        <w:t>5</w:t>
      </w:r>
      <w:r>
        <w:rPr>
          <w:sz w:val="21"/>
          <w:szCs w:val="21"/>
        </w:rPr>
        <w:t>.</w:t>
      </w:r>
      <w:r>
        <w:rPr>
          <w:rFonts w:hint="eastAsia"/>
          <w:sz w:val="21"/>
          <w:szCs w:val="21"/>
        </w:rPr>
        <w:t>2</w:t>
      </w:r>
      <w:r>
        <w:rPr>
          <w:sz w:val="21"/>
          <w:szCs w:val="21"/>
        </w:rPr>
        <w:t>-1有限路段的修正函数，A-B为路段，P为预测点</w:t>
      </w:r>
    </w:p>
    <w:p>
      <w:pPr>
        <w:ind w:firstLine="480"/>
      </w:pPr>
      <w:r>
        <w:rPr>
          <w:rFonts w:hint="eastAsia"/>
        </w:rPr>
        <w:t>由</w:t>
      </w:r>
      <w:r>
        <w:t>其他因素引起的修正量</w:t>
      </w:r>
      <w:r>
        <w:rPr>
          <w:rFonts w:hint="eastAsia"/>
        </w:rPr>
        <w:t>（</w:t>
      </w:r>
      <w:r>
        <w:rPr>
          <w:rFonts w:ascii="Cambria Math" w:hAnsi="Cambria Math" w:cs="Cambria Math"/>
        </w:rPr>
        <w:t>△</w:t>
      </w:r>
      <w:r>
        <w:t>L</w:t>
      </w:r>
      <w:r>
        <w:rPr>
          <w:rFonts w:hint="eastAsia"/>
          <w:vertAlign w:val="subscript"/>
        </w:rPr>
        <w:t>1</w:t>
      </w:r>
      <w:r>
        <w:rPr>
          <w:rFonts w:hint="eastAsia"/>
        </w:rPr>
        <w:t>）</w:t>
      </w:r>
      <w:r>
        <w:t>，可按下式计算：</w:t>
      </w:r>
    </w:p>
    <w:p>
      <w:pPr>
        <w:ind w:firstLine="480"/>
        <w:jc w:val="center"/>
      </w:pPr>
      <w:r>
        <w:rPr>
          <w:rFonts w:ascii="Cambria Math" w:hAnsi="Cambria Math" w:cs="Cambria Math"/>
        </w:rPr>
        <w:t>△</w:t>
      </w:r>
      <w:r>
        <w:t>L=</w:t>
      </w:r>
      <w:r>
        <w:rPr>
          <w:rFonts w:ascii="Cambria Math" w:hAnsi="Cambria Math" w:cs="Cambria Math"/>
        </w:rPr>
        <w:t>△</w:t>
      </w:r>
      <w:r>
        <w:t>L</w:t>
      </w:r>
      <w:r>
        <w:rPr>
          <w:vertAlign w:val="subscript"/>
        </w:rPr>
        <w:t>1</w:t>
      </w:r>
      <w:r>
        <w:t>-</w:t>
      </w:r>
      <w:r>
        <w:rPr>
          <w:rFonts w:ascii="Cambria Math" w:hAnsi="Cambria Math" w:cs="Cambria Math"/>
        </w:rPr>
        <w:t>△</w:t>
      </w:r>
      <w:r>
        <w:t>L</w:t>
      </w:r>
      <w:r>
        <w:rPr>
          <w:vertAlign w:val="subscript"/>
        </w:rPr>
        <w:t>2</w:t>
      </w:r>
      <w:r>
        <w:t>+</w:t>
      </w:r>
      <w:r>
        <w:rPr>
          <w:rFonts w:ascii="Cambria Math" w:hAnsi="Cambria Math" w:cs="Cambria Math"/>
        </w:rPr>
        <w:t>△</w:t>
      </w:r>
      <w:r>
        <w:t>L</w:t>
      </w:r>
      <w:r>
        <w:rPr>
          <w:vertAlign w:val="subscript"/>
        </w:rPr>
        <w:t>3</w:t>
      </w:r>
    </w:p>
    <w:p>
      <w:pPr>
        <w:ind w:firstLine="480"/>
        <w:jc w:val="center"/>
        <w:rPr>
          <w:lang w:val="pt-BR"/>
        </w:rPr>
      </w:pPr>
      <w:r>
        <w:rPr>
          <w:rFonts w:ascii="Cambria Math" w:hAnsi="Cambria Math" w:cs="Cambria Math"/>
          <w:lang w:val="pt-BR"/>
        </w:rPr>
        <w:t>△</w:t>
      </w:r>
      <w:r>
        <w:rPr>
          <w:lang w:val="pt-BR"/>
        </w:rPr>
        <w:t>L</w:t>
      </w:r>
      <w:r>
        <w:rPr>
          <w:vertAlign w:val="subscript"/>
          <w:lang w:val="pt-BR"/>
        </w:rPr>
        <w:t>1</w:t>
      </w:r>
      <w:r>
        <w:rPr>
          <w:lang w:val="pt-BR"/>
        </w:rPr>
        <w:t>=</w:t>
      </w:r>
      <w:r>
        <w:rPr>
          <w:rFonts w:ascii="Cambria Math" w:hAnsi="Cambria Math" w:cs="Cambria Math"/>
          <w:lang w:val="pt-BR"/>
        </w:rPr>
        <w:t>△</w:t>
      </w:r>
      <w:r>
        <w:rPr>
          <w:lang w:val="pt-BR"/>
        </w:rPr>
        <w:t>L</w:t>
      </w:r>
      <w:r>
        <w:rPr>
          <w:vertAlign w:val="subscript"/>
        </w:rPr>
        <w:t>坡度</w:t>
      </w:r>
      <w:r>
        <w:rPr>
          <w:lang w:val="pt-BR"/>
        </w:rPr>
        <w:t>+</w:t>
      </w:r>
      <w:r>
        <w:rPr>
          <w:rFonts w:ascii="Cambria Math" w:hAnsi="Cambria Math" w:cs="Cambria Math"/>
          <w:lang w:val="pt-BR"/>
        </w:rPr>
        <w:t>△</w:t>
      </w:r>
      <w:r>
        <w:rPr>
          <w:lang w:val="pt-BR"/>
        </w:rPr>
        <w:t>L</w:t>
      </w:r>
      <w:r>
        <w:rPr>
          <w:vertAlign w:val="subscript"/>
        </w:rPr>
        <w:t>路面</w:t>
      </w:r>
    </w:p>
    <w:p>
      <w:pPr>
        <w:ind w:firstLine="480"/>
        <w:jc w:val="center"/>
        <w:rPr>
          <w:lang w:val="pt-BR"/>
        </w:rPr>
      </w:pPr>
      <w:r>
        <w:rPr>
          <w:rFonts w:ascii="Cambria Math" w:hAnsi="Cambria Math" w:cs="Cambria Math"/>
          <w:lang w:val="pt-BR"/>
        </w:rPr>
        <w:t>△</w:t>
      </w:r>
      <w:r>
        <w:rPr>
          <w:lang w:val="pt-BR"/>
        </w:rPr>
        <w:t>L</w:t>
      </w:r>
      <w:r>
        <w:rPr>
          <w:vertAlign w:val="subscript"/>
          <w:lang w:val="pt-BR"/>
        </w:rPr>
        <w:t>2</w:t>
      </w:r>
      <w:r>
        <w:rPr>
          <w:lang w:val="pt-BR"/>
        </w:rPr>
        <w:t>=A</w:t>
      </w:r>
      <w:r>
        <w:rPr>
          <w:vertAlign w:val="subscript"/>
          <w:lang w:val="pt-BR"/>
        </w:rPr>
        <w:t>atm</w:t>
      </w:r>
      <w:r>
        <w:rPr>
          <w:lang w:val="pt-BR"/>
        </w:rPr>
        <w:t>+A</w:t>
      </w:r>
      <w:r>
        <w:rPr>
          <w:vertAlign w:val="subscript"/>
          <w:lang w:val="pt-BR"/>
        </w:rPr>
        <w:t>gr</w:t>
      </w:r>
      <w:r>
        <w:rPr>
          <w:lang w:val="pt-BR"/>
        </w:rPr>
        <w:t>+A</w:t>
      </w:r>
      <w:r>
        <w:rPr>
          <w:vertAlign w:val="subscript"/>
          <w:lang w:val="pt-BR"/>
        </w:rPr>
        <w:t>bar</w:t>
      </w:r>
      <w:r>
        <w:rPr>
          <w:lang w:val="pt-BR"/>
        </w:rPr>
        <w:t>+A</w:t>
      </w:r>
      <w:r>
        <w:rPr>
          <w:vertAlign w:val="subscript"/>
          <w:lang w:val="pt-BR"/>
        </w:rPr>
        <w:t>misc</w:t>
      </w:r>
    </w:p>
    <w:p>
      <w:pPr>
        <w:ind w:firstLine="480"/>
        <w:rPr>
          <w:lang w:val="pt-BR"/>
        </w:rPr>
      </w:pPr>
      <w:r>
        <w:t>式中</w:t>
      </w:r>
      <w:r>
        <w:rPr>
          <w:lang w:val="pt-BR"/>
        </w:rPr>
        <w:t>：</w:t>
      </w:r>
    </w:p>
    <w:p>
      <w:pPr>
        <w:ind w:firstLine="960" w:firstLineChars="400"/>
        <w:rPr>
          <w:highlight w:val="yellow"/>
          <w:lang w:val="pt-BR"/>
        </w:rPr>
      </w:pPr>
      <w:r>
        <w:t>Δ</w:t>
      </w:r>
      <w:r>
        <w:rPr>
          <w:lang w:val="pt-BR"/>
        </w:rPr>
        <w:t>L</w:t>
      </w:r>
      <w:r>
        <w:rPr>
          <w:vertAlign w:val="subscript"/>
          <w:lang w:val="pt-BR"/>
        </w:rPr>
        <w:t>1</w:t>
      </w:r>
      <w:r>
        <w:rPr>
          <w:lang w:val="pt-BR"/>
        </w:rPr>
        <w:t>—</w:t>
      </w:r>
      <w:r>
        <w:t>线路因素引起的修正量</w:t>
      </w:r>
      <w:r>
        <w:rPr>
          <w:lang w:val="pt-BR"/>
        </w:rPr>
        <w:t>，dB(A)；</w:t>
      </w:r>
    </w:p>
    <w:p>
      <w:pPr>
        <w:ind w:firstLine="960" w:firstLineChars="400"/>
        <w:rPr>
          <w:lang w:val="pt-BR"/>
        </w:rPr>
      </w:pPr>
      <w:r>
        <w:t>Δ</w:t>
      </w:r>
      <w:r>
        <w:rPr>
          <w:lang w:val="pt-BR"/>
        </w:rPr>
        <w:t>L</w:t>
      </w:r>
      <w:r>
        <w:rPr>
          <w:vertAlign w:val="subscript"/>
        </w:rPr>
        <w:t>坡度</w:t>
      </w:r>
      <w:r>
        <w:rPr>
          <w:lang w:val="pt-BR"/>
        </w:rPr>
        <w:t>—</w:t>
      </w:r>
      <w:r>
        <w:t>公路纵坡修正量</w:t>
      </w:r>
      <w:r>
        <w:rPr>
          <w:lang w:val="pt-BR"/>
        </w:rPr>
        <w:t>，dB(A)；</w:t>
      </w:r>
    </w:p>
    <w:p>
      <w:pPr>
        <w:ind w:firstLine="960" w:firstLineChars="400"/>
        <w:rPr>
          <w:lang w:val="pt-BR"/>
        </w:rPr>
      </w:pPr>
      <w:r>
        <w:t>Δ</w:t>
      </w:r>
      <w:r>
        <w:rPr>
          <w:lang w:val="pt-BR"/>
        </w:rPr>
        <w:t>L</w:t>
      </w:r>
      <w:r>
        <w:rPr>
          <w:vertAlign w:val="subscript"/>
        </w:rPr>
        <w:t>路面</w:t>
      </w:r>
      <w:r>
        <w:rPr>
          <w:lang w:val="pt-BR"/>
        </w:rPr>
        <w:t>—</w:t>
      </w:r>
      <w:r>
        <w:t>公路路面材料引起的修正量</w:t>
      </w:r>
      <w:r>
        <w:rPr>
          <w:lang w:val="pt-BR"/>
        </w:rPr>
        <w:t>，dB(A)；</w:t>
      </w:r>
    </w:p>
    <w:p>
      <w:pPr>
        <w:ind w:firstLine="960" w:firstLineChars="400"/>
        <w:rPr>
          <w:lang w:val="pt-BR"/>
        </w:rPr>
      </w:pPr>
      <w:r>
        <w:t>Δ</w:t>
      </w:r>
      <w:r>
        <w:rPr>
          <w:lang w:val="pt-BR"/>
        </w:rPr>
        <w:t>L</w:t>
      </w:r>
      <w:r>
        <w:rPr>
          <w:vertAlign w:val="subscript"/>
          <w:lang w:val="pt-BR"/>
        </w:rPr>
        <w:t>2</w:t>
      </w:r>
      <w:r>
        <w:rPr>
          <w:lang w:val="pt-BR"/>
        </w:rPr>
        <w:t>—</w:t>
      </w:r>
      <w:r>
        <w:t>声波传播途径中引起的衰减量</w:t>
      </w:r>
      <w:r>
        <w:rPr>
          <w:lang w:val="pt-BR"/>
        </w:rPr>
        <w:t>，dB(A)；</w:t>
      </w:r>
    </w:p>
    <w:p>
      <w:pPr>
        <w:ind w:firstLine="960" w:firstLineChars="400"/>
        <w:rPr>
          <w:lang w:val="pt-BR"/>
        </w:rPr>
      </w:pPr>
      <w:r>
        <w:t>Δ</w:t>
      </w:r>
      <w:r>
        <w:rPr>
          <w:lang w:val="pt-BR"/>
        </w:rPr>
        <w:t>L</w:t>
      </w:r>
      <w:r>
        <w:rPr>
          <w:vertAlign w:val="subscript"/>
          <w:lang w:val="pt-BR"/>
        </w:rPr>
        <w:t>3</w:t>
      </w:r>
      <w:r>
        <w:rPr>
          <w:lang w:val="pt-BR"/>
        </w:rPr>
        <w:t>—</w:t>
      </w:r>
      <w:r>
        <w:t>由反射等引起的修正量</w:t>
      </w:r>
      <w:r>
        <w:rPr>
          <w:lang w:val="pt-BR"/>
        </w:rPr>
        <w:t>，dB(A)</w:t>
      </w:r>
      <w:r>
        <w:t>。</w:t>
      </w:r>
    </w:p>
    <w:p>
      <w:pPr>
        <w:ind w:firstLine="480"/>
      </w:pPr>
      <w:r>
        <w:t>（2）总车流等效声级为：</w:t>
      </w:r>
    </w:p>
    <w:p>
      <w:pPr>
        <w:ind w:firstLine="480"/>
        <w:jc w:val="center"/>
      </w:pPr>
      <w:r>
        <w:object>
          <v:shape id="_x0000_i1028" o:spt="75" type="#_x0000_t75" style="height:21.75pt;width:244.5pt;" o:ole="t" filled="f" o:preferrelative="t" stroked="f" coordsize="21600,21600">
            <v:path/>
            <v:fill on="f" focussize="0,0"/>
            <v:stroke on="f" joinstyle="miter"/>
            <v:imagedata r:id="rId86" o:title=""/>
            <o:lock v:ext="edit" aspectratio="t"/>
            <w10:wrap type="none"/>
            <w10:anchorlock/>
          </v:shape>
          <o:OLEObject Type="Embed" ProgID="Equation.3" ShapeID="_x0000_i1028" DrawAspect="Content" ObjectID="_1468075728" r:id="rId85">
            <o:LockedField>false</o:LockedField>
          </o:OLEObject>
        </w:object>
      </w:r>
    </w:p>
    <w:p>
      <w:pPr>
        <w:ind w:firstLine="480"/>
        <w:rPr>
          <w:lang w:val="pt-BR"/>
        </w:rPr>
      </w:pPr>
      <w:r>
        <w:rPr>
          <w:rFonts w:hint="eastAsia"/>
        </w:rPr>
        <w:t>式中：L</w:t>
      </w:r>
      <w:r>
        <w:rPr>
          <w:rFonts w:hint="eastAsia"/>
          <w:vertAlign w:val="subscript"/>
        </w:rPr>
        <w:t>eq</w:t>
      </w:r>
      <w:r>
        <w:rPr>
          <w:rFonts w:hint="eastAsia"/>
        </w:rPr>
        <w:t>(T)</w:t>
      </w:r>
      <w:r>
        <w:rPr>
          <w:lang w:val="pt-BR"/>
        </w:rPr>
        <w:t xml:space="preserve"> —</w:t>
      </w:r>
      <w:r>
        <w:rPr>
          <w:rFonts w:hint="eastAsia"/>
        </w:rPr>
        <w:t>总车流等效声级</w:t>
      </w:r>
      <w:r>
        <w:rPr>
          <w:lang w:val="pt-BR"/>
        </w:rPr>
        <w:t>，dB(A)</w:t>
      </w:r>
      <w:r>
        <w:rPr>
          <w:rFonts w:hint="eastAsia"/>
          <w:lang w:val="pt-BR"/>
        </w:rPr>
        <w:t>；</w:t>
      </w:r>
    </w:p>
    <w:p>
      <w:pPr>
        <w:pStyle w:val="2"/>
        <w:ind w:firstLine="1200" w:firstLineChars="500"/>
        <w:rPr>
          <w:lang w:val="pt-BR"/>
        </w:rPr>
      </w:pPr>
      <w:r>
        <w:rPr>
          <w:rFonts w:hint="eastAsia"/>
          <w:lang w:val="pt-BR"/>
        </w:rPr>
        <w:t>L</w:t>
      </w:r>
      <w:r>
        <w:rPr>
          <w:rFonts w:hint="eastAsia"/>
          <w:vertAlign w:val="subscript"/>
          <w:lang w:val="pt-BR"/>
        </w:rPr>
        <w:t>eq</w:t>
      </w:r>
      <w:r>
        <w:rPr>
          <w:rFonts w:hint="eastAsia"/>
          <w:lang w:val="pt-BR"/>
        </w:rPr>
        <w:t>(h)</w:t>
      </w:r>
      <w:r>
        <w:rPr>
          <w:rFonts w:hint="eastAsia"/>
        </w:rPr>
        <w:t>大、</w:t>
      </w:r>
      <w:r>
        <w:rPr>
          <w:rFonts w:hint="eastAsia"/>
          <w:lang w:val="pt-BR"/>
        </w:rPr>
        <w:t>L</w:t>
      </w:r>
      <w:r>
        <w:rPr>
          <w:rFonts w:hint="eastAsia"/>
          <w:vertAlign w:val="subscript"/>
          <w:lang w:val="pt-BR"/>
        </w:rPr>
        <w:t>eq</w:t>
      </w:r>
      <w:r>
        <w:rPr>
          <w:rFonts w:hint="eastAsia"/>
          <w:lang w:val="pt-BR"/>
        </w:rPr>
        <w:t>(h)</w:t>
      </w:r>
      <w:r>
        <w:rPr>
          <w:rFonts w:hint="eastAsia"/>
        </w:rPr>
        <w:t>中、</w:t>
      </w:r>
      <w:r>
        <w:rPr>
          <w:rFonts w:hint="eastAsia"/>
          <w:lang w:val="pt-BR"/>
        </w:rPr>
        <w:t>L</w:t>
      </w:r>
      <w:r>
        <w:rPr>
          <w:rFonts w:hint="eastAsia"/>
          <w:vertAlign w:val="subscript"/>
          <w:lang w:val="pt-BR"/>
        </w:rPr>
        <w:t>eq</w:t>
      </w:r>
      <w:r>
        <w:rPr>
          <w:rFonts w:hint="eastAsia"/>
          <w:lang w:val="pt-BR"/>
        </w:rPr>
        <w:t>(h)</w:t>
      </w:r>
      <w:r>
        <w:rPr>
          <w:rFonts w:hint="eastAsia"/>
        </w:rPr>
        <w:t>小</w:t>
      </w:r>
      <w:r>
        <w:rPr>
          <w:lang w:val="pt-BR"/>
        </w:rPr>
        <w:t>—</w:t>
      </w:r>
      <w:r>
        <w:rPr>
          <w:rFonts w:hint="eastAsia"/>
        </w:rPr>
        <w:t>大、中、小型车的小时等效声级</w:t>
      </w:r>
      <w:r>
        <w:rPr>
          <w:lang w:val="pt-BR"/>
        </w:rPr>
        <w:t>，dB(A)</w:t>
      </w:r>
      <w:r>
        <w:rPr>
          <w:rFonts w:hint="eastAsia"/>
          <w:lang w:val="pt-BR"/>
        </w:rPr>
        <w:t>。</w:t>
      </w:r>
    </w:p>
    <w:p>
      <w:pPr>
        <w:pStyle w:val="2"/>
        <w:ind w:firstLine="480"/>
        <w:rPr>
          <w:lang w:val="pt-BR"/>
        </w:rPr>
      </w:pPr>
      <w:r>
        <w:rPr>
          <w:rFonts w:hint="eastAsia"/>
          <w:lang w:val="pt-BR"/>
        </w:rPr>
        <w:t>如某个预测点受多条线路交通噪声影响（如高架桥周边预测点受桥上和桥下多条车道的影响，路边高层建筑预测点受地面多条车道的影响），应分别计算每条道路对该预测点的声级后，经叠加后得到贡献值。</w:t>
      </w:r>
    </w:p>
    <w:p>
      <w:pPr>
        <w:ind w:firstLine="480"/>
      </w:pPr>
      <w:r>
        <w:t>（</w:t>
      </w:r>
      <w:r>
        <w:rPr>
          <w:rFonts w:hint="eastAsia" w:eastAsiaTheme="minorEastAsia"/>
        </w:rPr>
        <w:t>3</w:t>
      </w:r>
      <w:r>
        <w:t>）修正量和衰减量的计算</w:t>
      </w:r>
    </w:p>
    <w:p>
      <w:pPr>
        <w:ind w:firstLine="480"/>
        <w:rPr>
          <w:rFonts w:ascii="黑体" w:hAnsi="黑体" w:eastAsia="黑体" w:cs="黑体"/>
        </w:rPr>
      </w:pPr>
      <w:r>
        <w:t>1)线路因素引起的修正量</w:t>
      </w:r>
      <w:r>
        <w:rPr>
          <w:rFonts w:ascii="黑体" w:hAnsi="黑体" w:eastAsia="黑体" w:cs="黑体"/>
        </w:rPr>
        <w:t>（</w:t>
      </w:r>
      <w:r>
        <w:rPr>
          <w:rFonts w:ascii="Symbol" w:hAnsi="Symbol" w:eastAsia="Symbol" w:cs="Symbol"/>
        </w:rPr>
        <w:t></w:t>
      </w:r>
      <w:r>
        <w:rPr>
          <w:rFonts w:eastAsia="Times New Roman"/>
        </w:rPr>
        <w:t>L</w:t>
      </w:r>
      <w:r>
        <w:rPr>
          <w:rFonts w:eastAsia="Times New Roman"/>
          <w:position w:val="-5"/>
          <w:sz w:val="14"/>
          <w:szCs w:val="14"/>
        </w:rPr>
        <w:t>1</w:t>
      </w:r>
      <w:r>
        <w:rPr>
          <w:rFonts w:ascii="黑体" w:hAnsi="黑体" w:eastAsia="黑体" w:cs="黑体"/>
        </w:rPr>
        <w:t>）</w:t>
      </w:r>
    </w:p>
    <w:p>
      <w:pPr>
        <w:ind w:firstLine="480"/>
        <w:rPr>
          <w:rFonts w:ascii="宋体" w:hAnsi="宋体"/>
          <w:szCs w:val="24"/>
        </w:rPr>
      </w:pPr>
      <w:r>
        <w:rPr>
          <w:rFonts w:eastAsia="Times New Roman"/>
          <w:szCs w:val="24"/>
        </w:rPr>
        <w:t>a</w:t>
      </w:r>
      <w:r>
        <w:rPr>
          <w:rFonts w:ascii="宋体" w:hAnsi="宋体"/>
          <w:szCs w:val="24"/>
        </w:rPr>
        <w:t>）纵坡修正量（</w:t>
      </w:r>
      <w:r>
        <w:rPr>
          <w:rFonts w:ascii="Symbol" w:hAnsi="Symbol" w:eastAsia="Symbol" w:cs="Symbol"/>
          <w:sz w:val="23"/>
          <w:szCs w:val="23"/>
        </w:rPr>
        <w:t></w:t>
      </w:r>
      <w:r>
        <w:rPr>
          <w:rFonts w:eastAsia="Times New Roman"/>
          <w:sz w:val="23"/>
          <w:szCs w:val="23"/>
        </w:rPr>
        <w:t>L</w:t>
      </w:r>
      <w:r>
        <w:rPr>
          <w:rFonts w:ascii="宋体" w:hAnsi="宋体"/>
          <w:position w:val="-6"/>
          <w:sz w:val="13"/>
          <w:szCs w:val="13"/>
        </w:rPr>
        <w:t>坡度</w:t>
      </w:r>
      <w:r>
        <w:rPr>
          <w:rFonts w:ascii="宋体" w:hAnsi="宋体"/>
          <w:spacing w:val="-60"/>
          <w:szCs w:val="24"/>
        </w:rPr>
        <w:t>）：</w:t>
      </w:r>
    </w:p>
    <w:p>
      <w:pPr>
        <w:spacing w:line="240" w:lineRule="auto"/>
        <w:ind w:firstLine="480"/>
        <w:jc w:val="center"/>
      </w:pPr>
      <m:oMathPara>
        <m:oMath>
          <m:r>
            <m:rPr>
              <m:sty m:val="p"/>
            </m:rPr>
            <w:rPr>
              <w:rFonts w:ascii="Cambria Math" w:hAnsi="Cambria Math"/>
            </w:rPr>
            <m:t>∆</m:t>
          </m:r>
          <m:sSub>
            <m:sSubPr>
              <m:ctrlPr>
                <w:rPr>
                  <w:rFonts w:ascii="Cambria Math" w:hAnsi="Cambria Math"/>
                </w:rPr>
              </m:ctrlPr>
            </m:sSubPr>
            <m:e>
              <m:r>
                <m:rPr>
                  <m:sty m:val="p"/>
                </m:rPr>
                <w:rPr>
                  <w:rFonts w:ascii="Cambria Math" w:hAnsi="Cambria Math"/>
                </w:rPr>
                <m:t>L</m:t>
              </m:r>
              <m:ctrlPr>
                <w:rPr>
                  <w:rFonts w:ascii="Cambria Math" w:hAnsi="Cambria Math"/>
                </w:rPr>
              </m:ctrlPr>
            </m:e>
            <m:sub>
              <m:r>
                <m:rPr>
                  <m:sty m:val="p"/>
                </m:rPr>
                <w:rPr>
                  <w:rFonts w:ascii="Cambria Math" w:hAnsi="Cambria Math"/>
                </w:rPr>
                <m:t>坡度</m:t>
              </m:r>
              <m:ctrlPr>
                <w:rPr>
                  <w:rFonts w:ascii="Cambria Math" w:hAnsi="Cambria Math"/>
                </w:rPr>
              </m:ctrlP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98×β，大型车</m:t>
                  </m:r>
                  <m:ctrlPr>
                    <w:rPr>
                      <w:rFonts w:ascii="Cambria Math" w:hAnsi="Cambria Math"/>
                    </w:rPr>
                  </m:ctrlPr>
                </m:e>
                <m:e>
                  <m:r>
                    <m:rPr>
                      <m:sty m:val="p"/>
                    </m:rPr>
                    <w:rPr>
                      <w:rFonts w:ascii="Cambria Math" w:hAnsi="Cambria Math"/>
                    </w:rPr>
                    <m:t>73×β，中型车</m:t>
                  </m:r>
                  <m:ctrlPr>
                    <w:rPr>
                      <w:rFonts w:ascii="Cambria Math" w:hAnsi="Cambria Math" w:eastAsia="Cambria Math" w:cs="Cambria Math"/>
                    </w:rPr>
                  </m:ctrlPr>
                </m:e>
                <m:e>
                  <m:r>
                    <m:rPr>
                      <m:sty m:val="p"/>
                    </m:rPr>
                    <w:rPr>
                      <w:rFonts w:ascii="Cambria Math" w:hAnsi="Cambria Math" w:eastAsia="Cambria Math" w:cs="Cambria Math"/>
                    </w:rPr>
                    <m:t>50×β</m:t>
                  </m:r>
                  <m:r>
                    <m:rPr>
                      <m:sty m:val="p"/>
                    </m:rPr>
                    <w:rPr>
                      <w:rFonts w:ascii="Cambria Math" w:hAnsi="Cambria Math" w:cs="Cambria Math" w:eastAsiaTheme="minorEastAsia"/>
                    </w:rPr>
                    <m:t>，小型车</m:t>
                  </m:r>
                  <m:ctrlPr>
                    <w:rPr>
                      <w:rFonts w:ascii="Cambria Math" w:hAnsi="Cambria Math"/>
                    </w:rPr>
                  </m:ctrlPr>
                </m:e>
              </m:eqArr>
              <m:ctrlPr>
                <w:rPr>
                  <w:rFonts w:ascii="Cambria Math" w:hAnsi="Cambria Math"/>
                </w:rPr>
              </m:ctrlPr>
            </m:e>
          </m:d>
        </m:oMath>
      </m:oMathPara>
    </w:p>
    <w:p>
      <w:pPr>
        <w:ind w:firstLine="480"/>
      </w:pPr>
      <w:r>
        <w:t>式中：Δ</w:t>
      </w:r>
      <w:r>
        <w:rPr>
          <w:lang w:val="pt-BR"/>
        </w:rPr>
        <w:t>L</w:t>
      </w:r>
      <w:r>
        <w:rPr>
          <w:rFonts w:hint="eastAsia"/>
          <w:vertAlign w:val="subscript"/>
          <w:lang w:val="pt-BR"/>
        </w:rPr>
        <w:t>坡度</w:t>
      </w:r>
      <w:r>
        <w:rPr>
          <w:lang w:val="pt-BR"/>
        </w:rPr>
        <w:t>—</w:t>
      </w:r>
      <w:r>
        <w:rPr>
          <w:rFonts w:hint="eastAsia"/>
        </w:rPr>
        <w:t>公路纵坡</w:t>
      </w:r>
      <w:r>
        <w:t>修正量</w:t>
      </w:r>
      <w:r>
        <w:rPr>
          <w:lang w:val="pt-BR"/>
        </w:rPr>
        <w:t>，dB(A)</w:t>
      </w:r>
      <w:r>
        <w:rPr>
          <w:rFonts w:hint="eastAsia"/>
          <w:lang w:val="pt-BR"/>
        </w:rPr>
        <w:t>；</w:t>
      </w:r>
    </w:p>
    <w:p>
      <w:pPr>
        <w:ind w:firstLine="960" w:firstLineChars="400"/>
      </w:pPr>
      <w:r>
        <w:rPr>
          <w:rFonts w:eastAsia="Times New Roman"/>
        </w:rPr>
        <w:t>β—</w:t>
      </w:r>
      <w:r>
        <w:t>公路纵坡坡度，</w:t>
      </w:r>
      <w:r>
        <w:rPr>
          <w:rFonts w:eastAsia="Times New Roman"/>
        </w:rPr>
        <w:t>%</w:t>
      </w:r>
      <w:r>
        <w:t>。</w:t>
      </w:r>
    </w:p>
    <w:p>
      <w:pPr>
        <w:ind w:firstLine="480"/>
        <w:rPr>
          <w:rFonts w:ascii="宋体" w:hAnsi="宋体" w:cs="宋体"/>
        </w:rPr>
      </w:pPr>
      <w:r>
        <w:rPr>
          <w:rFonts w:ascii="宋体" w:hAnsi="宋体" w:cs="宋体"/>
        </w:rPr>
        <w:t>b）路面修正量（</w:t>
      </w:r>
      <w:r>
        <w:t>ΔL</w:t>
      </w:r>
      <w:r>
        <w:rPr>
          <w:rFonts w:hAnsi="宋体"/>
          <w:vertAlign w:val="subscript"/>
        </w:rPr>
        <w:t>路面</w:t>
      </w:r>
      <w:r>
        <w:rPr>
          <w:rFonts w:ascii="宋体" w:hAnsi="宋体" w:cs="宋体"/>
        </w:rPr>
        <w:t>）</w:t>
      </w:r>
    </w:p>
    <w:p>
      <w:pPr>
        <w:ind w:firstLine="480"/>
        <w:rPr>
          <w:rFonts w:ascii="宋体" w:hAnsi="宋体" w:cs="宋体"/>
        </w:rPr>
      </w:pPr>
      <w:r>
        <w:rPr>
          <w:rFonts w:ascii="宋体" w:hAnsi="宋体" w:cs="宋体"/>
        </w:rPr>
        <w:t>不同路面的噪声修正量见表</w:t>
      </w:r>
      <w:r>
        <w:t>5.2-2</w:t>
      </w:r>
      <w:r>
        <w:rPr>
          <w:rFonts w:hint="eastAsia" w:hAnsi="宋体"/>
        </w:rPr>
        <w:t>。</w:t>
      </w:r>
    </w:p>
    <w:p>
      <w:pPr>
        <w:pStyle w:val="185"/>
        <w:spacing w:line="480" w:lineRule="exact"/>
        <w:rPr>
          <w:sz w:val="21"/>
          <w:szCs w:val="21"/>
        </w:rPr>
      </w:pPr>
      <w:r>
        <w:rPr>
          <w:sz w:val="21"/>
          <w:szCs w:val="21"/>
        </w:rPr>
        <w:t>表</w:t>
      </w:r>
      <w:r>
        <w:rPr>
          <w:rFonts w:hint="eastAsia"/>
          <w:sz w:val="21"/>
          <w:szCs w:val="21"/>
        </w:rPr>
        <w:t>5.2-</w:t>
      </w:r>
      <w:r>
        <w:rPr>
          <w:sz w:val="21"/>
          <w:szCs w:val="21"/>
        </w:rPr>
        <w:t>2</w:t>
      </w:r>
      <w:r>
        <w:rPr>
          <w:rFonts w:hint="eastAsia"/>
          <w:sz w:val="21"/>
          <w:szCs w:val="21"/>
        </w:rPr>
        <w:t xml:space="preserve"> </w:t>
      </w:r>
      <w:r>
        <w:rPr>
          <w:sz w:val="21"/>
          <w:szCs w:val="21"/>
        </w:rPr>
        <w:t>常见路面噪声修正量单位：dB(A)</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256"/>
        <w:gridCol w:w="2256"/>
        <w:gridCol w:w="2256"/>
        <w:gridCol w:w="22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vMerge w:val="restart"/>
            <w:vAlign w:val="center"/>
          </w:tcPr>
          <w:p>
            <w:pPr>
              <w:pStyle w:val="675"/>
              <w:jc w:val="center"/>
              <w:rPr>
                <w:sz w:val="21"/>
                <w:szCs w:val="21"/>
              </w:rPr>
            </w:pPr>
            <w:r>
              <w:rPr>
                <w:bCs/>
                <w:sz w:val="21"/>
                <w:szCs w:val="21"/>
              </w:rPr>
              <w:t>路面类型</w:t>
            </w:r>
          </w:p>
        </w:tc>
        <w:tc>
          <w:tcPr>
            <w:tcW w:w="3750" w:type="pct"/>
            <w:gridSpan w:val="3"/>
            <w:vAlign w:val="center"/>
          </w:tcPr>
          <w:p>
            <w:pPr>
              <w:pStyle w:val="675"/>
              <w:jc w:val="center"/>
              <w:rPr>
                <w:rFonts w:ascii="Times New Roman" w:hAnsi="Times New Roman" w:eastAsia="Times New Roman" w:cs="Times New Roman"/>
                <w:sz w:val="21"/>
                <w:szCs w:val="21"/>
              </w:rPr>
            </w:pPr>
            <w:r>
              <w:rPr>
                <w:bCs/>
                <w:sz w:val="21"/>
                <w:szCs w:val="21"/>
              </w:rPr>
              <w:t>不同行驶速度修正量</w:t>
            </w:r>
            <w:r>
              <w:rPr>
                <w:rFonts w:ascii="Times New Roman" w:hAnsi="Times New Roman" w:eastAsia="Times New Roman" w:cs="Times New Roman"/>
                <w:bCs/>
                <w:sz w:val="21"/>
                <w:szCs w:val="21"/>
              </w:rPr>
              <w:t>km/h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vMerge w:val="continue"/>
            <w:vAlign w:val="center"/>
          </w:tcPr>
          <w:p>
            <w:pPr>
              <w:spacing w:line="240" w:lineRule="auto"/>
              <w:ind w:firstLine="0" w:firstLineChars="0"/>
              <w:jc w:val="center"/>
              <w:rPr>
                <w:kern w:val="0"/>
                <w:szCs w:val="22"/>
                <w:lang w:eastAsia="en-US"/>
              </w:rPr>
            </w:pP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30</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40</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vAlign w:val="center"/>
          </w:tcPr>
          <w:p>
            <w:pPr>
              <w:pStyle w:val="675"/>
              <w:jc w:val="center"/>
              <w:rPr>
                <w:sz w:val="21"/>
                <w:szCs w:val="21"/>
              </w:rPr>
            </w:pPr>
            <w:r>
              <w:rPr>
                <w:sz w:val="21"/>
                <w:szCs w:val="21"/>
              </w:rPr>
              <w:t>沥青混凝土</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0</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250" w:type="pct"/>
            <w:vAlign w:val="center"/>
          </w:tcPr>
          <w:p>
            <w:pPr>
              <w:pStyle w:val="675"/>
              <w:jc w:val="center"/>
              <w:rPr>
                <w:sz w:val="21"/>
                <w:szCs w:val="21"/>
              </w:rPr>
            </w:pPr>
            <w:r>
              <w:rPr>
                <w:sz w:val="21"/>
                <w:szCs w:val="21"/>
              </w:rPr>
              <w:t>水泥混凝土</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1.0</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1.5</w:t>
            </w:r>
          </w:p>
        </w:tc>
        <w:tc>
          <w:tcPr>
            <w:tcW w:w="1250" w:type="pct"/>
            <w:vAlign w:val="center"/>
          </w:tcPr>
          <w:p>
            <w:pPr>
              <w:pStyle w:val="675"/>
              <w:jc w:val="center"/>
              <w:rPr>
                <w:rFonts w:ascii="Times New Roman" w:hAnsi="Times New Roman" w:eastAsia="Times New Roman" w:cs="Times New Roman"/>
                <w:sz w:val="21"/>
                <w:szCs w:val="21"/>
              </w:rPr>
            </w:pPr>
            <w:r>
              <w:rPr>
                <w:rFonts w:ascii="Times New Roman"/>
                <w:sz w:val="21"/>
              </w:rPr>
              <w:t>2.0</w:t>
            </w:r>
          </w:p>
        </w:tc>
      </w:tr>
    </w:tbl>
    <w:p>
      <w:pPr>
        <w:spacing w:line="20" w:lineRule="exact"/>
        <w:ind w:left="2180" w:firstLine="40"/>
        <w:rPr>
          <w:rFonts w:eastAsia="Times New Roman"/>
          <w:sz w:val="2"/>
          <w:szCs w:val="2"/>
          <w:highlight w:val="yellow"/>
        </w:rPr>
      </w:pPr>
    </w:p>
    <w:p>
      <w:pPr>
        <w:ind w:firstLine="480"/>
        <w:rPr>
          <w:rFonts w:ascii="黑体" w:hAnsi="黑体" w:eastAsia="黑体" w:cs="黑体"/>
        </w:rPr>
      </w:pPr>
      <w:r>
        <w:t>2)声波传播途径中引起的衰减量</w:t>
      </w:r>
      <w:r>
        <w:rPr>
          <w:rFonts w:ascii="黑体" w:hAnsi="黑体" w:eastAsia="黑体" w:cs="黑体"/>
        </w:rPr>
        <w:t>（</w:t>
      </w:r>
      <w:r>
        <w:rPr>
          <w:rFonts w:ascii="Symbol" w:hAnsi="Symbol" w:eastAsia="Symbol" w:cs="Symbol"/>
        </w:rPr>
        <w:t></w:t>
      </w:r>
      <w:r>
        <w:rPr>
          <w:rFonts w:eastAsia="Times New Roman"/>
        </w:rPr>
        <w:t>L</w:t>
      </w:r>
      <w:r>
        <w:rPr>
          <w:rFonts w:eastAsia="Times New Roman"/>
          <w:position w:val="-5"/>
          <w:sz w:val="14"/>
          <w:szCs w:val="14"/>
        </w:rPr>
        <w:t>2</w:t>
      </w:r>
      <w:r>
        <w:rPr>
          <w:rFonts w:ascii="黑体" w:hAnsi="黑体" w:eastAsia="黑体" w:cs="黑体"/>
        </w:rPr>
        <w:t>）</w:t>
      </w:r>
    </w:p>
    <w:p>
      <w:pPr>
        <w:ind w:firstLine="480"/>
      </w:pPr>
      <w:r>
        <w:rPr>
          <w:rFonts w:eastAsia="Times New Roman"/>
        </w:rPr>
        <w:t>a</w:t>
      </w:r>
      <w:r>
        <w:t>）</w:t>
      </w:r>
      <w:r>
        <w:rPr>
          <w:rFonts w:hint="eastAsia"/>
        </w:rPr>
        <w:t>障碍物屏蔽引起的衰减（A</w:t>
      </w:r>
      <w:r>
        <w:rPr>
          <w:rFonts w:hint="eastAsia"/>
          <w:vertAlign w:val="subscript"/>
        </w:rPr>
        <w:t>bar</w:t>
      </w:r>
      <w:r>
        <w:rPr>
          <w:rFonts w:hint="eastAsia"/>
        </w:rPr>
        <w:t>）</w:t>
      </w:r>
    </w:p>
    <w:p>
      <w:pPr>
        <w:ind w:firstLine="500"/>
        <w:rPr>
          <w:spacing w:val="5"/>
        </w:rPr>
      </w:pPr>
      <w:r>
        <w:rPr>
          <w:rFonts w:hint="eastAsia"/>
          <w:spacing w:val="5"/>
        </w:rPr>
        <w:t>位于声源和预测点之间的实体障碍物，如围墙、建筑物、土坡或地堑等起声屏障作用，从而引起声能量的较大衰减。在环境影响评价中，可将各种形式的屏障简化为具有一定高度的薄屏障。</w:t>
      </w:r>
    </w:p>
    <w:p>
      <w:pPr>
        <w:pStyle w:val="2"/>
        <w:ind w:firstLine="480"/>
      </w:pPr>
      <w:r>
        <w:rPr>
          <w:rFonts w:hint="eastAsia"/>
        </w:rPr>
        <w:t>如图A.5所示，S、O、P三点在同一平面内切垂直于地面。</w:t>
      </w:r>
    </w:p>
    <w:p>
      <w:pPr>
        <w:pStyle w:val="2"/>
        <w:ind w:firstLine="480"/>
      </w:pPr>
      <w:r>
        <w:rPr>
          <w:rFonts w:hint="eastAsia"/>
        </w:rPr>
        <w:t>定义</w:t>
      </w:r>
      <m:oMath>
        <m:r>
          <m:rPr>
            <m:sty m:val="p"/>
          </m:rPr>
          <w:rPr>
            <w:rFonts w:ascii="Cambria Math" w:hAnsi="Cambria Math"/>
          </w:rPr>
          <m:t>δ=SO+OP-SP</m:t>
        </m:r>
      </m:oMath>
      <w:r>
        <w:rPr>
          <w:rFonts w:hint="eastAsia"/>
        </w:rPr>
        <w:t>为声程差，</w:t>
      </w:r>
      <m:oMath>
        <m:r>
          <m:rPr>
            <m:sty m:val="p"/>
          </m:rPr>
          <w:rPr>
            <w:rFonts w:ascii="Cambria Math" w:hAnsi="Cambria Math"/>
          </w:rPr>
          <m:t>N=2δ/λ</m:t>
        </m:r>
      </m:oMath>
      <w:r>
        <w:rPr>
          <w:rFonts w:hint="eastAsia"/>
        </w:rPr>
        <w:t>为菲涅尔数，其中</w:t>
      </w:r>
      <m:oMath>
        <m:r>
          <m:rPr>
            <m:sty m:val="p"/>
          </m:rPr>
          <w:rPr>
            <w:rFonts w:ascii="Cambria Math" w:hAnsi="Cambria Math"/>
          </w:rPr>
          <m:t>λ</m:t>
        </m:r>
      </m:oMath>
      <w:r>
        <w:rPr>
          <w:rFonts w:hint="eastAsia"/>
        </w:rPr>
        <w:t>为声波波长。</w:t>
      </w:r>
    </w:p>
    <w:p>
      <w:pPr>
        <w:ind w:firstLine="500"/>
        <w:rPr>
          <w:spacing w:val="5"/>
        </w:rPr>
      </w:pPr>
      <w:r>
        <w:rPr>
          <w:rFonts w:hint="eastAsia"/>
          <w:spacing w:val="5"/>
        </w:rPr>
        <w:t>在噪声预测中，声屏障插入损失的计算方法需要根据实际情况作为简化处理。</w:t>
      </w:r>
    </w:p>
    <w:p>
      <w:pPr>
        <w:ind w:firstLine="500"/>
        <w:rPr>
          <w:spacing w:val="5"/>
        </w:rPr>
      </w:pPr>
      <w:r>
        <w:rPr>
          <w:rFonts w:hint="eastAsia"/>
          <w:spacing w:val="5"/>
        </w:rPr>
        <w:t>屏障衰减Abar在单绕射（即薄屏障）情况，衰减最大取20dB；在双绕射（即厚屏障）情况，衰减最大取25dB。</w:t>
      </w:r>
    </w:p>
    <w:p>
      <w:pPr>
        <w:ind w:firstLine="500" w:firstLineChars="0"/>
        <w:rPr>
          <w:spacing w:val="5"/>
        </w:rPr>
      </w:pPr>
      <w:r>
        <w:rPr>
          <w:rFonts w:hint="eastAsia"/>
          <w:spacing w:val="5"/>
        </w:rPr>
        <w:t>①在有限长薄屏障在点声源声场中引起的衰减</w:t>
      </w:r>
    </w:p>
    <w:p>
      <w:pPr>
        <w:ind w:firstLine="500" w:firstLineChars="0"/>
      </w:pPr>
      <w:r>
        <w:rPr>
          <w:rFonts w:hint="eastAsia"/>
        </w:rPr>
        <w:t>首先计算图A.6所示三个传播途径的声程差</w:t>
      </w:r>
      <w:r>
        <w:t>δ</w:t>
      </w:r>
      <w:r>
        <w:rPr>
          <w:vertAlign w:val="subscript"/>
        </w:rPr>
        <w:t>1</w:t>
      </w:r>
      <w:r>
        <w:rPr>
          <w:rFonts w:hint="eastAsia"/>
        </w:rPr>
        <w:t>，</w:t>
      </w:r>
      <w:r>
        <w:t>δ</w:t>
      </w:r>
      <w:r>
        <w:rPr>
          <w:rFonts w:hint="eastAsia"/>
          <w:vertAlign w:val="subscript"/>
        </w:rPr>
        <w:t>2</w:t>
      </w:r>
      <w:r>
        <w:rPr>
          <w:rFonts w:hint="eastAsia"/>
        </w:rPr>
        <w:t>，</w:t>
      </w:r>
      <w:r>
        <w:t>δ</w:t>
      </w:r>
      <w:r>
        <w:rPr>
          <w:rFonts w:hint="eastAsia"/>
          <w:vertAlign w:val="subscript"/>
        </w:rPr>
        <w:t>3</w:t>
      </w:r>
      <w:r>
        <w:rPr>
          <w:rFonts w:hint="eastAsia"/>
        </w:rPr>
        <w:t>和相应的菲涅尔数N</w:t>
      </w:r>
      <w:r>
        <w:rPr>
          <w:rFonts w:hint="eastAsia"/>
          <w:vertAlign w:val="subscript"/>
        </w:rPr>
        <w:t>1</w:t>
      </w:r>
      <w:r>
        <w:rPr>
          <w:rFonts w:hint="eastAsia"/>
        </w:rPr>
        <w:t>、N</w:t>
      </w:r>
      <w:r>
        <w:rPr>
          <w:rFonts w:hint="eastAsia"/>
          <w:vertAlign w:val="subscript"/>
        </w:rPr>
        <w:t>2</w:t>
      </w:r>
      <w:r>
        <w:rPr>
          <w:rFonts w:hint="eastAsia"/>
        </w:rPr>
        <w:t>、N</w:t>
      </w:r>
      <w:r>
        <w:rPr>
          <w:rFonts w:hint="eastAsia"/>
          <w:vertAlign w:val="subscript"/>
        </w:rPr>
        <w:t>3</w:t>
      </w:r>
      <w:r>
        <w:rPr>
          <w:rFonts w:hint="eastAsia"/>
        </w:rPr>
        <w:t>。</w:t>
      </w:r>
    </w:p>
    <w:p>
      <w:pPr>
        <w:pStyle w:val="2"/>
        <w:ind w:firstLine="480"/>
      </w:pPr>
      <w:r>
        <w:rPr>
          <w:rFonts w:hint="eastAsia"/>
        </w:rPr>
        <w:t>声屏障引起的衰减按下式计算：</w:t>
      </w:r>
    </w:p>
    <w:p>
      <w:pPr>
        <w:pStyle w:val="2"/>
        <w:spacing w:line="240" w:lineRule="auto"/>
        <w:ind w:firstLine="480"/>
        <w:rPr>
          <w:i/>
        </w:rPr>
      </w:pPr>
      <m:oMathPara>
        <m:oMath>
          <m:sSub>
            <m:sSubPr>
              <m:ctrlPr>
                <w:rPr>
                  <w:rFonts w:ascii="Cambria Math" w:hAnsi="Cambria Math"/>
                  <w:i/>
                </w:rPr>
              </m:ctrlPr>
            </m:sSubPr>
            <m:e>
              <m:r>
                <w:rPr>
                  <w:rFonts w:ascii="Cambria Math" w:hAnsi="Cambria Math"/>
                </w:rPr>
                <m:t>A</m:t>
              </m:r>
              <m:ctrlPr>
                <w:rPr>
                  <w:rFonts w:ascii="Cambria Math" w:hAnsi="Cambria Math"/>
                  <w:i/>
                </w:rPr>
              </m:ctrlPr>
            </m:e>
            <m:sub>
              <m:r>
                <w:rPr>
                  <w:rFonts w:ascii="Cambria Math" w:hAnsi="Cambria Math"/>
                </w:rPr>
                <m:t>bar</m:t>
              </m:r>
              <m:ctrlPr>
                <w:rPr>
                  <w:rFonts w:ascii="Cambria Math" w:hAnsi="Cambria Math"/>
                  <w:i/>
                </w:rPr>
              </m:ctrlPr>
            </m:sub>
          </m:sSub>
          <m:r>
            <w:rPr>
              <w:rFonts w:ascii="Cambria Math" w:hAnsi="Cambria Math"/>
            </w:rPr>
            <m:t>=-10lg⁡(</m:t>
          </m:r>
          <m:f>
            <m:fPr>
              <m:ctrlPr>
                <w:rPr>
                  <w:rFonts w:ascii="Cambria Math" w:hAnsi="Cambria Math"/>
                  <w:i/>
                </w:rPr>
              </m:ctrlPr>
            </m:fPr>
            <m:num>
              <m:r>
                <w:rPr>
                  <w:rFonts w:ascii="Cambria Math" w:hAnsi="Cambria Math"/>
                </w:rPr>
                <m:t>1</m:t>
              </m:r>
              <m:ctrlPr>
                <w:rPr>
                  <w:rFonts w:ascii="Cambria Math" w:hAnsi="Cambria Math"/>
                  <w:i/>
                </w:rPr>
              </m:ctrlPr>
            </m:num>
            <m:den>
              <m:r>
                <w:rPr>
                  <w:rFonts w:ascii="Cambria Math" w:hAnsi="Cambria Math"/>
                </w:rPr>
                <m:t>3+20</m:t>
              </m:r>
              <m:sSub>
                <m:sSubPr>
                  <m:ctrlPr>
                    <w:rPr>
                      <w:rFonts w:ascii="Cambria Math" w:hAnsi="Cambria Math"/>
                      <w:i/>
                    </w:rPr>
                  </m:ctrlPr>
                </m:sSubPr>
                <m:e>
                  <m:r>
                    <w:rPr>
                      <w:rFonts w:ascii="Cambria Math" w:hAnsi="Cambria Math"/>
                    </w:rPr>
                    <m:t>N</m:t>
                  </m:r>
                  <m:ctrlPr>
                    <w:rPr>
                      <w:rFonts w:ascii="Cambria Math" w:hAnsi="Cambria Math"/>
                      <w:i/>
                    </w:rPr>
                  </m:ctrlPr>
                </m:e>
                <m:sub>
                  <m:r>
                    <w:rPr>
                      <w:rFonts w:ascii="Cambria Math" w:hAnsi="Cambria Math"/>
                    </w:rPr>
                    <m:t>1</m:t>
                  </m:r>
                  <m:ctrlPr>
                    <w:rPr>
                      <w:rFonts w:ascii="Cambria Math" w:hAnsi="Cambria Math"/>
                      <w:i/>
                    </w:rPr>
                  </m:ctrlPr>
                </m:sub>
              </m:sSub>
              <m:ctrlPr>
                <w:rPr>
                  <w:rFonts w:ascii="Cambria Math" w:hAnsi="Cambria Math"/>
                  <w:i/>
                </w:rPr>
              </m:ctrlPr>
            </m:den>
          </m:f>
          <m: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i/>
                </w:rPr>
              </m:ctrlPr>
            </m:num>
            <m:den>
              <m:r>
                <w:rPr>
                  <w:rFonts w:ascii="Cambria Math" w:hAnsi="Cambria Math"/>
                </w:rPr>
                <m:t>3+20</m:t>
              </m:r>
              <m:sSub>
                <m:sSubPr>
                  <m:ctrlPr>
                    <w:rPr>
                      <w:rFonts w:ascii="Cambria Math" w:hAnsi="Cambria Math"/>
                      <w:i/>
                    </w:rPr>
                  </m:ctrlPr>
                </m:sSubPr>
                <m:e>
                  <m:r>
                    <w:rPr>
                      <w:rFonts w:ascii="Cambria Math" w:hAnsi="Cambria Math"/>
                    </w:rPr>
                    <m:t>N</m:t>
                  </m:r>
                  <m:ctrlPr>
                    <w:rPr>
                      <w:rFonts w:ascii="Cambria Math" w:hAnsi="Cambria Math"/>
                      <w:i/>
                    </w:rPr>
                  </m:ctrlPr>
                </m:e>
                <m:sub>
                  <m:r>
                    <w:rPr>
                      <w:rFonts w:ascii="Cambria Math" w:hAnsi="Cambria Math"/>
                    </w:rPr>
                    <m:t>2</m:t>
                  </m:r>
                  <m:ctrlPr>
                    <w:rPr>
                      <w:rFonts w:ascii="Cambria Math" w:hAnsi="Cambria Math"/>
                      <w:i/>
                    </w:rPr>
                  </m:ctrlPr>
                </m:sub>
              </m:sSub>
              <m:ctrlPr>
                <w:rPr>
                  <w:rFonts w:ascii="Cambria Math" w:hAnsi="Cambria Math"/>
                  <w:i/>
                </w:rPr>
              </m:ctrlPr>
            </m:den>
          </m:f>
          <m: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i/>
                </w:rPr>
              </m:ctrlPr>
            </m:num>
            <m:den>
              <m:r>
                <w:rPr>
                  <w:rFonts w:ascii="Cambria Math" w:hAnsi="Cambria Math"/>
                </w:rPr>
                <m:t>3+20</m:t>
              </m:r>
              <m:sSub>
                <m:sSubPr>
                  <m:ctrlPr>
                    <w:rPr>
                      <w:rFonts w:ascii="Cambria Math" w:hAnsi="Cambria Math"/>
                      <w:i/>
                    </w:rPr>
                  </m:ctrlPr>
                </m:sSubPr>
                <m:e>
                  <m:r>
                    <w:rPr>
                      <w:rFonts w:ascii="Cambria Math" w:hAnsi="Cambria Math"/>
                    </w:rPr>
                    <m:t>N</m:t>
                  </m:r>
                  <m:ctrlPr>
                    <w:rPr>
                      <w:rFonts w:ascii="Cambria Math" w:hAnsi="Cambria Math"/>
                      <w:i/>
                    </w:rPr>
                  </m:ctrlPr>
                </m:e>
                <m:sub>
                  <m:r>
                    <w:rPr>
                      <w:rFonts w:ascii="Cambria Math" w:hAnsi="Cambria Math"/>
                    </w:rPr>
                    <m:t>3</m:t>
                  </m:r>
                  <m:ctrlPr>
                    <w:rPr>
                      <w:rFonts w:ascii="Cambria Math" w:hAnsi="Cambria Math"/>
                      <w:i/>
                    </w:rPr>
                  </m:ctrlPr>
                </m:sub>
              </m:sSub>
              <m:ctrlPr>
                <w:rPr>
                  <w:rFonts w:ascii="Cambria Math" w:hAnsi="Cambria Math"/>
                  <w:i/>
                </w:rPr>
              </m:ctrlPr>
            </m:den>
          </m:f>
          <m:r>
            <w:rPr>
              <w:rFonts w:ascii="Cambria Math" w:hAnsi="Cambria Math"/>
            </w:rPr>
            <m:t>)</m:t>
          </m:r>
        </m:oMath>
      </m:oMathPara>
    </w:p>
    <w:p>
      <w:pPr>
        <w:ind w:firstLine="500" w:firstLineChars="0"/>
      </w:pPr>
      <w:r>
        <w:rPr>
          <w:rFonts w:hint="eastAsia"/>
        </w:rPr>
        <w:t>式中：A</w:t>
      </w:r>
      <w:r>
        <w:rPr>
          <w:rFonts w:hint="eastAsia"/>
          <w:vertAlign w:val="subscript"/>
        </w:rPr>
        <w:t>bar</w:t>
      </w:r>
      <w:r>
        <w:rPr>
          <w:lang w:val="pt-BR"/>
        </w:rPr>
        <w:t>—</w:t>
      </w:r>
      <w:r>
        <w:rPr>
          <w:rFonts w:hint="eastAsia"/>
        </w:rPr>
        <w:t>障碍物屏蔽引起的衰减</w:t>
      </w:r>
      <w:r>
        <w:rPr>
          <w:lang w:val="pt-BR"/>
        </w:rPr>
        <w:t>，dB</w:t>
      </w:r>
      <w:r>
        <w:rPr>
          <w:rFonts w:hint="eastAsia"/>
          <w:lang w:val="pt-BR"/>
        </w:rPr>
        <w:t>；</w:t>
      </w:r>
    </w:p>
    <w:p>
      <w:pPr>
        <w:ind w:firstLine="500" w:firstLineChars="0"/>
      </w:pPr>
      <w:r>
        <w:rPr>
          <w:rFonts w:hint="eastAsia"/>
        </w:rPr>
        <w:t>N</w:t>
      </w:r>
      <w:r>
        <w:rPr>
          <w:rFonts w:hint="eastAsia"/>
          <w:vertAlign w:val="subscript"/>
        </w:rPr>
        <w:t>1</w:t>
      </w:r>
      <w:r>
        <w:rPr>
          <w:rFonts w:hint="eastAsia"/>
        </w:rPr>
        <w:t>、N</w:t>
      </w:r>
      <w:r>
        <w:rPr>
          <w:rFonts w:hint="eastAsia"/>
          <w:vertAlign w:val="subscript"/>
        </w:rPr>
        <w:t>2</w:t>
      </w:r>
      <w:r>
        <w:rPr>
          <w:rFonts w:hint="eastAsia"/>
        </w:rPr>
        <w:t>、N</w:t>
      </w:r>
      <w:r>
        <w:rPr>
          <w:rFonts w:hint="eastAsia"/>
          <w:vertAlign w:val="subscript"/>
        </w:rPr>
        <w:t>3</w:t>
      </w:r>
      <w:r>
        <w:rPr>
          <w:lang w:val="pt-BR"/>
        </w:rPr>
        <w:t>—</w:t>
      </w:r>
      <w:r>
        <w:rPr>
          <w:rFonts w:hint="eastAsia"/>
          <w:lang w:val="pt-BR"/>
        </w:rPr>
        <w:t>三个传播途径的声程差</w:t>
      </w:r>
      <w:r>
        <w:t>δ</w:t>
      </w:r>
      <w:r>
        <w:rPr>
          <w:vertAlign w:val="subscript"/>
        </w:rPr>
        <w:t>1</w:t>
      </w:r>
      <w:r>
        <w:rPr>
          <w:rFonts w:hint="eastAsia"/>
        </w:rPr>
        <w:t>，</w:t>
      </w:r>
      <w:r>
        <w:t>δ</w:t>
      </w:r>
      <w:r>
        <w:rPr>
          <w:rFonts w:hint="eastAsia"/>
          <w:vertAlign w:val="subscript"/>
        </w:rPr>
        <w:t>2</w:t>
      </w:r>
      <w:r>
        <w:rPr>
          <w:rFonts w:hint="eastAsia"/>
        </w:rPr>
        <w:t>，</w:t>
      </w:r>
      <w:r>
        <w:t>δ</w:t>
      </w:r>
      <w:r>
        <w:rPr>
          <w:rFonts w:hint="eastAsia"/>
          <w:vertAlign w:val="subscript"/>
        </w:rPr>
        <w:t>3</w:t>
      </w:r>
      <w:r>
        <w:rPr>
          <w:rFonts w:hint="eastAsia"/>
        </w:rPr>
        <w:t>相应的菲涅尔数。</w:t>
      </w:r>
    </w:p>
    <w:p>
      <w:pPr>
        <w:pStyle w:val="2"/>
        <w:ind w:firstLine="480"/>
      </w:pPr>
      <w:r>
        <w:rPr>
          <w:rFonts w:hint="eastAsia"/>
        </w:rPr>
        <w:t>当屏障很长（作无限长处理）时，仅可考虑顶端绕射衰减，按下式计算：</w:t>
      </w:r>
    </w:p>
    <w:p>
      <w:pPr>
        <w:spacing w:line="240" w:lineRule="auto"/>
        <w:ind w:firstLine="499" w:firstLineChars="0"/>
        <w:rPr>
          <w:i/>
        </w:rPr>
      </w:pPr>
      <m:oMathPara>
        <m:oMath>
          <m:sSub>
            <m:sSubPr>
              <m:ctrlPr>
                <w:rPr>
                  <w:rFonts w:ascii="Cambria Math" w:hAnsi="Cambria Math"/>
                  <w:i/>
                </w:rPr>
              </m:ctrlPr>
            </m:sSubPr>
            <m:e>
              <m:r>
                <w:rPr>
                  <w:rFonts w:ascii="Cambria Math" w:hAnsi="Cambria Math"/>
                </w:rPr>
                <m:t>A</m:t>
              </m:r>
              <m:ctrlPr>
                <w:rPr>
                  <w:rFonts w:ascii="Cambria Math" w:hAnsi="Cambria Math"/>
                  <w:i/>
                </w:rPr>
              </m:ctrlPr>
            </m:e>
            <m:sub>
              <m:r>
                <w:rPr>
                  <w:rFonts w:ascii="Cambria Math" w:hAnsi="Cambria Math"/>
                </w:rPr>
                <m:t>bar</m:t>
              </m:r>
              <m:ctrlPr>
                <w:rPr>
                  <w:rFonts w:ascii="Cambria Math" w:hAnsi="Cambria Math"/>
                  <w:i/>
                </w:rPr>
              </m:ctrlPr>
            </m:sub>
          </m:sSub>
          <m:r>
            <w:rPr>
              <w:rFonts w:ascii="Cambria Math" w:hAnsi="Cambria Math"/>
            </w:rPr>
            <m:t>=-10lg⁡(</m:t>
          </m:r>
          <m:f>
            <m:fPr>
              <m:ctrlPr>
                <w:rPr>
                  <w:rFonts w:ascii="Cambria Math" w:hAnsi="Cambria Math"/>
                  <w:i/>
                </w:rPr>
              </m:ctrlPr>
            </m:fPr>
            <m:num>
              <m:r>
                <w:rPr>
                  <w:rFonts w:ascii="Cambria Math" w:hAnsi="Cambria Math"/>
                </w:rPr>
                <m:t>1</m:t>
              </m:r>
              <m:ctrlPr>
                <w:rPr>
                  <w:rFonts w:ascii="Cambria Math" w:hAnsi="Cambria Math"/>
                  <w:i/>
                </w:rPr>
              </m:ctrlPr>
            </m:num>
            <m:den>
              <m:r>
                <w:rPr>
                  <w:rFonts w:ascii="Cambria Math" w:hAnsi="Cambria Math"/>
                </w:rPr>
                <m:t>3+20</m:t>
              </m:r>
              <m:sSub>
                <m:sSubPr>
                  <m:ctrlPr>
                    <w:rPr>
                      <w:rFonts w:ascii="Cambria Math" w:hAnsi="Cambria Math"/>
                      <w:i/>
                    </w:rPr>
                  </m:ctrlPr>
                </m:sSubPr>
                <m:e>
                  <m:r>
                    <w:rPr>
                      <w:rFonts w:ascii="Cambria Math" w:hAnsi="Cambria Math"/>
                    </w:rPr>
                    <m:t>N</m:t>
                  </m:r>
                  <m:ctrlPr>
                    <w:rPr>
                      <w:rFonts w:ascii="Cambria Math" w:hAnsi="Cambria Math"/>
                      <w:i/>
                    </w:rPr>
                  </m:ctrlPr>
                </m:e>
                <m:sub>
                  <m:r>
                    <w:rPr>
                      <w:rFonts w:ascii="Cambria Math" w:hAnsi="Cambria Math"/>
                    </w:rPr>
                    <m:t>1</m:t>
                  </m:r>
                  <m:ctrlPr>
                    <w:rPr>
                      <w:rFonts w:ascii="Cambria Math" w:hAnsi="Cambria Math"/>
                      <w:i/>
                    </w:rPr>
                  </m:ctrlPr>
                </m:sub>
              </m:sSub>
              <m:ctrlPr>
                <w:rPr>
                  <w:rFonts w:ascii="Cambria Math" w:hAnsi="Cambria Math"/>
                  <w:i/>
                </w:rPr>
              </m:ctrlPr>
            </m:den>
          </m:f>
          <m:r>
            <w:rPr>
              <w:rFonts w:ascii="Cambria Math" w:hAnsi="Cambria Math"/>
            </w:rPr>
            <m:t>)</m:t>
          </m:r>
        </m:oMath>
      </m:oMathPara>
    </w:p>
    <w:p>
      <w:pPr>
        <w:ind w:firstLine="500" w:firstLineChars="0"/>
      </w:pPr>
      <w:r>
        <w:rPr>
          <w:rFonts w:hint="eastAsia"/>
        </w:rPr>
        <w:t>式中：A</w:t>
      </w:r>
      <w:r>
        <w:rPr>
          <w:rFonts w:hint="eastAsia"/>
          <w:vertAlign w:val="subscript"/>
        </w:rPr>
        <w:t>bar</w:t>
      </w:r>
      <w:r>
        <w:rPr>
          <w:lang w:val="pt-BR"/>
        </w:rPr>
        <w:t>—</w:t>
      </w:r>
      <w:r>
        <w:rPr>
          <w:rFonts w:hint="eastAsia"/>
        </w:rPr>
        <w:t>障碍物屏蔽引起的衰减</w:t>
      </w:r>
      <w:r>
        <w:rPr>
          <w:lang w:val="pt-BR"/>
        </w:rPr>
        <w:t>，dB</w:t>
      </w:r>
      <w:r>
        <w:rPr>
          <w:rFonts w:hint="eastAsia"/>
          <w:lang w:val="pt-BR"/>
        </w:rPr>
        <w:t>；</w:t>
      </w:r>
    </w:p>
    <w:p>
      <w:pPr>
        <w:ind w:firstLine="500" w:firstLineChars="0"/>
      </w:pPr>
      <w:r>
        <w:rPr>
          <w:rFonts w:hint="eastAsia"/>
        </w:rPr>
        <w:t xml:space="preserve">      N</w:t>
      </w:r>
      <w:r>
        <w:rPr>
          <w:rFonts w:hint="eastAsia"/>
          <w:vertAlign w:val="subscript"/>
        </w:rPr>
        <w:t>1</w:t>
      </w:r>
      <w:r>
        <w:rPr>
          <w:lang w:val="pt-BR"/>
        </w:rPr>
        <w:t>—</w:t>
      </w:r>
      <w:r>
        <w:rPr>
          <w:rFonts w:hint="eastAsia"/>
          <w:lang w:val="pt-BR"/>
        </w:rPr>
        <w:t>顶端绕射的声程差</w:t>
      </w:r>
      <w:r>
        <w:t>δ</w:t>
      </w:r>
      <w:r>
        <w:rPr>
          <w:vertAlign w:val="subscript"/>
        </w:rPr>
        <w:t>1</w:t>
      </w:r>
      <w:r>
        <w:rPr>
          <w:rFonts w:hint="eastAsia"/>
        </w:rPr>
        <w:t>相应的菲涅尔数。</w:t>
      </w:r>
    </w:p>
    <w:p>
      <w:pPr>
        <w:spacing w:line="240" w:lineRule="auto"/>
        <w:ind w:firstLine="499" w:firstLineChars="0"/>
        <w:jc w:val="center"/>
      </w:pPr>
      <w:r>
        <w:rPr>
          <w:rFonts w:hint="eastAsia"/>
        </w:rPr>
        <w:drawing>
          <wp:inline distT="0" distB="0" distL="0" distR="0">
            <wp:extent cx="2447925" cy="1424940"/>
            <wp:effectExtent l="19050" t="0" r="9450" b="0"/>
            <wp:docPr id="32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0"/>
                    <pic:cNvPicPr>
                      <a:picLocks noChangeAspect="1" noChangeArrowheads="1"/>
                    </pic:cNvPicPr>
                  </pic:nvPicPr>
                  <pic:blipFill>
                    <a:blip r:embed="rId87" cstate="print"/>
                    <a:srcRect/>
                    <a:stretch>
                      <a:fillRect/>
                    </a:stretch>
                  </pic:blipFill>
                  <pic:spPr>
                    <a:xfrm>
                      <a:off x="0" y="0"/>
                      <a:ext cx="2448000" cy="1425240"/>
                    </a:xfrm>
                    <a:prstGeom prst="rect">
                      <a:avLst/>
                    </a:prstGeom>
                    <a:noFill/>
                    <a:ln w="9525">
                      <a:noFill/>
                      <a:miter lim="800000"/>
                      <a:headEnd/>
                      <a:tailEnd/>
                    </a:ln>
                  </pic:spPr>
                </pic:pic>
              </a:graphicData>
            </a:graphic>
          </wp:inline>
        </w:drawing>
      </w:r>
      <w:r>
        <w:rPr>
          <w:rFonts w:hint="eastAsia"/>
        </w:rPr>
        <w:t xml:space="preserve"> </w:t>
      </w:r>
      <w:r>
        <w:rPr>
          <w:rFonts w:hint="eastAsia"/>
        </w:rPr>
        <w:drawing>
          <wp:inline distT="0" distB="0" distL="0" distR="0">
            <wp:extent cx="2627630" cy="2437130"/>
            <wp:effectExtent l="19050" t="0" r="900" b="0"/>
            <wp:docPr id="3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3"/>
                    <pic:cNvPicPr>
                      <a:picLocks noChangeAspect="1" noChangeArrowheads="1"/>
                    </pic:cNvPicPr>
                  </pic:nvPicPr>
                  <pic:blipFill>
                    <a:blip r:embed="rId88" cstate="print"/>
                    <a:srcRect/>
                    <a:stretch>
                      <a:fillRect/>
                    </a:stretch>
                  </pic:blipFill>
                  <pic:spPr>
                    <a:xfrm>
                      <a:off x="0" y="0"/>
                      <a:ext cx="2628000" cy="2437654"/>
                    </a:xfrm>
                    <a:prstGeom prst="rect">
                      <a:avLst/>
                    </a:prstGeom>
                    <a:noFill/>
                    <a:ln w="9525">
                      <a:noFill/>
                      <a:miter lim="800000"/>
                      <a:headEnd/>
                      <a:tailEnd/>
                    </a:ln>
                  </pic:spPr>
                </pic:pic>
              </a:graphicData>
            </a:graphic>
          </wp:inline>
        </w:drawing>
      </w:r>
    </w:p>
    <w:p>
      <w:pPr>
        <w:pStyle w:val="185"/>
        <w:spacing w:line="480" w:lineRule="exact"/>
        <w:rPr>
          <w:sz w:val="21"/>
          <w:szCs w:val="21"/>
        </w:rPr>
      </w:pPr>
      <w:r>
        <w:rPr>
          <w:rFonts w:hint="eastAsia"/>
          <w:sz w:val="21"/>
          <w:szCs w:val="21"/>
        </w:rPr>
        <w:t xml:space="preserve">  图5.2-2 无限长声屏障示意图      图5.2-3 有限长声屏障传播路径</w:t>
      </w:r>
    </w:p>
    <w:p>
      <w:pPr>
        <w:ind w:firstLine="500" w:firstLineChars="0"/>
      </w:pPr>
      <w:r>
        <w:rPr>
          <w:rFonts w:hint="eastAsia"/>
        </w:rPr>
        <w:t>②双绕射计算</w:t>
      </w:r>
    </w:p>
    <w:p>
      <w:pPr>
        <w:pStyle w:val="2"/>
        <w:ind w:firstLine="480"/>
      </w:pPr>
      <w:r>
        <w:rPr>
          <w:rFonts w:hint="eastAsia"/>
        </w:rPr>
        <w:t>对于双绕射情形，可由下式计算绕射声与直达声之间的声程差</w:t>
      </w:r>
      <w:r>
        <w:t>δ</w:t>
      </w:r>
      <w:r>
        <w:rPr>
          <w:rFonts w:hint="eastAsia"/>
        </w:rPr>
        <w:t>：</w:t>
      </w:r>
    </w:p>
    <w:p>
      <w:pPr>
        <w:ind w:firstLine="500" w:firstLineChars="0"/>
        <w:rPr>
          <w:i/>
        </w:rPr>
      </w:pPr>
      <m:oMathPara>
        <m:oMath>
          <m:r>
            <w:rPr>
              <w:rFonts w:ascii="Cambria Math" w:hAnsi="Cambria Math"/>
            </w:rPr>
            <m:t>δ=</m:t>
          </m:r>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d</m:t>
                          </m:r>
                          <m:ctrlPr>
                            <w:rPr>
                              <w:rFonts w:ascii="Cambria Math" w:hAnsi="Cambria Math"/>
                              <w:i/>
                            </w:rPr>
                          </m:ctrlPr>
                        </m:e>
                        <m:sub>
                          <m:r>
                            <w:rPr>
                              <w:rFonts w:ascii="Cambria Math" w:hAnsi="Cambria Math"/>
                            </w:rPr>
                            <m:t>ss</m:t>
                          </m:r>
                          <m:ctrlPr>
                            <w:rPr>
                              <w:rFonts w:ascii="Cambria Math" w:hAnsi="Cambria Math"/>
                              <w:i/>
                            </w:rPr>
                          </m:ctrlPr>
                        </m:sub>
                      </m:sSub>
                      <m:r>
                        <w:rPr>
                          <w:rFonts w:ascii="Cambria Math" w:hAnsi="Cambria Math"/>
                        </w:rPr>
                        <m:t>+</m:t>
                      </m:r>
                      <m:sSub>
                        <m:sSubPr>
                          <m:ctrlPr>
                            <w:rPr>
                              <w:rFonts w:ascii="Cambria Math" w:hAnsi="Cambria Math"/>
                              <w:i/>
                            </w:rPr>
                          </m:ctrlPr>
                        </m:sSubPr>
                        <m:e>
                          <m:r>
                            <w:rPr>
                              <w:rFonts w:ascii="Cambria Math" w:hAnsi="Cambria Math"/>
                            </w:rPr>
                            <m:t>d</m:t>
                          </m:r>
                          <m:ctrlPr>
                            <w:rPr>
                              <w:rFonts w:ascii="Cambria Math" w:hAnsi="Cambria Math"/>
                              <w:i/>
                            </w:rPr>
                          </m:ctrlPr>
                        </m:e>
                        <m:sub>
                          <m:r>
                            <w:rPr>
                              <w:rFonts w:ascii="Cambria Math" w:hAnsi="Cambria Math"/>
                            </w:rPr>
                            <m:t>sr</m:t>
                          </m:r>
                          <m:ctrlPr>
                            <w:rPr>
                              <w:rFonts w:ascii="Cambria Math" w:hAnsi="Cambria Math"/>
                              <w:i/>
                            </w:rPr>
                          </m:ctrlPr>
                        </m:sub>
                      </m:sSub>
                      <m:r>
                        <w:rPr>
                          <w:rFonts w:ascii="Cambria Math" w:hAnsi="Cambria Math"/>
                        </w:rPr>
                        <m:t>+e)</m:t>
                      </m:r>
                      <m:ctrlPr>
                        <w:rPr>
                          <w:rFonts w:ascii="Cambria Math" w:hAnsi="Cambria Math"/>
                          <w:i/>
                        </w:rPr>
                      </m:ctrlPr>
                    </m:e>
                    <m:sup>
                      <m:r>
                        <w:rPr>
                          <w:rFonts w:ascii="Cambria Math" w:hAnsi="Cambria Math"/>
                        </w:rPr>
                        <m:t>2</m:t>
                      </m:r>
                      <m:ctrlPr>
                        <w:rPr>
                          <w:rFonts w:ascii="Cambria Math" w:hAnsi="Cambria Math"/>
                          <w:i/>
                        </w:rPr>
                      </m:ctrlPr>
                    </m:sup>
                  </m:sSup>
                  <m:r>
                    <w:rPr>
                      <w:rFonts w:ascii="Cambria Math" w:hAnsi="Cambria Math"/>
                    </w:rPr>
                    <m:t>+</m:t>
                  </m:r>
                  <m:sSup>
                    <m:sSupPr>
                      <m:ctrlPr>
                        <w:rPr>
                          <w:rFonts w:ascii="Cambria Math" w:hAnsi="Cambria Math"/>
                          <w:i/>
                        </w:rPr>
                      </m:ctrlPr>
                    </m:sSupPr>
                    <m:e>
                      <m:r>
                        <w:rPr>
                          <w:rFonts w:ascii="Cambria Math" w:hAnsi="Cambria Math"/>
                        </w:rPr>
                        <m:t>a</m:t>
                      </m:r>
                      <m:ctrlPr>
                        <w:rPr>
                          <w:rFonts w:ascii="Cambria Math" w:hAnsi="Cambria Math"/>
                          <w:i/>
                        </w:rPr>
                      </m:ctrlPr>
                    </m:e>
                    <m:sup>
                      <m:r>
                        <w:rPr>
                          <w:rFonts w:ascii="Cambria Math" w:hAnsi="Cambria Math"/>
                        </w:rPr>
                        <m:t>2</m:t>
                      </m:r>
                      <m:ctrlPr>
                        <w:rPr>
                          <w:rFonts w:ascii="Cambria Math" w:hAnsi="Cambria Math"/>
                          <w:i/>
                        </w:rPr>
                      </m:ctrlPr>
                    </m:sup>
                  </m:sSup>
                  <m:ctrlPr>
                    <w:rPr>
                      <w:rFonts w:ascii="Cambria Math" w:hAnsi="Cambria Math"/>
                      <w:i/>
                    </w:rPr>
                  </m:ctrlPr>
                </m:e>
              </m:d>
              <m:ctrlPr>
                <w:rPr>
                  <w:rFonts w:ascii="Cambria Math" w:hAnsi="Cambria Math"/>
                  <w:i/>
                </w:rPr>
              </m:ctrlPr>
            </m:e>
            <m:sup>
              <m:f>
                <m:fPr>
                  <m:ctrlPr>
                    <w:rPr>
                      <w:rFonts w:ascii="Cambria Math" w:hAnsi="Cambria Math"/>
                      <w:i/>
                    </w:rPr>
                  </m:ctrlPr>
                </m:fPr>
                <m:num>
                  <m:r>
                    <w:rPr>
                      <w:rFonts w:ascii="Cambria Math" w:hAnsi="Cambria Math"/>
                    </w:rPr>
                    <m:t>1</m:t>
                  </m:r>
                  <m:ctrlPr>
                    <w:rPr>
                      <w:rFonts w:ascii="Cambria Math" w:hAnsi="Cambria Math"/>
                      <w:i/>
                    </w:rPr>
                  </m:ctrlPr>
                </m:num>
                <m:den>
                  <m:r>
                    <w:rPr>
                      <w:rFonts w:ascii="Cambria Math" w:hAnsi="Cambria Math"/>
                    </w:rPr>
                    <m:t>2</m:t>
                  </m:r>
                  <m:ctrlPr>
                    <w:rPr>
                      <w:rFonts w:ascii="Cambria Math" w:hAnsi="Cambria Math"/>
                      <w:i/>
                    </w:rPr>
                  </m:ctrlPr>
                </m:den>
              </m:f>
              <m:ctrlPr>
                <w:rPr>
                  <w:rFonts w:ascii="Cambria Math" w:hAnsi="Cambria Math"/>
                  <w:i/>
                </w:rPr>
              </m:ctrlPr>
            </m:sup>
          </m:sSup>
          <m:r>
            <w:rPr>
              <w:rFonts w:ascii="Cambria Math" w:hAnsi="Cambria Math"/>
            </w:rPr>
            <m:t>-d</m:t>
          </m:r>
        </m:oMath>
      </m:oMathPara>
    </w:p>
    <w:p>
      <w:pPr>
        <w:ind w:firstLine="500" w:firstLineChars="0"/>
        <w:rPr>
          <w:lang w:val="pt-BR"/>
        </w:rPr>
      </w:pPr>
      <w:r>
        <w:rPr>
          <w:rFonts w:hint="eastAsia"/>
        </w:rPr>
        <w:t>式中：</w:t>
      </w:r>
      <w:r>
        <w:t>δ</w:t>
      </w:r>
      <w:r>
        <w:rPr>
          <w:lang w:val="pt-BR"/>
        </w:rPr>
        <w:t>—</w:t>
      </w:r>
      <w:r>
        <w:rPr>
          <w:rFonts w:hint="eastAsia"/>
          <w:lang w:val="pt-BR"/>
        </w:rPr>
        <w:t>声程差，m；</w:t>
      </w:r>
    </w:p>
    <w:p>
      <w:pPr>
        <w:pStyle w:val="2"/>
        <w:ind w:firstLine="960" w:firstLineChars="400"/>
      </w:pPr>
      <w:r>
        <w:rPr>
          <w:rFonts w:hint="eastAsia"/>
        </w:rPr>
        <w:t>a</w:t>
      </w:r>
      <w:r>
        <w:t>—</w:t>
      </w:r>
      <w:r>
        <w:rPr>
          <w:rFonts w:hint="eastAsia"/>
        </w:rPr>
        <w:t>声源和接收点之间的距离在平行于屏障上边界的投影长度，m；</w:t>
      </w:r>
    </w:p>
    <w:p>
      <w:pPr>
        <w:pStyle w:val="2"/>
        <w:ind w:firstLine="960" w:firstLineChars="400"/>
      </w:pPr>
      <w:r>
        <w:rPr>
          <w:rFonts w:hint="eastAsia"/>
        </w:rPr>
        <w:t>dss</w:t>
      </w:r>
      <w:r>
        <w:t>—</w:t>
      </w:r>
      <w:r>
        <w:rPr>
          <w:rFonts w:hint="eastAsia"/>
        </w:rPr>
        <w:t>声源到第一绕射边的距离，m；</w:t>
      </w:r>
    </w:p>
    <w:p>
      <w:pPr>
        <w:pStyle w:val="2"/>
        <w:ind w:firstLine="960" w:firstLineChars="400"/>
      </w:pPr>
      <w:r>
        <w:rPr>
          <w:rFonts w:hint="eastAsia"/>
        </w:rPr>
        <w:t>dsr</w:t>
      </w:r>
      <w:r>
        <w:t>—</w:t>
      </w:r>
      <w:r>
        <w:rPr>
          <w:rFonts w:hint="eastAsia"/>
        </w:rPr>
        <w:t>第二绕射边到接收点的距离，m；</w:t>
      </w:r>
    </w:p>
    <w:p>
      <w:pPr>
        <w:pStyle w:val="2"/>
        <w:ind w:firstLine="960" w:firstLineChars="400"/>
      </w:pPr>
      <w:r>
        <w:rPr>
          <w:rFonts w:hint="eastAsia"/>
        </w:rPr>
        <w:t>e</w:t>
      </w:r>
      <w:r>
        <w:t>—</w:t>
      </w:r>
      <w:r>
        <w:rPr>
          <w:rFonts w:hint="eastAsia"/>
        </w:rPr>
        <w:t>在双绕射的情况下两个绕射边界之间的距离，m；</w:t>
      </w:r>
    </w:p>
    <w:p>
      <w:pPr>
        <w:ind w:firstLine="960" w:firstLineChars="400"/>
      </w:pPr>
      <w:r>
        <w:rPr>
          <w:rFonts w:hint="eastAsia"/>
        </w:rPr>
        <w:t>d</w:t>
      </w:r>
      <w:r>
        <w:t>—</w:t>
      </w:r>
      <w:r>
        <w:rPr>
          <w:rFonts w:hint="eastAsia"/>
        </w:rPr>
        <w:t>生源到接收点的直线距离，m。</w:t>
      </w:r>
    </w:p>
    <w:p>
      <w:pPr>
        <w:ind w:firstLine="500" w:firstLineChars="0"/>
        <w:rPr>
          <w:highlight w:val="yellow"/>
        </w:rPr>
      </w:pPr>
      <w:r>
        <w:rPr>
          <w:rFonts w:hint="eastAsia"/>
        </w:rPr>
        <w:t>声屏障衰减A</w:t>
      </w:r>
      <w:r>
        <w:rPr>
          <w:rFonts w:hint="eastAsia"/>
          <w:vertAlign w:val="subscript"/>
        </w:rPr>
        <w:t>bar</w:t>
      </w:r>
      <w:r>
        <w:rPr>
          <w:rFonts w:hint="eastAsia"/>
        </w:rPr>
        <w:t>参照GB/T17247.2进行计算。计算屏障衰减后，不再考虑地面效应衰减。</w:t>
      </w:r>
    </w:p>
    <w:p>
      <w:pPr>
        <w:spacing w:line="240" w:lineRule="auto"/>
        <w:ind w:firstLine="0" w:firstLineChars="0"/>
        <w:jc w:val="center"/>
        <w:rPr>
          <w:highlight w:val="yellow"/>
        </w:rPr>
      </w:pPr>
      <w:r>
        <w:rPr>
          <w:rFonts w:hint="eastAsia"/>
        </w:rPr>
        <w:drawing>
          <wp:inline distT="0" distB="0" distL="0" distR="0">
            <wp:extent cx="3887470" cy="4072255"/>
            <wp:effectExtent l="19050" t="0" r="0" b="0"/>
            <wp:docPr id="32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6"/>
                    <pic:cNvPicPr>
                      <a:picLocks noChangeAspect="1" noChangeArrowheads="1"/>
                    </pic:cNvPicPr>
                  </pic:nvPicPr>
                  <pic:blipFill>
                    <a:blip r:embed="rId89" cstate="print"/>
                    <a:srcRect/>
                    <a:stretch>
                      <a:fillRect/>
                    </a:stretch>
                  </pic:blipFill>
                  <pic:spPr>
                    <a:xfrm>
                      <a:off x="0" y="0"/>
                      <a:ext cx="3888000" cy="4072284"/>
                    </a:xfrm>
                    <a:prstGeom prst="rect">
                      <a:avLst/>
                    </a:prstGeom>
                    <a:noFill/>
                    <a:ln w="9525">
                      <a:noFill/>
                      <a:miter lim="800000"/>
                      <a:headEnd/>
                      <a:tailEnd/>
                    </a:ln>
                  </pic:spPr>
                </pic:pic>
              </a:graphicData>
            </a:graphic>
          </wp:inline>
        </w:drawing>
      </w:r>
    </w:p>
    <w:p>
      <w:pPr>
        <w:pStyle w:val="185"/>
        <w:spacing w:line="480" w:lineRule="exact"/>
        <w:rPr>
          <w:sz w:val="21"/>
          <w:szCs w:val="21"/>
        </w:rPr>
      </w:pPr>
      <w:r>
        <w:rPr>
          <w:rFonts w:hint="eastAsia"/>
          <w:sz w:val="21"/>
          <w:szCs w:val="21"/>
        </w:rPr>
        <w:t>图5.2-4 利用建筑物、圡堤作为厚屏障</w:t>
      </w:r>
    </w:p>
    <w:p>
      <w:pPr>
        <w:ind w:firstLine="500" w:firstLineChars="0"/>
      </w:pPr>
      <w:r>
        <w:rPr>
          <w:rFonts w:hint="eastAsia"/>
        </w:rPr>
        <w:t>③屏障在线声源声场中引起的衰减</w:t>
      </w:r>
    </w:p>
    <w:p>
      <w:pPr>
        <w:ind w:firstLine="500" w:firstLineChars="0"/>
      </w:pPr>
      <w:r>
        <w:rPr>
          <w:rFonts w:hint="eastAsia"/>
        </w:rPr>
        <w:t>无限长声屏障参照HJ/T90中4.2.1.2规定的方法进行计算，计算公式为：</w:t>
      </w:r>
    </w:p>
    <w:p>
      <w:pPr>
        <w:spacing w:line="240" w:lineRule="auto"/>
        <w:ind w:firstLine="0" w:firstLineChars="0"/>
      </w:pPr>
      <m:oMathPara>
        <m:oMath>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bar</m:t>
              </m:r>
              <m:ctrlPr>
                <w:rPr>
                  <w:rFonts w:ascii="Cambria Math" w:hAnsi="Cambria Math"/>
                </w:rPr>
              </m:ctrlP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10lg</m:t>
                  </m:r>
                  <m:f>
                    <m:fPr>
                      <m:ctrlPr>
                        <w:rPr>
                          <w:rFonts w:ascii="Cambria Math" w:hAnsi="Cambria Math"/>
                        </w:rPr>
                      </m:ctrlPr>
                    </m:fPr>
                    <m:num>
                      <m:r>
                        <m:rPr>
                          <m:sty m:val="p"/>
                        </m:rPr>
                        <w:rPr>
                          <w:rFonts w:ascii="Cambria Math" w:hAnsi="Cambria Math"/>
                        </w:rPr>
                        <m:t>3π</m:t>
                      </m:r>
                      <m:rad>
                        <m:radPr>
                          <m:degHide m:val="1"/>
                          <m:ctrlPr>
                            <w:rPr>
                              <w:rFonts w:ascii="Cambria Math" w:hAnsi="Cambria Math"/>
                            </w:rPr>
                          </m:ctrlPr>
                        </m:radPr>
                        <m:deg>
                          <m:ctrlPr>
                            <w:rPr>
                              <w:rFonts w:ascii="Cambria Math" w:hAnsi="Cambria Math"/>
                            </w:rPr>
                          </m:ctrlPr>
                        </m:deg>
                        <m:e>
                          <m:r>
                            <m:rPr>
                              <m:sty m:val="p"/>
                            </m:rPr>
                            <w:rPr>
                              <w:rFonts w:ascii="Cambria Math" w:hAnsi="Cambria Math"/>
                            </w:rPr>
                            <m:t>1-</m:t>
                          </m:r>
                          <m:sSup>
                            <m:sSupPr>
                              <m:ctrlPr>
                                <w:rPr>
                                  <w:rFonts w:ascii="Cambria Math" w:hAnsi="Cambria Math"/>
                                </w:rPr>
                              </m:ctrlPr>
                            </m:sSupPr>
                            <m:e>
                              <m:r>
                                <m:rPr>
                                  <m:sty m:val="p"/>
                                </m:rPr>
                                <w:rPr>
                                  <w:rFonts w:ascii="Cambria Math" w:hAnsi="Cambria Math"/>
                                </w:rPr>
                                <m:t>t</m:t>
                              </m:r>
                              <m:ctrlPr>
                                <w:rPr>
                                  <w:rFonts w:ascii="Cambria Math" w:hAnsi="Cambria Math"/>
                                </w:rPr>
                              </m:ctrlPr>
                            </m:e>
                            <m:sup>
                              <m:r>
                                <m:rPr>
                                  <m:sty m:val="p"/>
                                </m:rPr>
                                <w:rPr>
                                  <w:rFonts w:ascii="Cambria Math" w:hAnsi="Cambria Math"/>
                                </w:rPr>
                                <m:t>2</m:t>
                              </m:r>
                              <m:ctrlPr>
                                <w:rPr>
                                  <w:rFonts w:ascii="Cambria Math" w:hAnsi="Cambria Math"/>
                                </w:rPr>
                              </m:ctrlPr>
                            </m:sup>
                          </m:sSup>
                          <m:ctrlPr>
                            <w:rPr>
                              <w:rFonts w:ascii="Cambria Math" w:hAnsi="Cambria Math"/>
                            </w:rPr>
                          </m:ctrlPr>
                        </m:e>
                      </m:rad>
                      <m:ctrlPr>
                        <w:rPr>
                          <w:rFonts w:ascii="Cambria Math" w:hAnsi="Cambria Math"/>
                        </w:rPr>
                      </m:ctrlPr>
                    </m:num>
                    <m:den>
                      <m:r>
                        <m:rPr>
                          <m:sty m:val="p"/>
                        </m:rPr>
                        <w:rPr>
                          <w:rFonts w:ascii="Cambria Math" w:hAnsi="Cambria Math"/>
                        </w:rPr>
                        <m:t>4acrtan</m:t>
                      </m:r>
                      <m:rad>
                        <m:radPr>
                          <m:degHide m:val="1"/>
                          <m:ctrlPr>
                            <w:rPr>
                              <w:rFonts w:ascii="Cambria Math" w:hAnsi="Cambria Math"/>
                            </w:rPr>
                          </m:ctrlPr>
                        </m:radPr>
                        <m:deg>
                          <m:ctrlPr>
                            <w:rPr>
                              <w:rFonts w:ascii="Cambria Math" w:hAnsi="Cambria Math"/>
                            </w:rPr>
                          </m:ctrlPr>
                        </m:deg>
                        <m:e>
                          <m:f>
                            <m:fPr>
                              <m:ctrlPr>
                                <w:rPr>
                                  <w:rFonts w:ascii="Cambria Math" w:hAnsi="Cambria Math"/>
                                </w:rPr>
                              </m:ctrlPr>
                            </m:fPr>
                            <m:num>
                              <m:r>
                                <m:rPr>
                                  <m:sty m:val="p"/>
                                </m:rPr>
                                <w:rPr>
                                  <w:rFonts w:ascii="Cambria Math" w:hAnsi="Cambria Math"/>
                                </w:rPr>
                                <m:t>1-t</m:t>
                              </m:r>
                              <m:ctrlPr>
                                <w:rPr>
                                  <w:rFonts w:ascii="Cambria Math" w:hAnsi="Cambria Math"/>
                                </w:rPr>
                              </m:ctrlPr>
                            </m:num>
                            <m:den>
                              <m:r>
                                <m:rPr>
                                  <m:sty m:val="p"/>
                                </m:rPr>
                                <w:rPr>
                                  <w:rFonts w:ascii="Cambria Math" w:hAnsi="Cambria Math"/>
                                </w:rPr>
                                <m:t>1+t</m:t>
                              </m:r>
                              <m:ctrlPr>
                                <w:rPr>
                                  <w:rFonts w:ascii="Cambria Math" w:hAnsi="Cambria Math"/>
                                </w:rPr>
                              </m:ctrlPr>
                            </m:den>
                          </m:f>
                          <m:ctrlPr>
                            <w:rPr>
                              <w:rFonts w:ascii="Cambria Math" w:hAnsi="Cambria Math"/>
                            </w:rPr>
                          </m:ctrlPr>
                        </m:e>
                      </m:rad>
                      <m:ctrlPr>
                        <w:rPr>
                          <w:rFonts w:ascii="Cambria Math" w:hAnsi="Cambria Math"/>
                        </w:rPr>
                      </m:ctrlPr>
                    </m:den>
                  </m:f>
                  <m:r>
                    <m:rPr>
                      <m:sty m:val="p"/>
                    </m:rPr>
                    <w:rPr>
                      <w:rFonts w:ascii="Cambria Math" w:hAnsi="Cambria Math"/>
                    </w:rPr>
                    <m:t xml:space="preserve">    t=</m:t>
                  </m:r>
                  <m:f>
                    <m:fPr>
                      <m:ctrlPr>
                        <w:rPr>
                          <w:rFonts w:ascii="Cambria Math" w:hAnsi="Cambria Math"/>
                        </w:rPr>
                      </m:ctrlPr>
                    </m:fPr>
                    <m:num>
                      <m:r>
                        <m:rPr>
                          <m:sty m:val="p"/>
                        </m:rPr>
                        <w:rPr>
                          <w:rFonts w:ascii="Cambria Math" w:hAnsi="Cambria Math"/>
                        </w:rPr>
                        <m:t>40fδ</m:t>
                      </m:r>
                      <m:ctrlPr>
                        <w:rPr>
                          <w:rFonts w:ascii="Cambria Math" w:hAnsi="Cambria Math"/>
                        </w:rPr>
                      </m:ctrlPr>
                    </m:num>
                    <m:den>
                      <m:r>
                        <m:rPr>
                          <m:sty m:val="p"/>
                        </m:rPr>
                        <w:rPr>
                          <w:rFonts w:ascii="Cambria Math" w:hAnsi="Cambria Math"/>
                        </w:rPr>
                        <m:t>3c</m:t>
                      </m:r>
                      <m:ctrlPr>
                        <w:rPr>
                          <w:rFonts w:ascii="Cambria Math" w:hAnsi="Cambria Math"/>
                        </w:rPr>
                      </m:ctrlPr>
                    </m:den>
                  </m:f>
                  <m:r>
                    <m:rPr>
                      <m:sty m:val="p"/>
                    </m:rPr>
                    <w:rPr>
                      <w:rFonts w:ascii="Cambria Math" w:hAnsi="Cambria Math"/>
                    </w:rPr>
                    <m:t>≤1</m:t>
                  </m:r>
                  <m:ctrlPr>
                    <w:rPr>
                      <w:rFonts w:ascii="Cambria Math" w:hAnsi="Cambria Math"/>
                    </w:rPr>
                  </m:ctrlPr>
                </m:e>
                <m:e>
                  <m:r>
                    <m:rPr>
                      <m:sty m:val="p"/>
                    </m:rPr>
                    <w:rPr>
                      <w:rFonts w:ascii="Cambria Math" w:hAnsi="Cambria Math"/>
                    </w:rPr>
                    <m:t>10lg</m:t>
                  </m:r>
                  <m:f>
                    <m:fPr>
                      <m:ctrlPr>
                        <w:rPr>
                          <w:rFonts w:ascii="Cambria Math" w:hAnsi="Cambria Math"/>
                        </w:rPr>
                      </m:ctrlPr>
                    </m:fPr>
                    <m:num>
                      <m:r>
                        <m:rPr>
                          <m:sty m:val="p"/>
                        </m:rPr>
                        <w:rPr>
                          <w:rFonts w:ascii="Cambria Math" w:hAnsi="Cambria Math"/>
                        </w:rPr>
                        <m:t>3π</m:t>
                      </m:r>
                      <m:rad>
                        <m:radPr>
                          <m:degHide m:val="1"/>
                          <m:ctrlPr>
                            <w:rPr>
                              <w:rFonts w:ascii="Cambria Math" w:hAnsi="Cambria Math"/>
                            </w:rPr>
                          </m:ctrlPr>
                        </m:radPr>
                        <m:deg>
                          <m:ctrlPr>
                            <w:rPr>
                              <w:rFonts w:ascii="Cambria Math" w:hAnsi="Cambria Math"/>
                            </w:rPr>
                          </m:ctrlPr>
                        </m:deg>
                        <m:e>
                          <m:sSup>
                            <m:sSupPr>
                              <m:ctrlPr>
                                <w:rPr>
                                  <w:rFonts w:ascii="Cambria Math" w:hAnsi="Cambria Math"/>
                                </w:rPr>
                              </m:ctrlPr>
                            </m:sSupPr>
                            <m:e>
                              <m:r>
                                <m:rPr>
                                  <m:sty m:val="p"/>
                                </m:rPr>
                                <w:rPr>
                                  <w:rFonts w:ascii="Cambria Math" w:hAnsi="Cambria Math"/>
                                </w:rPr>
                                <m:t>t</m:t>
                              </m:r>
                              <m:ctrlPr>
                                <w:rPr>
                                  <w:rFonts w:ascii="Cambria Math" w:hAnsi="Cambria Math"/>
                                </w:rPr>
                              </m:ctrlPr>
                            </m:e>
                            <m:sup>
                              <m:r>
                                <m:rPr>
                                  <m:sty m:val="p"/>
                                </m:rPr>
                                <w:rPr>
                                  <w:rFonts w:ascii="Cambria Math" w:hAnsi="Cambria Math"/>
                                </w:rPr>
                                <m:t>2</m:t>
                              </m:r>
                              <m:ctrlPr>
                                <w:rPr>
                                  <w:rFonts w:ascii="Cambria Math" w:hAnsi="Cambria Math"/>
                                </w:rPr>
                              </m:ctrlPr>
                            </m:sup>
                          </m:sSup>
                          <m:r>
                            <m:rPr>
                              <m:sty m:val="p"/>
                            </m:rPr>
                            <w:rPr>
                              <w:rFonts w:ascii="Cambria Math" w:hAnsi="Cambria Math"/>
                            </w:rPr>
                            <m:t>-1</m:t>
                          </m:r>
                          <m:ctrlPr>
                            <w:rPr>
                              <w:rFonts w:ascii="Cambria Math" w:hAnsi="Cambria Math"/>
                            </w:rPr>
                          </m:ctrlPr>
                        </m:e>
                      </m:rad>
                      <m:ctrlPr>
                        <w:rPr>
                          <w:rFonts w:ascii="Cambria Math" w:hAnsi="Cambria Math"/>
                        </w:rPr>
                      </m:ctrlPr>
                    </m:num>
                    <m:den>
                      <m:r>
                        <m:rPr>
                          <m:sty m:val="p"/>
                        </m:rPr>
                        <w:rPr>
                          <w:rFonts w:ascii="Cambria Math" w:hAnsi="Cambria Math"/>
                        </w:rPr>
                        <m:t>2lnt+</m:t>
                      </m:r>
                      <m:rad>
                        <m:radPr>
                          <m:degHide m:val="1"/>
                          <m:ctrlPr>
                            <w:rPr>
                              <w:rFonts w:ascii="Cambria Math" w:hAnsi="Cambria Math"/>
                            </w:rPr>
                          </m:ctrlPr>
                        </m:radPr>
                        <m:deg>
                          <m:ctrlPr>
                            <w:rPr>
                              <w:rFonts w:ascii="Cambria Math" w:hAnsi="Cambria Math"/>
                            </w:rPr>
                          </m:ctrlPr>
                        </m:deg>
                        <m:e>
                          <m:sSup>
                            <m:sSupPr>
                              <m:ctrlPr>
                                <w:rPr>
                                  <w:rFonts w:ascii="Cambria Math" w:hAnsi="Cambria Math"/>
                                </w:rPr>
                              </m:ctrlPr>
                            </m:sSupPr>
                            <m:e>
                              <m:r>
                                <m:rPr>
                                  <m:sty m:val="p"/>
                                </m:rPr>
                                <w:rPr>
                                  <w:rFonts w:ascii="Cambria Math" w:hAnsi="Cambria Math"/>
                                </w:rPr>
                                <m:t>t</m:t>
                              </m:r>
                              <m:ctrlPr>
                                <w:rPr>
                                  <w:rFonts w:ascii="Cambria Math" w:hAnsi="Cambria Math"/>
                                </w:rPr>
                              </m:ctrlPr>
                            </m:e>
                            <m:sup>
                              <m:r>
                                <m:rPr>
                                  <m:sty m:val="p"/>
                                </m:rPr>
                                <w:rPr>
                                  <w:rFonts w:ascii="Cambria Math" w:hAnsi="Cambria Math"/>
                                </w:rPr>
                                <m:t>2</m:t>
                              </m:r>
                              <m:ctrlPr>
                                <w:rPr>
                                  <w:rFonts w:ascii="Cambria Math" w:hAnsi="Cambria Math"/>
                                </w:rPr>
                              </m:ctrlPr>
                            </m:sup>
                          </m:sSup>
                          <m:r>
                            <m:rPr>
                              <m:sty m:val="p"/>
                            </m:rPr>
                            <w:rPr>
                              <w:rFonts w:ascii="Cambria Math" w:hAnsi="Cambria Math"/>
                            </w:rPr>
                            <m:t>-1</m:t>
                          </m:r>
                          <m:ctrlPr>
                            <w:rPr>
                              <w:rFonts w:ascii="Cambria Math" w:hAnsi="Cambria Math"/>
                            </w:rPr>
                          </m:ctrlPr>
                        </m:e>
                      </m:rad>
                      <m:ctrlPr>
                        <w:rPr>
                          <w:rFonts w:ascii="Cambria Math" w:hAnsi="Cambria Math"/>
                        </w:rPr>
                      </m:ctrlPr>
                    </m:den>
                  </m:f>
                  <m:r>
                    <m:rPr>
                      <m:sty m:val="p"/>
                    </m:rPr>
                    <w:rPr>
                      <w:rFonts w:ascii="Cambria Math" w:hAnsi="Cambria Math"/>
                    </w:rPr>
                    <m:t xml:space="preserve">   t=</m:t>
                  </m:r>
                  <m:f>
                    <m:fPr>
                      <m:ctrlPr>
                        <w:rPr>
                          <w:rFonts w:ascii="Cambria Math" w:hAnsi="Cambria Math"/>
                        </w:rPr>
                      </m:ctrlPr>
                    </m:fPr>
                    <m:num>
                      <m:r>
                        <m:rPr>
                          <m:sty m:val="p"/>
                        </m:rPr>
                        <w:rPr>
                          <w:rFonts w:ascii="Cambria Math" w:hAnsi="Cambria Math"/>
                        </w:rPr>
                        <m:t>40fδ</m:t>
                      </m:r>
                      <m:ctrlPr>
                        <w:rPr>
                          <w:rFonts w:ascii="Cambria Math" w:hAnsi="Cambria Math"/>
                        </w:rPr>
                      </m:ctrlPr>
                    </m:num>
                    <m:den>
                      <m:r>
                        <m:rPr>
                          <m:sty m:val="p"/>
                        </m:rPr>
                        <w:rPr>
                          <w:rFonts w:ascii="Cambria Math" w:hAnsi="Cambria Math"/>
                        </w:rPr>
                        <m:t>3c</m:t>
                      </m:r>
                      <m:ctrlPr>
                        <w:rPr>
                          <w:rFonts w:ascii="Cambria Math" w:hAnsi="Cambria Math"/>
                        </w:rPr>
                      </m:ctrlPr>
                    </m:den>
                  </m:f>
                  <m:r>
                    <m:rPr>
                      <m:sty m:val="p"/>
                    </m:rPr>
                    <w:rPr>
                      <w:rFonts w:ascii="Cambria Math" w:hAnsi="Cambria Math"/>
                    </w:rPr>
                    <m:t>&gt;</m:t>
                  </m:r>
                  <m:r>
                    <w:rPr>
                      <w:rFonts w:ascii="Cambria Math" w:hAnsi="Cambria Math"/>
                    </w:rPr>
                    <m:t>1</m:t>
                  </m:r>
                  <m:ctrlPr>
                    <w:rPr>
                      <w:rFonts w:ascii="Cambria Math" w:hAnsi="Cambria Math"/>
                    </w:rPr>
                  </m:ctrlPr>
                </m:e>
              </m:eqArr>
              <m:ctrlPr>
                <w:rPr>
                  <w:rFonts w:ascii="Cambria Math" w:hAnsi="Cambria Math"/>
                </w:rPr>
              </m:ctrlPr>
            </m:e>
          </m:d>
        </m:oMath>
      </m:oMathPara>
    </w:p>
    <w:p>
      <w:pPr>
        <w:ind w:firstLine="500" w:firstLineChars="0"/>
      </w:pPr>
      <w:r>
        <w:rPr>
          <w:rFonts w:hint="eastAsia"/>
        </w:rPr>
        <w:t>式中：A</w:t>
      </w:r>
      <w:r>
        <w:rPr>
          <w:rFonts w:hint="eastAsia"/>
          <w:vertAlign w:val="subscript"/>
        </w:rPr>
        <w:t>bar</w:t>
      </w:r>
      <w:r>
        <w:t>—</w:t>
      </w:r>
      <w:r>
        <w:rPr>
          <w:rFonts w:hint="eastAsia"/>
        </w:rPr>
        <w:t>障碍物屏蔽引起的衰减，dB；</w:t>
      </w:r>
    </w:p>
    <w:p>
      <w:pPr>
        <w:ind w:firstLine="1200" w:firstLineChars="500"/>
      </w:pPr>
      <w:r>
        <w:rPr>
          <w:rFonts w:hint="eastAsia"/>
        </w:rPr>
        <w:t>f</w:t>
      </w:r>
      <w:r>
        <w:t>—</w:t>
      </w:r>
      <w:r>
        <w:rPr>
          <w:rFonts w:hint="eastAsia"/>
        </w:rPr>
        <w:t>声波频率，Hz；</w:t>
      </w:r>
    </w:p>
    <w:p>
      <w:pPr>
        <w:ind w:firstLine="1200" w:firstLineChars="500"/>
      </w:pPr>
      <w:r>
        <w:t>δ—</w:t>
      </w:r>
      <w:r>
        <w:rPr>
          <w:rFonts w:hint="eastAsia"/>
        </w:rPr>
        <w:t>声程差，m；</w:t>
      </w:r>
    </w:p>
    <w:p>
      <w:pPr>
        <w:ind w:firstLine="1200" w:firstLineChars="500"/>
      </w:pPr>
      <w:r>
        <w:rPr>
          <w:rFonts w:hint="eastAsia"/>
        </w:rPr>
        <w:t>c</w:t>
      </w:r>
      <w:r>
        <w:t>—</w:t>
      </w:r>
      <w:r>
        <w:rPr>
          <w:rFonts w:hint="eastAsia"/>
        </w:rPr>
        <w:t>声速，m/s；</w:t>
      </w:r>
    </w:p>
    <w:p>
      <w:pPr>
        <w:ind w:firstLine="500" w:firstLineChars="0"/>
      </w:pPr>
      <w:r>
        <w:rPr>
          <w:rFonts w:hint="eastAsia"/>
        </w:rPr>
        <w:t>在公路建设项目评价中可采用500Hz频率的声波计算得到的屏障衰减量近似作为A声级的衰减量。</w:t>
      </w:r>
    </w:p>
    <w:p>
      <w:pPr>
        <w:pStyle w:val="2"/>
        <w:ind w:firstLine="480"/>
      </w:pPr>
      <w:r>
        <w:rPr>
          <w:rFonts w:hint="eastAsia"/>
        </w:rPr>
        <w:t>在使上式计算声屏障衰减时，当菲涅尔数0＞N＞-0.2时也应计算衰减量，同时保证衰减量为正值，负值时舍弃。</w:t>
      </w:r>
    </w:p>
    <w:p>
      <w:pPr>
        <w:pStyle w:val="2"/>
        <w:ind w:firstLine="480"/>
      </w:pPr>
      <w:r>
        <w:rPr>
          <w:rFonts w:hint="eastAsia"/>
        </w:rPr>
        <w:t>有限长声屏障的衰减量（Abar）可按下式近似计算：</w:t>
      </w:r>
    </w:p>
    <w:p>
      <w:pPr>
        <w:spacing w:line="240" w:lineRule="auto"/>
        <w:ind w:firstLine="499" w:firstLineChars="0"/>
      </w:pPr>
      <m:oMathPara>
        <m:oMath>
          <m:sSubSup>
            <m:sSubSupPr>
              <m:ctrlPr>
                <w:rPr>
                  <w:rFonts w:ascii="Cambria Math" w:hAnsi="Cambria Math"/>
                </w:rPr>
              </m:ctrlPr>
            </m:sSubSupPr>
            <m:e>
              <m:r>
                <m:rPr>
                  <m:sty m:val="p"/>
                </m:rPr>
                <w:rPr>
                  <w:rFonts w:ascii="Cambria Math" w:hAnsi="Cambria Math"/>
                </w:rPr>
                <m:t>A</m:t>
              </m:r>
              <m:ctrlPr>
                <w:rPr>
                  <w:rFonts w:ascii="Cambria Math" w:hAnsi="Cambria Math"/>
                </w:rPr>
              </m:ctrlPr>
            </m:e>
            <m:sub>
              <m:r>
                <m:rPr>
                  <m:sty m:val="p"/>
                </m:rPr>
                <w:rPr>
                  <w:rFonts w:ascii="Cambria Math" w:hAnsi="Cambria Math"/>
                </w:rPr>
                <m:t>bar</m:t>
              </m:r>
              <m:ctrlPr>
                <w:rPr>
                  <w:rFonts w:ascii="Cambria Math" w:hAnsi="Cambria Math"/>
                </w:rPr>
              </m:ctrlPr>
            </m:sub>
            <m:sup>
              <m:r>
                <m:rPr>
                  <m:sty m:val="p"/>
                </m:rPr>
                <w:rPr>
                  <w:rFonts w:ascii="Cambria Math" w:hAnsi="Cambria Math"/>
                </w:rPr>
                <m:t>'</m:t>
              </m:r>
              <m:ctrlPr>
                <w:rPr>
                  <w:rFonts w:ascii="Cambria Math" w:hAnsi="Cambria Math"/>
                </w:rPr>
              </m:ctrlPr>
            </m:sup>
          </m:sSubSup>
          <m:r>
            <m:rPr>
              <m:sty m:val="p"/>
            </m:rPr>
            <w:rPr>
              <w:rFonts w:ascii="Cambria Math" w:hAnsi="Cambria Math"/>
            </w:rPr>
            <m:t>≈-10lg⁡(</m:t>
          </m:r>
          <m:f>
            <m:fPr>
              <m:ctrlPr>
                <w:rPr>
                  <w:rFonts w:ascii="Cambria Math" w:hAnsi="Cambria Math"/>
                </w:rPr>
              </m:ctrlPr>
            </m:fPr>
            <m:num>
              <m:r>
                <m:rPr>
                  <m:sty m:val="p"/>
                </m:rPr>
                <w:rPr>
                  <w:rFonts w:ascii="Cambria Math" w:hAnsi="Cambria Math"/>
                </w:rPr>
                <m:t>β</m:t>
              </m:r>
              <m:ctrlPr>
                <w:rPr>
                  <w:rFonts w:ascii="Cambria Math" w:hAnsi="Cambria Math"/>
                </w:rPr>
              </m:ctrlPr>
            </m:num>
            <m:den>
              <m:r>
                <m:rPr>
                  <m:sty m:val="p"/>
                </m:rPr>
                <w:rPr>
                  <w:rFonts w:ascii="Cambria Math" w:hAnsi="Cambria Math"/>
                </w:rPr>
                <m:t>θ</m:t>
              </m:r>
              <m:ctrlPr>
                <w:rPr>
                  <w:rFonts w:ascii="Cambria Math" w:hAnsi="Cambria Math"/>
                </w:rPr>
              </m:ctrlPr>
            </m:den>
          </m:f>
          <m:sSup>
            <m:sSupPr>
              <m:ctrlPr>
                <w:rPr>
                  <w:rFonts w:ascii="Cambria Math" w:hAnsi="Cambria Math"/>
                </w:rPr>
              </m:ctrlPr>
            </m:sSupPr>
            <m:e>
              <m:r>
                <m:rPr>
                  <m:sty m:val="p"/>
                </m:rPr>
                <w:rPr>
                  <w:rFonts w:ascii="Cambria Math" w:hAnsi="Cambria Math"/>
                </w:rPr>
                <m:t>10</m:t>
              </m:r>
              <m:ctrlPr>
                <w:rPr>
                  <w:rFonts w:ascii="Cambria Math" w:hAnsi="Cambria Math"/>
                </w:rPr>
              </m:ctrlPr>
            </m:e>
            <m:sup>
              <m:r>
                <m:rPr>
                  <m:sty m:val="p"/>
                </m:rPr>
                <w:rPr>
                  <w:rFonts w:ascii="Cambria Math" w:hAnsi="Cambria Math"/>
                </w:rPr>
                <m:t>-0.1</m:t>
              </m:r>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bar</m:t>
                  </m:r>
                  <m:ctrlPr>
                    <w:rPr>
                      <w:rFonts w:ascii="Cambria Math" w:hAnsi="Cambria Math"/>
                    </w:rPr>
                  </m:ctrlPr>
                </m:sub>
              </m:sSub>
              <m:ctrlPr>
                <w:rPr>
                  <w:rFonts w:ascii="Cambria Math" w:hAnsi="Cambria Math"/>
                </w:rPr>
              </m:ctrlPr>
            </m:sup>
          </m:sSup>
          <m:r>
            <m:rPr>
              <m:sty m:val="p"/>
            </m:rPr>
            <w:rPr>
              <w:rFonts w:ascii="Cambria Math" w:hAnsi="Cambria Math"/>
            </w:rPr>
            <m:t>+1-</m:t>
          </m:r>
          <m:f>
            <m:fPr>
              <m:ctrlPr>
                <w:rPr>
                  <w:rFonts w:ascii="Cambria Math" w:hAnsi="Cambria Math"/>
                </w:rPr>
              </m:ctrlPr>
            </m:fPr>
            <m:num>
              <m:r>
                <m:rPr>
                  <m:sty m:val="p"/>
                </m:rPr>
                <w:rPr>
                  <w:rFonts w:ascii="Cambria Math" w:hAnsi="Cambria Math"/>
                </w:rPr>
                <m:t>β</m:t>
              </m:r>
              <m:ctrlPr>
                <w:rPr>
                  <w:rFonts w:ascii="Cambria Math" w:hAnsi="Cambria Math"/>
                </w:rPr>
              </m:ctrlPr>
            </m:num>
            <m:den>
              <m:r>
                <m:rPr>
                  <m:sty m:val="p"/>
                </m:rPr>
                <w:rPr>
                  <w:rFonts w:ascii="Cambria Math" w:hAnsi="Cambria Math"/>
                </w:rPr>
                <m:t>θ</m:t>
              </m:r>
              <m:ctrlPr>
                <w:rPr>
                  <w:rFonts w:ascii="Cambria Math" w:hAnsi="Cambria Math"/>
                </w:rPr>
              </m:ctrlPr>
            </m:den>
          </m:f>
          <m:r>
            <m:rPr>
              <m:sty m:val="p"/>
            </m:rPr>
            <w:rPr>
              <w:rFonts w:ascii="Cambria Math" w:hAnsi="Cambria Math"/>
            </w:rPr>
            <m:t>)</m:t>
          </m:r>
        </m:oMath>
      </m:oMathPara>
    </w:p>
    <w:p>
      <w:pPr>
        <w:ind w:firstLine="500" w:firstLineChars="0"/>
      </w:pPr>
      <w:r>
        <w:rPr>
          <w:rFonts w:hint="eastAsia"/>
        </w:rPr>
        <w:t>式中：</w:t>
      </w:r>
      <m:oMath>
        <m:sSubSup>
          <m:sSubSupPr>
            <m:ctrlPr>
              <w:rPr>
                <w:rFonts w:ascii="Cambria Math" w:hAnsi="Cambria Math"/>
              </w:rPr>
            </m:ctrlPr>
          </m:sSubSupPr>
          <m:e>
            <m:r>
              <m:rPr>
                <m:sty m:val="p"/>
              </m:rPr>
              <w:rPr>
                <w:rFonts w:ascii="Cambria Math" w:hAnsi="Cambria Math"/>
              </w:rPr>
              <m:t>A</m:t>
            </m:r>
            <m:ctrlPr>
              <w:rPr>
                <w:rFonts w:ascii="Cambria Math" w:hAnsi="Cambria Math"/>
              </w:rPr>
            </m:ctrlPr>
          </m:e>
          <m:sub>
            <m:r>
              <m:rPr>
                <m:sty m:val="p"/>
              </m:rPr>
              <w:rPr>
                <w:rFonts w:ascii="Cambria Math" w:hAnsi="Cambria Math"/>
              </w:rPr>
              <m:t>bar</m:t>
            </m:r>
            <m:ctrlPr>
              <w:rPr>
                <w:rFonts w:ascii="Cambria Math" w:hAnsi="Cambria Math"/>
              </w:rPr>
            </m:ctrlPr>
          </m:sub>
          <m:sup>
            <m:r>
              <m:rPr>
                <m:sty m:val="p"/>
              </m:rPr>
              <w:rPr>
                <w:rFonts w:ascii="Cambria Math" w:hAnsi="Cambria Math"/>
              </w:rPr>
              <m:t>'</m:t>
            </m:r>
            <m:ctrlPr>
              <w:rPr>
                <w:rFonts w:ascii="Cambria Math" w:hAnsi="Cambria Math"/>
              </w:rPr>
            </m:ctrlPr>
          </m:sup>
        </m:sSubSup>
      </m:oMath>
      <w:r>
        <w:t>—</w:t>
      </w:r>
      <w:r>
        <w:rPr>
          <w:rFonts w:hint="eastAsia"/>
        </w:rPr>
        <w:t>有限长声屏障引起的衰减，dB；</w:t>
      </w:r>
    </w:p>
    <w:p>
      <w:pPr>
        <w:ind w:firstLine="500" w:firstLineChars="0"/>
      </w:pPr>
      <w:r>
        <w:rPr>
          <w:rFonts w:hint="eastAsia"/>
        </w:rPr>
        <w:t xml:space="preserve">      </w:t>
      </w:r>
      <m:oMath>
        <m:r>
          <m:rPr>
            <m:sty m:val="p"/>
          </m:rPr>
          <w:rPr>
            <w:rFonts w:ascii="Cambria Math" w:hAnsi="Cambria Math"/>
          </w:rPr>
          <m:t>β</m:t>
        </m:r>
      </m:oMath>
      <w:r>
        <w:t>—</w:t>
      </w:r>
      <w:r>
        <w:rPr>
          <w:rFonts w:hint="eastAsia"/>
        </w:rPr>
        <w:t>受声点与声屏障两端连接线的夹角，</w:t>
      </w:r>
      <w:r>
        <w:t>(°)；</w:t>
      </w:r>
    </w:p>
    <w:p>
      <w:pPr>
        <w:pStyle w:val="2"/>
        <w:ind w:firstLine="480"/>
      </w:pPr>
      <w:r>
        <w:rPr>
          <w:rFonts w:hint="eastAsia"/>
        </w:rPr>
        <w:t xml:space="preserve">      </w:t>
      </w:r>
      <m:oMath>
        <m:r>
          <m:rPr>
            <m:sty m:val="p"/>
          </m:rPr>
          <w:rPr>
            <w:rFonts w:ascii="Cambria Math" w:hAnsi="Cambria Math"/>
          </w:rPr>
          <m:t>θ</m:t>
        </m:r>
      </m:oMath>
      <w:r>
        <w:t>—</w:t>
      </w:r>
      <w:r>
        <w:rPr>
          <w:rFonts w:hint="eastAsia"/>
        </w:rPr>
        <w:t>受声点与线声源两端连接线的夹角，</w:t>
      </w:r>
      <w:r>
        <w:t>(°)；</w:t>
      </w:r>
    </w:p>
    <w:p>
      <w:pPr>
        <w:ind w:firstLine="1200" w:firstLineChars="500"/>
      </w:pPr>
      <w:r>
        <w:rPr>
          <w:rFonts w:hint="eastAsia"/>
        </w:rPr>
        <w:t>A</w:t>
      </w:r>
      <w:r>
        <w:rPr>
          <w:rFonts w:hint="eastAsia"/>
          <w:vertAlign w:val="subscript"/>
        </w:rPr>
        <w:t>bar</w:t>
      </w:r>
      <w:r>
        <w:t>—</w:t>
      </w:r>
      <w:r>
        <w:rPr>
          <w:rFonts w:hint="eastAsia"/>
        </w:rPr>
        <w:t>无限长声屏障的衰减量，dB</w:t>
      </w:r>
    </w:p>
    <w:p>
      <w:pPr>
        <w:spacing w:line="240" w:lineRule="auto"/>
        <w:ind w:firstLine="499" w:firstLineChars="0"/>
        <w:jc w:val="center"/>
      </w:pPr>
      <w:r>
        <w:rPr>
          <w:rFonts w:hint="eastAsia"/>
        </w:rPr>
        <w:drawing>
          <wp:inline distT="0" distB="0" distL="0" distR="0">
            <wp:extent cx="2488565" cy="1741170"/>
            <wp:effectExtent l="19050" t="0" r="6985" b="0"/>
            <wp:docPr id="32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9"/>
                    <pic:cNvPicPr>
                      <a:picLocks noChangeAspect="1" noChangeArrowheads="1"/>
                    </pic:cNvPicPr>
                  </pic:nvPicPr>
                  <pic:blipFill>
                    <a:blip r:embed="rId90" cstate="print"/>
                    <a:srcRect/>
                    <a:stretch>
                      <a:fillRect/>
                    </a:stretch>
                  </pic:blipFill>
                  <pic:spPr>
                    <a:xfrm>
                      <a:off x="0" y="0"/>
                      <a:ext cx="2488565" cy="1741170"/>
                    </a:xfrm>
                    <a:prstGeom prst="rect">
                      <a:avLst/>
                    </a:prstGeom>
                    <a:noFill/>
                    <a:ln w="9525">
                      <a:noFill/>
                      <a:miter lim="800000"/>
                      <a:headEnd/>
                      <a:tailEnd/>
                    </a:ln>
                  </pic:spPr>
                </pic:pic>
              </a:graphicData>
            </a:graphic>
          </wp:inline>
        </w:drawing>
      </w:r>
    </w:p>
    <w:p>
      <w:pPr>
        <w:pStyle w:val="185"/>
        <w:spacing w:line="480" w:lineRule="exact"/>
        <w:rPr>
          <w:sz w:val="21"/>
          <w:szCs w:val="21"/>
        </w:rPr>
      </w:pPr>
      <w:r>
        <w:rPr>
          <w:rFonts w:hint="eastAsia"/>
          <w:sz w:val="21"/>
          <w:szCs w:val="21"/>
        </w:rPr>
        <w:t>图5.2-5 受声点与线声源两端连接线的夹角（遮蔽角）</w:t>
      </w:r>
    </w:p>
    <w:p>
      <w:pPr>
        <w:ind w:firstLine="500" w:firstLineChars="0"/>
      </w:pPr>
      <w:r>
        <w:rPr>
          <w:rFonts w:hint="eastAsia"/>
        </w:rPr>
        <w:t>声屏障的透射、反射修正可参照HJ/90计算。</w:t>
      </w:r>
    </w:p>
    <w:p>
      <w:pPr>
        <w:ind w:firstLine="480"/>
      </w:pPr>
      <w:r>
        <w:rPr>
          <w:rFonts w:hint="eastAsia" w:eastAsiaTheme="minorEastAsia"/>
        </w:rPr>
        <w:t>b</w:t>
      </w:r>
      <w:r>
        <w:t>）</w:t>
      </w:r>
      <w:r>
        <w:rPr>
          <w:rFonts w:hint="eastAsia"/>
        </w:rPr>
        <w:t>大气</w:t>
      </w:r>
      <w:r>
        <w:t>吸收引起的衰减（A</w:t>
      </w:r>
      <w:r>
        <w:rPr>
          <w:vertAlign w:val="subscript"/>
        </w:rPr>
        <w:t>atm</w:t>
      </w:r>
      <w:r>
        <w:t>）</w:t>
      </w:r>
    </w:p>
    <w:p>
      <w:pPr>
        <w:autoSpaceDE w:val="0"/>
        <w:autoSpaceDN w:val="0"/>
        <w:adjustRightInd w:val="0"/>
        <w:ind w:firstLine="480"/>
      </w:pPr>
      <w:r>
        <w:rPr>
          <w:rFonts w:hint="eastAsia"/>
        </w:rPr>
        <w:t>大气吸收引起的衰减式计算：</w:t>
      </w:r>
    </w:p>
    <w:p>
      <w:pPr>
        <w:autoSpaceDE w:val="0"/>
        <w:autoSpaceDN w:val="0"/>
        <w:adjustRightInd w:val="0"/>
        <w:spacing w:line="240" w:lineRule="auto"/>
        <w:ind w:firstLine="480"/>
        <w:jc w:val="center"/>
      </w:pPr>
      <m:oMathPara>
        <m:oMath>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atm</m:t>
              </m:r>
              <m:ctrlPr>
                <w:rPr>
                  <w:rFonts w:ascii="Cambria Math" w:hAnsi="Cambria Math"/>
                </w:rPr>
              </m:ctrlPr>
            </m:sub>
          </m:sSub>
          <m:r>
            <m:rPr>
              <m:sty m:val="p"/>
            </m:rPr>
            <w:rPr>
              <w:rFonts w:ascii="Cambria Math" w:hAnsi="Cambria Math"/>
            </w:rPr>
            <m:t>=</m:t>
          </m:r>
          <m:f>
            <m:fPr>
              <m:ctrlPr>
                <w:rPr>
                  <w:rFonts w:ascii="Cambria Math" w:hAnsi="Cambria Math"/>
                </w:rPr>
              </m:ctrlPr>
            </m:fPr>
            <m:num>
              <m:r>
                <m:rPr>
                  <m:sty m:val="p"/>
                </m:rPr>
                <w:rPr>
                  <w:rFonts w:ascii="Cambria Math" w:hAnsi="Cambria Math"/>
                </w:rPr>
                <m:t>a(r-</m:t>
              </m:r>
              <m:sSub>
                <m:sSubPr>
                  <m:ctrlPr>
                    <w:rPr>
                      <w:rFonts w:ascii="Cambria Math" w:hAnsi="Cambria Math"/>
                    </w:rPr>
                  </m:ctrlPr>
                </m:sSubPr>
                <m:e>
                  <m:r>
                    <m:rPr>
                      <m:sty m:val="p"/>
                    </m:rPr>
                    <w:rPr>
                      <w:rFonts w:ascii="Cambria Math" w:hAnsi="Cambria Math"/>
                    </w:rPr>
                    <m:t>r</m:t>
                  </m:r>
                  <m:ctrlPr>
                    <w:rPr>
                      <w:rFonts w:ascii="Cambria Math" w:hAnsi="Cambria Math"/>
                    </w:rPr>
                  </m:ctrlPr>
                </m:e>
                <m:sub>
                  <m:r>
                    <m:rPr>
                      <m:sty m:val="p"/>
                    </m:rPr>
                    <w:rPr>
                      <w:rFonts w:ascii="Cambria Math" w:hAnsi="Cambria Math"/>
                    </w:rPr>
                    <m:t>0</m:t>
                  </m:r>
                  <m:ctrlPr>
                    <w:rPr>
                      <w:rFonts w:ascii="Cambria Math" w:hAnsi="Cambria Math"/>
                    </w:rPr>
                  </m:ctrlPr>
                </m:sub>
              </m:sSub>
              <m:r>
                <m:rPr>
                  <m:sty m:val="p"/>
                </m:rPr>
                <w:rPr>
                  <w:rFonts w:ascii="Cambria Math" w:hAnsi="Cambria Math"/>
                </w:rPr>
                <m:t>)</m:t>
              </m:r>
              <m:ctrlPr>
                <w:rPr>
                  <w:rFonts w:ascii="Cambria Math" w:hAnsi="Cambria Math"/>
                </w:rPr>
              </m:ctrlPr>
            </m:num>
            <m:den>
              <m:r>
                <m:rPr>
                  <m:sty m:val="p"/>
                </m:rPr>
                <w:rPr>
                  <w:rFonts w:ascii="Cambria Math" w:hAnsi="Cambria Math"/>
                </w:rPr>
                <m:t>1000</m:t>
              </m:r>
              <m:ctrlPr>
                <w:rPr>
                  <w:rFonts w:ascii="Cambria Math" w:hAnsi="Cambria Math"/>
                </w:rPr>
              </m:ctrlPr>
            </m:den>
          </m:f>
        </m:oMath>
      </m:oMathPara>
    </w:p>
    <w:p>
      <w:pPr>
        <w:autoSpaceDE w:val="0"/>
        <w:autoSpaceDN w:val="0"/>
        <w:adjustRightInd w:val="0"/>
        <w:ind w:firstLine="480"/>
      </w:pPr>
      <w:r>
        <w:t>式中：</w:t>
      </w:r>
      <w:r>
        <w:rPr>
          <w:rFonts w:hint="eastAsia"/>
        </w:rPr>
        <w:t>A</w:t>
      </w:r>
      <w:r>
        <w:rPr>
          <w:rFonts w:hint="eastAsia"/>
          <w:vertAlign w:val="subscript"/>
        </w:rPr>
        <w:t>atm</w:t>
      </w:r>
      <w:r>
        <w:t>—</w:t>
      </w:r>
      <w:r>
        <w:rPr>
          <w:rFonts w:hint="eastAsia"/>
        </w:rPr>
        <w:t>大气吸收引起的衰减，dB</w:t>
      </w:r>
    </w:p>
    <w:p>
      <w:pPr>
        <w:autoSpaceDE w:val="0"/>
        <w:autoSpaceDN w:val="0"/>
        <w:adjustRightInd w:val="0"/>
        <w:ind w:firstLine="1200" w:firstLineChars="500"/>
      </w:pPr>
      <w:r>
        <w:rPr>
          <w:rFonts w:hint="eastAsia"/>
        </w:rPr>
        <w:t>a</w:t>
      </w:r>
      <w:r>
        <w:t>—</w:t>
      </w:r>
      <w:r>
        <w:rPr>
          <w:rFonts w:hint="eastAsia"/>
        </w:rPr>
        <w:t>与</w:t>
      </w:r>
      <w:r>
        <w:t>温度、湿度和声波频率</w:t>
      </w:r>
      <w:r>
        <w:rPr>
          <w:rFonts w:hint="eastAsia"/>
        </w:rPr>
        <w:t>有关的大气吸收衰减系数，</w:t>
      </w:r>
      <w:r>
        <w:t>预测计算中一般根据建设项目所处区域常年平均气温和湿度选择相应的</w:t>
      </w:r>
      <w:r>
        <w:rPr>
          <w:rFonts w:hint="eastAsia"/>
        </w:rPr>
        <w:t>大气</w:t>
      </w:r>
      <w:r>
        <w:t>吸收</w:t>
      </w:r>
      <w:r>
        <w:rPr>
          <w:rFonts w:hint="eastAsia"/>
        </w:rPr>
        <w:t>衰减</w:t>
      </w:r>
      <w:r>
        <w:t>系数</w:t>
      </w:r>
      <w:r>
        <w:rPr>
          <w:rFonts w:hint="eastAsia"/>
        </w:rPr>
        <w:t>（</w:t>
      </w:r>
      <w:r>
        <w:t>见表</w:t>
      </w:r>
      <w:r>
        <w:rPr>
          <w:rFonts w:hint="eastAsia"/>
        </w:rPr>
        <w:t>5</w:t>
      </w:r>
      <w:r>
        <w:t>.</w:t>
      </w:r>
      <w:r>
        <w:rPr>
          <w:rFonts w:hint="eastAsia"/>
        </w:rPr>
        <w:t>2</w:t>
      </w:r>
      <w:r>
        <w:t>-3</w:t>
      </w:r>
      <w:r>
        <w:rPr>
          <w:rFonts w:hint="eastAsia"/>
        </w:rPr>
        <w:t>）；</w:t>
      </w:r>
    </w:p>
    <w:p>
      <w:pPr>
        <w:autoSpaceDE w:val="0"/>
        <w:autoSpaceDN w:val="0"/>
        <w:adjustRightInd w:val="0"/>
        <w:ind w:firstLine="1200" w:firstLineChars="500"/>
      </w:pPr>
      <w:r>
        <w:rPr>
          <w:rFonts w:hint="eastAsia"/>
        </w:rPr>
        <w:t>r</w:t>
      </w:r>
      <w:r>
        <w:t>—</w:t>
      </w:r>
      <w:r>
        <w:rPr>
          <w:rFonts w:hint="eastAsia"/>
        </w:rPr>
        <w:t>预测点距声源的距离；</w:t>
      </w:r>
    </w:p>
    <w:p>
      <w:pPr>
        <w:pStyle w:val="2"/>
        <w:ind w:firstLine="1200" w:firstLineChars="500"/>
      </w:pPr>
      <w:r>
        <w:rPr>
          <w:rFonts w:hint="eastAsia"/>
        </w:rPr>
        <w:t>r</w:t>
      </w:r>
      <w:r>
        <w:rPr>
          <w:rFonts w:hint="eastAsia"/>
          <w:vertAlign w:val="subscript"/>
        </w:rPr>
        <w:t>0</w:t>
      </w:r>
      <w:r>
        <w:t>—</w:t>
      </w:r>
      <w:r>
        <w:rPr>
          <w:rFonts w:hint="eastAsia"/>
        </w:rPr>
        <w:t>参考位置距离声源的距离。</w:t>
      </w:r>
    </w:p>
    <w:p>
      <w:pPr>
        <w:pStyle w:val="185"/>
        <w:spacing w:line="480" w:lineRule="exact"/>
        <w:rPr>
          <w:sz w:val="21"/>
          <w:szCs w:val="21"/>
        </w:rPr>
      </w:pPr>
      <w:r>
        <w:rPr>
          <w:sz w:val="21"/>
          <w:szCs w:val="21"/>
        </w:rPr>
        <w:t>表</w:t>
      </w:r>
      <w:r>
        <w:rPr>
          <w:rFonts w:hint="eastAsia"/>
          <w:sz w:val="21"/>
          <w:szCs w:val="21"/>
        </w:rPr>
        <w:t>5</w:t>
      </w:r>
      <w:r>
        <w:rPr>
          <w:sz w:val="21"/>
          <w:szCs w:val="21"/>
        </w:rPr>
        <w:t>.</w:t>
      </w:r>
      <w:r>
        <w:rPr>
          <w:rFonts w:hint="eastAsia"/>
          <w:sz w:val="21"/>
          <w:szCs w:val="21"/>
        </w:rPr>
        <w:t>2-</w:t>
      </w:r>
      <w:r>
        <w:rPr>
          <w:sz w:val="21"/>
          <w:szCs w:val="21"/>
        </w:rPr>
        <w:t>3</w:t>
      </w:r>
      <w:r>
        <w:rPr>
          <w:rFonts w:hint="eastAsia"/>
          <w:sz w:val="21"/>
          <w:szCs w:val="21"/>
        </w:rPr>
        <w:t xml:space="preserve"> </w:t>
      </w:r>
      <w:r>
        <w:rPr>
          <w:sz w:val="21"/>
          <w:szCs w:val="21"/>
        </w:rPr>
        <w:t>倍频带噪声的大气吸收衰减系数α</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80"/>
        <w:gridCol w:w="1141"/>
        <w:gridCol w:w="874"/>
        <w:gridCol w:w="874"/>
        <w:gridCol w:w="874"/>
        <w:gridCol w:w="874"/>
        <w:gridCol w:w="874"/>
        <w:gridCol w:w="874"/>
        <w:gridCol w:w="874"/>
        <w:gridCol w:w="8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Merge w:val="restart"/>
            <w:vAlign w:val="center"/>
          </w:tcPr>
          <w:p>
            <w:pPr>
              <w:autoSpaceDE w:val="0"/>
              <w:autoSpaceDN w:val="0"/>
              <w:adjustRightInd w:val="0"/>
              <w:spacing w:line="240" w:lineRule="auto"/>
              <w:ind w:firstLine="0" w:firstLineChars="0"/>
              <w:jc w:val="center"/>
              <w:rPr>
                <w:sz w:val="21"/>
              </w:rPr>
            </w:pPr>
            <w:r>
              <w:rPr>
                <w:rFonts w:hAnsi="宋体"/>
                <w:sz w:val="21"/>
              </w:rPr>
              <w:t>温度</w:t>
            </w:r>
          </w:p>
          <w:p>
            <w:pPr>
              <w:autoSpaceDE w:val="0"/>
              <w:autoSpaceDN w:val="0"/>
              <w:adjustRightInd w:val="0"/>
              <w:spacing w:line="240" w:lineRule="auto"/>
              <w:ind w:firstLine="0" w:firstLineChars="0"/>
              <w:jc w:val="center"/>
              <w:rPr>
                <w:sz w:val="21"/>
              </w:rPr>
            </w:pPr>
            <w:r>
              <w:rPr>
                <w:rFonts w:hAnsi="宋体"/>
                <w:sz w:val="21"/>
              </w:rPr>
              <w:t>℃</w:t>
            </w:r>
          </w:p>
        </w:tc>
        <w:tc>
          <w:tcPr>
            <w:tcW w:w="402" w:type="pct"/>
            <w:vMerge w:val="restart"/>
            <w:vAlign w:val="center"/>
          </w:tcPr>
          <w:p>
            <w:pPr>
              <w:autoSpaceDE w:val="0"/>
              <w:autoSpaceDN w:val="0"/>
              <w:adjustRightInd w:val="0"/>
              <w:spacing w:line="240" w:lineRule="auto"/>
              <w:ind w:firstLine="0" w:firstLineChars="0"/>
              <w:jc w:val="center"/>
              <w:rPr>
                <w:sz w:val="21"/>
              </w:rPr>
            </w:pPr>
            <w:r>
              <w:rPr>
                <w:rFonts w:hAnsi="宋体"/>
                <w:sz w:val="21"/>
              </w:rPr>
              <w:t>相对湿度</w:t>
            </w:r>
            <w:r>
              <w:rPr>
                <w:sz w:val="21"/>
              </w:rPr>
              <w:t>%</w:t>
            </w:r>
          </w:p>
        </w:tc>
        <w:tc>
          <w:tcPr>
            <w:tcW w:w="2468" w:type="pct"/>
            <w:gridSpan w:val="8"/>
            <w:vAlign w:val="center"/>
          </w:tcPr>
          <w:p>
            <w:pPr>
              <w:autoSpaceDE w:val="0"/>
              <w:autoSpaceDN w:val="0"/>
              <w:adjustRightInd w:val="0"/>
              <w:spacing w:line="240" w:lineRule="auto"/>
              <w:ind w:firstLine="0" w:firstLineChars="0"/>
              <w:jc w:val="center"/>
              <w:rPr>
                <w:sz w:val="21"/>
              </w:rPr>
            </w:pPr>
            <w:r>
              <w:rPr>
                <w:rFonts w:hAnsi="宋体"/>
                <w:sz w:val="21"/>
              </w:rPr>
              <w:t>大气吸收衰减系数</w:t>
            </w:r>
            <w:r>
              <w:rPr>
                <w:sz w:val="21"/>
              </w:rPr>
              <w:t>α</w:t>
            </w:r>
            <w:r>
              <w:rPr>
                <w:rFonts w:hAnsi="宋体"/>
                <w:sz w:val="21"/>
              </w:rPr>
              <w:t>，</w:t>
            </w:r>
            <w:r>
              <w:rPr>
                <w:iCs/>
                <w:sz w:val="21"/>
              </w:rPr>
              <w:t>dB/km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Merge w:val="continue"/>
            <w:vAlign w:val="center"/>
          </w:tcPr>
          <w:p>
            <w:pPr>
              <w:autoSpaceDE w:val="0"/>
              <w:autoSpaceDN w:val="0"/>
              <w:adjustRightInd w:val="0"/>
              <w:spacing w:line="240" w:lineRule="auto"/>
              <w:ind w:firstLine="0" w:firstLineChars="0"/>
              <w:jc w:val="center"/>
              <w:rPr>
                <w:sz w:val="21"/>
              </w:rPr>
            </w:pPr>
          </w:p>
        </w:tc>
        <w:tc>
          <w:tcPr>
            <w:tcW w:w="402" w:type="pct"/>
            <w:vMerge w:val="continue"/>
            <w:vAlign w:val="center"/>
          </w:tcPr>
          <w:p>
            <w:pPr>
              <w:autoSpaceDE w:val="0"/>
              <w:autoSpaceDN w:val="0"/>
              <w:adjustRightInd w:val="0"/>
              <w:spacing w:line="240" w:lineRule="auto"/>
              <w:ind w:firstLine="0" w:firstLineChars="0"/>
              <w:jc w:val="center"/>
              <w:rPr>
                <w:sz w:val="21"/>
              </w:rPr>
            </w:pPr>
          </w:p>
        </w:tc>
        <w:tc>
          <w:tcPr>
            <w:tcW w:w="2468" w:type="pct"/>
            <w:gridSpan w:val="8"/>
            <w:vAlign w:val="center"/>
          </w:tcPr>
          <w:p>
            <w:pPr>
              <w:autoSpaceDE w:val="0"/>
              <w:autoSpaceDN w:val="0"/>
              <w:adjustRightInd w:val="0"/>
              <w:spacing w:line="240" w:lineRule="auto"/>
              <w:ind w:firstLine="0" w:firstLineChars="0"/>
              <w:jc w:val="center"/>
              <w:rPr>
                <w:sz w:val="21"/>
              </w:rPr>
            </w:pPr>
            <w:r>
              <w:rPr>
                <w:rFonts w:hAnsi="宋体"/>
                <w:sz w:val="21"/>
              </w:rPr>
              <w:t>倍频带中心频率</w:t>
            </w:r>
            <w:r>
              <w:rPr>
                <w:sz w:val="21"/>
              </w:rPr>
              <w:t>Hz</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Merge w:val="continue"/>
            <w:vAlign w:val="center"/>
          </w:tcPr>
          <w:p>
            <w:pPr>
              <w:autoSpaceDE w:val="0"/>
              <w:autoSpaceDN w:val="0"/>
              <w:adjustRightInd w:val="0"/>
              <w:spacing w:line="240" w:lineRule="auto"/>
              <w:ind w:firstLine="0" w:firstLineChars="0"/>
              <w:jc w:val="center"/>
              <w:rPr>
                <w:sz w:val="21"/>
              </w:rPr>
            </w:pPr>
          </w:p>
        </w:tc>
        <w:tc>
          <w:tcPr>
            <w:tcW w:w="402" w:type="pct"/>
            <w:vMerge w:val="continue"/>
            <w:vAlign w:val="center"/>
          </w:tcPr>
          <w:p>
            <w:pPr>
              <w:autoSpaceDE w:val="0"/>
              <w:autoSpaceDN w:val="0"/>
              <w:adjustRightInd w:val="0"/>
              <w:spacing w:line="240" w:lineRule="auto"/>
              <w:ind w:firstLine="0" w:firstLineChars="0"/>
              <w:jc w:val="center"/>
              <w:rPr>
                <w:sz w:val="21"/>
              </w:rPr>
            </w:pPr>
          </w:p>
        </w:tc>
        <w:tc>
          <w:tcPr>
            <w:tcW w:w="308" w:type="pct"/>
            <w:vAlign w:val="center"/>
          </w:tcPr>
          <w:p>
            <w:pPr>
              <w:autoSpaceDE w:val="0"/>
              <w:autoSpaceDN w:val="0"/>
              <w:adjustRightInd w:val="0"/>
              <w:spacing w:line="240" w:lineRule="auto"/>
              <w:ind w:firstLine="0" w:firstLineChars="0"/>
              <w:jc w:val="center"/>
              <w:rPr>
                <w:sz w:val="21"/>
              </w:rPr>
            </w:pPr>
            <w:r>
              <w:rPr>
                <w:sz w:val="21"/>
              </w:rPr>
              <w:t>63</w:t>
            </w:r>
          </w:p>
        </w:tc>
        <w:tc>
          <w:tcPr>
            <w:tcW w:w="308" w:type="pct"/>
            <w:vAlign w:val="center"/>
          </w:tcPr>
          <w:p>
            <w:pPr>
              <w:autoSpaceDE w:val="0"/>
              <w:autoSpaceDN w:val="0"/>
              <w:adjustRightInd w:val="0"/>
              <w:spacing w:line="240" w:lineRule="auto"/>
              <w:ind w:firstLine="0" w:firstLineChars="0"/>
              <w:jc w:val="center"/>
              <w:rPr>
                <w:sz w:val="21"/>
              </w:rPr>
            </w:pPr>
            <w:r>
              <w:rPr>
                <w:sz w:val="21"/>
              </w:rPr>
              <w:t>125</w:t>
            </w:r>
          </w:p>
        </w:tc>
        <w:tc>
          <w:tcPr>
            <w:tcW w:w="308" w:type="pct"/>
            <w:vAlign w:val="center"/>
          </w:tcPr>
          <w:p>
            <w:pPr>
              <w:autoSpaceDE w:val="0"/>
              <w:autoSpaceDN w:val="0"/>
              <w:adjustRightInd w:val="0"/>
              <w:spacing w:line="240" w:lineRule="auto"/>
              <w:ind w:firstLine="0" w:firstLineChars="0"/>
              <w:jc w:val="center"/>
              <w:rPr>
                <w:sz w:val="21"/>
              </w:rPr>
            </w:pPr>
            <w:r>
              <w:rPr>
                <w:sz w:val="21"/>
              </w:rPr>
              <w:t>250</w:t>
            </w:r>
          </w:p>
        </w:tc>
        <w:tc>
          <w:tcPr>
            <w:tcW w:w="308" w:type="pct"/>
            <w:vAlign w:val="center"/>
          </w:tcPr>
          <w:p>
            <w:pPr>
              <w:autoSpaceDE w:val="0"/>
              <w:autoSpaceDN w:val="0"/>
              <w:adjustRightInd w:val="0"/>
              <w:spacing w:line="240" w:lineRule="auto"/>
              <w:ind w:firstLine="0" w:firstLineChars="0"/>
              <w:jc w:val="center"/>
              <w:rPr>
                <w:sz w:val="21"/>
              </w:rPr>
            </w:pPr>
            <w:r>
              <w:rPr>
                <w:sz w:val="21"/>
              </w:rPr>
              <w:t>500</w:t>
            </w:r>
          </w:p>
        </w:tc>
        <w:tc>
          <w:tcPr>
            <w:tcW w:w="308" w:type="pct"/>
            <w:vAlign w:val="center"/>
          </w:tcPr>
          <w:p>
            <w:pPr>
              <w:autoSpaceDE w:val="0"/>
              <w:autoSpaceDN w:val="0"/>
              <w:adjustRightInd w:val="0"/>
              <w:spacing w:line="240" w:lineRule="auto"/>
              <w:ind w:firstLine="0" w:firstLineChars="0"/>
              <w:jc w:val="center"/>
              <w:rPr>
                <w:sz w:val="21"/>
              </w:rPr>
            </w:pPr>
            <w:r>
              <w:rPr>
                <w:sz w:val="21"/>
              </w:rPr>
              <w:t>1000</w:t>
            </w:r>
          </w:p>
        </w:tc>
        <w:tc>
          <w:tcPr>
            <w:tcW w:w="308" w:type="pct"/>
            <w:vAlign w:val="center"/>
          </w:tcPr>
          <w:p>
            <w:pPr>
              <w:autoSpaceDE w:val="0"/>
              <w:autoSpaceDN w:val="0"/>
              <w:adjustRightInd w:val="0"/>
              <w:spacing w:line="240" w:lineRule="auto"/>
              <w:ind w:firstLine="0" w:firstLineChars="0"/>
              <w:jc w:val="center"/>
              <w:rPr>
                <w:sz w:val="21"/>
              </w:rPr>
            </w:pPr>
            <w:r>
              <w:rPr>
                <w:sz w:val="21"/>
              </w:rPr>
              <w:t>2000</w:t>
            </w:r>
          </w:p>
        </w:tc>
        <w:tc>
          <w:tcPr>
            <w:tcW w:w="308" w:type="pct"/>
            <w:vAlign w:val="center"/>
          </w:tcPr>
          <w:p>
            <w:pPr>
              <w:autoSpaceDE w:val="0"/>
              <w:autoSpaceDN w:val="0"/>
              <w:adjustRightInd w:val="0"/>
              <w:spacing w:line="240" w:lineRule="auto"/>
              <w:ind w:firstLine="0" w:firstLineChars="0"/>
              <w:jc w:val="center"/>
              <w:rPr>
                <w:sz w:val="21"/>
              </w:rPr>
            </w:pPr>
            <w:r>
              <w:rPr>
                <w:sz w:val="21"/>
              </w:rPr>
              <w:t>4000</w:t>
            </w:r>
          </w:p>
        </w:tc>
        <w:tc>
          <w:tcPr>
            <w:tcW w:w="310" w:type="pct"/>
            <w:vAlign w:val="center"/>
          </w:tcPr>
          <w:p>
            <w:pPr>
              <w:autoSpaceDE w:val="0"/>
              <w:autoSpaceDN w:val="0"/>
              <w:adjustRightInd w:val="0"/>
              <w:spacing w:line="240" w:lineRule="auto"/>
              <w:ind w:firstLine="0" w:firstLineChars="0"/>
              <w:jc w:val="center"/>
              <w:rPr>
                <w:sz w:val="21"/>
              </w:rPr>
            </w:pPr>
            <w:r>
              <w:rPr>
                <w:sz w:val="21"/>
              </w:rPr>
              <w:t>8000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10</w:t>
            </w:r>
          </w:p>
        </w:tc>
        <w:tc>
          <w:tcPr>
            <w:tcW w:w="402" w:type="pct"/>
            <w:vAlign w:val="center"/>
          </w:tcPr>
          <w:p>
            <w:pPr>
              <w:autoSpaceDE w:val="0"/>
              <w:autoSpaceDN w:val="0"/>
              <w:adjustRightInd w:val="0"/>
              <w:spacing w:line="240" w:lineRule="auto"/>
              <w:ind w:firstLine="0" w:firstLineChars="0"/>
              <w:jc w:val="center"/>
              <w:rPr>
                <w:sz w:val="21"/>
              </w:rPr>
            </w:pPr>
            <w:r>
              <w:rPr>
                <w:sz w:val="21"/>
              </w:rPr>
              <w:t>70</w:t>
            </w:r>
          </w:p>
        </w:tc>
        <w:tc>
          <w:tcPr>
            <w:tcW w:w="308" w:type="pct"/>
            <w:vAlign w:val="center"/>
          </w:tcPr>
          <w:p>
            <w:pPr>
              <w:autoSpaceDE w:val="0"/>
              <w:autoSpaceDN w:val="0"/>
              <w:adjustRightInd w:val="0"/>
              <w:spacing w:line="240" w:lineRule="auto"/>
              <w:ind w:firstLine="0" w:firstLineChars="0"/>
              <w:jc w:val="center"/>
              <w:rPr>
                <w:sz w:val="21"/>
              </w:rPr>
            </w:pPr>
            <w:r>
              <w:rPr>
                <w:sz w:val="21"/>
              </w:rPr>
              <w:t>0.1</w:t>
            </w:r>
          </w:p>
        </w:tc>
        <w:tc>
          <w:tcPr>
            <w:tcW w:w="308" w:type="pct"/>
            <w:vAlign w:val="center"/>
          </w:tcPr>
          <w:p>
            <w:pPr>
              <w:autoSpaceDE w:val="0"/>
              <w:autoSpaceDN w:val="0"/>
              <w:adjustRightInd w:val="0"/>
              <w:spacing w:line="240" w:lineRule="auto"/>
              <w:ind w:firstLine="0" w:firstLineChars="0"/>
              <w:jc w:val="center"/>
              <w:rPr>
                <w:sz w:val="21"/>
              </w:rPr>
            </w:pPr>
            <w:r>
              <w:rPr>
                <w:sz w:val="21"/>
              </w:rPr>
              <w:t>0.4</w:t>
            </w:r>
          </w:p>
        </w:tc>
        <w:tc>
          <w:tcPr>
            <w:tcW w:w="308" w:type="pct"/>
            <w:vAlign w:val="center"/>
          </w:tcPr>
          <w:p>
            <w:pPr>
              <w:autoSpaceDE w:val="0"/>
              <w:autoSpaceDN w:val="0"/>
              <w:adjustRightInd w:val="0"/>
              <w:spacing w:line="240" w:lineRule="auto"/>
              <w:ind w:firstLine="0" w:firstLineChars="0"/>
              <w:jc w:val="center"/>
              <w:rPr>
                <w:sz w:val="21"/>
              </w:rPr>
            </w:pPr>
            <w:r>
              <w:rPr>
                <w:sz w:val="21"/>
              </w:rPr>
              <w:t>1.0</w:t>
            </w:r>
          </w:p>
        </w:tc>
        <w:tc>
          <w:tcPr>
            <w:tcW w:w="308" w:type="pct"/>
            <w:vAlign w:val="center"/>
          </w:tcPr>
          <w:p>
            <w:pPr>
              <w:autoSpaceDE w:val="0"/>
              <w:autoSpaceDN w:val="0"/>
              <w:adjustRightInd w:val="0"/>
              <w:spacing w:line="240" w:lineRule="auto"/>
              <w:ind w:firstLine="0" w:firstLineChars="0"/>
              <w:jc w:val="center"/>
              <w:rPr>
                <w:sz w:val="21"/>
              </w:rPr>
            </w:pPr>
            <w:r>
              <w:rPr>
                <w:sz w:val="21"/>
              </w:rPr>
              <w:t>1.9</w:t>
            </w:r>
          </w:p>
        </w:tc>
        <w:tc>
          <w:tcPr>
            <w:tcW w:w="308" w:type="pct"/>
            <w:vAlign w:val="center"/>
          </w:tcPr>
          <w:p>
            <w:pPr>
              <w:autoSpaceDE w:val="0"/>
              <w:autoSpaceDN w:val="0"/>
              <w:adjustRightInd w:val="0"/>
              <w:spacing w:line="240" w:lineRule="auto"/>
              <w:ind w:firstLine="0" w:firstLineChars="0"/>
              <w:jc w:val="center"/>
              <w:rPr>
                <w:sz w:val="21"/>
              </w:rPr>
            </w:pPr>
            <w:r>
              <w:rPr>
                <w:sz w:val="21"/>
              </w:rPr>
              <w:t>3.7</w:t>
            </w:r>
          </w:p>
        </w:tc>
        <w:tc>
          <w:tcPr>
            <w:tcW w:w="308" w:type="pct"/>
            <w:vAlign w:val="center"/>
          </w:tcPr>
          <w:p>
            <w:pPr>
              <w:autoSpaceDE w:val="0"/>
              <w:autoSpaceDN w:val="0"/>
              <w:adjustRightInd w:val="0"/>
              <w:spacing w:line="240" w:lineRule="auto"/>
              <w:ind w:firstLine="0" w:firstLineChars="0"/>
              <w:jc w:val="center"/>
              <w:rPr>
                <w:sz w:val="21"/>
              </w:rPr>
            </w:pPr>
            <w:r>
              <w:rPr>
                <w:sz w:val="21"/>
              </w:rPr>
              <w:t>9.7</w:t>
            </w:r>
          </w:p>
        </w:tc>
        <w:tc>
          <w:tcPr>
            <w:tcW w:w="308" w:type="pct"/>
            <w:vAlign w:val="center"/>
          </w:tcPr>
          <w:p>
            <w:pPr>
              <w:autoSpaceDE w:val="0"/>
              <w:autoSpaceDN w:val="0"/>
              <w:adjustRightInd w:val="0"/>
              <w:spacing w:line="240" w:lineRule="auto"/>
              <w:ind w:firstLine="0" w:firstLineChars="0"/>
              <w:jc w:val="center"/>
              <w:rPr>
                <w:sz w:val="21"/>
              </w:rPr>
            </w:pPr>
            <w:r>
              <w:rPr>
                <w:sz w:val="21"/>
              </w:rPr>
              <w:t>32.8</w:t>
            </w:r>
          </w:p>
        </w:tc>
        <w:tc>
          <w:tcPr>
            <w:tcW w:w="310" w:type="pct"/>
            <w:vAlign w:val="center"/>
          </w:tcPr>
          <w:p>
            <w:pPr>
              <w:autoSpaceDE w:val="0"/>
              <w:autoSpaceDN w:val="0"/>
              <w:adjustRightInd w:val="0"/>
              <w:spacing w:line="240" w:lineRule="auto"/>
              <w:ind w:firstLine="0" w:firstLineChars="0"/>
              <w:jc w:val="center"/>
              <w:rPr>
                <w:sz w:val="21"/>
              </w:rPr>
            </w:pPr>
            <w:r>
              <w:rPr>
                <w:sz w:val="21"/>
              </w:rPr>
              <w:t>117.0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20</w:t>
            </w:r>
          </w:p>
        </w:tc>
        <w:tc>
          <w:tcPr>
            <w:tcW w:w="402" w:type="pct"/>
            <w:vAlign w:val="center"/>
          </w:tcPr>
          <w:p>
            <w:pPr>
              <w:autoSpaceDE w:val="0"/>
              <w:autoSpaceDN w:val="0"/>
              <w:adjustRightInd w:val="0"/>
              <w:spacing w:line="240" w:lineRule="auto"/>
              <w:ind w:firstLine="0" w:firstLineChars="0"/>
              <w:jc w:val="center"/>
              <w:rPr>
                <w:sz w:val="21"/>
              </w:rPr>
            </w:pPr>
            <w:r>
              <w:rPr>
                <w:sz w:val="21"/>
              </w:rPr>
              <w:t>70</w:t>
            </w:r>
          </w:p>
        </w:tc>
        <w:tc>
          <w:tcPr>
            <w:tcW w:w="308" w:type="pct"/>
            <w:vAlign w:val="center"/>
          </w:tcPr>
          <w:p>
            <w:pPr>
              <w:autoSpaceDE w:val="0"/>
              <w:autoSpaceDN w:val="0"/>
              <w:adjustRightInd w:val="0"/>
              <w:spacing w:line="240" w:lineRule="auto"/>
              <w:ind w:firstLine="0" w:firstLineChars="0"/>
              <w:jc w:val="center"/>
              <w:rPr>
                <w:sz w:val="21"/>
              </w:rPr>
            </w:pPr>
            <w:r>
              <w:rPr>
                <w:sz w:val="21"/>
              </w:rPr>
              <w:t>0.1</w:t>
            </w:r>
          </w:p>
        </w:tc>
        <w:tc>
          <w:tcPr>
            <w:tcW w:w="308" w:type="pct"/>
            <w:vAlign w:val="center"/>
          </w:tcPr>
          <w:p>
            <w:pPr>
              <w:autoSpaceDE w:val="0"/>
              <w:autoSpaceDN w:val="0"/>
              <w:adjustRightInd w:val="0"/>
              <w:spacing w:line="240" w:lineRule="auto"/>
              <w:ind w:firstLine="0" w:firstLineChars="0"/>
              <w:jc w:val="center"/>
              <w:rPr>
                <w:sz w:val="21"/>
              </w:rPr>
            </w:pPr>
            <w:r>
              <w:rPr>
                <w:sz w:val="21"/>
              </w:rPr>
              <w:t>0.3</w:t>
            </w:r>
          </w:p>
        </w:tc>
        <w:tc>
          <w:tcPr>
            <w:tcW w:w="308" w:type="pct"/>
            <w:vAlign w:val="center"/>
          </w:tcPr>
          <w:p>
            <w:pPr>
              <w:autoSpaceDE w:val="0"/>
              <w:autoSpaceDN w:val="0"/>
              <w:adjustRightInd w:val="0"/>
              <w:spacing w:line="240" w:lineRule="auto"/>
              <w:ind w:firstLine="0" w:firstLineChars="0"/>
              <w:jc w:val="center"/>
              <w:rPr>
                <w:sz w:val="21"/>
              </w:rPr>
            </w:pPr>
            <w:r>
              <w:rPr>
                <w:sz w:val="21"/>
              </w:rPr>
              <w:t>1.1</w:t>
            </w:r>
          </w:p>
        </w:tc>
        <w:tc>
          <w:tcPr>
            <w:tcW w:w="308" w:type="pct"/>
            <w:vAlign w:val="center"/>
          </w:tcPr>
          <w:p>
            <w:pPr>
              <w:autoSpaceDE w:val="0"/>
              <w:autoSpaceDN w:val="0"/>
              <w:adjustRightInd w:val="0"/>
              <w:spacing w:line="240" w:lineRule="auto"/>
              <w:ind w:firstLine="0" w:firstLineChars="0"/>
              <w:jc w:val="center"/>
              <w:rPr>
                <w:sz w:val="21"/>
              </w:rPr>
            </w:pPr>
            <w:r>
              <w:rPr>
                <w:sz w:val="21"/>
              </w:rPr>
              <w:t>2.8</w:t>
            </w:r>
          </w:p>
        </w:tc>
        <w:tc>
          <w:tcPr>
            <w:tcW w:w="308" w:type="pct"/>
            <w:vAlign w:val="center"/>
          </w:tcPr>
          <w:p>
            <w:pPr>
              <w:autoSpaceDE w:val="0"/>
              <w:autoSpaceDN w:val="0"/>
              <w:adjustRightInd w:val="0"/>
              <w:spacing w:line="240" w:lineRule="auto"/>
              <w:ind w:firstLine="0" w:firstLineChars="0"/>
              <w:jc w:val="center"/>
              <w:rPr>
                <w:sz w:val="21"/>
              </w:rPr>
            </w:pPr>
            <w:r>
              <w:rPr>
                <w:sz w:val="21"/>
              </w:rPr>
              <w:t>5.0</w:t>
            </w:r>
          </w:p>
        </w:tc>
        <w:tc>
          <w:tcPr>
            <w:tcW w:w="308" w:type="pct"/>
            <w:vAlign w:val="center"/>
          </w:tcPr>
          <w:p>
            <w:pPr>
              <w:autoSpaceDE w:val="0"/>
              <w:autoSpaceDN w:val="0"/>
              <w:adjustRightInd w:val="0"/>
              <w:spacing w:line="240" w:lineRule="auto"/>
              <w:ind w:firstLine="0" w:firstLineChars="0"/>
              <w:jc w:val="center"/>
              <w:rPr>
                <w:sz w:val="21"/>
              </w:rPr>
            </w:pPr>
            <w:r>
              <w:rPr>
                <w:sz w:val="21"/>
              </w:rPr>
              <w:t>9.0</w:t>
            </w:r>
          </w:p>
        </w:tc>
        <w:tc>
          <w:tcPr>
            <w:tcW w:w="308" w:type="pct"/>
            <w:vAlign w:val="center"/>
          </w:tcPr>
          <w:p>
            <w:pPr>
              <w:autoSpaceDE w:val="0"/>
              <w:autoSpaceDN w:val="0"/>
              <w:adjustRightInd w:val="0"/>
              <w:spacing w:line="240" w:lineRule="auto"/>
              <w:ind w:firstLine="0" w:firstLineChars="0"/>
              <w:jc w:val="center"/>
              <w:rPr>
                <w:sz w:val="21"/>
              </w:rPr>
            </w:pPr>
            <w:r>
              <w:rPr>
                <w:sz w:val="21"/>
              </w:rPr>
              <w:t>22.9</w:t>
            </w:r>
          </w:p>
        </w:tc>
        <w:tc>
          <w:tcPr>
            <w:tcW w:w="310" w:type="pct"/>
            <w:vAlign w:val="center"/>
          </w:tcPr>
          <w:p>
            <w:pPr>
              <w:autoSpaceDE w:val="0"/>
              <w:autoSpaceDN w:val="0"/>
              <w:adjustRightInd w:val="0"/>
              <w:spacing w:line="240" w:lineRule="auto"/>
              <w:ind w:firstLine="0" w:firstLineChars="0"/>
              <w:jc w:val="center"/>
              <w:rPr>
                <w:sz w:val="21"/>
              </w:rPr>
            </w:pPr>
            <w:r>
              <w:rPr>
                <w:sz w:val="21"/>
              </w:rPr>
              <w:t>76.6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30</w:t>
            </w:r>
          </w:p>
        </w:tc>
        <w:tc>
          <w:tcPr>
            <w:tcW w:w="402" w:type="pct"/>
            <w:vAlign w:val="center"/>
          </w:tcPr>
          <w:p>
            <w:pPr>
              <w:autoSpaceDE w:val="0"/>
              <w:autoSpaceDN w:val="0"/>
              <w:adjustRightInd w:val="0"/>
              <w:spacing w:line="240" w:lineRule="auto"/>
              <w:ind w:firstLine="0" w:firstLineChars="0"/>
              <w:jc w:val="center"/>
              <w:rPr>
                <w:sz w:val="21"/>
              </w:rPr>
            </w:pPr>
            <w:r>
              <w:rPr>
                <w:sz w:val="21"/>
              </w:rPr>
              <w:t>70</w:t>
            </w:r>
          </w:p>
        </w:tc>
        <w:tc>
          <w:tcPr>
            <w:tcW w:w="308" w:type="pct"/>
            <w:vAlign w:val="center"/>
          </w:tcPr>
          <w:p>
            <w:pPr>
              <w:autoSpaceDE w:val="0"/>
              <w:autoSpaceDN w:val="0"/>
              <w:adjustRightInd w:val="0"/>
              <w:spacing w:line="240" w:lineRule="auto"/>
              <w:ind w:firstLine="0" w:firstLineChars="0"/>
              <w:jc w:val="center"/>
              <w:rPr>
                <w:sz w:val="21"/>
              </w:rPr>
            </w:pPr>
            <w:r>
              <w:rPr>
                <w:sz w:val="21"/>
              </w:rPr>
              <w:t>0.1</w:t>
            </w:r>
          </w:p>
        </w:tc>
        <w:tc>
          <w:tcPr>
            <w:tcW w:w="308" w:type="pct"/>
            <w:vAlign w:val="center"/>
          </w:tcPr>
          <w:p>
            <w:pPr>
              <w:autoSpaceDE w:val="0"/>
              <w:autoSpaceDN w:val="0"/>
              <w:adjustRightInd w:val="0"/>
              <w:spacing w:line="240" w:lineRule="auto"/>
              <w:ind w:firstLine="0" w:firstLineChars="0"/>
              <w:jc w:val="center"/>
              <w:rPr>
                <w:sz w:val="21"/>
              </w:rPr>
            </w:pPr>
            <w:r>
              <w:rPr>
                <w:sz w:val="21"/>
              </w:rPr>
              <w:t>0.3</w:t>
            </w:r>
          </w:p>
        </w:tc>
        <w:tc>
          <w:tcPr>
            <w:tcW w:w="308" w:type="pct"/>
            <w:vAlign w:val="center"/>
          </w:tcPr>
          <w:p>
            <w:pPr>
              <w:autoSpaceDE w:val="0"/>
              <w:autoSpaceDN w:val="0"/>
              <w:adjustRightInd w:val="0"/>
              <w:spacing w:line="240" w:lineRule="auto"/>
              <w:ind w:firstLine="0" w:firstLineChars="0"/>
              <w:jc w:val="center"/>
              <w:rPr>
                <w:sz w:val="21"/>
              </w:rPr>
            </w:pPr>
            <w:r>
              <w:rPr>
                <w:sz w:val="21"/>
              </w:rPr>
              <w:t>1.0</w:t>
            </w:r>
          </w:p>
        </w:tc>
        <w:tc>
          <w:tcPr>
            <w:tcW w:w="308" w:type="pct"/>
            <w:vAlign w:val="center"/>
          </w:tcPr>
          <w:p>
            <w:pPr>
              <w:autoSpaceDE w:val="0"/>
              <w:autoSpaceDN w:val="0"/>
              <w:adjustRightInd w:val="0"/>
              <w:spacing w:line="240" w:lineRule="auto"/>
              <w:ind w:firstLine="0" w:firstLineChars="0"/>
              <w:jc w:val="center"/>
              <w:rPr>
                <w:sz w:val="21"/>
              </w:rPr>
            </w:pPr>
            <w:r>
              <w:rPr>
                <w:sz w:val="21"/>
              </w:rPr>
              <w:t>3.1</w:t>
            </w:r>
          </w:p>
        </w:tc>
        <w:tc>
          <w:tcPr>
            <w:tcW w:w="308" w:type="pct"/>
            <w:vAlign w:val="center"/>
          </w:tcPr>
          <w:p>
            <w:pPr>
              <w:autoSpaceDE w:val="0"/>
              <w:autoSpaceDN w:val="0"/>
              <w:adjustRightInd w:val="0"/>
              <w:spacing w:line="240" w:lineRule="auto"/>
              <w:ind w:firstLine="0" w:firstLineChars="0"/>
              <w:jc w:val="center"/>
              <w:rPr>
                <w:sz w:val="21"/>
              </w:rPr>
            </w:pPr>
            <w:r>
              <w:rPr>
                <w:sz w:val="21"/>
              </w:rPr>
              <w:t>7.4</w:t>
            </w:r>
          </w:p>
        </w:tc>
        <w:tc>
          <w:tcPr>
            <w:tcW w:w="308" w:type="pct"/>
            <w:vAlign w:val="center"/>
          </w:tcPr>
          <w:p>
            <w:pPr>
              <w:autoSpaceDE w:val="0"/>
              <w:autoSpaceDN w:val="0"/>
              <w:adjustRightInd w:val="0"/>
              <w:spacing w:line="240" w:lineRule="auto"/>
              <w:ind w:firstLine="0" w:firstLineChars="0"/>
              <w:jc w:val="center"/>
              <w:rPr>
                <w:sz w:val="21"/>
              </w:rPr>
            </w:pPr>
            <w:r>
              <w:rPr>
                <w:sz w:val="21"/>
              </w:rPr>
              <w:t>12.7</w:t>
            </w:r>
          </w:p>
        </w:tc>
        <w:tc>
          <w:tcPr>
            <w:tcW w:w="308" w:type="pct"/>
            <w:vAlign w:val="center"/>
          </w:tcPr>
          <w:p>
            <w:pPr>
              <w:autoSpaceDE w:val="0"/>
              <w:autoSpaceDN w:val="0"/>
              <w:adjustRightInd w:val="0"/>
              <w:spacing w:line="240" w:lineRule="auto"/>
              <w:ind w:firstLine="0" w:firstLineChars="0"/>
              <w:jc w:val="center"/>
              <w:rPr>
                <w:sz w:val="21"/>
              </w:rPr>
            </w:pPr>
            <w:r>
              <w:rPr>
                <w:sz w:val="21"/>
              </w:rPr>
              <w:t>23.1</w:t>
            </w:r>
          </w:p>
        </w:tc>
        <w:tc>
          <w:tcPr>
            <w:tcW w:w="310" w:type="pct"/>
            <w:vAlign w:val="center"/>
          </w:tcPr>
          <w:p>
            <w:pPr>
              <w:autoSpaceDE w:val="0"/>
              <w:autoSpaceDN w:val="0"/>
              <w:adjustRightInd w:val="0"/>
              <w:spacing w:line="240" w:lineRule="auto"/>
              <w:ind w:firstLine="0" w:firstLineChars="0"/>
              <w:jc w:val="center"/>
              <w:rPr>
                <w:sz w:val="21"/>
              </w:rPr>
            </w:pPr>
            <w:r>
              <w:rPr>
                <w:sz w:val="21"/>
              </w:rPr>
              <w:t>59.3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15</w:t>
            </w:r>
          </w:p>
        </w:tc>
        <w:tc>
          <w:tcPr>
            <w:tcW w:w="402" w:type="pct"/>
            <w:vAlign w:val="center"/>
          </w:tcPr>
          <w:p>
            <w:pPr>
              <w:autoSpaceDE w:val="0"/>
              <w:autoSpaceDN w:val="0"/>
              <w:adjustRightInd w:val="0"/>
              <w:spacing w:line="240" w:lineRule="auto"/>
              <w:ind w:firstLine="0" w:firstLineChars="0"/>
              <w:jc w:val="center"/>
              <w:rPr>
                <w:sz w:val="21"/>
              </w:rPr>
            </w:pPr>
            <w:r>
              <w:rPr>
                <w:sz w:val="21"/>
              </w:rPr>
              <w:t>20</w:t>
            </w:r>
          </w:p>
        </w:tc>
        <w:tc>
          <w:tcPr>
            <w:tcW w:w="308" w:type="pct"/>
            <w:vAlign w:val="center"/>
          </w:tcPr>
          <w:p>
            <w:pPr>
              <w:autoSpaceDE w:val="0"/>
              <w:autoSpaceDN w:val="0"/>
              <w:adjustRightInd w:val="0"/>
              <w:spacing w:line="240" w:lineRule="auto"/>
              <w:ind w:firstLine="0" w:firstLineChars="0"/>
              <w:jc w:val="center"/>
              <w:rPr>
                <w:sz w:val="21"/>
              </w:rPr>
            </w:pPr>
            <w:r>
              <w:rPr>
                <w:sz w:val="21"/>
              </w:rPr>
              <w:t>0.3</w:t>
            </w:r>
          </w:p>
        </w:tc>
        <w:tc>
          <w:tcPr>
            <w:tcW w:w="308" w:type="pct"/>
            <w:vAlign w:val="center"/>
          </w:tcPr>
          <w:p>
            <w:pPr>
              <w:autoSpaceDE w:val="0"/>
              <w:autoSpaceDN w:val="0"/>
              <w:adjustRightInd w:val="0"/>
              <w:spacing w:line="240" w:lineRule="auto"/>
              <w:ind w:firstLine="0" w:firstLineChars="0"/>
              <w:jc w:val="center"/>
              <w:rPr>
                <w:sz w:val="21"/>
              </w:rPr>
            </w:pPr>
            <w:r>
              <w:rPr>
                <w:sz w:val="21"/>
              </w:rPr>
              <w:t>0.6</w:t>
            </w:r>
          </w:p>
        </w:tc>
        <w:tc>
          <w:tcPr>
            <w:tcW w:w="308" w:type="pct"/>
            <w:vAlign w:val="center"/>
          </w:tcPr>
          <w:p>
            <w:pPr>
              <w:autoSpaceDE w:val="0"/>
              <w:autoSpaceDN w:val="0"/>
              <w:adjustRightInd w:val="0"/>
              <w:spacing w:line="240" w:lineRule="auto"/>
              <w:ind w:firstLine="0" w:firstLineChars="0"/>
              <w:jc w:val="center"/>
              <w:rPr>
                <w:sz w:val="21"/>
              </w:rPr>
            </w:pPr>
            <w:r>
              <w:rPr>
                <w:sz w:val="21"/>
              </w:rPr>
              <w:t>1.2</w:t>
            </w:r>
          </w:p>
        </w:tc>
        <w:tc>
          <w:tcPr>
            <w:tcW w:w="308" w:type="pct"/>
            <w:vAlign w:val="center"/>
          </w:tcPr>
          <w:p>
            <w:pPr>
              <w:autoSpaceDE w:val="0"/>
              <w:autoSpaceDN w:val="0"/>
              <w:adjustRightInd w:val="0"/>
              <w:spacing w:line="240" w:lineRule="auto"/>
              <w:ind w:firstLine="0" w:firstLineChars="0"/>
              <w:jc w:val="center"/>
              <w:rPr>
                <w:sz w:val="21"/>
              </w:rPr>
            </w:pPr>
            <w:r>
              <w:rPr>
                <w:sz w:val="21"/>
              </w:rPr>
              <w:t>2.7</w:t>
            </w:r>
          </w:p>
        </w:tc>
        <w:tc>
          <w:tcPr>
            <w:tcW w:w="308" w:type="pct"/>
            <w:vAlign w:val="center"/>
          </w:tcPr>
          <w:p>
            <w:pPr>
              <w:autoSpaceDE w:val="0"/>
              <w:autoSpaceDN w:val="0"/>
              <w:adjustRightInd w:val="0"/>
              <w:spacing w:line="240" w:lineRule="auto"/>
              <w:ind w:firstLine="0" w:firstLineChars="0"/>
              <w:jc w:val="center"/>
              <w:rPr>
                <w:sz w:val="21"/>
              </w:rPr>
            </w:pPr>
            <w:r>
              <w:rPr>
                <w:sz w:val="21"/>
              </w:rPr>
              <w:t>8.2</w:t>
            </w:r>
          </w:p>
        </w:tc>
        <w:tc>
          <w:tcPr>
            <w:tcW w:w="308" w:type="pct"/>
            <w:vAlign w:val="center"/>
          </w:tcPr>
          <w:p>
            <w:pPr>
              <w:autoSpaceDE w:val="0"/>
              <w:autoSpaceDN w:val="0"/>
              <w:adjustRightInd w:val="0"/>
              <w:spacing w:line="240" w:lineRule="auto"/>
              <w:ind w:firstLine="0" w:firstLineChars="0"/>
              <w:jc w:val="center"/>
              <w:rPr>
                <w:sz w:val="21"/>
              </w:rPr>
            </w:pPr>
            <w:r>
              <w:rPr>
                <w:sz w:val="21"/>
              </w:rPr>
              <w:t>28.2</w:t>
            </w:r>
          </w:p>
        </w:tc>
        <w:tc>
          <w:tcPr>
            <w:tcW w:w="308" w:type="pct"/>
            <w:vAlign w:val="center"/>
          </w:tcPr>
          <w:p>
            <w:pPr>
              <w:autoSpaceDE w:val="0"/>
              <w:autoSpaceDN w:val="0"/>
              <w:adjustRightInd w:val="0"/>
              <w:spacing w:line="240" w:lineRule="auto"/>
              <w:ind w:firstLine="0" w:firstLineChars="0"/>
              <w:jc w:val="center"/>
              <w:rPr>
                <w:sz w:val="21"/>
              </w:rPr>
            </w:pPr>
            <w:r>
              <w:rPr>
                <w:sz w:val="21"/>
              </w:rPr>
              <w:t>28.8</w:t>
            </w:r>
          </w:p>
        </w:tc>
        <w:tc>
          <w:tcPr>
            <w:tcW w:w="310" w:type="pct"/>
            <w:vAlign w:val="center"/>
          </w:tcPr>
          <w:p>
            <w:pPr>
              <w:autoSpaceDE w:val="0"/>
              <w:autoSpaceDN w:val="0"/>
              <w:adjustRightInd w:val="0"/>
              <w:spacing w:line="240" w:lineRule="auto"/>
              <w:ind w:firstLine="0" w:firstLineChars="0"/>
              <w:jc w:val="center"/>
              <w:rPr>
                <w:sz w:val="21"/>
              </w:rPr>
            </w:pPr>
            <w:r>
              <w:rPr>
                <w:sz w:val="21"/>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15</w:t>
            </w:r>
          </w:p>
        </w:tc>
        <w:tc>
          <w:tcPr>
            <w:tcW w:w="402" w:type="pct"/>
            <w:vAlign w:val="center"/>
          </w:tcPr>
          <w:p>
            <w:pPr>
              <w:autoSpaceDE w:val="0"/>
              <w:autoSpaceDN w:val="0"/>
              <w:adjustRightInd w:val="0"/>
              <w:spacing w:line="240" w:lineRule="auto"/>
              <w:ind w:firstLine="0" w:firstLineChars="0"/>
              <w:jc w:val="center"/>
              <w:rPr>
                <w:sz w:val="21"/>
              </w:rPr>
            </w:pPr>
            <w:r>
              <w:rPr>
                <w:sz w:val="21"/>
              </w:rPr>
              <w:t>50</w:t>
            </w:r>
          </w:p>
        </w:tc>
        <w:tc>
          <w:tcPr>
            <w:tcW w:w="308" w:type="pct"/>
            <w:vAlign w:val="center"/>
          </w:tcPr>
          <w:p>
            <w:pPr>
              <w:autoSpaceDE w:val="0"/>
              <w:autoSpaceDN w:val="0"/>
              <w:adjustRightInd w:val="0"/>
              <w:spacing w:line="240" w:lineRule="auto"/>
              <w:ind w:firstLine="0" w:firstLineChars="0"/>
              <w:jc w:val="center"/>
              <w:rPr>
                <w:sz w:val="21"/>
              </w:rPr>
            </w:pPr>
            <w:r>
              <w:rPr>
                <w:sz w:val="21"/>
              </w:rPr>
              <w:t>0.1</w:t>
            </w:r>
          </w:p>
        </w:tc>
        <w:tc>
          <w:tcPr>
            <w:tcW w:w="308" w:type="pct"/>
            <w:vAlign w:val="center"/>
          </w:tcPr>
          <w:p>
            <w:pPr>
              <w:autoSpaceDE w:val="0"/>
              <w:autoSpaceDN w:val="0"/>
              <w:adjustRightInd w:val="0"/>
              <w:spacing w:line="240" w:lineRule="auto"/>
              <w:ind w:firstLine="0" w:firstLineChars="0"/>
              <w:jc w:val="center"/>
              <w:rPr>
                <w:sz w:val="21"/>
              </w:rPr>
            </w:pPr>
            <w:r>
              <w:rPr>
                <w:sz w:val="21"/>
              </w:rPr>
              <w:t>0.5</w:t>
            </w:r>
          </w:p>
        </w:tc>
        <w:tc>
          <w:tcPr>
            <w:tcW w:w="308" w:type="pct"/>
            <w:vAlign w:val="center"/>
          </w:tcPr>
          <w:p>
            <w:pPr>
              <w:autoSpaceDE w:val="0"/>
              <w:autoSpaceDN w:val="0"/>
              <w:adjustRightInd w:val="0"/>
              <w:spacing w:line="240" w:lineRule="auto"/>
              <w:ind w:firstLine="0" w:firstLineChars="0"/>
              <w:jc w:val="center"/>
              <w:rPr>
                <w:sz w:val="21"/>
              </w:rPr>
            </w:pPr>
            <w:r>
              <w:rPr>
                <w:sz w:val="21"/>
              </w:rPr>
              <w:t>1.2</w:t>
            </w:r>
          </w:p>
        </w:tc>
        <w:tc>
          <w:tcPr>
            <w:tcW w:w="308" w:type="pct"/>
            <w:vAlign w:val="center"/>
          </w:tcPr>
          <w:p>
            <w:pPr>
              <w:autoSpaceDE w:val="0"/>
              <w:autoSpaceDN w:val="0"/>
              <w:adjustRightInd w:val="0"/>
              <w:spacing w:line="240" w:lineRule="auto"/>
              <w:ind w:firstLine="0" w:firstLineChars="0"/>
              <w:jc w:val="center"/>
              <w:rPr>
                <w:sz w:val="21"/>
              </w:rPr>
            </w:pPr>
            <w:r>
              <w:rPr>
                <w:sz w:val="21"/>
              </w:rPr>
              <w:t>2.2</w:t>
            </w:r>
          </w:p>
        </w:tc>
        <w:tc>
          <w:tcPr>
            <w:tcW w:w="308" w:type="pct"/>
            <w:vAlign w:val="center"/>
          </w:tcPr>
          <w:p>
            <w:pPr>
              <w:autoSpaceDE w:val="0"/>
              <w:autoSpaceDN w:val="0"/>
              <w:adjustRightInd w:val="0"/>
              <w:spacing w:line="240" w:lineRule="auto"/>
              <w:ind w:firstLine="0" w:firstLineChars="0"/>
              <w:jc w:val="center"/>
              <w:rPr>
                <w:sz w:val="21"/>
              </w:rPr>
            </w:pPr>
            <w:r>
              <w:rPr>
                <w:sz w:val="21"/>
              </w:rPr>
              <w:t>4.2</w:t>
            </w:r>
          </w:p>
        </w:tc>
        <w:tc>
          <w:tcPr>
            <w:tcW w:w="308" w:type="pct"/>
            <w:vAlign w:val="center"/>
          </w:tcPr>
          <w:p>
            <w:pPr>
              <w:autoSpaceDE w:val="0"/>
              <w:autoSpaceDN w:val="0"/>
              <w:adjustRightInd w:val="0"/>
              <w:spacing w:line="240" w:lineRule="auto"/>
              <w:ind w:firstLine="0" w:firstLineChars="0"/>
              <w:jc w:val="center"/>
              <w:rPr>
                <w:sz w:val="21"/>
              </w:rPr>
            </w:pPr>
            <w:r>
              <w:rPr>
                <w:sz w:val="21"/>
              </w:rPr>
              <w:t>10.8</w:t>
            </w:r>
          </w:p>
        </w:tc>
        <w:tc>
          <w:tcPr>
            <w:tcW w:w="308" w:type="pct"/>
            <w:vAlign w:val="center"/>
          </w:tcPr>
          <w:p>
            <w:pPr>
              <w:autoSpaceDE w:val="0"/>
              <w:autoSpaceDN w:val="0"/>
              <w:adjustRightInd w:val="0"/>
              <w:spacing w:line="240" w:lineRule="auto"/>
              <w:ind w:firstLine="0" w:firstLineChars="0"/>
              <w:jc w:val="center"/>
              <w:rPr>
                <w:sz w:val="21"/>
              </w:rPr>
            </w:pPr>
            <w:r>
              <w:rPr>
                <w:sz w:val="21"/>
              </w:rPr>
              <w:t>36.2</w:t>
            </w:r>
          </w:p>
        </w:tc>
        <w:tc>
          <w:tcPr>
            <w:tcW w:w="310" w:type="pct"/>
            <w:vAlign w:val="center"/>
          </w:tcPr>
          <w:p>
            <w:pPr>
              <w:autoSpaceDE w:val="0"/>
              <w:autoSpaceDN w:val="0"/>
              <w:adjustRightInd w:val="0"/>
              <w:spacing w:line="240" w:lineRule="auto"/>
              <w:ind w:firstLine="0" w:firstLineChars="0"/>
              <w:jc w:val="center"/>
              <w:rPr>
                <w:sz w:val="21"/>
              </w:rPr>
            </w:pPr>
            <w:r>
              <w:rPr>
                <w:sz w:val="21"/>
              </w:rPr>
              <w:t>129.0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10" w:type="pct"/>
            <w:vAlign w:val="center"/>
          </w:tcPr>
          <w:p>
            <w:pPr>
              <w:autoSpaceDE w:val="0"/>
              <w:autoSpaceDN w:val="0"/>
              <w:adjustRightInd w:val="0"/>
              <w:spacing w:line="240" w:lineRule="auto"/>
              <w:ind w:firstLine="0" w:firstLineChars="0"/>
              <w:jc w:val="center"/>
              <w:rPr>
                <w:sz w:val="21"/>
              </w:rPr>
            </w:pPr>
            <w:r>
              <w:rPr>
                <w:sz w:val="21"/>
              </w:rPr>
              <w:t>15</w:t>
            </w:r>
          </w:p>
        </w:tc>
        <w:tc>
          <w:tcPr>
            <w:tcW w:w="402" w:type="pct"/>
            <w:vAlign w:val="center"/>
          </w:tcPr>
          <w:p>
            <w:pPr>
              <w:autoSpaceDE w:val="0"/>
              <w:autoSpaceDN w:val="0"/>
              <w:adjustRightInd w:val="0"/>
              <w:spacing w:line="240" w:lineRule="auto"/>
              <w:ind w:firstLine="0" w:firstLineChars="0"/>
              <w:jc w:val="center"/>
              <w:rPr>
                <w:sz w:val="21"/>
              </w:rPr>
            </w:pPr>
            <w:r>
              <w:rPr>
                <w:sz w:val="21"/>
              </w:rPr>
              <w:t>80</w:t>
            </w:r>
          </w:p>
        </w:tc>
        <w:tc>
          <w:tcPr>
            <w:tcW w:w="308" w:type="pct"/>
            <w:vAlign w:val="center"/>
          </w:tcPr>
          <w:p>
            <w:pPr>
              <w:autoSpaceDE w:val="0"/>
              <w:autoSpaceDN w:val="0"/>
              <w:adjustRightInd w:val="0"/>
              <w:spacing w:line="240" w:lineRule="auto"/>
              <w:ind w:firstLine="0" w:firstLineChars="0"/>
              <w:jc w:val="center"/>
              <w:rPr>
                <w:sz w:val="21"/>
              </w:rPr>
            </w:pPr>
            <w:r>
              <w:rPr>
                <w:sz w:val="21"/>
              </w:rPr>
              <w:t>0.1</w:t>
            </w:r>
          </w:p>
        </w:tc>
        <w:tc>
          <w:tcPr>
            <w:tcW w:w="308" w:type="pct"/>
            <w:vAlign w:val="center"/>
          </w:tcPr>
          <w:p>
            <w:pPr>
              <w:autoSpaceDE w:val="0"/>
              <w:autoSpaceDN w:val="0"/>
              <w:adjustRightInd w:val="0"/>
              <w:spacing w:line="240" w:lineRule="auto"/>
              <w:ind w:firstLine="0" w:firstLineChars="0"/>
              <w:jc w:val="center"/>
              <w:rPr>
                <w:sz w:val="21"/>
              </w:rPr>
            </w:pPr>
            <w:r>
              <w:rPr>
                <w:sz w:val="21"/>
              </w:rPr>
              <w:t>0.3</w:t>
            </w:r>
          </w:p>
        </w:tc>
        <w:tc>
          <w:tcPr>
            <w:tcW w:w="308" w:type="pct"/>
            <w:vAlign w:val="center"/>
          </w:tcPr>
          <w:p>
            <w:pPr>
              <w:autoSpaceDE w:val="0"/>
              <w:autoSpaceDN w:val="0"/>
              <w:adjustRightInd w:val="0"/>
              <w:spacing w:line="240" w:lineRule="auto"/>
              <w:ind w:firstLine="0" w:firstLineChars="0"/>
              <w:jc w:val="center"/>
              <w:rPr>
                <w:sz w:val="21"/>
              </w:rPr>
            </w:pPr>
            <w:r>
              <w:rPr>
                <w:sz w:val="21"/>
              </w:rPr>
              <w:t>1.1</w:t>
            </w:r>
          </w:p>
        </w:tc>
        <w:tc>
          <w:tcPr>
            <w:tcW w:w="308" w:type="pct"/>
            <w:vAlign w:val="center"/>
          </w:tcPr>
          <w:p>
            <w:pPr>
              <w:autoSpaceDE w:val="0"/>
              <w:autoSpaceDN w:val="0"/>
              <w:adjustRightInd w:val="0"/>
              <w:spacing w:line="240" w:lineRule="auto"/>
              <w:ind w:firstLine="0" w:firstLineChars="0"/>
              <w:jc w:val="center"/>
              <w:rPr>
                <w:sz w:val="21"/>
              </w:rPr>
            </w:pPr>
            <w:r>
              <w:rPr>
                <w:sz w:val="21"/>
              </w:rPr>
              <w:t>2.4</w:t>
            </w:r>
          </w:p>
        </w:tc>
        <w:tc>
          <w:tcPr>
            <w:tcW w:w="308" w:type="pct"/>
            <w:vAlign w:val="center"/>
          </w:tcPr>
          <w:p>
            <w:pPr>
              <w:autoSpaceDE w:val="0"/>
              <w:autoSpaceDN w:val="0"/>
              <w:adjustRightInd w:val="0"/>
              <w:spacing w:line="240" w:lineRule="auto"/>
              <w:ind w:firstLine="0" w:firstLineChars="0"/>
              <w:jc w:val="center"/>
              <w:rPr>
                <w:sz w:val="21"/>
              </w:rPr>
            </w:pPr>
            <w:r>
              <w:rPr>
                <w:sz w:val="21"/>
              </w:rPr>
              <w:t>4.1</w:t>
            </w:r>
          </w:p>
        </w:tc>
        <w:tc>
          <w:tcPr>
            <w:tcW w:w="308" w:type="pct"/>
            <w:vAlign w:val="center"/>
          </w:tcPr>
          <w:p>
            <w:pPr>
              <w:autoSpaceDE w:val="0"/>
              <w:autoSpaceDN w:val="0"/>
              <w:adjustRightInd w:val="0"/>
              <w:spacing w:line="240" w:lineRule="auto"/>
              <w:ind w:firstLine="0" w:firstLineChars="0"/>
              <w:jc w:val="center"/>
              <w:rPr>
                <w:sz w:val="21"/>
              </w:rPr>
            </w:pPr>
            <w:r>
              <w:rPr>
                <w:sz w:val="21"/>
              </w:rPr>
              <w:t>8.3</w:t>
            </w:r>
          </w:p>
        </w:tc>
        <w:tc>
          <w:tcPr>
            <w:tcW w:w="308" w:type="pct"/>
            <w:vAlign w:val="center"/>
          </w:tcPr>
          <w:p>
            <w:pPr>
              <w:autoSpaceDE w:val="0"/>
              <w:autoSpaceDN w:val="0"/>
              <w:adjustRightInd w:val="0"/>
              <w:spacing w:line="240" w:lineRule="auto"/>
              <w:ind w:firstLine="0" w:firstLineChars="0"/>
              <w:jc w:val="center"/>
              <w:rPr>
                <w:sz w:val="21"/>
              </w:rPr>
            </w:pPr>
            <w:r>
              <w:rPr>
                <w:sz w:val="21"/>
              </w:rPr>
              <w:t>23.7</w:t>
            </w:r>
          </w:p>
        </w:tc>
        <w:tc>
          <w:tcPr>
            <w:tcW w:w="310" w:type="pct"/>
            <w:vAlign w:val="center"/>
          </w:tcPr>
          <w:p>
            <w:pPr>
              <w:autoSpaceDE w:val="0"/>
              <w:autoSpaceDN w:val="0"/>
              <w:adjustRightInd w:val="0"/>
              <w:spacing w:line="240" w:lineRule="auto"/>
              <w:ind w:firstLine="0" w:firstLineChars="0"/>
              <w:jc w:val="center"/>
              <w:rPr>
                <w:sz w:val="21"/>
              </w:rPr>
            </w:pPr>
            <w:r>
              <w:rPr>
                <w:sz w:val="21"/>
              </w:rPr>
              <w:t>82.8</w:t>
            </w:r>
          </w:p>
        </w:tc>
      </w:tr>
    </w:tbl>
    <w:p>
      <w:pPr>
        <w:autoSpaceDE w:val="0"/>
        <w:autoSpaceDN w:val="0"/>
        <w:adjustRightInd w:val="0"/>
        <w:ind w:firstLine="480"/>
      </w:pPr>
      <w:r>
        <w:rPr>
          <w:rFonts w:hint="eastAsia"/>
        </w:rPr>
        <w:t>c）</w:t>
      </w:r>
      <w:r>
        <w:t>地面效应衰减（A</w:t>
      </w:r>
      <w:r>
        <w:rPr>
          <w:vertAlign w:val="subscript"/>
        </w:rPr>
        <w:t>gr</w:t>
      </w:r>
      <w:r>
        <w:t>）</w:t>
      </w:r>
    </w:p>
    <w:p>
      <w:pPr>
        <w:autoSpaceDE w:val="0"/>
        <w:autoSpaceDN w:val="0"/>
        <w:adjustRightInd w:val="0"/>
        <w:ind w:firstLine="480"/>
      </w:pPr>
      <w:r>
        <w:t>地面类型可分为：</w:t>
      </w:r>
    </w:p>
    <w:p>
      <w:pPr>
        <w:autoSpaceDE w:val="0"/>
        <w:autoSpaceDN w:val="0"/>
        <w:adjustRightInd w:val="0"/>
        <w:ind w:firstLine="480"/>
      </w:pPr>
      <w:r>
        <w:fldChar w:fldCharType="begin"/>
      </w:r>
      <w:r>
        <w:instrText xml:space="preserve"> = 1 \* roman </w:instrText>
      </w:r>
      <w:r>
        <w:fldChar w:fldCharType="separate"/>
      </w:r>
      <w:r>
        <w:t>i</w:t>
      </w:r>
      <w:r>
        <w:fldChar w:fldCharType="end"/>
      </w:r>
      <w:r>
        <w:t>坚实地面，包括铺筑过的路面、水面、冰面以及夯实地面</w:t>
      </w:r>
      <w:r>
        <w:rPr>
          <w:rFonts w:hint="eastAsia"/>
        </w:rPr>
        <w:t>；</w:t>
      </w:r>
    </w:p>
    <w:p>
      <w:pPr>
        <w:autoSpaceDE w:val="0"/>
        <w:autoSpaceDN w:val="0"/>
        <w:adjustRightInd w:val="0"/>
        <w:ind w:firstLine="480"/>
      </w:pPr>
      <w:r>
        <w:fldChar w:fldCharType="begin"/>
      </w:r>
      <w:r>
        <w:instrText xml:space="preserve"> = 2 \* roman </w:instrText>
      </w:r>
      <w:r>
        <w:fldChar w:fldCharType="separate"/>
      </w:r>
      <w:r>
        <w:t>ii</w:t>
      </w:r>
      <w:r>
        <w:fldChar w:fldCharType="end"/>
      </w:r>
      <w:r>
        <w:t>疏松地面，包括被草或其他植物覆盖的地面，以及农田等适合于植物生长的地面</w:t>
      </w:r>
      <w:r>
        <w:rPr>
          <w:rFonts w:hint="eastAsia"/>
        </w:rPr>
        <w:t>；</w:t>
      </w:r>
    </w:p>
    <w:p>
      <w:pPr>
        <w:autoSpaceDE w:val="0"/>
        <w:autoSpaceDN w:val="0"/>
        <w:adjustRightInd w:val="0"/>
        <w:ind w:firstLine="480"/>
      </w:pPr>
      <w:r>
        <w:fldChar w:fldCharType="begin"/>
      </w:r>
      <w:r>
        <w:instrText xml:space="preserve"> = 3 \* roman </w:instrText>
      </w:r>
      <w:r>
        <w:fldChar w:fldCharType="separate"/>
      </w:r>
      <w:r>
        <w:t>iii</w:t>
      </w:r>
      <w:r>
        <w:fldChar w:fldCharType="end"/>
      </w:r>
      <w:r>
        <w:t>混合地面，由坚实地面和疏松地面组成。</w:t>
      </w:r>
    </w:p>
    <w:p>
      <w:pPr>
        <w:autoSpaceDE w:val="0"/>
        <w:autoSpaceDN w:val="0"/>
        <w:adjustRightInd w:val="0"/>
        <w:ind w:firstLine="480"/>
      </w:pPr>
      <w:r>
        <w:t>声波越过疏松地面传播时，或大部分为疏松地面的混合地面，在预测点仅计算A声级前提下，地面效应引起的倍频带衰减可用</w:t>
      </w:r>
      <w:r>
        <w:rPr>
          <w:rFonts w:hint="eastAsia"/>
        </w:rPr>
        <w:t>下式</w:t>
      </w:r>
      <w:r>
        <w:t>计算。</w:t>
      </w:r>
    </w:p>
    <w:p>
      <w:pPr>
        <w:pStyle w:val="2"/>
        <w:spacing w:line="240" w:lineRule="auto"/>
        <w:ind w:firstLine="0" w:firstLineChars="0"/>
        <w:rPr>
          <w:i/>
        </w:rPr>
      </w:pPr>
      <m:oMathPara>
        <m:oMath>
          <m:sSub>
            <m:sSubPr>
              <m:ctrlPr>
                <w:rPr>
                  <w:rFonts w:ascii="Cambria Math" w:hAnsi="Cambria Math"/>
                  <w:i/>
                </w:rPr>
              </m:ctrlPr>
            </m:sSubPr>
            <m:e>
              <m:r>
                <w:rPr>
                  <w:rFonts w:ascii="Cambria Math" w:hAnsi="Cambria Math"/>
                </w:rPr>
                <m:t>A</m:t>
              </m:r>
              <m:ctrlPr>
                <w:rPr>
                  <w:rFonts w:ascii="Cambria Math" w:hAnsi="Cambria Math"/>
                  <w:i/>
                </w:rPr>
              </m:ctrlPr>
            </m:e>
            <m:sub>
              <m:r>
                <w:rPr>
                  <w:rFonts w:ascii="Cambria Math" w:hAnsi="Cambria Math"/>
                </w:rPr>
                <m:t>gr</m:t>
              </m:r>
              <m:ctrlPr>
                <w:rPr>
                  <w:rFonts w:ascii="Cambria Math" w:hAnsi="Cambria Math"/>
                  <w:i/>
                </w:rPr>
              </m:ctrlPr>
            </m:sub>
          </m:sSub>
          <m:r>
            <w:rPr>
              <w:rFonts w:ascii="Cambria Math" w:hAnsi="Cambria Math"/>
            </w:rPr>
            <m:t>=4.8-(</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h</m:t>
                  </m:r>
                  <m:ctrlPr>
                    <w:rPr>
                      <w:rFonts w:ascii="Cambria Math" w:hAnsi="Cambria Math"/>
                      <w:i/>
                    </w:rPr>
                  </m:ctrlPr>
                </m:e>
                <m:sub>
                  <m:r>
                    <w:rPr>
                      <w:rFonts w:ascii="Cambria Math" w:hAnsi="Cambria Math"/>
                    </w:rPr>
                    <m:t>m</m:t>
                  </m:r>
                  <m:ctrlPr>
                    <w:rPr>
                      <w:rFonts w:ascii="Cambria Math" w:hAnsi="Cambria Math"/>
                      <w:i/>
                    </w:rPr>
                  </m:ctrlPr>
                </m:sub>
              </m:sSub>
              <m:ctrlPr>
                <w:rPr>
                  <w:rFonts w:ascii="Cambria Math" w:hAnsi="Cambria Math"/>
                  <w:i/>
                </w:rPr>
              </m:ctrlPr>
            </m:num>
            <m:den>
              <m:r>
                <w:rPr>
                  <w:rFonts w:ascii="Cambria Math" w:hAnsi="Cambria Math"/>
                </w:rPr>
                <m:t>r</m:t>
              </m:r>
              <m:ctrlPr>
                <w:rPr>
                  <w:rFonts w:ascii="Cambria Math" w:hAnsi="Cambria Math"/>
                  <w:i/>
                </w:rPr>
              </m:ctrlPr>
            </m:den>
          </m:f>
          <m:r>
            <w:rPr>
              <w:rFonts w:ascii="Cambria Math" w:hAnsi="Cambria Math"/>
            </w:rPr>
            <m:t>)</m:t>
          </m:r>
          <m:d>
            <m:dPr>
              <m:begChr m:val="["/>
              <m:endChr m:val="]"/>
              <m:ctrlPr>
                <w:rPr>
                  <w:rFonts w:ascii="Cambria Math" w:hAnsi="Cambria Math"/>
                  <w:i/>
                </w:rPr>
              </m:ctrlPr>
            </m:dPr>
            <m:e>
              <m:r>
                <w:rPr>
                  <w:rFonts w:ascii="Cambria Math" w:hAnsi="Cambria Math"/>
                </w:rPr>
                <m:t>17+(</m:t>
              </m:r>
              <m:f>
                <m:fPr>
                  <m:ctrlPr>
                    <w:rPr>
                      <w:rFonts w:ascii="Cambria Math" w:hAnsi="Cambria Math"/>
                      <w:i/>
                    </w:rPr>
                  </m:ctrlPr>
                </m:fPr>
                <m:num>
                  <m:r>
                    <w:rPr>
                      <w:rFonts w:ascii="Cambria Math" w:hAnsi="Cambria Math"/>
                    </w:rPr>
                    <m:t>300</m:t>
                  </m:r>
                  <m:ctrlPr>
                    <w:rPr>
                      <w:rFonts w:ascii="Cambria Math" w:hAnsi="Cambria Math"/>
                      <w:i/>
                    </w:rPr>
                  </m:ctrlPr>
                </m:num>
                <m:den>
                  <m:r>
                    <w:rPr>
                      <w:rFonts w:ascii="Cambria Math" w:hAnsi="Cambria Math"/>
                    </w:rPr>
                    <m:t>r</m:t>
                  </m:r>
                  <m:ctrlPr>
                    <w:rPr>
                      <w:rFonts w:ascii="Cambria Math" w:hAnsi="Cambria Math"/>
                      <w:i/>
                    </w:rPr>
                  </m:ctrlPr>
                </m:den>
              </m:f>
              <m:r>
                <w:rPr>
                  <w:rFonts w:ascii="Cambria Math" w:hAnsi="Cambria Math"/>
                </w:rPr>
                <m:t>)</m:t>
              </m:r>
              <m:ctrlPr>
                <w:rPr>
                  <w:rFonts w:ascii="Cambria Math" w:hAnsi="Cambria Math"/>
                  <w:i/>
                </w:rPr>
              </m:ctrlPr>
            </m:e>
          </m:d>
        </m:oMath>
      </m:oMathPara>
    </w:p>
    <w:p>
      <w:pPr>
        <w:autoSpaceDE w:val="0"/>
        <w:autoSpaceDN w:val="0"/>
        <w:adjustRightInd w:val="0"/>
        <w:ind w:firstLine="480"/>
      </w:pPr>
      <w:r>
        <w:t>式中：A</w:t>
      </w:r>
      <w:r>
        <w:rPr>
          <w:vertAlign w:val="subscript"/>
        </w:rPr>
        <w:t>gr</w:t>
      </w:r>
      <w:r>
        <w:t>—</w:t>
      </w:r>
      <w:r>
        <w:rPr>
          <w:rFonts w:hint="eastAsia"/>
        </w:rPr>
        <w:t>地面效应引起的衰减</w:t>
      </w:r>
      <w:r>
        <w:t>，</w:t>
      </w:r>
      <w:r>
        <w:rPr>
          <w:rFonts w:hint="eastAsia"/>
        </w:rPr>
        <w:t>dB</w:t>
      </w:r>
      <w:r>
        <w:t>；</w:t>
      </w:r>
    </w:p>
    <w:p>
      <w:pPr>
        <w:autoSpaceDE w:val="0"/>
        <w:autoSpaceDN w:val="0"/>
        <w:adjustRightInd w:val="0"/>
        <w:ind w:firstLine="960" w:firstLineChars="400"/>
      </w:pPr>
      <w:r>
        <w:t>r—</w:t>
      </w:r>
      <w:r>
        <w:rPr>
          <w:rFonts w:hint="eastAsia"/>
        </w:rPr>
        <w:t>预测点距声源</w:t>
      </w:r>
      <w:r>
        <w:t>的距离，m；</w:t>
      </w:r>
    </w:p>
    <w:p>
      <w:pPr>
        <w:autoSpaceDE w:val="0"/>
        <w:autoSpaceDN w:val="0"/>
        <w:adjustRightInd w:val="0"/>
        <w:ind w:firstLine="480"/>
      </w:pPr>
      <w:r>
        <w:t>h</w:t>
      </w:r>
      <w:r>
        <w:rPr>
          <w:vertAlign w:val="subscript"/>
        </w:rPr>
        <w:t>m</w:t>
      </w:r>
      <w:r>
        <w:t>—传播路径的平均离地高度，m；可按图</w:t>
      </w:r>
      <w:r>
        <w:rPr>
          <w:rFonts w:hint="eastAsia"/>
        </w:rPr>
        <w:t>5</w:t>
      </w:r>
      <w:r>
        <w:t>.</w:t>
      </w:r>
      <w:r>
        <w:rPr>
          <w:rFonts w:hint="eastAsia"/>
        </w:rPr>
        <w:t>2</w:t>
      </w:r>
      <w:r>
        <w:t>-6进行计算，hm=F/r，；F：面积，m</w:t>
      </w:r>
      <w:r>
        <w:rPr>
          <w:vertAlign w:val="superscript"/>
        </w:rPr>
        <w:t>2</w:t>
      </w:r>
      <w:r>
        <w:t>；若A</w:t>
      </w:r>
      <w:r>
        <w:rPr>
          <w:vertAlign w:val="subscript"/>
        </w:rPr>
        <w:t>gr</w:t>
      </w:r>
      <w:r>
        <w:t>计算出负值，则A</w:t>
      </w:r>
      <w:r>
        <w:rPr>
          <w:vertAlign w:val="subscript"/>
        </w:rPr>
        <w:t>gr</w:t>
      </w:r>
      <w:r>
        <w:t>可用</w:t>
      </w:r>
      <w:r>
        <w:rPr>
          <w:rFonts w:hint="eastAsia"/>
        </w:rPr>
        <w:t>“</w:t>
      </w:r>
      <w:r>
        <w:t>0</w:t>
      </w:r>
      <w:r>
        <w:rPr>
          <w:rFonts w:hint="eastAsia"/>
        </w:rPr>
        <w:t>”</w:t>
      </w:r>
      <w:r>
        <w:t>代替。</w:t>
      </w:r>
    </w:p>
    <w:p>
      <w:pPr>
        <w:autoSpaceDE w:val="0"/>
        <w:autoSpaceDN w:val="0"/>
        <w:adjustRightInd w:val="0"/>
        <w:spacing w:line="240" w:lineRule="auto"/>
        <w:ind w:firstLine="0" w:firstLineChars="0"/>
        <w:jc w:val="center"/>
        <w:rPr>
          <w:highlight w:val="yellow"/>
        </w:rPr>
      </w:pPr>
      <w:r>
        <w:drawing>
          <wp:inline distT="0" distB="0" distL="0" distR="0">
            <wp:extent cx="5723890" cy="2544445"/>
            <wp:effectExtent l="19050" t="0" r="0" b="0"/>
            <wp:docPr id="32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7"/>
                    <pic:cNvPicPr>
                      <a:picLocks noChangeAspect="1" noChangeArrowheads="1"/>
                    </pic:cNvPicPr>
                  </pic:nvPicPr>
                  <pic:blipFill>
                    <a:blip r:embed="rId91" cstate="print"/>
                    <a:srcRect/>
                    <a:stretch>
                      <a:fillRect/>
                    </a:stretch>
                  </pic:blipFill>
                  <pic:spPr>
                    <a:xfrm>
                      <a:off x="0" y="0"/>
                      <a:ext cx="5723890" cy="2544714"/>
                    </a:xfrm>
                    <a:prstGeom prst="rect">
                      <a:avLst/>
                    </a:prstGeom>
                    <a:noFill/>
                    <a:ln w="9525">
                      <a:noFill/>
                      <a:miter lim="800000"/>
                      <a:headEnd/>
                      <a:tailEnd/>
                    </a:ln>
                  </pic:spPr>
                </pic:pic>
              </a:graphicData>
            </a:graphic>
          </wp:inline>
        </w:drawing>
      </w:r>
    </w:p>
    <w:p>
      <w:pPr>
        <w:pStyle w:val="185"/>
        <w:spacing w:line="480" w:lineRule="exact"/>
        <w:rPr>
          <w:sz w:val="21"/>
          <w:szCs w:val="21"/>
        </w:rPr>
      </w:pPr>
      <w:r>
        <w:rPr>
          <w:sz w:val="21"/>
          <w:szCs w:val="21"/>
        </w:rPr>
        <w:t>图</w:t>
      </w:r>
      <w:r>
        <w:rPr>
          <w:rFonts w:hint="eastAsia"/>
          <w:sz w:val="21"/>
          <w:szCs w:val="21"/>
        </w:rPr>
        <w:t>5</w:t>
      </w:r>
      <w:r>
        <w:rPr>
          <w:sz w:val="21"/>
          <w:szCs w:val="21"/>
        </w:rPr>
        <w:t>.</w:t>
      </w:r>
      <w:r>
        <w:rPr>
          <w:rFonts w:hint="eastAsia"/>
          <w:sz w:val="21"/>
          <w:szCs w:val="21"/>
        </w:rPr>
        <w:t>2</w:t>
      </w:r>
      <w:r>
        <w:rPr>
          <w:sz w:val="21"/>
          <w:szCs w:val="21"/>
        </w:rPr>
        <w:t>-</w:t>
      </w:r>
      <w:r>
        <w:rPr>
          <w:rFonts w:hint="eastAsia"/>
          <w:sz w:val="21"/>
          <w:szCs w:val="21"/>
        </w:rPr>
        <w:t>6</w:t>
      </w:r>
      <w:r>
        <w:rPr>
          <w:sz w:val="21"/>
          <w:szCs w:val="21"/>
        </w:rPr>
        <w:t>估计平均高度h</w:t>
      </w:r>
      <w:r>
        <w:rPr>
          <w:sz w:val="21"/>
          <w:szCs w:val="21"/>
          <w:vertAlign w:val="subscript"/>
        </w:rPr>
        <w:t>m</w:t>
      </w:r>
      <w:r>
        <w:rPr>
          <w:sz w:val="21"/>
          <w:szCs w:val="21"/>
        </w:rPr>
        <w:t>的方法</w:t>
      </w:r>
    </w:p>
    <w:p>
      <w:pPr>
        <w:autoSpaceDE w:val="0"/>
        <w:autoSpaceDN w:val="0"/>
        <w:adjustRightInd w:val="0"/>
        <w:spacing w:line="440" w:lineRule="atLeast"/>
        <w:ind w:firstLine="480"/>
      </w:pPr>
      <w:r>
        <w:rPr>
          <w:rFonts w:hint="eastAsia"/>
        </w:rPr>
        <w:t>d）</w:t>
      </w:r>
      <w:r>
        <w:t>其他多方面原因引起的衰减（A</w:t>
      </w:r>
      <w:r>
        <w:rPr>
          <w:vertAlign w:val="subscript"/>
        </w:rPr>
        <w:t>misc</w:t>
      </w:r>
      <w:r>
        <w:t>）</w:t>
      </w:r>
    </w:p>
    <w:p>
      <w:pPr>
        <w:autoSpaceDE w:val="0"/>
        <w:autoSpaceDN w:val="0"/>
        <w:adjustRightInd w:val="0"/>
        <w:spacing w:line="440" w:lineRule="atLeast"/>
        <w:ind w:firstLine="480"/>
      </w:pPr>
      <w:r>
        <w:t>其他衰减包括通过工业场所的衰减；通过建筑群的衰减等。在声环境影响评价中，一般情况下，不考虑自然条件（如风、温度梯度、雾）变化引起的附加修正。</w:t>
      </w:r>
    </w:p>
    <w:p>
      <w:pPr>
        <w:autoSpaceDE w:val="0"/>
        <w:autoSpaceDN w:val="0"/>
        <w:adjustRightInd w:val="0"/>
        <w:spacing w:line="440" w:lineRule="atLeast"/>
        <w:ind w:firstLine="480"/>
      </w:pPr>
      <w:r>
        <w:t>工业场所的衰减可参照GB/T17247.2进行计算。</w:t>
      </w:r>
    </w:p>
    <w:p>
      <w:pPr>
        <w:autoSpaceDE w:val="0"/>
        <w:autoSpaceDN w:val="0"/>
        <w:adjustRightInd w:val="0"/>
        <w:spacing w:line="440" w:lineRule="atLeast"/>
        <w:ind w:firstLine="480"/>
      </w:pPr>
      <w:r>
        <w:rPr>
          <w:rFonts w:hint="eastAsia"/>
        </w:rPr>
        <w:t>①</w:t>
      </w:r>
      <w:r>
        <w:t>绿化林带噪声衰减计算</w:t>
      </w:r>
      <w:r>
        <w:rPr>
          <w:rFonts w:hint="eastAsia"/>
        </w:rPr>
        <w:t>（A</w:t>
      </w:r>
      <w:r>
        <w:rPr>
          <w:rFonts w:hint="eastAsia"/>
          <w:vertAlign w:val="subscript"/>
        </w:rPr>
        <w:t>fol</w:t>
      </w:r>
      <w:r>
        <w:rPr>
          <w:rFonts w:hint="eastAsia"/>
        </w:rPr>
        <w:t>）</w:t>
      </w:r>
    </w:p>
    <w:p>
      <w:pPr>
        <w:autoSpaceDE w:val="0"/>
        <w:autoSpaceDN w:val="0"/>
        <w:adjustRightInd w:val="0"/>
        <w:spacing w:line="440" w:lineRule="atLeast"/>
        <w:ind w:firstLine="480"/>
      </w:pPr>
      <w:r>
        <w:t>绿化林带的附加衰减与树种、林带结构和密度等因素有关。在声源附近的绿化林带，或在预测点附近的绿化林带，或两者均有的情况都可以使声波衰减，见图</w:t>
      </w:r>
      <w:r>
        <w:rPr>
          <w:rFonts w:hint="eastAsia"/>
        </w:rPr>
        <w:t>5</w:t>
      </w:r>
      <w:r>
        <w:t>.</w:t>
      </w:r>
      <w:r>
        <w:rPr>
          <w:rFonts w:hint="eastAsia"/>
        </w:rPr>
        <w:t>2</w:t>
      </w:r>
      <w:r>
        <w:t>-7。</w:t>
      </w:r>
    </w:p>
    <w:p>
      <w:pPr>
        <w:autoSpaceDE w:val="0"/>
        <w:autoSpaceDN w:val="0"/>
        <w:adjustRightInd w:val="0"/>
        <w:spacing w:line="240" w:lineRule="atLeast"/>
        <w:ind w:firstLine="0" w:firstLineChars="0"/>
        <w:jc w:val="center"/>
      </w:pPr>
      <w:r>
        <w:drawing>
          <wp:inline distT="0" distB="0" distL="0" distR="0">
            <wp:extent cx="5723890" cy="1128395"/>
            <wp:effectExtent l="19050" t="0" r="0" b="0"/>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noChangeArrowheads="1"/>
                    </pic:cNvPicPr>
                  </pic:nvPicPr>
                  <pic:blipFill>
                    <a:blip r:embed="rId92" cstate="print"/>
                    <a:srcRect/>
                    <a:stretch>
                      <a:fillRect/>
                    </a:stretch>
                  </pic:blipFill>
                  <pic:spPr>
                    <a:xfrm>
                      <a:off x="0" y="0"/>
                      <a:ext cx="5723890" cy="1128499"/>
                    </a:xfrm>
                    <a:prstGeom prst="rect">
                      <a:avLst/>
                    </a:prstGeom>
                    <a:noFill/>
                    <a:ln w="9525">
                      <a:noFill/>
                      <a:miter lim="800000"/>
                      <a:headEnd/>
                      <a:tailEnd/>
                    </a:ln>
                  </pic:spPr>
                </pic:pic>
              </a:graphicData>
            </a:graphic>
          </wp:inline>
        </w:drawing>
      </w:r>
    </w:p>
    <w:p>
      <w:pPr>
        <w:pStyle w:val="185"/>
        <w:spacing w:line="480" w:lineRule="exact"/>
        <w:rPr>
          <w:sz w:val="21"/>
          <w:szCs w:val="21"/>
        </w:rPr>
      </w:pPr>
      <w:r>
        <w:rPr>
          <w:sz w:val="21"/>
          <w:szCs w:val="21"/>
        </w:rPr>
        <w:t>图</w:t>
      </w:r>
      <w:r>
        <w:rPr>
          <w:rFonts w:hint="eastAsia"/>
          <w:sz w:val="21"/>
          <w:szCs w:val="21"/>
        </w:rPr>
        <w:t>5</w:t>
      </w:r>
      <w:r>
        <w:rPr>
          <w:sz w:val="21"/>
          <w:szCs w:val="21"/>
        </w:rPr>
        <w:t>.</w:t>
      </w:r>
      <w:r>
        <w:rPr>
          <w:rFonts w:hint="eastAsia"/>
          <w:sz w:val="21"/>
          <w:szCs w:val="21"/>
        </w:rPr>
        <w:t>2</w:t>
      </w:r>
      <w:r>
        <w:rPr>
          <w:sz w:val="21"/>
          <w:szCs w:val="21"/>
        </w:rPr>
        <w:t>-</w:t>
      </w:r>
      <w:r>
        <w:rPr>
          <w:rFonts w:hint="eastAsia"/>
          <w:sz w:val="21"/>
          <w:szCs w:val="21"/>
        </w:rPr>
        <w:t>7</w:t>
      </w:r>
      <w:r>
        <w:rPr>
          <w:sz w:val="21"/>
          <w:szCs w:val="21"/>
        </w:rPr>
        <w:t>通过树和灌木时噪声衰减示意图</w:t>
      </w:r>
    </w:p>
    <w:p>
      <w:pPr>
        <w:autoSpaceDE w:val="0"/>
        <w:autoSpaceDN w:val="0"/>
        <w:adjustRightInd w:val="0"/>
        <w:ind w:firstLine="480"/>
      </w:pPr>
      <w:r>
        <w:t>通过树叶传播造成的噪声衰减随通过树叶传播距离d</w:t>
      </w:r>
      <w:r>
        <w:rPr>
          <w:vertAlign w:val="subscript"/>
        </w:rPr>
        <w:t>f</w:t>
      </w:r>
      <w:r>
        <w:t>的增长而增加，其中d</w:t>
      </w:r>
      <w:r>
        <w:rPr>
          <w:vertAlign w:val="subscript"/>
        </w:rPr>
        <w:t>f</w:t>
      </w:r>
      <w:r>
        <w:t>=d</w:t>
      </w:r>
      <w:r>
        <w:rPr>
          <w:vertAlign w:val="subscript"/>
        </w:rPr>
        <w:t>1</w:t>
      </w:r>
      <w:r>
        <w:t>+d</w:t>
      </w:r>
      <w:r>
        <w:rPr>
          <w:vertAlign w:val="subscript"/>
        </w:rPr>
        <w:t>2</w:t>
      </w:r>
      <w:r>
        <w:t>，为了计算d</w:t>
      </w:r>
      <w:r>
        <w:rPr>
          <w:vertAlign w:val="subscript"/>
        </w:rPr>
        <w:t>1</w:t>
      </w:r>
      <w:r>
        <w:t>和d</w:t>
      </w:r>
      <w:r>
        <w:rPr>
          <w:vertAlign w:val="subscript"/>
        </w:rPr>
        <w:t>2</w:t>
      </w:r>
      <w:r>
        <w:t>，可假设弯曲路径的半径为5km。</w:t>
      </w:r>
    </w:p>
    <w:p>
      <w:pPr>
        <w:autoSpaceDE w:val="0"/>
        <w:autoSpaceDN w:val="0"/>
        <w:adjustRightInd w:val="0"/>
        <w:ind w:firstLine="480"/>
      </w:pPr>
      <w:r>
        <w:t>表</w:t>
      </w:r>
      <w:r>
        <w:rPr>
          <w:rFonts w:hint="eastAsia"/>
        </w:rPr>
        <w:t>5</w:t>
      </w:r>
      <w:r>
        <w:t>.</w:t>
      </w:r>
      <w:r>
        <w:rPr>
          <w:rFonts w:hint="eastAsia"/>
        </w:rPr>
        <w:t>2</w:t>
      </w:r>
      <w:r>
        <w:t>-4中的第一行给出了通过总长度为10m到20m之间的密叶时，由密叶引起的衰减；第二行为通过总长度20m到200m之间密叶时的衰减系数；当通过密叶的路径长度大于200m时，可使用200m的衰减值。</w:t>
      </w:r>
    </w:p>
    <w:p>
      <w:pPr>
        <w:pStyle w:val="185"/>
        <w:spacing w:line="480" w:lineRule="exact"/>
        <w:rPr>
          <w:sz w:val="21"/>
          <w:szCs w:val="21"/>
        </w:rPr>
      </w:pPr>
      <w:r>
        <w:rPr>
          <w:sz w:val="21"/>
          <w:szCs w:val="21"/>
        </w:rPr>
        <w:t>表</w:t>
      </w:r>
      <w:r>
        <w:rPr>
          <w:rFonts w:hint="eastAsia"/>
          <w:sz w:val="21"/>
          <w:szCs w:val="21"/>
        </w:rPr>
        <w:t>5</w:t>
      </w:r>
      <w:r>
        <w:rPr>
          <w:sz w:val="21"/>
          <w:szCs w:val="21"/>
        </w:rPr>
        <w:t>.</w:t>
      </w:r>
      <w:r>
        <w:rPr>
          <w:rFonts w:hint="eastAsia"/>
          <w:sz w:val="21"/>
          <w:szCs w:val="21"/>
        </w:rPr>
        <w:t>2</w:t>
      </w:r>
      <w:r>
        <w:rPr>
          <w:sz w:val="21"/>
          <w:szCs w:val="21"/>
        </w:rPr>
        <w:t>-4</w:t>
      </w:r>
      <w:r>
        <w:rPr>
          <w:rFonts w:hint="eastAsia"/>
          <w:sz w:val="21"/>
          <w:szCs w:val="21"/>
        </w:rPr>
        <w:t xml:space="preserve"> </w:t>
      </w:r>
      <w:r>
        <w:rPr>
          <w:sz w:val="21"/>
          <w:szCs w:val="21"/>
        </w:rPr>
        <w:t>倍频带噪声通过密叶传播时产生的衰减</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64"/>
        <w:gridCol w:w="1560"/>
        <w:gridCol w:w="760"/>
        <w:gridCol w:w="760"/>
        <w:gridCol w:w="761"/>
        <w:gridCol w:w="761"/>
        <w:gridCol w:w="761"/>
        <w:gridCol w:w="761"/>
        <w:gridCol w:w="761"/>
        <w:gridCol w:w="7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restart"/>
            <w:vAlign w:val="center"/>
          </w:tcPr>
          <w:p>
            <w:pPr>
              <w:autoSpaceDE w:val="0"/>
              <w:autoSpaceDN w:val="0"/>
              <w:adjustRightInd w:val="0"/>
              <w:spacing w:line="240" w:lineRule="auto"/>
              <w:ind w:firstLine="0" w:firstLineChars="0"/>
              <w:jc w:val="center"/>
              <w:rPr>
                <w:sz w:val="21"/>
              </w:rPr>
            </w:pPr>
            <w:r>
              <w:rPr>
                <w:rFonts w:hAnsi="宋体"/>
                <w:sz w:val="21"/>
              </w:rPr>
              <w:t>项目</w:t>
            </w:r>
          </w:p>
        </w:tc>
        <w:tc>
          <w:tcPr>
            <w:tcW w:w="550" w:type="pct"/>
            <w:vMerge w:val="restart"/>
            <w:vAlign w:val="center"/>
          </w:tcPr>
          <w:p>
            <w:pPr>
              <w:autoSpaceDE w:val="0"/>
              <w:autoSpaceDN w:val="0"/>
              <w:adjustRightInd w:val="0"/>
              <w:spacing w:line="240" w:lineRule="auto"/>
              <w:ind w:firstLine="0" w:firstLineChars="0"/>
              <w:jc w:val="center"/>
              <w:rPr>
                <w:sz w:val="21"/>
              </w:rPr>
            </w:pPr>
            <w:r>
              <w:rPr>
                <w:rFonts w:hAnsi="宋体"/>
                <w:sz w:val="21"/>
              </w:rPr>
              <w:t>传播距离</w:t>
            </w:r>
            <w:r>
              <w:rPr>
                <w:iCs/>
                <w:sz w:val="21"/>
              </w:rPr>
              <w:t>df</w:t>
            </w:r>
            <w:r>
              <w:rPr>
                <w:rFonts w:hAnsi="宋体"/>
                <w:sz w:val="21"/>
              </w:rPr>
              <w:t>（</w:t>
            </w:r>
            <w:r>
              <w:rPr>
                <w:sz w:val="21"/>
              </w:rPr>
              <w:t>m</w:t>
            </w:r>
            <w:r>
              <w:rPr>
                <w:rFonts w:hAnsi="宋体"/>
                <w:sz w:val="21"/>
              </w:rPr>
              <w:t>）</w:t>
            </w:r>
          </w:p>
        </w:tc>
        <w:tc>
          <w:tcPr>
            <w:tcW w:w="2149" w:type="pct"/>
            <w:gridSpan w:val="8"/>
            <w:vAlign w:val="center"/>
          </w:tcPr>
          <w:p>
            <w:pPr>
              <w:autoSpaceDE w:val="0"/>
              <w:autoSpaceDN w:val="0"/>
              <w:adjustRightInd w:val="0"/>
              <w:spacing w:line="240" w:lineRule="auto"/>
              <w:ind w:firstLine="0" w:firstLineChars="0"/>
              <w:jc w:val="center"/>
              <w:rPr>
                <w:sz w:val="21"/>
              </w:rPr>
            </w:pPr>
            <w:r>
              <w:rPr>
                <w:rFonts w:hAnsi="宋体"/>
                <w:sz w:val="21"/>
              </w:rPr>
              <w:t>倍频带中心频率（</w:t>
            </w:r>
            <w:r>
              <w:rPr>
                <w:sz w:val="21"/>
              </w:rPr>
              <w:t>Hz</w:t>
            </w:r>
            <w:r>
              <w:rPr>
                <w:rFonts w:hAnsi="宋体"/>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Merge w:val="continue"/>
            <w:vAlign w:val="center"/>
          </w:tcPr>
          <w:p>
            <w:pPr>
              <w:autoSpaceDE w:val="0"/>
              <w:autoSpaceDN w:val="0"/>
              <w:adjustRightInd w:val="0"/>
              <w:spacing w:line="240" w:lineRule="auto"/>
              <w:ind w:firstLine="0" w:firstLineChars="0"/>
              <w:jc w:val="center"/>
              <w:rPr>
                <w:sz w:val="21"/>
              </w:rPr>
            </w:pPr>
          </w:p>
        </w:tc>
        <w:tc>
          <w:tcPr>
            <w:tcW w:w="550" w:type="pct"/>
            <w:vMerge w:val="continue"/>
            <w:vAlign w:val="center"/>
          </w:tcPr>
          <w:p>
            <w:pPr>
              <w:autoSpaceDE w:val="0"/>
              <w:autoSpaceDN w:val="0"/>
              <w:adjustRightInd w:val="0"/>
              <w:spacing w:line="240" w:lineRule="auto"/>
              <w:ind w:firstLine="0" w:firstLineChars="0"/>
              <w:jc w:val="center"/>
              <w:rPr>
                <w:sz w:val="21"/>
              </w:rPr>
            </w:pPr>
          </w:p>
        </w:tc>
        <w:tc>
          <w:tcPr>
            <w:tcW w:w="268" w:type="pct"/>
            <w:vAlign w:val="center"/>
          </w:tcPr>
          <w:p>
            <w:pPr>
              <w:autoSpaceDE w:val="0"/>
              <w:autoSpaceDN w:val="0"/>
              <w:adjustRightInd w:val="0"/>
              <w:spacing w:line="240" w:lineRule="auto"/>
              <w:ind w:firstLine="0" w:firstLineChars="0"/>
              <w:jc w:val="center"/>
              <w:rPr>
                <w:sz w:val="21"/>
              </w:rPr>
            </w:pPr>
            <w:r>
              <w:rPr>
                <w:sz w:val="21"/>
              </w:rPr>
              <w:t>63</w:t>
            </w:r>
          </w:p>
        </w:tc>
        <w:tc>
          <w:tcPr>
            <w:tcW w:w="268" w:type="pct"/>
            <w:vAlign w:val="center"/>
          </w:tcPr>
          <w:p>
            <w:pPr>
              <w:autoSpaceDE w:val="0"/>
              <w:autoSpaceDN w:val="0"/>
              <w:adjustRightInd w:val="0"/>
              <w:spacing w:line="240" w:lineRule="auto"/>
              <w:ind w:firstLine="0" w:firstLineChars="0"/>
              <w:jc w:val="center"/>
              <w:rPr>
                <w:sz w:val="21"/>
              </w:rPr>
            </w:pPr>
            <w:r>
              <w:rPr>
                <w:sz w:val="21"/>
              </w:rPr>
              <w:t>125</w:t>
            </w:r>
          </w:p>
        </w:tc>
        <w:tc>
          <w:tcPr>
            <w:tcW w:w="268" w:type="pct"/>
            <w:vAlign w:val="center"/>
          </w:tcPr>
          <w:p>
            <w:pPr>
              <w:autoSpaceDE w:val="0"/>
              <w:autoSpaceDN w:val="0"/>
              <w:adjustRightInd w:val="0"/>
              <w:spacing w:line="240" w:lineRule="auto"/>
              <w:ind w:firstLine="0" w:firstLineChars="0"/>
              <w:jc w:val="center"/>
              <w:rPr>
                <w:sz w:val="21"/>
              </w:rPr>
            </w:pPr>
            <w:r>
              <w:rPr>
                <w:sz w:val="21"/>
              </w:rPr>
              <w:t>250</w:t>
            </w:r>
          </w:p>
        </w:tc>
        <w:tc>
          <w:tcPr>
            <w:tcW w:w="268" w:type="pct"/>
            <w:vAlign w:val="center"/>
          </w:tcPr>
          <w:p>
            <w:pPr>
              <w:autoSpaceDE w:val="0"/>
              <w:autoSpaceDN w:val="0"/>
              <w:adjustRightInd w:val="0"/>
              <w:spacing w:line="240" w:lineRule="auto"/>
              <w:ind w:firstLine="0" w:firstLineChars="0"/>
              <w:jc w:val="center"/>
              <w:rPr>
                <w:sz w:val="21"/>
              </w:rPr>
            </w:pPr>
            <w:r>
              <w:rPr>
                <w:sz w:val="21"/>
              </w:rPr>
              <w:t>500</w:t>
            </w:r>
          </w:p>
        </w:tc>
        <w:tc>
          <w:tcPr>
            <w:tcW w:w="268" w:type="pct"/>
            <w:vAlign w:val="center"/>
          </w:tcPr>
          <w:p>
            <w:pPr>
              <w:autoSpaceDE w:val="0"/>
              <w:autoSpaceDN w:val="0"/>
              <w:adjustRightInd w:val="0"/>
              <w:spacing w:line="240" w:lineRule="auto"/>
              <w:ind w:firstLine="0" w:firstLineChars="0"/>
              <w:jc w:val="center"/>
              <w:rPr>
                <w:sz w:val="21"/>
              </w:rPr>
            </w:pPr>
            <w:r>
              <w:rPr>
                <w:sz w:val="21"/>
              </w:rPr>
              <w:t>1000</w:t>
            </w:r>
          </w:p>
        </w:tc>
        <w:tc>
          <w:tcPr>
            <w:tcW w:w="268" w:type="pct"/>
            <w:vAlign w:val="center"/>
          </w:tcPr>
          <w:p>
            <w:pPr>
              <w:autoSpaceDE w:val="0"/>
              <w:autoSpaceDN w:val="0"/>
              <w:adjustRightInd w:val="0"/>
              <w:spacing w:line="240" w:lineRule="auto"/>
              <w:ind w:firstLine="0" w:firstLineChars="0"/>
              <w:jc w:val="center"/>
              <w:rPr>
                <w:sz w:val="21"/>
              </w:rPr>
            </w:pPr>
            <w:r>
              <w:rPr>
                <w:sz w:val="21"/>
              </w:rPr>
              <w:t>2000</w:t>
            </w:r>
          </w:p>
        </w:tc>
        <w:tc>
          <w:tcPr>
            <w:tcW w:w="268" w:type="pct"/>
            <w:vAlign w:val="center"/>
          </w:tcPr>
          <w:p>
            <w:pPr>
              <w:autoSpaceDE w:val="0"/>
              <w:autoSpaceDN w:val="0"/>
              <w:adjustRightInd w:val="0"/>
              <w:spacing w:line="240" w:lineRule="auto"/>
              <w:ind w:firstLine="0" w:firstLineChars="0"/>
              <w:jc w:val="center"/>
              <w:rPr>
                <w:sz w:val="21"/>
              </w:rPr>
            </w:pPr>
            <w:r>
              <w:rPr>
                <w:sz w:val="21"/>
              </w:rPr>
              <w:t>4000</w:t>
            </w:r>
          </w:p>
        </w:tc>
        <w:tc>
          <w:tcPr>
            <w:tcW w:w="270" w:type="pct"/>
            <w:vAlign w:val="center"/>
          </w:tcPr>
          <w:p>
            <w:pPr>
              <w:autoSpaceDE w:val="0"/>
              <w:autoSpaceDN w:val="0"/>
              <w:adjustRightInd w:val="0"/>
              <w:spacing w:line="240" w:lineRule="auto"/>
              <w:ind w:firstLine="0" w:firstLineChars="0"/>
              <w:jc w:val="center"/>
              <w:rPr>
                <w:sz w:val="21"/>
              </w:rPr>
            </w:pPr>
            <w:r>
              <w:rPr>
                <w:sz w:val="21"/>
              </w:rPr>
              <w:t>8000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Align w:val="center"/>
          </w:tcPr>
          <w:p>
            <w:pPr>
              <w:autoSpaceDE w:val="0"/>
              <w:autoSpaceDN w:val="0"/>
              <w:adjustRightInd w:val="0"/>
              <w:spacing w:line="240" w:lineRule="auto"/>
              <w:ind w:firstLine="0" w:firstLineChars="0"/>
              <w:jc w:val="center"/>
              <w:rPr>
                <w:sz w:val="21"/>
              </w:rPr>
            </w:pPr>
            <w:r>
              <w:rPr>
                <w:rFonts w:hAnsi="宋体"/>
                <w:sz w:val="21"/>
              </w:rPr>
              <w:t>衰减（</w:t>
            </w:r>
            <w:r>
              <w:rPr>
                <w:sz w:val="21"/>
              </w:rPr>
              <w:t>dB</w:t>
            </w:r>
            <w:r>
              <w:rPr>
                <w:rFonts w:hAnsi="宋体"/>
                <w:sz w:val="21"/>
              </w:rPr>
              <w:t>）</w:t>
            </w:r>
          </w:p>
        </w:tc>
        <w:tc>
          <w:tcPr>
            <w:tcW w:w="550" w:type="pct"/>
            <w:vAlign w:val="center"/>
          </w:tcPr>
          <w:p>
            <w:pPr>
              <w:autoSpaceDE w:val="0"/>
              <w:autoSpaceDN w:val="0"/>
              <w:adjustRightInd w:val="0"/>
              <w:spacing w:line="240" w:lineRule="auto"/>
              <w:ind w:firstLine="0" w:firstLineChars="0"/>
              <w:jc w:val="center"/>
              <w:rPr>
                <w:sz w:val="21"/>
              </w:rPr>
            </w:pPr>
            <w:r>
              <w:rPr>
                <w:sz w:val="21"/>
              </w:rPr>
              <w:t>10≤df&lt;20</w:t>
            </w:r>
          </w:p>
        </w:tc>
        <w:tc>
          <w:tcPr>
            <w:tcW w:w="268" w:type="pct"/>
            <w:vAlign w:val="center"/>
          </w:tcPr>
          <w:p>
            <w:pPr>
              <w:autoSpaceDE w:val="0"/>
              <w:autoSpaceDN w:val="0"/>
              <w:adjustRightInd w:val="0"/>
              <w:spacing w:line="240" w:lineRule="auto"/>
              <w:ind w:firstLine="0" w:firstLineChars="0"/>
              <w:jc w:val="center"/>
              <w:rPr>
                <w:sz w:val="21"/>
              </w:rPr>
            </w:pPr>
            <w:r>
              <w:rPr>
                <w:sz w:val="21"/>
              </w:rPr>
              <w:t>0</w:t>
            </w:r>
          </w:p>
        </w:tc>
        <w:tc>
          <w:tcPr>
            <w:tcW w:w="268" w:type="pct"/>
            <w:vAlign w:val="center"/>
          </w:tcPr>
          <w:p>
            <w:pPr>
              <w:autoSpaceDE w:val="0"/>
              <w:autoSpaceDN w:val="0"/>
              <w:adjustRightInd w:val="0"/>
              <w:spacing w:line="240" w:lineRule="auto"/>
              <w:ind w:firstLine="0" w:firstLineChars="0"/>
              <w:jc w:val="center"/>
              <w:rPr>
                <w:sz w:val="21"/>
              </w:rPr>
            </w:pPr>
            <w:r>
              <w:rPr>
                <w:sz w:val="21"/>
              </w:rPr>
              <w:t>0</w:t>
            </w:r>
          </w:p>
        </w:tc>
        <w:tc>
          <w:tcPr>
            <w:tcW w:w="268" w:type="pct"/>
            <w:vAlign w:val="center"/>
          </w:tcPr>
          <w:p>
            <w:pPr>
              <w:autoSpaceDE w:val="0"/>
              <w:autoSpaceDN w:val="0"/>
              <w:adjustRightInd w:val="0"/>
              <w:spacing w:line="240" w:lineRule="auto"/>
              <w:ind w:firstLine="0" w:firstLineChars="0"/>
              <w:jc w:val="center"/>
              <w:rPr>
                <w:sz w:val="21"/>
              </w:rPr>
            </w:pPr>
            <w:r>
              <w:rPr>
                <w:sz w:val="21"/>
              </w:rPr>
              <w:t>1</w:t>
            </w:r>
          </w:p>
        </w:tc>
        <w:tc>
          <w:tcPr>
            <w:tcW w:w="268" w:type="pct"/>
            <w:vAlign w:val="center"/>
          </w:tcPr>
          <w:p>
            <w:pPr>
              <w:autoSpaceDE w:val="0"/>
              <w:autoSpaceDN w:val="0"/>
              <w:adjustRightInd w:val="0"/>
              <w:spacing w:line="240" w:lineRule="auto"/>
              <w:ind w:firstLine="0" w:firstLineChars="0"/>
              <w:jc w:val="center"/>
              <w:rPr>
                <w:sz w:val="21"/>
              </w:rPr>
            </w:pPr>
            <w:r>
              <w:rPr>
                <w:sz w:val="21"/>
              </w:rPr>
              <w:t>1</w:t>
            </w:r>
          </w:p>
        </w:tc>
        <w:tc>
          <w:tcPr>
            <w:tcW w:w="268" w:type="pct"/>
            <w:vAlign w:val="center"/>
          </w:tcPr>
          <w:p>
            <w:pPr>
              <w:autoSpaceDE w:val="0"/>
              <w:autoSpaceDN w:val="0"/>
              <w:adjustRightInd w:val="0"/>
              <w:spacing w:line="240" w:lineRule="auto"/>
              <w:ind w:firstLine="0" w:firstLineChars="0"/>
              <w:jc w:val="center"/>
              <w:rPr>
                <w:sz w:val="21"/>
              </w:rPr>
            </w:pPr>
            <w:r>
              <w:rPr>
                <w:sz w:val="21"/>
              </w:rPr>
              <w:t>1</w:t>
            </w:r>
          </w:p>
        </w:tc>
        <w:tc>
          <w:tcPr>
            <w:tcW w:w="268" w:type="pct"/>
            <w:vAlign w:val="center"/>
          </w:tcPr>
          <w:p>
            <w:pPr>
              <w:autoSpaceDE w:val="0"/>
              <w:autoSpaceDN w:val="0"/>
              <w:adjustRightInd w:val="0"/>
              <w:spacing w:line="240" w:lineRule="auto"/>
              <w:ind w:firstLine="0" w:firstLineChars="0"/>
              <w:jc w:val="center"/>
              <w:rPr>
                <w:sz w:val="21"/>
              </w:rPr>
            </w:pPr>
            <w:r>
              <w:rPr>
                <w:sz w:val="21"/>
              </w:rPr>
              <w:t>1</w:t>
            </w:r>
          </w:p>
        </w:tc>
        <w:tc>
          <w:tcPr>
            <w:tcW w:w="268" w:type="pct"/>
            <w:vAlign w:val="center"/>
          </w:tcPr>
          <w:p>
            <w:pPr>
              <w:autoSpaceDE w:val="0"/>
              <w:autoSpaceDN w:val="0"/>
              <w:adjustRightInd w:val="0"/>
              <w:spacing w:line="240" w:lineRule="auto"/>
              <w:ind w:firstLine="0" w:firstLineChars="0"/>
              <w:jc w:val="center"/>
              <w:rPr>
                <w:sz w:val="21"/>
              </w:rPr>
            </w:pPr>
            <w:r>
              <w:rPr>
                <w:sz w:val="21"/>
              </w:rPr>
              <w:t>2</w:t>
            </w:r>
          </w:p>
        </w:tc>
        <w:tc>
          <w:tcPr>
            <w:tcW w:w="270" w:type="pct"/>
            <w:vAlign w:val="center"/>
          </w:tcPr>
          <w:p>
            <w:pPr>
              <w:autoSpaceDE w:val="0"/>
              <w:autoSpaceDN w:val="0"/>
              <w:adjustRightInd w:val="0"/>
              <w:spacing w:line="240" w:lineRule="auto"/>
              <w:ind w:firstLine="0" w:firstLineChars="0"/>
              <w:jc w:val="center"/>
              <w:rPr>
                <w:sz w:val="21"/>
              </w:rPr>
            </w:pPr>
            <w:r>
              <w:rPr>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1" w:type="pct"/>
            <w:vAlign w:val="center"/>
          </w:tcPr>
          <w:p>
            <w:pPr>
              <w:autoSpaceDE w:val="0"/>
              <w:autoSpaceDN w:val="0"/>
              <w:adjustRightInd w:val="0"/>
              <w:spacing w:line="240" w:lineRule="auto"/>
              <w:ind w:firstLine="0" w:firstLineChars="0"/>
              <w:jc w:val="center"/>
              <w:rPr>
                <w:sz w:val="21"/>
              </w:rPr>
            </w:pPr>
            <w:r>
              <w:rPr>
                <w:rFonts w:hAnsi="宋体"/>
                <w:sz w:val="21"/>
              </w:rPr>
              <w:t>衰减系数（</w:t>
            </w:r>
            <w:r>
              <w:rPr>
                <w:sz w:val="21"/>
              </w:rPr>
              <w:t>dB/m</w:t>
            </w:r>
            <w:r>
              <w:rPr>
                <w:rFonts w:hAnsi="宋体"/>
                <w:sz w:val="21"/>
              </w:rPr>
              <w:t>）</w:t>
            </w:r>
          </w:p>
        </w:tc>
        <w:tc>
          <w:tcPr>
            <w:tcW w:w="550" w:type="pct"/>
            <w:vAlign w:val="center"/>
          </w:tcPr>
          <w:p>
            <w:pPr>
              <w:autoSpaceDE w:val="0"/>
              <w:autoSpaceDN w:val="0"/>
              <w:adjustRightInd w:val="0"/>
              <w:spacing w:line="240" w:lineRule="auto"/>
              <w:ind w:firstLine="0" w:firstLineChars="0"/>
              <w:jc w:val="center"/>
              <w:rPr>
                <w:sz w:val="21"/>
              </w:rPr>
            </w:pPr>
            <w:r>
              <w:rPr>
                <w:sz w:val="21"/>
              </w:rPr>
              <w:t>20≤df&lt;200</w:t>
            </w:r>
          </w:p>
        </w:tc>
        <w:tc>
          <w:tcPr>
            <w:tcW w:w="268" w:type="pct"/>
            <w:vAlign w:val="center"/>
          </w:tcPr>
          <w:p>
            <w:pPr>
              <w:autoSpaceDE w:val="0"/>
              <w:autoSpaceDN w:val="0"/>
              <w:adjustRightInd w:val="0"/>
              <w:spacing w:line="240" w:lineRule="auto"/>
              <w:ind w:firstLine="0" w:firstLineChars="0"/>
              <w:jc w:val="center"/>
              <w:rPr>
                <w:sz w:val="21"/>
              </w:rPr>
            </w:pPr>
            <w:r>
              <w:rPr>
                <w:sz w:val="21"/>
              </w:rPr>
              <w:t>0.02</w:t>
            </w:r>
          </w:p>
        </w:tc>
        <w:tc>
          <w:tcPr>
            <w:tcW w:w="268" w:type="pct"/>
            <w:vAlign w:val="center"/>
          </w:tcPr>
          <w:p>
            <w:pPr>
              <w:autoSpaceDE w:val="0"/>
              <w:autoSpaceDN w:val="0"/>
              <w:adjustRightInd w:val="0"/>
              <w:spacing w:line="240" w:lineRule="auto"/>
              <w:ind w:firstLine="0" w:firstLineChars="0"/>
              <w:jc w:val="center"/>
              <w:rPr>
                <w:sz w:val="21"/>
              </w:rPr>
            </w:pPr>
            <w:r>
              <w:rPr>
                <w:sz w:val="21"/>
              </w:rPr>
              <w:t>0.03</w:t>
            </w:r>
          </w:p>
        </w:tc>
        <w:tc>
          <w:tcPr>
            <w:tcW w:w="268" w:type="pct"/>
            <w:vAlign w:val="center"/>
          </w:tcPr>
          <w:p>
            <w:pPr>
              <w:autoSpaceDE w:val="0"/>
              <w:autoSpaceDN w:val="0"/>
              <w:adjustRightInd w:val="0"/>
              <w:spacing w:line="240" w:lineRule="auto"/>
              <w:ind w:firstLine="0" w:firstLineChars="0"/>
              <w:jc w:val="center"/>
              <w:rPr>
                <w:sz w:val="21"/>
              </w:rPr>
            </w:pPr>
            <w:r>
              <w:rPr>
                <w:sz w:val="21"/>
              </w:rPr>
              <w:t>0.04</w:t>
            </w:r>
          </w:p>
        </w:tc>
        <w:tc>
          <w:tcPr>
            <w:tcW w:w="268" w:type="pct"/>
            <w:vAlign w:val="center"/>
          </w:tcPr>
          <w:p>
            <w:pPr>
              <w:autoSpaceDE w:val="0"/>
              <w:autoSpaceDN w:val="0"/>
              <w:adjustRightInd w:val="0"/>
              <w:spacing w:line="240" w:lineRule="auto"/>
              <w:ind w:firstLine="0" w:firstLineChars="0"/>
              <w:jc w:val="center"/>
              <w:rPr>
                <w:sz w:val="21"/>
              </w:rPr>
            </w:pPr>
            <w:r>
              <w:rPr>
                <w:sz w:val="21"/>
              </w:rPr>
              <w:t>0.05</w:t>
            </w:r>
          </w:p>
        </w:tc>
        <w:tc>
          <w:tcPr>
            <w:tcW w:w="268" w:type="pct"/>
            <w:vAlign w:val="center"/>
          </w:tcPr>
          <w:p>
            <w:pPr>
              <w:autoSpaceDE w:val="0"/>
              <w:autoSpaceDN w:val="0"/>
              <w:adjustRightInd w:val="0"/>
              <w:spacing w:line="240" w:lineRule="auto"/>
              <w:ind w:firstLine="0" w:firstLineChars="0"/>
              <w:jc w:val="center"/>
              <w:rPr>
                <w:sz w:val="21"/>
              </w:rPr>
            </w:pPr>
            <w:r>
              <w:rPr>
                <w:sz w:val="21"/>
              </w:rPr>
              <w:t>0.06</w:t>
            </w:r>
          </w:p>
        </w:tc>
        <w:tc>
          <w:tcPr>
            <w:tcW w:w="268" w:type="pct"/>
            <w:vAlign w:val="center"/>
          </w:tcPr>
          <w:p>
            <w:pPr>
              <w:autoSpaceDE w:val="0"/>
              <w:autoSpaceDN w:val="0"/>
              <w:adjustRightInd w:val="0"/>
              <w:spacing w:line="240" w:lineRule="auto"/>
              <w:ind w:firstLine="0" w:firstLineChars="0"/>
              <w:jc w:val="center"/>
              <w:rPr>
                <w:sz w:val="21"/>
              </w:rPr>
            </w:pPr>
            <w:r>
              <w:rPr>
                <w:sz w:val="21"/>
              </w:rPr>
              <w:t>0.08</w:t>
            </w:r>
          </w:p>
        </w:tc>
        <w:tc>
          <w:tcPr>
            <w:tcW w:w="268" w:type="pct"/>
            <w:vAlign w:val="center"/>
          </w:tcPr>
          <w:p>
            <w:pPr>
              <w:autoSpaceDE w:val="0"/>
              <w:autoSpaceDN w:val="0"/>
              <w:adjustRightInd w:val="0"/>
              <w:spacing w:line="240" w:lineRule="auto"/>
              <w:ind w:firstLine="0" w:firstLineChars="0"/>
              <w:jc w:val="center"/>
              <w:rPr>
                <w:sz w:val="21"/>
              </w:rPr>
            </w:pPr>
            <w:r>
              <w:rPr>
                <w:sz w:val="21"/>
              </w:rPr>
              <w:t>0.09</w:t>
            </w:r>
          </w:p>
        </w:tc>
        <w:tc>
          <w:tcPr>
            <w:tcW w:w="270" w:type="pct"/>
            <w:vAlign w:val="center"/>
          </w:tcPr>
          <w:p>
            <w:pPr>
              <w:autoSpaceDE w:val="0"/>
              <w:autoSpaceDN w:val="0"/>
              <w:adjustRightInd w:val="0"/>
              <w:spacing w:line="240" w:lineRule="auto"/>
              <w:ind w:firstLine="0" w:firstLineChars="0"/>
              <w:jc w:val="center"/>
              <w:rPr>
                <w:sz w:val="21"/>
              </w:rPr>
            </w:pPr>
            <w:r>
              <w:rPr>
                <w:sz w:val="21"/>
              </w:rPr>
              <w:t>0.12</w:t>
            </w:r>
          </w:p>
        </w:tc>
      </w:tr>
    </w:tbl>
    <w:p>
      <w:pPr>
        <w:ind w:firstLine="500" w:firstLineChars="0"/>
      </w:pPr>
      <w:r>
        <w:rPr>
          <w:rFonts w:hint="eastAsia"/>
        </w:rPr>
        <w:t>②建筑群噪声衰减（A</w:t>
      </w:r>
      <w:r>
        <w:rPr>
          <w:rFonts w:hint="eastAsia"/>
          <w:vertAlign w:val="subscript"/>
        </w:rPr>
        <w:t>hous</w:t>
      </w:r>
      <w:r>
        <w:rPr>
          <w:rFonts w:hint="eastAsia"/>
        </w:rPr>
        <w:t>）</w:t>
      </w:r>
    </w:p>
    <w:p>
      <w:pPr>
        <w:autoSpaceDE w:val="0"/>
        <w:autoSpaceDN w:val="0"/>
        <w:adjustRightInd w:val="0"/>
        <w:ind w:firstLine="480"/>
      </w:pPr>
      <w:r>
        <w:rPr>
          <w:rFonts w:hint="eastAsia"/>
        </w:rPr>
        <w:t>建筑群衰减</w:t>
      </w:r>
      <w:r>
        <w:t>A</w:t>
      </w:r>
      <w:r>
        <w:rPr>
          <w:vertAlign w:val="subscript"/>
        </w:rPr>
        <w:t>hous</w:t>
      </w:r>
      <w:r>
        <w:rPr>
          <w:rFonts w:hint="eastAsia"/>
        </w:rPr>
        <w:t>不超过</w:t>
      </w:r>
      <w:r>
        <w:t xml:space="preserve">10dB </w:t>
      </w:r>
      <w:r>
        <w:rPr>
          <w:rFonts w:hint="eastAsia"/>
        </w:rPr>
        <w:t>时，近似等效连续</w:t>
      </w:r>
      <w:r>
        <w:t>A</w:t>
      </w:r>
      <w:r>
        <w:rPr>
          <w:rFonts w:hint="eastAsia"/>
        </w:rPr>
        <w:t>声级按式下式估算。当从受声点可直接观察到线路时，不考虑此项衰减。</w:t>
      </w:r>
    </w:p>
    <w:p>
      <w:pPr>
        <w:ind w:firstLine="500" w:firstLineChars="0"/>
        <w:rPr>
          <w:highlight w:val="yellow"/>
        </w:rPr>
      </w:pPr>
      <m:oMathPara>
        <m:oMath>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hous</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hous,1</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hous,2</m:t>
              </m:r>
              <m:ctrlPr>
                <w:rPr>
                  <w:rFonts w:ascii="Cambria Math" w:hAnsi="Cambria Math"/>
                </w:rPr>
              </m:ctrlPr>
            </m:sub>
          </m:sSub>
        </m:oMath>
      </m:oMathPara>
    </w:p>
    <w:p>
      <w:pPr>
        <w:ind w:firstLine="500" w:firstLineChars="0"/>
      </w:pPr>
      <w:r>
        <w:rPr>
          <w:rFonts w:hint="eastAsia"/>
        </w:rPr>
        <w:t>式中</w:t>
      </w:r>
      <m:oMath>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hous,1</m:t>
            </m:r>
            <m:ctrlPr>
              <w:rPr>
                <w:rFonts w:ascii="Cambria Math" w:hAnsi="Cambria Math"/>
              </w:rPr>
            </m:ctrlPr>
          </m:sub>
        </m:sSub>
      </m:oMath>
      <w:r>
        <w:rPr>
          <w:rFonts w:hint="eastAsia"/>
        </w:rPr>
        <w:t>按下式计算，单位为dB。</w:t>
      </w:r>
    </w:p>
    <w:p>
      <w:pPr>
        <w:ind w:firstLine="500" w:firstLineChars="0"/>
      </w:pPr>
      <m:oMathPara>
        <m:oMath>
          <m:sSub>
            <m:sSubPr>
              <m:ctrlPr>
                <w:rPr>
                  <w:rFonts w:ascii="Cambria Math" w:hAnsi="Cambria Math"/>
                </w:rPr>
              </m:ctrlPr>
            </m:sSubPr>
            <m:e>
              <m:r>
                <m:rPr>
                  <m:sty m:val="p"/>
                </m:rPr>
                <w:rPr>
                  <w:rFonts w:ascii="Cambria Math" w:hAnsi="Cambria Math"/>
                </w:rPr>
                <m:t>A</m:t>
              </m:r>
              <m:ctrlPr>
                <w:rPr>
                  <w:rFonts w:ascii="Cambria Math" w:hAnsi="Cambria Math"/>
                </w:rPr>
              </m:ctrlPr>
            </m:e>
            <m:sub>
              <m:r>
                <m:rPr>
                  <m:sty m:val="p"/>
                </m:rPr>
                <w:rPr>
                  <w:rFonts w:ascii="Cambria Math" w:hAnsi="Cambria Math"/>
                </w:rPr>
                <m:t>hous,1</m:t>
              </m:r>
              <m:ctrlPr>
                <w:rPr>
                  <w:rFonts w:ascii="Cambria Math" w:hAnsi="Cambria Math"/>
                </w:rPr>
              </m:ctrlPr>
            </m:sub>
          </m:sSub>
          <m:r>
            <m:rPr>
              <m:sty m:val="p"/>
            </m:rPr>
            <w:rPr>
              <w:rFonts w:ascii="Cambria Math" w:hAnsi="Cambria Math"/>
            </w:rPr>
            <m:t>=0.1B</m:t>
          </m:r>
          <m:sSub>
            <m:sSubPr>
              <m:ctrlPr>
                <w:rPr>
                  <w:rFonts w:ascii="Cambria Math" w:hAnsi="Cambria Math"/>
                </w:rPr>
              </m:ctrlPr>
            </m:sSubPr>
            <m:e>
              <m:r>
                <m:rPr>
                  <m:sty m:val="p"/>
                </m:rPr>
                <w:rPr>
                  <w:rFonts w:ascii="Cambria Math" w:hAnsi="Cambria Math"/>
                </w:rPr>
                <m:t>d</m:t>
              </m:r>
              <m:ctrlPr>
                <w:rPr>
                  <w:rFonts w:ascii="Cambria Math" w:hAnsi="Cambria Math"/>
                </w:rPr>
              </m:ctrlPr>
            </m:e>
            <m:sub>
              <m:r>
                <m:rPr>
                  <m:sty m:val="p"/>
                </m:rPr>
                <w:rPr>
                  <w:rFonts w:ascii="Cambria Math" w:hAnsi="Cambria Math"/>
                </w:rPr>
                <m:t>b</m:t>
              </m:r>
              <m:ctrlPr>
                <w:rPr>
                  <w:rFonts w:ascii="Cambria Math" w:hAnsi="Cambria Math"/>
                </w:rPr>
              </m:ctrlPr>
            </m:sub>
          </m:sSub>
        </m:oMath>
      </m:oMathPara>
    </w:p>
    <w:p>
      <w:pPr>
        <w:ind w:firstLine="500" w:firstLineChars="0"/>
      </w:pPr>
      <w:r>
        <w:rPr>
          <w:rFonts w:hint="eastAsia"/>
        </w:rPr>
        <w:t>式中：B</w:t>
      </w:r>
      <w:r>
        <w:t>—</w:t>
      </w:r>
      <w:r>
        <w:rPr>
          <w:rFonts w:hint="eastAsia"/>
        </w:rPr>
        <w:t>声传播路线上的建筑物密度，等于建筑物总平面面积除以总地面面积（包括建筑物所占面积）</w:t>
      </w:r>
      <w:r>
        <w:t>；</w:t>
      </w:r>
    </w:p>
    <w:p>
      <w:pPr>
        <w:pStyle w:val="2"/>
        <w:ind w:firstLine="1080" w:firstLineChars="450"/>
      </w:pPr>
      <w:r>
        <w:rPr>
          <w:rFonts w:hint="eastAsia"/>
        </w:rPr>
        <w:t>d</w:t>
      </w:r>
      <w:r>
        <w:rPr>
          <w:rFonts w:hint="eastAsia"/>
          <w:vertAlign w:val="subscript"/>
        </w:rPr>
        <w:t>b</w:t>
      </w:r>
      <w:r>
        <w:t>—</w:t>
      </w:r>
      <w:r>
        <w:rPr>
          <w:rFonts w:hint="eastAsia"/>
        </w:rPr>
        <w:t>通过建筑群的声传播路线长度，按下式计算，d1和d2如图5.2-8所示。</w:t>
      </w:r>
    </w:p>
    <w:p>
      <w:pPr>
        <w:pStyle w:val="2"/>
        <w:ind w:firstLine="480"/>
        <w:rPr>
          <w:highlight w:val="yellow"/>
        </w:rPr>
      </w:pPr>
      <m:oMathPara>
        <m:oMath>
          <m:sSub>
            <m:sSubPr>
              <m:ctrlPr>
                <w:rPr>
                  <w:rFonts w:ascii="Cambria Math" w:hAnsi="Cambria Math"/>
                </w:rPr>
              </m:ctrlPr>
            </m:sSubPr>
            <m:e>
              <m:r>
                <m:rPr>
                  <m:sty m:val="p"/>
                </m:rPr>
                <w:rPr>
                  <w:rFonts w:ascii="Cambria Math" w:hAnsi="Cambria Math"/>
                </w:rPr>
                <m:t>d</m:t>
              </m:r>
              <m:ctrlPr>
                <w:rPr>
                  <w:rFonts w:ascii="Cambria Math" w:hAnsi="Cambria Math"/>
                </w:rPr>
              </m:ctrlPr>
            </m:e>
            <m:sub>
              <m:r>
                <m:rPr>
                  <m:sty m:val="p"/>
                </m:rPr>
                <w:rPr>
                  <w:rFonts w:ascii="Cambria Math" w:hAnsi="Cambria Math"/>
                </w:rPr>
                <m:t>b</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ctrlPr>
                <w:rPr>
                  <w:rFonts w:ascii="Cambria Math" w:hAnsi="Cambria Math"/>
                </w:rPr>
              </m:ctrlPr>
            </m:e>
            <m:sub>
              <m:r>
                <m:rPr>
                  <m:sty m:val="p"/>
                </m:rPr>
                <w:rPr>
                  <w:rFonts w:ascii="Cambria Math" w:hAnsi="Cambria Math"/>
                </w:rPr>
                <m:t>1</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ctrlPr>
                <w:rPr>
                  <w:rFonts w:ascii="Cambria Math" w:hAnsi="Cambria Math"/>
                </w:rPr>
              </m:ctrlPr>
            </m:e>
            <m:sub>
              <m:r>
                <m:rPr>
                  <m:sty m:val="p"/>
                </m:rPr>
                <w:rPr>
                  <w:rFonts w:ascii="Cambria Math" w:hAnsi="Cambria Math"/>
                </w:rPr>
                <m:t>2</m:t>
              </m:r>
              <m:ctrlPr>
                <w:rPr>
                  <w:rFonts w:ascii="Cambria Math" w:hAnsi="Cambria Math"/>
                </w:rPr>
              </m:ctrlPr>
            </m:sub>
          </m:sSub>
        </m:oMath>
      </m:oMathPara>
    </w:p>
    <w:p>
      <w:pPr>
        <w:widowControl/>
        <w:spacing w:line="240" w:lineRule="auto"/>
        <w:ind w:firstLine="0" w:firstLineChars="0"/>
        <w:jc w:val="center"/>
        <w:rPr>
          <w:rFonts w:ascii="宋体" w:hAnsi="宋体" w:cs="宋体"/>
          <w:kern w:val="0"/>
          <w:szCs w:val="24"/>
          <w:highlight w:val="yellow"/>
        </w:rPr>
      </w:pPr>
      <w:r>
        <w:rPr>
          <w:rFonts w:ascii="宋体" w:hAnsi="宋体" w:cs="宋体"/>
          <w:kern w:val="0"/>
          <w:szCs w:val="24"/>
        </w:rPr>
        <w:drawing>
          <wp:inline distT="0" distB="0" distL="0" distR="0">
            <wp:extent cx="5723890" cy="1848485"/>
            <wp:effectExtent l="19050" t="0" r="0" b="0"/>
            <wp:docPr id="3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42"/>
                    <pic:cNvPicPr>
                      <a:picLocks noChangeAspect="1" noChangeArrowheads="1"/>
                    </pic:cNvPicPr>
                  </pic:nvPicPr>
                  <pic:blipFill>
                    <a:blip r:embed="rId93" cstate="print"/>
                    <a:srcRect/>
                    <a:stretch>
                      <a:fillRect/>
                    </a:stretch>
                  </pic:blipFill>
                  <pic:spPr>
                    <a:xfrm>
                      <a:off x="0" y="0"/>
                      <a:ext cx="5723890" cy="1848848"/>
                    </a:xfrm>
                    <a:prstGeom prst="rect">
                      <a:avLst/>
                    </a:prstGeom>
                    <a:noFill/>
                    <a:ln w="9525">
                      <a:noFill/>
                      <a:miter lim="800000"/>
                      <a:headEnd/>
                      <a:tailEnd/>
                    </a:ln>
                  </pic:spPr>
                </pic:pic>
              </a:graphicData>
            </a:graphic>
          </wp:inline>
        </w:drawing>
      </w:r>
    </w:p>
    <w:p>
      <w:pPr>
        <w:pStyle w:val="185"/>
        <w:spacing w:line="480" w:lineRule="exact"/>
        <w:rPr>
          <w:sz w:val="21"/>
          <w:szCs w:val="21"/>
        </w:rPr>
      </w:pPr>
      <w:r>
        <w:rPr>
          <w:rFonts w:hint="eastAsia"/>
          <w:sz w:val="21"/>
          <w:szCs w:val="21"/>
        </w:rPr>
        <w:t>图5.2-8 建筑群中声传播路径图</w:t>
      </w:r>
    </w:p>
    <w:p>
      <w:pPr>
        <w:autoSpaceDE w:val="0"/>
        <w:autoSpaceDN w:val="0"/>
        <w:adjustRightInd w:val="0"/>
        <w:ind w:firstLine="480"/>
      </w:pPr>
      <w:r>
        <w:rPr>
          <w:rFonts w:hint="eastAsia"/>
        </w:rPr>
        <w:t>假如声源沿线附近有成排整齐排列的建筑物时，则可将附加项</w:t>
      </w:r>
      <w:r>
        <w:t>A</w:t>
      </w:r>
      <w:r>
        <w:rPr>
          <w:vertAlign w:val="subscript"/>
        </w:rPr>
        <w:t xml:space="preserve"> hous,2</w:t>
      </w:r>
      <w:r>
        <w:rPr>
          <w:rFonts w:hint="eastAsia"/>
        </w:rPr>
        <w:t>包括在内（假定这一项小于在同一位置上与建筑物平均高度等高的一个屏障插入损失）。</w:t>
      </w:r>
      <w:r>
        <w:t>A</w:t>
      </w:r>
      <w:r>
        <w:rPr>
          <w:vertAlign w:val="subscript"/>
        </w:rPr>
        <w:t xml:space="preserve"> hous,2</w:t>
      </w:r>
      <w:r>
        <w:rPr>
          <w:rFonts w:hint="eastAsia"/>
        </w:rPr>
        <w:t>按式下式计算。</w:t>
      </w:r>
    </w:p>
    <w:p>
      <w:pPr>
        <w:autoSpaceDE w:val="0"/>
        <w:autoSpaceDN w:val="0"/>
        <w:adjustRightInd w:val="0"/>
        <w:ind w:firstLine="480"/>
        <w:rPr>
          <w:i/>
        </w:rPr>
      </w:pPr>
      <m:oMathPara>
        <m:oMath>
          <m:sSub>
            <m:sSubPr>
              <m:ctrlPr>
                <w:rPr>
                  <w:rFonts w:ascii="Cambria Math" w:hAnsi="Cambria Math"/>
                  <w:i/>
                </w:rPr>
              </m:ctrlPr>
            </m:sSubPr>
            <m:e>
              <m:r>
                <w:rPr>
                  <w:rFonts w:ascii="Cambria Math" w:hAnsi="Cambria Math"/>
                </w:rPr>
                <m:t>A</m:t>
              </m:r>
              <m:ctrlPr>
                <w:rPr>
                  <w:rFonts w:ascii="Cambria Math" w:hAnsi="Cambria Math"/>
                  <w:i/>
                </w:rPr>
              </m:ctrlPr>
            </m:e>
            <m:sub>
              <m:r>
                <w:rPr>
                  <w:rFonts w:ascii="Cambria Math" w:hAnsi="Cambria Math"/>
                </w:rPr>
                <m:t>hous,2</m:t>
              </m:r>
              <m:ctrlPr>
                <w:rPr>
                  <w:rFonts w:ascii="Cambria Math" w:hAnsi="Cambria Math"/>
                  <w:i/>
                </w:rPr>
              </m:ctrlPr>
            </m:sub>
          </m:sSub>
          <m:r>
            <w:rPr>
              <w:rFonts w:ascii="Cambria Math" w:hAnsi="Cambria Math"/>
            </w:rPr>
            <m:t>=-10lg⁡(1-p)</m:t>
          </m:r>
        </m:oMath>
      </m:oMathPara>
    </w:p>
    <w:p>
      <w:pPr>
        <w:autoSpaceDE w:val="0"/>
        <w:autoSpaceDN w:val="0"/>
        <w:adjustRightInd w:val="0"/>
        <w:ind w:firstLine="480"/>
      </w:pPr>
      <w:r>
        <w:rPr>
          <w:rFonts w:hint="eastAsia"/>
        </w:rPr>
        <w:t>式中：p</w:t>
      </w:r>
      <w:r>
        <w:t>—</w:t>
      </w:r>
      <w:r>
        <w:rPr>
          <w:rFonts w:hint="eastAsia"/>
        </w:rPr>
        <w:t>沿声源纵向分布的建筑物正面总长度除以对应的声源长度，其值小于或等于</w:t>
      </w:r>
      <w:r>
        <w:t>90%</w:t>
      </w:r>
      <w:r>
        <w:rPr>
          <w:rFonts w:hint="eastAsia"/>
        </w:rPr>
        <w:t>。</w:t>
      </w:r>
      <w:r>
        <w:t xml:space="preserve"> </w:t>
      </w:r>
    </w:p>
    <w:p>
      <w:pPr>
        <w:autoSpaceDE w:val="0"/>
        <w:autoSpaceDN w:val="0"/>
        <w:adjustRightInd w:val="0"/>
        <w:ind w:firstLine="480"/>
      </w:pPr>
      <w:r>
        <w:rPr>
          <w:rFonts w:hint="eastAsia"/>
        </w:rPr>
        <w:t>在进行预测计算时，建筑群衰减</w:t>
      </w:r>
      <w:r>
        <w:t>A</w:t>
      </w:r>
      <w:r>
        <w:rPr>
          <w:vertAlign w:val="subscript"/>
        </w:rPr>
        <w:t>hous</w:t>
      </w:r>
      <w:r>
        <w:rPr>
          <w:rFonts w:hint="eastAsia"/>
        </w:rPr>
        <w:t>与地面效应引起的衰减</w:t>
      </w:r>
      <w:r>
        <w:t>A</w:t>
      </w:r>
      <w:r>
        <w:rPr>
          <w:vertAlign w:val="subscript"/>
        </w:rPr>
        <w:t>gr</w:t>
      </w:r>
      <w:r>
        <w:rPr>
          <w:rFonts w:hint="eastAsia"/>
        </w:rPr>
        <w:t>通常只需考虑一项最主要的衰减。对于通过建筑群的声传播，一般不考虑地面效应引起的衰减</w:t>
      </w:r>
      <w:r>
        <w:t>A</w:t>
      </w:r>
      <w:r>
        <w:rPr>
          <w:vertAlign w:val="subscript"/>
        </w:rPr>
        <w:t>gr</w:t>
      </w:r>
      <w:r>
        <w:rPr>
          <w:rFonts w:hint="eastAsia"/>
        </w:rPr>
        <w:t>；但地面效应引起的衰减</w:t>
      </w:r>
      <w:r>
        <w:t>A</w:t>
      </w:r>
      <w:r>
        <w:rPr>
          <w:vertAlign w:val="subscript"/>
        </w:rPr>
        <w:t>gr</w:t>
      </w:r>
      <w:r>
        <w:rPr>
          <w:rFonts w:hint="eastAsia"/>
        </w:rPr>
        <w:t>（假定预测点与声源之间不存在建筑群时的计算结果）大于建筑群衰减</w:t>
      </w:r>
      <w:r>
        <w:t>A</w:t>
      </w:r>
      <w:r>
        <w:rPr>
          <w:vertAlign w:val="subscript"/>
        </w:rPr>
        <w:t>hous</w:t>
      </w:r>
      <w:r>
        <w:rPr>
          <w:rFonts w:hint="eastAsia"/>
        </w:rPr>
        <w:t>时，则不考虑建筑群插入损失</w:t>
      </w:r>
      <w:r>
        <w:t>A</w:t>
      </w:r>
      <w:r>
        <w:rPr>
          <w:vertAlign w:val="subscript"/>
        </w:rPr>
        <w:t>hous</w:t>
      </w:r>
      <w:r>
        <w:rPr>
          <w:rFonts w:hint="eastAsia"/>
        </w:rPr>
        <w:t>。</w:t>
      </w:r>
    </w:p>
    <w:p>
      <w:pPr>
        <w:autoSpaceDE w:val="0"/>
        <w:autoSpaceDN w:val="0"/>
        <w:adjustRightInd w:val="0"/>
        <w:ind w:firstLine="480"/>
      </w:pPr>
      <w:r>
        <w:t>（</w:t>
      </w:r>
      <w:r>
        <w:rPr>
          <w:rFonts w:hint="eastAsia"/>
        </w:rPr>
        <w:t>4</w:t>
      </w:r>
      <w:r>
        <w:t>）基本预测模式参数的确定</w:t>
      </w:r>
    </w:p>
    <w:p>
      <w:pPr>
        <w:adjustRightInd w:val="0"/>
        <w:snapToGrid w:val="0"/>
        <w:ind w:firstLine="480"/>
      </w:pPr>
      <w:r>
        <w:rPr>
          <w:rFonts w:ascii="宋体" w:hAnsi="宋体" w:cs="宋体"/>
        </w:rPr>
        <w:t>拟建公路各期小、中、大型车单车平均辐射声级预测结果见</w:t>
      </w:r>
      <w:r>
        <w:t>表</w:t>
      </w:r>
      <w:r>
        <w:rPr>
          <w:rFonts w:hint="eastAsia"/>
        </w:rPr>
        <w:t>5.2-</w:t>
      </w:r>
      <w:r>
        <w:t>5。</w:t>
      </w:r>
    </w:p>
    <w:p>
      <w:pPr>
        <w:pStyle w:val="185"/>
        <w:spacing w:line="480" w:lineRule="exact"/>
        <w:rPr>
          <w:sz w:val="21"/>
          <w:szCs w:val="21"/>
        </w:rPr>
      </w:pPr>
      <w:r>
        <w:rPr>
          <w:sz w:val="21"/>
          <w:szCs w:val="21"/>
        </w:rPr>
        <w:t>表</w:t>
      </w:r>
      <w:r>
        <w:rPr>
          <w:rFonts w:hint="eastAsia"/>
          <w:sz w:val="21"/>
          <w:szCs w:val="21"/>
        </w:rPr>
        <w:t>5.2-</w:t>
      </w:r>
      <w:r>
        <w:rPr>
          <w:sz w:val="21"/>
          <w:szCs w:val="21"/>
        </w:rPr>
        <w:t>5营运各期各车型单车噪声排放源强</w:t>
      </w:r>
      <w:r>
        <w:rPr>
          <w:rFonts w:hint="eastAsia"/>
          <w:sz w:val="21"/>
          <w:szCs w:val="21"/>
        </w:rPr>
        <w:t>（7.5</w:t>
      </w:r>
      <w:r>
        <w:rPr>
          <w:sz w:val="21"/>
          <w:szCs w:val="21"/>
        </w:rPr>
        <w:t>m</w:t>
      </w:r>
      <w:r>
        <w:rPr>
          <w:rFonts w:hint="eastAsia"/>
          <w:sz w:val="21"/>
          <w:szCs w:val="21"/>
        </w:rPr>
        <w:t>）</w:t>
      </w:r>
      <w:r>
        <w:rPr>
          <w:sz w:val="21"/>
          <w:szCs w:val="21"/>
        </w:rPr>
        <w:t>单位(dB)</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487"/>
        <w:gridCol w:w="1256"/>
        <w:gridCol w:w="1256"/>
        <w:gridCol w:w="1256"/>
        <w:gridCol w:w="1256"/>
        <w:gridCol w:w="1257"/>
        <w:gridCol w:w="12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Merge w:val="restar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项目</w:t>
            </w:r>
          </w:p>
        </w:tc>
        <w:tc>
          <w:tcPr>
            <w:tcW w:w="1392"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近期</w:t>
            </w:r>
          </w:p>
        </w:tc>
        <w:tc>
          <w:tcPr>
            <w:tcW w:w="1392"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中期</w:t>
            </w:r>
          </w:p>
        </w:tc>
        <w:tc>
          <w:tcPr>
            <w:tcW w:w="1391"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远期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Merge w:val="continue"/>
            <w:vAlign w:val="center"/>
          </w:tcPr>
          <w:p>
            <w:pPr>
              <w:pStyle w:val="675"/>
              <w:jc w:val="center"/>
              <w:rPr>
                <w:rFonts w:ascii="Times New Roman" w:hAnsi="Times New Roman" w:cs="Times New Roman"/>
                <w:sz w:val="21"/>
                <w:szCs w:val="21"/>
                <w:lang w:eastAsia="zh-CN"/>
              </w:rPr>
            </w:pP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6"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6"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c>
          <w:tcPr>
            <w:tcW w:w="69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昼间</w:t>
            </w:r>
          </w:p>
        </w:tc>
        <w:tc>
          <w:tcPr>
            <w:tcW w:w="695"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小车</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76.07</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76.20</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76.02</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76.19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75.92</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76.17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spacing w:line="240" w:lineRule="auto"/>
              <w:ind w:firstLine="0" w:firstLineChars="0"/>
              <w:jc w:val="center"/>
              <w:rPr>
                <w:kern w:val="0"/>
                <w:sz w:val="21"/>
                <w:szCs w:val="22"/>
              </w:rPr>
            </w:pPr>
            <w:r>
              <w:rPr>
                <w:rFonts w:hint="eastAsia"/>
                <w:bCs/>
                <w:sz w:val="21"/>
              </w:rPr>
              <w:t>中车</w:t>
            </w:r>
          </w:p>
        </w:tc>
        <w:tc>
          <w:tcPr>
            <w:tcW w:w="696" w:type="pct"/>
            <w:vAlign w:val="center"/>
          </w:tcPr>
          <w:p>
            <w:pPr>
              <w:widowControl/>
              <w:spacing w:line="240" w:lineRule="auto"/>
              <w:ind w:firstLine="0" w:firstLineChars="0"/>
              <w:jc w:val="center"/>
              <w:rPr>
                <w:kern w:val="0"/>
                <w:sz w:val="21"/>
                <w:szCs w:val="22"/>
                <w:lang w:eastAsia="en-US"/>
              </w:rPr>
            </w:pPr>
            <w:r>
              <w:rPr>
                <w:rFonts w:hint="eastAsia"/>
                <w:kern w:val="0"/>
                <w:sz w:val="21"/>
                <w:szCs w:val="22"/>
              </w:rPr>
              <w:t>76.79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76.39</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76.88</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76.44</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77.03</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76.52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24" w:type="pct"/>
            <w:vAlign w:val="center"/>
          </w:tcPr>
          <w:p>
            <w:pPr>
              <w:spacing w:line="240" w:lineRule="auto"/>
              <w:ind w:firstLine="0" w:firstLineChars="0"/>
              <w:jc w:val="center"/>
              <w:rPr>
                <w:sz w:val="21"/>
              </w:rPr>
            </w:pPr>
            <w:r>
              <w:rPr>
                <w:rFonts w:hint="eastAsia"/>
                <w:sz w:val="21"/>
              </w:rPr>
              <w:t>大车</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83.03</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82.73</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83.10</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82.77</w:t>
            </w:r>
          </w:p>
        </w:tc>
        <w:tc>
          <w:tcPr>
            <w:tcW w:w="696" w:type="pct"/>
            <w:vAlign w:val="center"/>
          </w:tcPr>
          <w:p>
            <w:pPr>
              <w:widowControl/>
              <w:spacing w:line="240" w:lineRule="auto"/>
              <w:ind w:firstLine="0" w:firstLineChars="0"/>
              <w:jc w:val="center"/>
              <w:rPr>
                <w:kern w:val="0"/>
                <w:sz w:val="21"/>
                <w:szCs w:val="22"/>
              </w:rPr>
            </w:pPr>
            <w:r>
              <w:rPr>
                <w:rFonts w:hint="eastAsia"/>
                <w:kern w:val="0"/>
                <w:sz w:val="21"/>
                <w:szCs w:val="22"/>
              </w:rPr>
              <w:t>83.22</w:t>
            </w:r>
          </w:p>
        </w:tc>
        <w:tc>
          <w:tcPr>
            <w:tcW w:w="695" w:type="pct"/>
            <w:vAlign w:val="center"/>
          </w:tcPr>
          <w:p>
            <w:pPr>
              <w:widowControl/>
              <w:spacing w:line="240" w:lineRule="auto"/>
              <w:ind w:firstLine="0" w:firstLineChars="0"/>
              <w:jc w:val="center"/>
              <w:rPr>
                <w:kern w:val="0"/>
                <w:sz w:val="21"/>
                <w:szCs w:val="22"/>
              </w:rPr>
            </w:pPr>
            <w:r>
              <w:rPr>
                <w:rFonts w:hint="eastAsia"/>
                <w:kern w:val="0"/>
                <w:sz w:val="21"/>
                <w:szCs w:val="22"/>
              </w:rPr>
              <w:t>82.83</w:t>
            </w:r>
          </w:p>
        </w:tc>
      </w:tr>
    </w:tbl>
    <w:p>
      <w:pPr>
        <w:autoSpaceDE w:val="0"/>
        <w:autoSpaceDN w:val="0"/>
        <w:adjustRightInd w:val="0"/>
        <w:ind w:firstLine="480"/>
      </w:pPr>
      <w:r>
        <w:t>（</w:t>
      </w:r>
      <w:r>
        <w:rPr>
          <w:rFonts w:hint="eastAsia"/>
        </w:rPr>
        <w:t>7</w:t>
      </w:r>
      <w:r>
        <w:t>）</w:t>
      </w:r>
      <w:r>
        <w:rPr>
          <w:rFonts w:hint="eastAsia"/>
        </w:rPr>
        <w:t>软件相关内容介绍</w:t>
      </w:r>
    </w:p>
    <w:p>
      <w:pPr>
        <w:autoSpaceDE w:val="0"/>
        <w:autoSpaceDN w:val="0"/>
        <w:adjustRightInd w:val="0"/>
        <w:ind w:firstLine="480"/>
      </w:pPr>
      <w:r>
        <w:rPr>
          <w:rFonts w:hint="eastAsia" w:ascii="宋体" w:hAnsi="宋体" w:cs="宋体"/>
        </w:rPr>
        <w:t>①</w:t>
      </w:r>
      <w:r>
        <w:t>软件介绍及预测模型</w:t>
      </w:r>
    </w:p>
    <w:p>
      <w:pPr>
        <w:autoSpaceDE w:val="0"/>
        <w:autoSpaceDN w:val="0"/>
        <w:adjustRightInd w:val="0"/>
        <w:ind w:firstLine="480"/>
      </w:pPr>
      <w:r>
        <w:t>本项目噪声预测采用环安科技noisesystem噪声软件，noisesystem以《环境影响评价技术导则声环境》（HJ2.4-20</w:t>
      </w:r>
      <w:r>
        <w:rPr>
          <w:rFonts w:hint="eastAsia"/>
        </w:rPr>
        <w:t>21</w:t>
      </w:r>
      <w:r>
        <w:t>）推荐的模型为基础，采用图形化方式。交通噪声支持多车道、路堤、路堑、桥梁、交叉路口、轨道声源计算；噪声衰减过程考虑了建筑物、空气吸收、地面吸收、绿化林带</w:t>
      </w:r>
      <w:r>
        <w:rPr>
          <w:rFonts w:hint="eastAsia"/>
        </w:rPr>
        <w:t>、建筑群</w:t>
      </w:r>
      <w:r>
        <w:t>等的影响；支持复杂地形的噪声</w:t>
      </w:r>
      <w:r>
        <w:rPr>
          <w:rFonts w:cs="宋体"/>
          <w:spacing w:val="4"/>
        </w:rPr>
        <w:t>计算，采用多图层管理，可对软件中的对象进行添加、删除、编辑、复制、移动、改变形状等操作，输出结果包括水平和垂直</w:t>
      </w:r>
      <w:r>
        <w:rPr>
          <w:rFonts w:cs="宋体"/>
        </w:rPr>
        <w:t>方向等值线图、表以及</w:t>
      </w:r>
      <w:r>
        <w:rPr>
          <w:rFonts w:eastAsia="Times New Roman"/>
        </w:rPr>
        <w:t>word</w:t>
      </w:r>
      <w:r>
        <w:rPr>
          <w:rFonts w:cs="宋体"/>
        </w:rPr>
        <w:t>文档</w:t>
      </w:r>
      <w:r>
        <w:rPr>
          <w:rFonts w:hint="eastAsia" w:cs="宋体"/>
        </w:rPr>
        <w:t>。</w:t>
      </w:r>
    </w:p>
    <w:p>
      <w:pPr>
        <w:ind w:firstLine="480"/>
      </w:pPr>
      <w:r>
        <w:rPr>
          <w:rFonts w:eastAsia="Times New Roman"/>
        </w:rPr>
        <w:t>2</w:t>
      </w:r>
      <w:r>
        <w:t>）预测参数</w:t>
      </w:r>
    </w:p>
    <w:p>
      <w:pPr>
        <w:autoSpaceDE w:val="0"/>
        <w:autoSpaceDN w:val="0"/>
        <w:adjustRightInd w:val="0"/>
        <w:ind w:firstLine="480"/>
        <w:rPr>
          <w:rFonts w:ascii="宋体" w:hAnsi="宋体" w:cs="宋体"/>
        </w:rPr>
      </w:pPr>
      <w:r>
        <w:rPr>
          <w:rFonts w:eastAsia="等线 Light"/>
        </w:rPr>
        <w:t>a</w:t>
      </w:r>
      <w:r>
        <w:rPr>
          <w:rFonts w:hint="eastAsia" w:ascii="宋体" w:hAnsi="宋体" w:cs="宋体"/>
        </w:rPr>
        <w:t>）</w:t>
      </w:r>
      <w:r>
        <w:rPr>
          <w:rFonts w:ascii="宋体" w:hAnsi="宋体" w:cs="宋体"/>
        </w:rPr>
        <w:t>车道车型参数设置</w:t>
      </w:r>
    </w:p>
    <w:p>
      <w:pPr>
        <w:ind w:firstLine="480"/>
        <w:rPr>
          <w:highlight w:val="yellow"/>
        </w:rPr>
      </w:pPr>
      <w:r>
        <w:rPr>
          <w:rFonts w:hint="eastAsia"/>
        </w:rPr>
        <w:t>拟建公路</w:t>
      </w:r>
      <w:r>
        <w:t>路基宽度</w:t>
      </w:r>
      <w:r>
        <w:rPr>
          <w:rFonts w:hint="eastAsia"/>
        </w:rPr>
        <w:t>25.5</w:t>
      </w:r>
      <w:r>
        <w:rPr>
          <w:rFonts w:eastAsia="Times New Roman"/>
        </w:rPr>
        <w:t>m</w:t>
      </w:r>
      <w:r>
        <w:t>，</w:t>
      </w:r>
      <w:r>
        <w:rPr>
          <w:rFonts w:hint="eastAsia"/>
        </w:rPr>
        <w:t>双向4</w:t>
      </w:r>
      <w:r>
        <w:t>车道，车道中心线距道路中心线距离分别为</w:t>
      </w:r>
      <w:r>
        <w:rPr>
          <w:rFonts w:hint="eastAsia"/>
        </w:rPr>
        <w:t>-7.125，</w:t>
      </w:r>
      <w:r>
        <w:rPr>
          <w:rFonts w:eastAsia="Times New Roman"/>
        </w:rPr>
        <w:t>-</w:t>
      </w:r>
      <w:r>
        <w:rPr>
          <w:rFonts w:hint="eastAsia"/>
        </w:rPr>
        <w:t>3.375</w:t>
      </w:r>
      <w:r>
        <w:t>，</w:t>
      </w:r>
      <w:r>
        <w:rPr>
          <w:rFonts w:hint="eastAsia"/>
        </w:rPr>
        <w:t>3.375，7.125</w:t>
      </w:r>
      <w:r>
        <w:t>；设计速度为</w:t>
      </w:r>
      <w:r>
        <w:rPr>
          <w:rFonts w:hint="eastAsia"/>
        </w:rPr>
        <w:t>80</w:t>
      </w:r>
      <w:r>
        <w:rPr>
          <w:rFonts w:eastAsia="Times New Roman"/>
        </w:rPr>
        <w:t>km/h</w:t>
      </w:r>
      <w:r>
        <w:t>；主线路面类型为沥青混凝土。声源距路面的高度为</w:t>
      </w:r>
      <w:r>
        <w:rPr>
          <w:rFonts w:eastAsia="Times New Roman"/>
        </w:rPr>
        <w:t>0.6m</w:t>
      </w:r>
      <w:r>
        <w:t>，离地高度、地面高程根据项目所在地地形数据由软件识别。</w:t>
      </w:r>
    </w:p>
    <w:p>
      <w:pPr>
        <w:ind w:firstLine="480"/>
      </w:pPr>
      <w:r>
        <w:rPr>
          <w:rFonts w:hint="eastAsia"/>
        </w:rPr>
        <w:t>b）</w:t>
      </w:r>
      <w:r>
        <w:t>车</w:t>
      </w:r>
      <w:r>
        <w:rPr>
          <w:rFonts w:hint="eastAsia"/>
        </w:rPr>
        <w:t>流量</w:t>
      </w:r>
      <w:r>
        <w:t>参数设置</w:t>
      </w:r>
    </w:p>
    <w:p>
      <w:pPr>
        <w:ind w:firstLine="480"/>
      </w:pPr>
      <w:r>
        <w:t>项目</w:t>
      </w:r>
      <w:r>
        <w:rPr>
          <w:rFonts w:hint="eastAsia"/>
        </w:rPr>
        <w:t>各路段</w:t>
      </w:r>
      <w:r>
        <w:t>选用</w:t>
      </w:r>
      <w:r>
        <w:rPr>
          <w:rFonts w:hint="eastAsia"/>
        </w:rPr>
        <w:t>涉及敏感点</w:t>
      </w:r>
      <w:r>
        <w:t>情况见表</w:t>
      </w:r>
      <w:r>
        <w:rPr>
          <w:rFonts w:hint="eastAsia"/>
        </w:rPr>
        <w:t>5.2-</w:t>
      </w:r>
      <w:r>
        <w:t>6。</w:t>
      </w:r>
    </w:p>
    <w:p>
      <w:pPr>
        <w:adjustRightInd w:val="0"/>
        <w:snapToGrid w:val="0"/>
        <w:ind w:firstLine="0" w:firstLineChars="0"/>
        <w:jc w:val="center"/>
        <w:rPr>
          <w:b/>
          <w:sz w:val="21"/>
        </w:rPr>
      </w:pPr>
      <w:r>
        <w:rPr>
          <w:b/>
          <w:sz w:val="21"/>
        </w:rPr>
        <w:t>表</w:t>
      </w:r>
      <w:r>
        <w:rPr>
          <w:rFonts w:hint="eastAsia"/>
          <w:b/>
          <w:sz w:val="21"/>
        </w:rPr>
        <w:t>5.2-</w:t>
      </w:r>
      <w:r>
        <w:rPr>
          <w:b/>
          <w:sz w:val="21"/>
        </w:rPr>
        <w:t>6</w:t>
      </w:r>
      <w:r>
        <w:rPr>
          <w:b/>
          <w:sz w:val="21"/>
        </w:rPr>
        <w:tab/>
      </w:r>
      <w:r>
        <w:rPr>
          <w:b/>
          <w:sz w:val="21"/>
        </w:rPr>
        <w:t>项目各</w:t>
      </w:r>
      <w:r>
        <w:rPr>
          <w:rFonts w:hint="eastAsia"/>
          <w:b/>
          <w:sz w:val="21"/>
        </w:rPr>
        <w:t>路段涉及敏感点</w:t>
      </w:r>
      <w:r>
        <w:rPr>
          <w:b/>
          <w:sz w:val="21"/>
        </w:rPr>
        <w:t>情况一览表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556"/>
        <w:gridCol w:w="64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6"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路段</w:t>
            </w:r>
          </w:p>
        </w:tc>
        <w:tc>
          <w:tcPr>
            <w:tcW w:w="358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敏感点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16"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主路段</w:t>
            </w:r>
          </w:p>
        </w:tc>
        <w:tc>
          <w:tcPr>
            <w:tcW w:w="3584" w:type="pct"/>
            <w:vAlign w:val="center"/>
          </w:tcPr>
          <w:p>
            <w:pPr>
              <w:widowControl/>
              <w:spacing w:line="240" w:lineRule="auto"/>
              <w:ind w:firstLine="0" w:firstLineChars="0"/>
              <w:jc w:val="center"/>
              <w:rPr>
                <w:kern w:val="0"/>
                <w:sz w:val="21"/>
              </w:rPr>
            </w:pPr>
            <w:r>
              <w:rPr>
                <w:rFonts w:hint="eastAsia"/>
                <w:sz w:val="21"/>
              </w:rPr>
              <w:t>北黄土坡村、龙凤书香苑小区、遵化市第三中学、智慧城小区、张各庄村、赵庄子村、西十里铺村、后王庄村、前辅村、白方寺村、学汉坨村、骆各庄村、吴家坑村、圪塔坨村</w:t>
            </w:r>
          </w:p>
        </w:tc>
      </w:tr>
    </w:tbl>
    <w:p>
      <w:pPr>
        <w:autoSpaceDE w:val="0"/>
        <w:autoSpaceDN w:val="0"/>
        <w:adjustRightInd w:val="0"/>
        <w:ind w:firstLine="480"/>
      </w:pPr>
      <w:r>
        <w:t>c）衰减参数设置</w:t>
      </w:r>
    </w:p>
    <w:p>
      <w:pPr>
        <w:autoSpaceDE w:val="0"/>
        <w:autoSpaceDN w:val="0"/>
        <w:adjustRightInd w:val="0"/>
        <w:ind w:firstLine="480"/>
      </w:pPr>
      <w:r>
        <w:t>本次评价房屋高度设置：村庄住宅平房高度取3.5m；二层楼房高度取7m；高于二层楼房按每层3m计算；学校教室平房高度取3.5m，二层楼房高度取7m</w:t>
      </w:r>
      <w:r>
        <w:rPr>
          <w:rFonts w:hint="eastAsia"/>
        </w:rPr>
        <w:t>；</w:t>
      </w:r>
      <w:r>
        <w:t>农村住宅围墙取2.0m。</w:t>
      </w:r>
    </w:p>
    <w:p>
      <w:pPr>
        <w:autoSpaceDE w:val="0"/>
        <w:autoSpaceDN w:val="0"/>
        <w:adjustRightInd w:val="0"/>
        <w:ind w:firstLine="480"/>
      </w:pPr>
      <w:r>
        <w:rPr>
          <w:rFonts w:hint="eastAsia"/>
        </w:rPr>
        <w:t>d</w:t>
      </w:r>
      <w:r>
        <w:t>）</w:t>
      </w:r>
      <w:r>
        <w:rPr>
          <w:rFonts w:hint="eastAsia"/>
        </w:rPr>
        <w:t>接受点</w:t>
      </w:r>
      <w:r>
        <w:t>参数设置</w:t>
      </w:r>
    </w:p>
    <w:p>
      <w:pPr>
        <w:autoSpaceDE w:val="0"/>
        <w:autoSpaceDN w:val="0"/>
        <w:adjustRightInd w:val="0"/>
        <w:ind w:firstLine="480"/>
        <w:rPr>
          <w:highlight w:val="yellow"/>
        </w:rPr>
      </w:pPr>
      <w:r>
        <w:t>接受点离地高度平房取1.2m，二层楼房取4.7m，多层楼房按楼房层高设置（1层设置为1.2m，2层设置为4.2m，2层以上按3.0m步长增加）</w:t>
      </w:r>
      <w:r>
        <w:rPr>
          <w:rFonts w:hint="eastAsia"/>
        </w:rPr>
        <w:t>。</w:t>
      </w:r>
    </w:p>
    <w:p>
      <w:pPr>
        <w:pStyle w:val="190"/>
        <w:spacing w:beforeLines="0" w:afterLines="0"/>
      </w:pPr>
      <w:r>
        <w:rPr>
          <w:rFonts w:hint="eastAsia"/>
        </w:rPr>
        <w:t>5.2.2.2各路段噪声分布预测结果</w:t>
      </w:r>
    </w:p>
    <w:p>
      <w:pPr>
        <w:autoSpaceDE w:val="0"/>
        <w:autoSpaceDN w:val="0"/>
        <w:adjustRightInd w:val="0"/>
        <w:ind w:firstLine="480"/>
      </w:pPr>
      <w:r>
        <w:t>根据上述预测模式及车辆</w:t>
      </w:r>
      <w:r>
        <w:rPr>
          <w:rFonts w:hint="eastAsia"/>
        </w:rPr>
        <w:t>速度、车流量、</w:t>
      </w:r>
      <w:r>
        <w:t>平均辐射噪声级，对不同预测年的噪声分布情况进行预测。特征年昼间与夜间行驶车辆对公路两侧到中心线不同距离处的交通辐射噪声贡献值结果见表</w:t>
      </w:r>
      <w:r>
        <w:rPr>
          <w:rFonts w:hint="eastAsia"/>
        </w:rPr>
        <w:t>5.2-</w:t>
      </w:r>
      <w:r>
        <w:t>7</w:t>
      </w:r>
      <w:r>
        <w:rPr>
          <w:rFonts w:hint="eastAsia"/>
        </w:rPr>
        <w:t>。</w:t>
      </w:r>
    </w:p>
    <w:p>
      <w:pPr>
        <w:adjustRightInd w:val="0"/>
        <w:snapToGrid w:val="0"/>
        <w:ind w:firstLine="0" w:firstLineChars="0"/>
        <w:jc w:val="center"/>
        <w:rPr>
          <w:b/>
          <w:sz w:val="21"/>
        </w:rPr>
      </w:pPr>
      <w:r>
        <w:rPr>
          <w:rFonts w:hint="eastAsia"/>
          <w:b/>
          <w:sz w:val="21"/>
        </w:rPr>
        <w:t>表5.2-</w:t>
      </w:r>
      <w:r>
        <w:rPr>
          <w:b/>
          <w:sz w:val="21"/>
        </w:rPr>
        <w:t>7营运期交通噪声预测结果</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15"/>
        <w:gridCol w:w="708"/>
        <w:gridCol w:w="637"/>
        <w:gridCol w:w="637"/>
        <w:gridCol w:w="637"/>
        <w:gridCol w:w="637"/>
        <w:gridCol w:w="793"/>
        <w:gridCol w:w="793"/>
        <w:gridCol w:w="793"/>
        <w:gridCol w:w="793"/>
        <w:gridCol w:w="793"/>
        <w:gridCol w:w="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restart"/>
            <w:vAlign w:val="center"/>
          </w:tcPr>
          <w:p>
            <w:pPr>
              <w:spacing w:line="240" w:lineRule="auto"/>
              <w:ind w:firstLine="0" w:firstLineChars="0"/>
              <w:jc w:val="center"/>
              <w:rPr>
                <w:sz w:val="21"/>
              </w:rPr>
            </w:pPr>
            <w:r>
              <w:rPr>
                <w:rFonts w:hint="eastAsia"/>
                <w:sz w:val="21"/>
              </w:rPr>
              <w:t>预测</w:t>
            </w:r>
            <w:r>
              <w:rPr>
                <w:sz w:val="21"/>
              </w:rPr>
              <w:t>特征年</w:t>
            </w:r>
          </w:p>
        </w:tc>
        <w:tc>
          <w:tcPr>
            <w:tcW w:w="391" w:type="pct"/>
            <w:vMerge w:val="restart"/>
            <w:vAlign w:val="center"/>
          </w:tcPr>
          <w:p>
            <w:pPr>
              <w:spacing w:line="240" w:lineRule="auto"/>
              <w:ind w:firstLine="0" w:firstLineChars="0"/>
              <w:jc w:val="center"/>
              <w:rPr>
                <w:sz w:val="21"/>
              </w:rPr>
            </w:pPr>
            <w:r>
              <w:rPr>
                <w:sz w:val="21"/>
              </w:rPr>
              <w:t>时段</w:t>
            </w:r>
          </w:p>
        </w:tc>
        <w:tc>
          <w:tcPr>
            <w:tcW w:w="4049" w:type="pct"/>
            <w:gridSpan w:val="10"/>
            <w:vAlign w:val="center"/>
          </w:tcPr>
          <w:p>
            <w:pPr>
              <w:widowControl/>
              <w:spacing w:line="240" w:lineRule="auto"/>
              <w:ind w:firstLine="0" w:firstLineChars="0"/>
              <w:jc w:val="center"/>
              <w:rPr>
                <w:sz w:val="21"/>
              </w:rPr>
            </w:pPr>
            <w:r>
              <w:rPr>
                <w:sz w:val="21"/>
              </w:rPr>
              <w:t>距</w:t>
            </w:r>
            <w:r>
              <w:rPr>
                <w:rFonts w:hint="eastAsia"/>
                <w:sz w:val="21"/>
              </w:rPr>
              <w:t>道</w:t>
            </w:r>
            <w:r>
              <w:rPr>
                <w:sz w:val="21"/>
              </w:rPr>
              <w:t>路中心线不同水平距离处的交通噪声</w:t>
            </w:r>
            <w:r>
              <w:rPr>
                <w:rFonts w:hint="eastAsia"/>
                <w:sz w:val="21"/>
              </w:rPr>
              <w:t>贡献值</w:t>
            </w:r>
            <w:r>
              <w:rPr>
                <w:sz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continue"/>
            <w:vAlign w:val="center"/>
          </w:tcPr>
          <w:p>
            <w:pPr>
              <w:spacing w:line="240" w:lineRule="auto"/>
              <w:ind w:firstLine="0" w:firstLineChars="0"/>
              <w:jc w:val="center"/>
              <w:rPr>
                <w:sz w:val="21"/>
              </w:rPr>
            </w:pPr>
          </w:p>
        </w:tc>
        <w:tc>
          <w:tcPr>
            <w:tcW w:w="391" w:type="pct"/>
            <w:vMerge w:val="continue"/>
            <w:vAlign w:val="center"/>
          </w:tcPr>
          <w:p>
            <w:pPr>
              <w:spacing w:line="240" w:lineRule="auto"/>
              <w:ind w:firstLine="0" w:firstLineChars="0"/>
              <w:jc w:val="center"/>
              <w:rPr>
                <w:sz w:val="21"/>
              </w:rPr>
            </w:pPr>
          </w:p>
        </w:tc>
        <w:tc>
          <w:tcPr>
            <w:tcW w:w="351" w:type="pct"/>
            <w:vAlign w:val="center"/>
          </w:tcPr>
          <w:p>
            <w:pPr>
              <w:spacing w:line="240" w:lineRule="auto"/>
              <w:ind w:firstLine="0" w:firstLineChars="0"/>
              <w:jc w:val="center"/>
              <w:rPr>
                <w:sz w:val="21"/>
              </w:rPr>
            </w:pPr>
            <w:r>
              <w:rPr>
                <w:rFonts w:hint="eastAsia"/>
                <w:sz w:val="21"/>
              </w:rPr>
              <w:t>20</w:t>
            </w:r>
            <w:r>
              <w:rPr>
                <w:sz w:val="21"/>
              </w:rPr>
              <w:t>m</w:t>
            </w:r>
          </w:p>
        </w:tc>
        <w:tc>
          <w:tcPr>
            <w:tcW w:w="351" w:type="pct"/>
            <w:vAlign w:val="center"/>
          </w:tcPr>
          <w:p>
            <w:pPr>
              <w:spacing w:line="240" w:lineRule="auto"/>
              <w:ind w:firstLine="0" w:firstLineChars="0"/>
              <w:jc w:val="center"/>
              <w:rPr>
                <w:sz w:val="21"/>
              </w:rPr>
            </w:pPr>
            <w:r>
              <w:rPr>
                <w:rFonts w:hint="eastAsia"/>
                <w:sz w:val="21"/>
              </w:rPr>
              <w:t>40</w:t>
            </w:r>
            <w:r>
              <w:rPr>
                <w:sz w:val="21"/>
              </w:rPr>
              <w:t>m</w:t>
            </w:r>
          </w:p>
        </w:tc>
        <w:tc>
          <w:tcPr>
            <w:tcW w:w="351" w:type="pct"/>
            <w:vAlign w:val="center"/>
          </w:tcPr>
          <w:p>
            <w:pPr>
              <w:spacing w:line="240" w:lineRule="auto"/>
              <w:ind w:firstLine="0" w:firstLineChars="0"/>
              <w:jc w:val="center"/>
              <w:rPr>
                <w:sz w:val="21"/>
              </w:rPr>
            </w:pPr>
            <w:r>
              <w:rPr>
                <w:rFonts w:hint="eastAsia"/>
                <w:sz w:val="21"/>
              </w:rPr>
              <w:t>6</w:t>
            </w:r>
            <w:r>
              <w:rPr>
                <w:sz w:val="21"/>
              </w:rPr>
              <w:t>0m</w:t>
            </w:r>
          </w:p>
        </w:tc>
        <w:tc>
          <w:tcPr>
            <w:tcW w:w="351" w:type="pct"/>
            <w:vAlign w:val="center"/>
          </w:tcPr>
          <w:p>
            <w:pPr>
              <w:spacing w:line="240" w:lineRule="auto"/>
              <w:ind w:firstLine="0" w:firstLineChars="0"/>
              <w:jc w:val="center"/>
              <w:rPr>
                <w:sz w:val="21"/>
              </w:rPr>
            </w:pPr>
            <w:r>
              <w:rPr>
                <w:rFonts w:hint="eastAsia"/>
                <w:sz w:val="21"/>
              </w:rPr>
              <w:t>8</w:t>
            </w:r>
            <w:r>
              <w:rPr>
                <w:sz w:val="21"/>
              </w:rPr>
              <w:t>0m</w:t>
            </w:r>
          </w:p>
        </w:tc>
        <w:tc>
          <w:tcPr>
            <w:tcW w:w="437" w:type="pct"/>
            <w:vAlign w:val="center"/>
          </w:tcPr>
          <w:p>
            <w:pPr>
              <w:spacing w:line="240" w:lineRule="auto"/>
              <w:ind w:firstLine="0" w:firstLineChars="0"/>
              <w:jc w:val="center"/>
              <w:rPr>
                <w:sz w:val="21"/>
              </w:rPr>
            </w:pPr>
            <w:r>
              <w:rPr>
                <w:sz w:val="21"/>
              </w:rPr>
              <w:t>1</w:t>
            </w:r>
            <w:r>
              <w:rPr>
                <w:rFonts w:hint="eastAsia"/>
                <w:sz w:val="21"/>
              </w:rPr>
              <w:t>0</w:t>
            </w:r>
            <w:r>
              <w:rPr>
                <w:sz w:val="21"/>
              </w:rPr>
              <w:t>0m</w:t>
            </w:r>
          </w:p>
        </w:tc>
        <w:tc>
          <w:tcPr>
            <w:tcW w:w="437" w:type="pct"/>
            <w:vAlign w:val="center"/>
          </w:tcPr>
          <w:p>
            <w:pPr>
              <w:spacing w:line="240" w:lineRule="auto"/>
              <w:ind w:firstLine="0" w:firstLineChars="0"/>
              <w:jc w:val="center"/>
              <w:rPr>
                <w:sz w:val="21"/>
              </w:rPr>
            </w:pPr>
            <w:r>
              <w:rPr>
                <w:rFonts w:hint="eastAsia"/>
                <w:sz w:val="21"/>
              </w:rPr>
              <w:t>12</w:t>
            </w:r>
            <w:r>
              <w:rPr>
                <w:sz w:val="21"/>
              </w:rPr>
              <w:t>0m</w:t>
            </w:r>
          </w:p>
        </w:tc>
        <w:tc>
          <w:tcPr>
            <w:tcW w:w="437" w:type="pct"/>
            <w:vAlign w:val="center"/>
          </w:tcPr>
          <w:p>
            <w:pPr>
              <w:spacing w:line="240" w:lineRule="auto"/>
              <w:ind w:firstLine="0" w:firstLineChars="0"/>
              <w:jc w:val="center"/>
              <w:rPr>
                <w:sz w:val="21"/>
              </w:rPr>
            </w:pPr>
            <w:r>
              <w:rPr>
                <w:rFonts w:hint="eastAsia"/>
                <w:sz w:val="21"/>
              </w:rPr>
              <w:t>140m</w:t>
            </w:r>
          </w:p>
        </w:tc>
        <w:tc>
          <w:tcPr>
            <w:tcW w:w="437" w:type="pct"/>
            <w:vAlign w:val="center"/>
          </w:tcPr>
          <w:p>
            <w:pPr>
              <w:spacing w:line="240" w:lineRule="auto"/>
              <w:ind w:firstLine="0" w:firstLineChars="0"/>
              <w:jc w:val="center"/>
              <w:rPr>
                <w:sz w:val="21"/>
              </w:rPr>
            </w:pPr>
            <w:r>
              <w:rPr>
                <w:rFonts w:hint="eastAsia"/>
                <w:sz w:val="21"/>
              </w:rPr>
              <w:t>160m</w:t>
            </w:r>
          </w:p>
        </w:tc>
        <w:tc>
          <w:tcPr>
            <w:tcW w:w="437" w:type="pct"/>
            <w:vAlign w:val="center"/>
          </w:tcPr>
          <w:p>
            <w:pPr>
              <w:spacing w:line="240" w:lineRule="auto"/>
              <w:ind w:firstLine="0" w:firstLineChars="0"/>
              <w:jc w:val="center"/>
              <w:rPr>
                <w:sz w:val="21"/>
              </w:rPr>
            </w:pPr>
            <w:r>
              <w:rPr>
                <w:rFonts w:hint="eastAsia"/>
                <w:sz w:val="21"/>
              </w:rPr>
              <w:t>180m</w:t>
            </w:r>
          </w:p>
        </w:tc>
        <w:tc>
          <w:tcPr>
            <w:tcW w:w="459" w:type="pct"/>
            <w:vAlign w:val="center"/>
          </w:tcPr>
          <w:p>
            <w:pPr>
              <w:spacing w:line="240" w:lineRule="auto"/>
              <w:ind w:firstLine="0" w:firstLineChars="0"/>
              <w:jc w:val="center"/>
              <w:rPr>
                <w:sz w:val="21"/>
              </w:rPr>
            </w:pPr>
            <w:r>
              <w:rPr>
                <w:rFonts w:hint="eastAsia"/>
                <w:sz w:val="21"/>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restart"/>
            <w:vAlign w:val="center"/>
          </w:tcPr>
          <w:p>
            <w:pPr>
              <w:spacing w:line="240" w:lineRule="auto"/>
              <w:ind w:firstLine="0" w:firstLineChars="0"/>
              <w:jc w:val="center"/>
              <w:rPr>
                <w:bCs/>
                <w:caps/>
                <w:sz w:val="21"/>
              </w:rPr>
            </w:pPr>
            <w:r>
              <w:rPr>
                <w:rFonts w:hint="eastAsia"/>
                <w:bCs/>
                <w:caps/>
                <w:sz w:val="21"/>
              </w:rPr>
              <w:t>近期</w:t>
            </w:r>
          </w:p>
        </w:tc>
        <w:tc>
          <w:tcPr>
            <w:tcW w:w="391" w:type="pct"/>
            <w:vAlign w:val="center"/>
          </w:tcPr>
          <w:p>
            <w:pPr>
              <w:spacing w:line="240" w:lineRule="auto"/>
              <w:ind w:firstLine="0" w:firstLineChars="0"/>
              <w:jc w:val="center"/>
              <w:rPr>
                <w:sz w:val="21"/>
              </w:rPr>
            </w:pPr>
            <w:r>
              <w:rPr>
                <w:sz w:val="21"/>
              </w:rPr>
              <w:t>昼间</w:t>
            </w:r>
          </w:p>
        </w:tc>
        <w:tc>
          <w:tcPr>
            <w:tcW w:w="351" w:type="pct"/>
            <w:vAlign w:val="center"/>
          </w:tcPr>
          <w:p>
            <w:pPr>
              <w:spacing w:line="240" w:lineRule="auto"/>
              <w:ind w:firstLine="0" w:firstLineChars="0"/>
              <w:jc w:val="right"/>
              <w:rPr>
                <w:rFonts w:ascii="宋体" w:hAnsi="宋体" w:cs="宋体"/>
                <w:sz w:val="21"/>
              </w:rPr>
            </w:pPr>
            <w:r>
              <w:rPr>
                <w:rFonts w:hint="eastAsia"/>
                <w:sz w:val="21"/>
              </w:rPr>
              <w:t>60.99</w:t>
            </w:r>
          </w:p>
        </w:tc>
        <w:tc>
          <w:tcPr>
            <w:tcW w:w="351" w:type="pct"/>
            <w:vAlign w:val="center"/>
          </w:tcPr>
          <w:p>
            <w:pPr>
              <w:spacing w:line="240" w:lineRule="auto"/>
              <w:ind w:firstLine="0" w:firstLineChars="0"/>
              <w:jc w:val="right"/>
              <w:rPr>
                <w:rFonts w:ascii="宋体" w:hAnsi="宋体" w:cs="宋体"/>
                <w:sz w:val="21"/>
              </w:rPr>
            </w:pPr>
            <w:r>
              <w:rPr>
                <w:rFonts w:hint="eastAsia"/>
                <w:sz w:val="21"/>
              </w:rPr>
              <w:t>56.74</w:t>
            </w:r>
          </w:p>
        </w:tc>
        <w:tc>
          <w:tcPr>
            <w:tcW w:w="351" w:type="pct"/>
            <w:vAlign w:val="center"/>
          </w:tcPr>
          <w:p>
            <w:pPr>
              <w:spacing w:line="240" w:lineRule="auto"/>
              <w:ind w:firstLine="0" w:firstLineChars="0"/>
              <w:jc w:val="right"/>
              <w:rPr>
                <w:rFonts w:ascii="宋体" w:hAnsi="宋体" w:cs="宋体"/>
                <w:sz w:val="21"/>
              </w:rPr>
            </w:pPr>
            <w:r>
              <w:rPr>
                <w:rFonts w:hint="eastAsia"/>
                <w:sz w:val="21"/>
              </w:rPr>
              <w:t>53.95</w:t>
            </w:r>
          </w:p>
        </w:tc>
        <w:tc>
          <w:tcPr>
            <w:tcW w:w="351" w:type="pct"/>
            <w:vAlign w:val="center"/>
          </w:tcPr>
          <w:p>
            <w:pPr>
              <w:spacing w:line="240" w:lineRule="auto"/>
              <w:ind w:firstLine="0" w:firstLineChars="0"/>
              <w:jc w:val="right"/>
              <w:rPr>
                <w:rFonts w:ascii="宋体" w:hAnsi="宋体" w:cs="宋体"/>
                <w:sz w:val="21"/>
              </w:rPr>
            </w:pPr>
            <w:r>
              <w:rPr>
                <w:rFonts w:hint="eastAsia"/>
                <w:sz w:val="21"/>
              </w:rPr>
              <w:t>51.81</w:t>
            </w:r>
          </w:p>
        </w:tc>
        <w:tc>
          <w:tcPr>
            <w:tcW w:w="437" w:type="pct"/>
            <w:vAlign w:val="center"/>
          </w:tcPr>
          <w:p>
            <w:pPr>
              <w:spacing w:line="240" w:lineRule="auto"/>
              <w:ind w:firstLine="0" w:firstLineChars="0"/>
              <w:jc w:val="right"/>
              <w:rPr>
                <w:rFonts w:ascii="宋体" w:hAnsi="宋体" w:cs="宋体"/>
                <w:sz w:val="21"/>
              </w:rPr>
            </w:pPr>
            <w:r>
              <w:rPr>
                <w:rFonts w:hint="eastAsia"/>
                <w:sz w:val="21"/>
              </w:rPr>
              <w:t>50.08</w:t>
            </w:r>
          </w:p>
        </w:tc>
        <w:tc>
          <w:tcPr>
            <w:tcW w:w="437" w:type="pct"/>
            <w:vAlign w:val="center"/>
          </w:tcPr>
          <w:p>
            <w:pPr>
              <w:spacing w:line="240" w:lineRule="auto"/>
              <w:ind w:firstLine="0" w:firstLineChars="0"/>
              <w:jc w:val="right"/>
              <w:rPr>
                <w:rFonts w:ascii="宋体" w:hAnsi="宋体" w:cs="宋体"/>
                <w:sz w:val="21"/>
              </w:rPr>
            </w:pPr>
            <w:r>
              <w:rPr>
                <w:rFonts w:hint="eastAsia"/>
                <w:sz w:val="21"/>
              </w:rPr>
              <w:t>48.62</w:t>
            </w:r>
          </w:p>
        </w:tc>
        <w:tc>
          <w:tcPr>
            <w:tcW w:w="437" w:type="pct"/>
            <w:vAlign w:val="center"/>
          </w:tcPr>
          <w:p>
            <w:pPr>
              <w:spacing w:line="240" w:lineRule="auto"/>
              <w:ind w:firstLine="0" w:firstLineChars="0"/>
              <w:jc w:val="right"/>
              <w:rPr>
                <w:rFonts w:ascii="宋体" w:hAnsi="宋体" w:cs="宋体"/>
                <w:sz w:val="21"/>
              </w:rPr>
            </w:pPr>
            <w:r>
              <w:rPr>
                <w:rFonts w:hint="eastAsia"/>
                <w:sz w:val="21"/>
              </w:rPr>
              <w:t>47.35</w:t>
            </w:r>
          </w:p>
        </w:tc>
        <w:tc>
          <w:tcPr>
            <w:tcW w:w="437" w:type="pct"/>
            <w:vAlign w:val="center"/>
          </w:tcPr>
          <w:p>
            <w:pPr>
              <w:spacing w:line="240" w:lineRule="auto"/>
              <w:ind w:firstLine="0" w:firstLineChars="0"/>
              <w:jc w:val="right"/>
              <w:rPr>
                <w:rFonts w:ascii="宋体" w:hAnsi="宋体" w:cs="宋体"/>
                <w:sz w:val="21"/>
              </w:rPr>
            </w:pPr>
            <w:r>
              <w:rPr>
                <w:rFonts w:hint="eastAsia"/>
                <w:sz w:val="21"/>
              </w:rPr>
              <w:t>46.23</w:t>
            </w:r>
          </w:p>
        </w:tc>
        <w:tc>
          <w:tcPr>
            <w:tcW w:w="437" w:type="pct"/>
            <w:vAlign w:val="center"/>
          </w:tcPr>
          <w:p>
            <w:pPr>
              <w:spacing w:line="240" w:lineRule="auto"/>
              <w:ind w:firstLine="0" w:firstLineChars="0"/>
              <w:jc w:val="right"/>
              <w:rPr>
                <w:rFonts w:ascii="宋体" w:hAnsi="宋体" w:cs="宋体"/>
                <w:sz w:val="21"/>
              </w:rPr>
            </w:pPr>
            <w:r>
              <w:rPr>
                <w:rFonts w:hint="eastAsia"/>
                <w:sz w:val="21"/>
              </w:rPr>
              <w:t>45.22</w:t>
            </w:r>
          </w:p>
        </w:tc>
        <w:tc>
          <w:tcPr>
            <w:tcW w:w="459" w:type="pct"/>
            <w:vAlign w:val="center"/>
          </w:tcPr>
          <w:p>
            <w:pPr>
              <w:spacing w:line="240" w:lineRule="auto"/>
              <w:ind w:firstLine="0" w:firstLineChars="0"/>
              <w:jc w:val="right"/>
              <w:rPr>
                <w:rFonts w:ascii="宋体" w:hAnsi="宋体" w:cs="宋体"/>
                <w:sz w:val="21"/>
              </w:rPr>
            </w:pPr>
            <w:r>
              <w:rPr>
                <w:rFonts w:hint="eastAsia"/>
                <w:sz w:val="21"/>
              </w:rPr>
              <w:t>44.31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continue"/>
            <w:vAlign w:val="center"/>
          </w:tcPr>
          <w:p>
            <w:pPr>
              <w:spacing w:line="240" w:lineRule="auto"/>
              <w:ind w:firstLine="0" w:firstLineChars="0"/>
              <w:jc w:val="center"/>
              <w:rPr>
                <w:sz w:val="21"/>
              </w:rPr>
            </w:pPr>
          </w:p>
        </w:tc>
        <w:tc>
          <w:tcPr>
            <w:tcW w:w="391" w:type="pct"/>
            <w:vAlign w:val="center"/>
          </w:tcPr>
          <w:p>
            <w:pPr>
              <w:spacing w:line="240" w:lineRule="auto"/>
              <w:ind w:firstLine="0" w:firstLineChars="0"/>
              <w:jc w:val="center"/>
              <w:rPr>
                <w:sz w:val="21"/>
              </w:rPr>
            </w:pPr>
            <w:r>
              <w:rPr>
                <w:sz w:val="21"/>
              </w:rPr>
              <w:t>夜间</w:t>
            </w:r>
          </w:p>
        </w:tc>
        <w:tc>
          <w:tcPr>
            <w:tcW w:w="351" w:type="pct"/>
            <w:vAlign w:val="center"/>
          </w:tcPr>
          <w:p>
            <w:pPr>
              <w:spacing w:line="240" w:lineRule="auto"/>
              <w:ind w:firstLine="0" w:firstLineChars="0"/>
              <w:jc w:val="right"/>
              <w:rPr>
                <w:rFonts w:ascii="宋体" w:hAnsi="宋体" w:cs="宋体"/>
                <w:sz w:val="21"/>
              </w:rPr>
            </w:pPr>
            <w:r>
              <w:rPr>
                <w:rFonts w:hint="eastAsia"/>
                <w:sz w:val="21"/>
              </w:rPr>
              <w:t>56.29</w:t>
            </w:r>
          </w:p>
        </w:tc>
        <w:tc>
          <w:tcPr>
            <w:tcW w:w="351" w:type="pct"/>
            <w:vAlign w:val="center"/>
          </w:tcPr>
          <w:p>
            <w:pPr>
              <w:spacing w:line="240" w:lineRule="auto"/>
              <w:ind w:firstLine="0" w:firstLineChars="0"/>
              <w:jc w:val="right"/>
              <w:rPr>
                <w:rFonts w:ascii="宋体" w:hAnsi="宋体" w:cs="宋体"/>
                <w:sz w:val="21"/>
              </w:rPr>
            </w:pPr>
            <w:r>
              <w:rPr>
                <w:rFonts w:hint="eastAsia"/>
                <w:sz w:val="21"/>
              </w:rPr>
              <w:t>52.05</w:t>
            </w:r>
          </w:p>
        </w:tc>
        <w:tc>
          <w:tcPr>
            <w:tcW w:w="351" w:type="pct"/>
            <w:vAlign w:val="center"/>
          </w:tcPr>
          <w:p>
            <w:pPr>
              <w:spacing w:line="240" w:lineRule="auto"/>
              <w:ind w:firstLine="0" w:firstLineChars="0"/>
              <w:jc w:val="right"/>
              <w:rPr>
                <w:rFonts w:ascii="宋体" w:hAnsi="宋体" w:cs="宋体"/>
                <w:sz w:val="21"/>
              </w:rPr>
            </w:pPr>
            <w:r>
              <w:rPr>
                <w:rFonts w:hint="eastAsia"/>
                <w:sz w:val="21"/>
              </w:rPr>
              <w:t>49.26</w:t>
            </w:r>
          </w:p>
        </w:tc>
        <w:tc>
          <w:tcPr>
            <w:tcW w:w="351" w:type="pct"/>
            <w:vAlign w:val="center"/>
          </w:tcPr>
          <w:p>
            <w:pPr>
              <w:spacing w:line="240" w:lineRule="auto"/>
              <w:ind w:firstLine="0" w:firstLineChars="0"/>
              <w:jc w:val="right"/>
              <w:rPr>
                <w:rFonts w:ascii="宋体" w:hAnsi="宋体" w:cs="宋体"/>
                <w:sz w:val="21"/>
              </w:rPr>
            </w:pPr>
            <w:r>
              <w:rPr>
                <w:rFonts w:hint="eastAsia"/>
                <w:sz w:val="21"/>
              </w:rPr>
              <w:t>47.12</w:t>
            </w:r>
          </w:p>
        </w:tc>
        <w:tc>
          <w:tcPr>
            <w:tcW w:w="437" w:type="pct"/>
            <w:vAlign w:val="center"/>
          </w:tcPr>
          <w:p>
            <w:pPr>
              <w:spacing w:line="240" w:lineRule="auto"/>
              <w:ind w:firstLine="0" w:firstLineChars="0"/>
              <w:jc w:val="right"/>
              <w:rPr>
                <w:rFonts w:ascii="宋体" w:hAnsi="宋体" w:cs="宋体"/>
                <w:sz w:val="21"/>
              </w:rPr>
            </w:pPr>
            <w:r>
              <w:rPr>
                <w:rFonts w:hint="eastAsia"/>
                <w:sz w:val="21"/>
              </w:rPr>
              <w:t>45.39</w:t>
            </w:r>
          </w:p>
        </w:tc>
        <w:tc>
          <w:tcPr>
            <w:tcW w:w="437" w:type="pct"/>
            <w:vAlign w:val="center"/>
          </w:tcPr>
          <w:p>
            <w:pPr>
              <w:spacing w:line="240" w:lineRule="auto"/>
              <w:ind w:firstLine="0" w:firstLineChars="0"/>
              <w:jc w:val="right"/>
              <w:rPr>
                <w:rFonts w:ascii="宋体" w:hAnsi="宋体" w:cs="宋体"/>
                <w:sz w:val="21"/>
              </w:rPr>
            </w:pPr>
            <w:r>
              <w:rPr>
                <w:rFonts w:hint="eastAsia"/>
                <w:sz w:val="21"/>
              </w:rPr>
              <w:t>43.92</w:t>
            </w:r>
          </w:p>
        </w:tc>
        <w:tc>
          <w:tcPr>
            <w:tcW w:w="437" w:type="pct"/>
            <w:vAlign w:val="center"/>
          </w:tcPr>
          <w:p>
            <w:pPr>
              <w:spacing w:line="240" w:lineRule="auto"/>
              <w:ind w:firstLine="0" w:firstLineChars="0"/>
              <w:jc w:val="right"/>
              <w:rPr>
                <w:rFonts w:ascii="宋体" w:hAnsi="宋体" w:cs="宋体"/>
                <w:sz w:val="21"/>
              </w:rPr>
            </w:pPr>
            <w:r>
              <w:rPr>
                <w:rFonts w:hint="eastAsia"/>
                <w:sz w:val="21"/>
              </w:rPr>
              <w:t>42.65</w:t>
            </w:r>
          </w:p>
        </w:tc>
        <w:tc>
          <w:tcPr>
            <w:tcW w:w="437" w:type="pct"/>
            <w:vAlign w:val="center"/>
          </w:tcPr>
          <w:p>
            <w:pPr>
              <w:spacing w:line="240" w:lineRule="auto"/>
              <w:ind w:firstLine="0" w:firstLineChars="0"/>
              <w:jc w:val="right"/>
              <w:rPr>
                <w:rFonts w:ascii="宋体" w:hAnsi="宋体" w:cs="宋体"/>
                <w:sz w:val="21"/>
              </w:rPr>
            </w:pPr>
            <w:r>
              <w:rPr>
                <w:rFonts w:hint="eastAsia"/>
                <w:sz w:val="21"/>
              </w:rPr>
              <w:t>41.53</w:t>
            </w:r>
          </w:p>
        </w:tc>
        <w:tc>
          <w:tcPr>
            <w:tcW w:w="437" w:type="pct"/>
            <w:vAlign w:val="center"/>
          </w:tcPr>
          <w:p>
            <w:pPr>
              <w:spacing w:line="240" w:lineRule="auto"/>
              <w:ind w:firstLine="0" w:firstLineChars="0"/>
              <w:jc w:val="right"/>
              <w:rPr>
                <w:rFonts w:ascii="宋体" w:hAnsi="宋体" w:cs="宋体"/>
                <w:sz w:val="21"/>
              </w:rPr>
            </w:pPr>
            <w:r>
              <w:rPr>
                <w:rFonts w:hint="eastAsia"/>
                <w:sz w:val="21"/>
              </w:rPr>
              <w:t>40.53</w:t>
            </w:r>
          </w:p>
        </w:tc>
        <w:tc>
          <w:tcPr>
            <w:tcW w:w="459" w:type="pct"/>
            <w:vAlign w:val="center"/>
          </w:tcPr>
          <w:p>
            <w:pPr>
              <w:spacing w:line="240" w:lineRule="auto"/>
              <w:ind w:firstLine="0" w:firstLineChars="0"/>
              <w:jc w:val="right"/>
              <w:rPr>
                <w:rFonts w:ascii="宋体" w:hAnsi="宋体" w:cs="宋体"/>
                <w:sz w:val="21"/>
              </w:rPr>
            </w:pPr>
            <w:r>
              <w:rPr>
                <w:rFonts w:hint="eastAsia"/>
                <w:sz w:val="21"/>
              </w:rPr>
              <w:t>39.62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restart"/>
            <w:vAlign w:val="center"/>
          </w:tcPr>
          <w:p>
            <w:pPr>
              <w:spacing w:line="240" w:lineRule="auto"/>
              <w:ind w:firstLine="0" w:firstLineChars="0"/>
              <w:jc w:val="center"/>
              <w:rPr>
                <w:sz w:val="21"/>
              </w:rPr>
            </w:pPr>
            <w:r>
              <w:rPr>
                <w:rFonts w:hint="eastAsia"/>
                <w:sz w:val="21"/>
              </w:rPr>
              <w:t>中期</w:t>
            </w:r>
          </w:p>
        </w:tc>
        <w:tc>
          <w:tcPr>
            <w:tcW w:w="391" w:type="pct"/>
            <w:vAlign w:val="center"/>
          </w:tcPr>
          <w:p>
            <w:pPr>
              <w:spacing w:line="240" w:lineRule="auto"/>
              <w:ind w:firstLine="0" w:firstLineChars="0"/>
              <w:jc w:val="center"/>
              <w:rPr>
                <w:sz w:val="21"/>
              </w:rPr>
            </w:pPr>
            <w:r>
              <w:rPr>
                <w:sz w:val="21"/>
              </w:rPr>
              <w:t>昼间</w:t>
            </w:r>
          </w:p>
        </w:tc>
        <w:tc>
          <w:tcPr>
            <w:tcW w:w="351" w:type="pct"/>
            <w:vAlign w:val="center"/>
          </w:tcPr>
          <w:p>
            <w:pPr>
              <w:spacing w:line="240" w:lineRule="auto"/>
              <w:ind w:firstLine="0" w:firstLineChars="0"/>
              <w:jc w:val="right"/>
              <w:rPr>
                <w:rFonts w:ascii="宋体" w:hAnsi="宋体" w:cs="宋体"/>
                <w:sz w:val="21"/>
              </w:rPr>
            </w:pPr>
            <w:r>
              <w:rPr>
                <w:rFonts w:hint="eastAsia"/>
                <w:sz w:val="21"/>
              </w:rPr>
              <w:t>61.84</w:t>
            </w:r>
          </w:p>
        </w:tc>
        <w:tc>
          <w:tcPr>
            <w:tcW w:w="351" w:type="pct"/>
            <w:vAlign w:val="center"/>
          </w:tcPr>
          <w:p>
            <w:pPr>
              <w:spacing w:line="240" w:lineRule="auto"/>
              <w:ind w:firstLine="0" w:firstLineChars="0"/>
              <w:jc w:val="right"/>
              <w:rPr>
                <w:rFonts w:ascii="宋体" w:hAnsi="宋体" w:cs="宋体"/>
                <w:sz w:val="21"/>
              </w:rPr>
            </w:pPr>
            <w:r>
              <w:rPr>
                <w:rFonts w:hint="eastAsia"/>
                <w:sz w:val="21"/>
              </w:rPr>
              <w:t>57.59</w:t>
            </w:r>
          </w:p>
        </w:tc>
        <w:tc>
          <w:tcPr>
            <w:tcW w:w="351" w:type="pct"/>
            <w:vAlign w:val="center"/>
          </w:tcPr>
          <w:p>
            <w:pPr>
              <w:spacing w:line="240" w:lineRule="auto"/>
              <w:ind w:firstLine="0" w:firstLineChars="0"/>
              <w:jc w:val="right"/>
              <w:rPr>
                <w:rFonts w:ascii="宋体" w:hAnsi="宋体" w:cs="宋体"/>
                <w:sz w:val="21"/>
              </w:rPr>
            </w:pPr>
            <w:r>
              <w:rPr>
                <w:rFonts w:hint="eastAsia"/>
                <w:sz w:val="21"/>
              </w:rPr>
              <w:t>54.8</w:t>
            </w:r>
          </w:p>
        </w:tc>
        <w:tc>
          <w:tcPr>
            <w:tcW w:w="351" w:type="pct"/>
            <w:vAlign w:val="center"/>
          </w:tcPr>
          <w:p>
            <w:pPr>
              <w:spacing w:line="240" w:lineRule="auto"/>
              <w:ind w:firstLine="0" w:firstLineChars="0"/>
              <w:jc w:val="right"/>
              <w:rPr>
                <w:rFonts w:ascii="宋体" w:hAnsi="宋体" w:cs="宋体"/>
                <w:sz w:val="21"/>
              </w:rPr>
            </w:pPr>
            <w:r>
              <w:rPr>
                <w:rFonts w:hint="eastAsia"/>
                <w:sz w:val="21"/>
              </w:rPr>
              <w:t>52.67</w:t>
            </w:r>
          </w:p>
        </w:tc>
        <w:tc>
          <w:tcPr>
            <w:tcW w:w="437" w:type="pct"/>
            <w:vAlign w:val="center"/>
          </w:tcPr>
          <w:p>
            <w:pPr>
              <w:spacing w:line="240" w:lineRule="auto"/>
              <w:ind w:firstLine="0" w:firstLineChars="0"/>
              <w:jc w:val="right"/>
              <w:rPr>
                <w:rFonts w:ascii="宋体" w:hAnsi="宋体" w:cs="宋体"/>
                <w:sz w:val="21"/>
              </w:rPr>
            </w:pPr>
            <w:r>
              <w:rPr>
                <w:rFonts w:hint="eastAsia"/>
                <w:sz w:val="21"/>
              </w:rPr>
              <w:t>50.93</w:t>
            </w:r>
          </w:p>
        </w:tc>
        <w:tc>
          <w:tcPr>
            <w:tcW w:w="437" w:type="pct"/>
            <w:vAlign w:val="center"/>
          </w:tcPr>
          <w:p>
            <w:pPr>
              <w:spacing w:line="240" w:lineRule="auto"/>
              <w:ind w:firstLine="0" w:firstLineChars="0"/>
              <w:jc w:val="right"/>
              <w:rPr>
                <w:rFonts w:ascii="宋体" w:hAnsi="宋体" w:cs="宋体"/>
                <w:sz w:val="21"/>
              </w:rPr>
            </w:pPr>
            <w:r>
              <w:rPr>
                <w:rFonts w:hint="eastAsia"/>
                <w:sz w:val="21"/>
              </w:rPr>
              <w:t>49.47</w:t>
            </w:r>
          </w:p>
        </w:tc>
        <w:tc>
          <w:tcPr>
            <w:tcW w:w="437" w:type="pct"/>
            <w:vAlign w:val="center"/>
          </w:tcPr>
          <w:p>
            <w:pPr>
              <w:spacing w:line="240" w:lineRule="auto"/>
              <w:ind w:firstLine="0" w:firstLineChars="0"/>
              <w:jc w:val="right"/>
              <w:rPr>
                <w:rFonts w:ascii="宋体" w:hAnsi="宋体" w:cs="宋体"/>
                <w:sz w:val="21"/>
              </w:rPr>
            </w:pPr>
            <w:r>
              <w:rPr>
                <w:rFonts w:hint="eastAsia"/>
                <w:sz w:val="21"/>
              </w:rPr>
              <w:t>48.2</w:t>
            </w:r>
          </w:p>
        </w:tc>
        <w:tc>
          <w:tcPr>
            <w:tcW w:w="437" w:type="pct"/>
            <w:vAlign w:val="center"/>
          </w:tcPr>
          <w:p>
            <w:pPr>
              <w:spacing w:line="240" w:lineRule="auto"/>
              <w:ind w:firstLine="0" w:firstLineChars="0"/>
              <w:jc w:val="right"/>
              <w:rPr>
                <w:rFonts w:ascii="宋体" w:hAnsi="宋体" w:cs="宋体"/>
                <w:sz w:val="21"/>
              </w:rPr>
            </w:pPr>
            <w:r>
              <w:rPr>
                <w:rFonts w:hint="eastAsia"/>
                <w:sz w:val="21"/>
              </w:rPr>
              <w:t>47.08</w:t>
            </w:r>
          </w:p>
        </w:tc>
        <w:tc>
          <w:tcPr>
            <w:tcW w:w="437" w:type="pct"/>
            <w:vAlign w:val="center"/>
          </w:tcPr>
          <w:p>
            <w:pPr>
              <w:spacing w:line="240" w:lineRule="auto"/>
              <w:ind w:firstLine="0" w:firstLineChars="0"/>
              <w:jc w:val="right"/>
              <w:rPr>
                <w:rFonts w:ascii="宋体" w:hAnsi="宋体" w:cs="宋体"/>
                <w:sz w:val="21"/>
              </w:rPr>
            </w:pPr>
            <w:r>
              <w:rPr>
                <w:rFonts w:hint="eastAsia"/>
                <w:sz w:val="21"/>
              </w:rPr>
              <w:t>46.08</w:t>
            </w:r>
          </w:p>
        </w:tc>
        <w:tc>
          <w:tcPr>
            <w:tcW w:w="459" w:type="pct"/>
            <w:vAlign w:val="center"/>
          </w:tcPr>
          <w:p>
            <w:pPr>
              <w:spacing w:line="240" w:lineRule="auto"/>
              <w:ind w:firstLine="0" w:firstLineChars="0"/>
              <w:jc w:val="right"/>
              <w:rPr>
                <w:rFonts w:ascii="宋体" w:hAnsi="宋体" w:cs="宋体"/>
                <w:sz w:val="21"/>
              </w:rPr>
            </w:pPr>
            <w:r>
              <w:rPr>
                <w:rFonts w:hint="eastAsia"/>
                <w:sz w:val="21"/>
              </w:rPr>
              <w:t>45.17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continue"/>
            <w:vAlign w:val="center"/>
          </w:tcPr>
          <w:p>
            <w:pPr>
              <w:spacing w:line="240" w:lineRule="auto"/>
              <w:ind w:firstLine="0" w:firstLineChars="0"/>
              <w:jc w:val="center"/>
              <w:rPr>
                <w:sz w:val="21"/>
              </w:rPr>
            </w:pPr>
          </w:p>
        </w:tc>
        <w:tc>
          <w:tcPr>
            <w:tcW w:w="391" w:type="pct"/>
            <w:vAlign w:val="center"/>
          </w:tcPr>
          <w:p>
            <w:pPr>
              <w:spacing w:line="240" w:lineRule="auto"/>
              <w:ind w:firstLine="0" w:firstLineChars="0"/>
              <w:jc w:val="center"/>
              <w:rPr>
                <w:sz w:val="21"/>
              </w:rPr>
            </w:pPr>
            <w:r>
              <w:rPr>
                <w:sz w:val="21"/>
              </w:rPr>
              <w:t>夜间</w:t>
            </w:r>
          </w:p>
        </w:tc>
        <w:tc>
          <w:tcPr>
            <w:tcW w:w="351" w:type="pct"/>
            <w:vAlign w:val="center"/>
          </w:tcPr>
          <w:p>
            <w:pPr>
              <w:spacing w:line="240" w:lineRule="auto"/>
              <w:ind w:firstLine="0" w:firstLineChars="0"/>
              <w:jc w:val="right"/>
              <w:rPr>
                <w:rFonts w:ascii="宋体" w:hAnsi="宋体" w:cs="宋体"/>
                <w:sz w:val="21"/>
              </w:rPr>
            </w:pPr>
            <w:r>
              <w:rPr>
                <w:rFonts w:hint="eastAsia"/>
                <w:sz w:val="21"/>
              </w:rPr>
              <w:t>57.13</w:t>
            </w:r>
          </w:p>
        </w:tc>
        <w:tc>
          <w:tcPr>
            <w:tcW w:w="351" w:type="pct"/>
            <w:vAlign w:val="center"/>
          </w:tcPr>
          <w:p>
            <w:pPr>
              <w:spacing w:line="240" w:lineRule="auto"/>
              <w:ind w:firstLine="0" w:firstLineChars="0"/>
              <w:jc w:val="right"/>
              <w:rPr>
                <w:rFonts w:ascii="宋体" w:hAnsi="宋体" w:cs="宋体"/>
                <w:sz w:val="21"/>
              </w:rPr>
            </w:pPr>
            <w:r>
              <w:rPr>
                <w:rFonts w:hint="eastAsia"/>
                <w:sz w:val="21"/>
              </w:rPr>
              <w:t>52.89</w:t>
            </w:r>
          </w:p>
        </w:tc>
        <w:tc>
          <w:tcPr>
            <w:tcW w:w="351" w:type="pct"/>
            <w:vAlign w:val="center"/>
          </w:tcPr>
          <w:p>
            <w:pPr>
              <w:spacing w:line="240" w:lineRule="auto"/>
              <w:ind w:firstLine="0" w:firstLineChars="0"/>
              <w:jc w:val="right"/>
              <w:rPr>
                <w:rFonts w:ascii="宋体" w:hAnsi="宋体" w:cs="宋体"/>
                <w:sz w:val="21"/>
              </w:rPr>
            </w:pPr>
            <w:r>
              <w:rPr>
                <w:rFonts w:hint="eastAsia"/>
                <w:sz w:val="21"/>
              </w:rPr>
              <w:t>50.09</w:t>
            </w:r>
          </w:p>
        </w:tc>
        <w:tc>
          <w:tcPr>
            <w:tcW w:w="351" w:type="pct"/>
            <w:vAlign w:val="center"/>
          </w:tcPr>
          <w:p>
            <w:pPr>
              <w:spacing w:line="240" w:lineRule="auto"/>
              <w:ind w:firstLine="0" w:firstLineChars="0"/>
              <w:jc w:val="right"/>
              <w:rPr>
                <w:rFonts w:ascii="宋体" w:hAnsi="宋体" w:cs="宋体"/>
                <w:sz w:val="21"/>
              </w:rPr>
            </w:pPr>
            <w:r>
              <w:rPr>
                <w:rFonts w:hint="eastAsia"/>
                <w:sz w:val="21"/>
              </w:rPr>
              <w:t>47.96</w:t>
            </w:r>
          </w:p>
        </w:tc>
        <w:tc>
          <w:tcPr>
            <w:tcW w:w="437" w:type="pct"/>
            <w:vAlign w:val="center"/>
          </w:tcPr>
          <w:p>
            <w:pPr>
              <w:spacing w:line="240" w:lineRule="auto"/>
              <w:ind w:firstLine="0" w:firstLineChars="0"/>
              <w:jc w:val="right"/>
              <w:rPr>
                <w:rFonts w:ascii="宋体" w:hAnsi="宋体" w:cs="宋体"/>
                <w:sz w:val="21"/>
              </w:rPr>
            </w:pPr>
            <w:r>
              <w:rPr>
                <w:rFonts w:hint="eastAsia"/>
                <w:sz w:val="21"/>
              </w:rPr>
              <w:t>46.23</w:t>
            </w:r>
          </w:p>
        </w:tc>
        <w:tc>
          <w:tcPr>
            <w:tcW w:w="437" w:type="pct"/>
            <w:vAlign w:val="center"/>
          </w:tcPr>
          <w:p>
            <w:pPr>
              <w:spacing w:line="240" w:lineRule="auto"/>
              <w:ind w:firstLine="0" w:firstLineChars="0"/>
              <w:jc w:val="right"/>
              <w:rPr>
                <w:rFonts w:ascii="宋体" w:hAnsi="宋体" w:cs="宋体"/>
                <w:sz w:val="21"/>
              </w:rPr>
            </w:pPr>
            <w:r>
              <w:rPr>
                <w:rFonts w:hint="eastAsia"/>
                <w:sz w:val="21"/>
              </w:rPr>
              <w:t>44.76</w:t>
            </w:r>
          </w:p>
        </w:tc>
        <w:tc>
          <w:tcPr>
            <w:tcW w:w="437" w:type="pct"/>
            <w:vAlign w:val="center"/>
          </w:tcPr>
          <w:p>
            <w:pPr>
              <w:spacing w:line="240" w:lineRule="auto"/>
              <w:ind w:firstLine="0" w:firstLineChars="0"/>
              <w:jc w:val="right"/>
              <w:rPr>
                <w:rFonts w:ascii="宋体" w:hAnsi="宋体" w:cs="宋体"/>
                <w:sz w:val="21"/>
              </w:rPr>
            </w:pPr>
            <w:r>
              <w:rPr>
                <w:rFonts w:hint="eastAsia"/>
                <w:sz w:val="21"/>
              </w:rPr>
              <w:t>43.49</w:t>
            </w:r>
          </w:p>
        </w:tc>
        <w:tc>
          <w:tcPr>
            <w:tcW w:w="437" w:type="pct"/>
            <w:vAlign w:val="center"/>
          </w:tcPr>
          <w:p>
            <w:pPr>
              <w:spacing w:line="240" w:lineRule="auto"/>
              <w:ind w:firstLine="0" w:firstLineChars="0"/>
              <w:jc w:val="right"/>
              <w:rPr>
                <w:rFonts w:ascii="宋体" w:hAnsi="宋体" w:cs="宋体"/>
                <w:sz w:val="21"/>
              </w:rPr>
            </w:pPr>
            <w:r>
              <w:rPr>
                <w:rFonts w:hint="eastAsia"/>
                <w:sz w:val="21"/>
              </w:rPr>
              <w:t>42.37</w:t>
            </w:r>
          </w:p>
        </w:tc>
        <w:tc>
          <w:tcPr>
            <w:tcW w:w="437" w:type="pct"/>
            <w:vAlign w:val="center"/>
          </w:tcPr>
          <w:p>
            <w:pPr>
              <w:spacing w:line="240" w:lineRule="auto"/>
              <w:ind w:firstLine="0" w:firstLineChars="0"/>
              <w:jc w:val="right"/>
              <w:rPr>
                <w:rFonts w:ascii="宋体" w:hAnsi="宋体" w:cs="宋体"/>
                <w:sz w:val="21"/>
              </w:rPr>
            </w:pPr>
            <w:r>
              <w:rPr>
                <w:rFonts w:hint="eastAsia"/>
                <w:sz w:val="21"/>
              </w:rPr>
              <w:t>41.37</w:t>
            </w:r>
          </w:p>
        </w:tc>
        <w:tc>
          <w:tcPr>
            <w:tcW w:w="459" w:type="pct"/>
            <w:vAlign w:val="center"/>
          </w:tcPr>
          <w:p>
            <w:pPr>
              <w:spacing w:line="240" w:lineRule="auto"/>
              <w:ind w:firstLine="0" w:firstLineChars="0"/>
              <w:jc w:val="right"/>
              <w:rPr>
                <w:rFonts w:ascii="宋体" w:hAnsi="宋体" w:cs="宋体"/>
                <w:sz w:val="21"/>
              </w:rPr>
            </w:pPr>
            <w:r>
              <w:rPr>
                <w:rFonts w:hint="eastAsia"/>
                <w:sz w:val="21"/>
              </w:rPr>
              <w:t>40.46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restart"/>
            <w:vAlign w:val="center"/>
          </w:tcPr>
          <w:p>
            <w:pPr>
              <w:spacing w:line="240" w:lineRule="auto"/>
              <w:ind w:firstLine="0" w:firstLineChars="0"/>
              <w:jc w:val="center"/>
              <w:rPr>
                <w:sz w:val="21"/>
              </w:rPr>
            </w:pPr>
            <w:r>
              <w:rPr>
                <w:rFonts w:hint="eastAsia"/>
                <w:sz w:val="21"/>
              </w:rPr>
              <w:t>远期</w:t>
            </w:r>
          </w:p>
        </w:tc>
        <w:tc>
          <w:tcPr>
            <w:tcW w:w="391" w:type="pct"/>
            <w:vAlign w:val="center"/>
          </w:tcPr>
          <w:p>
            <w:pPr>
              <w:spacing w:line="240" w:lineRule="auto"/>
              <w:ind w:firstLine="0" w:firstLineChars="0"/>
              <w:jc w:val="center"/>
              <w:rPr>
                <w:sz w:val="21"/>
              </w:rPr>
            </w:pPr>
            <w:r>
              <w:rPr>
                <w:sz w:val="21"/>
              </w:rPr>
              <w:t>昼间</w:t>
            </w:r>
          </w:p>
        </w:tc>
        <w:tc>
          <w:tcPr>
            <w:tcW w:w="351" w:type="pct"/>
            <w:vAlign w:val="center"/>
          </w:tcPr>
          <w:p>
            <w:pPr>
              <w:spacing w:line="240" w:lineRule="auto"/>
              <w:ind w:firstLine="0" w:firstLineChars="0"/>
              <w:jc w:val="right"/>
              <w:rPr>
                <w:rFonts w:ascii="宋体" w:hAnsi="宋体" w:cs="宋体"/>
                <w:sz w:val="21"/>
              </w:rPr>
            </w:pPr>
            <w:r>
              <w:rPr>
                <w:rFonts w:hint="eastAsia"/>
                <w:sz w:val="21"/>
              </w:rPr>
              <w:t>63.11</w:t>
            </w:r>
          </w:p>
        </w:tc>
        <w:tc>
          <w:tcPr>
            <w:tcW w:w="351" w:type="pct"/>
            <w:vAlign w:val="center"/>
          </w:tcPr>
          <w:p>
            <w:pPr>
              <w:spacing w:line="240" w:lineRule="auto"/>
              <w:ind w:firstLine="0" w:firstLineChars="0"/>
              <w:jc w:val="right"/>
              <w:rPr>
                <w:rFonts w:ascii="宋体" w:hAnsi="宋体" w:cs="宋体"/>
                <w:sz w:val="21"/>
              </w:rPr>
            </w:pPr>
            <w:r>
              <w:rPr>
                <w:rFonts w:hint="eastAsia"/>
                <w:sz w:val="21"/>
              </w:rPr>
              <w:t>58.87</w:t>
            </w:r>
          </w:p>
        </w:tc>
        <w:tc>
          <w:tcPr>
            <w:tcW w:w="351" w:type="pct"/>
            <w:vAlign w:val="center"/>
          </w:tcPr>
          <w:p>
            <w:pPr>
              <w:spacing w:line="240" w:lineRule="auto"/>
              <w:ind w:firstLine="0" w:firstLineChars="0"/>
              <w:jc w:val="right"/>
              <w:rPr>
                <w:rFonts w:ascii="宋体" w:hAnsi="宋体" w:cs="宋体"/>
                <w:sz w:val="21"/>
              </w:rPr>
            </w:pPr>
            <w:r>
              <w:rPr>
                <w:rFonts w:hint="eastAsia"/>
                <w:sz w:val="21"/>
              </w:rPr>
              <w:t>56.08</w:t>
            </w:r>
          </w:p>
        </w:tc>
        <w:tc>
          <w:tcPr>
            <w:tcW w:w="351" w:type="pct"/>
            <w:vAlign w:val="center"/>
          </w:tcPr>
          <w:p>
            <w:pPr>
              <w:spacing w:line="240" w:lineRule="auto"/>
              <w:ind w:firstLine="0" w:firstLineChars="0"/>
              <w:jc w:val="right"/>
              <w:rPr>
                <w:rFonts w:ascii="宋体" w:hAnsi="宋体" w:cs="宋体"/>
                <w:sz w:val="21"/>
              </w:rPr>
            </w:pPr>
            <w:r>
              <w:rPr>
                <w:rFonts w:hint="eastAsia"/>
                <w:sz w:val="21"/>
              </w:rPr>
              <w:t>53.94</w:t>
            </w:r>
          </w:p>
        </w:tc>
        <w:tc>
          <w:tcPr>
            <w:tcW w:w="437" w:type="pct"/>
            <w:vAlign w:val="center"/>
          </w:tcPr>
          <w:p>
            <w:pPr>
              <w:spacing w:line="240" w:lineRule="auto"/>
              <w:ind w:firstLine="0" w:firstLineChars="0"/>
              <w:jc w:val="right"/>
              <w:rPr>
                <w:rFonts w:ascii="宋体" w:hAnsi="宋体" w:cs="宋体"/>
                <w:sz w:val="21"/>
              </w:rPr>
            </w:pPr>
            <w:r>
              <w:rPr>
                <w:rFonts w:hint="eastAsia"/>
                <w:sz w:val="21"/>
              </w:rPr>
              <w:t>52.21</w:t>
            </w:r>
          </w:p>
        </w:tc>
        <w:tc>
          <w:tcPr>
            <w:tcW w:w="437" w:type="pct"/>
            <w:vAlign w:val="center"/>
          </w:tcPr>
          <w:p>
            <w:pPr>
              <w:spacing w:line="240" w:lineRule="auto"/>
              <w:ind w:firstLine="0" w:firstLineChars="0"/>
              <w:jc w:val="right"/>
              <w:rPr>
                <w:rFonts w:ascii="宋体" w:hAnsi="宋体" w:cs="宋体"/>
                <w:sz w:val="21"/>
              </w:rPr>
            </w:pPr>
            <w:r>
              <w:rPr>
                <w:rFonts w:hint="eastAsia"/>
                <w:sz w:val="21"/>
              </w:rPr>
              <w:t>50.74</w:t>
            </w:r>
          </w:p>
        </w:tc>
        <w:tc>
          <w:tcPr>
            <w:tcW w:w="437" w:type="pct"/>
            <w:vAlign w:val="center"/>
          </w:tcPr>
          <w:p>
            <w:pPr>
              <w:spacing w:line="240" w:lineRule="auto"/>
              <w:ind w:firstLine="0" w:firstLineChars="0"/>
              <w:jc w:val="right"/>
              <w:rPr>
                <w:rFonts w:ascii="宋体" w:hAnsi="宋体" w:cs="宋体"/>
                <w:sz w:val="21"/>
              </w:rPr>
            </w:pPr>
            <w:r>
              <w:rPr>
                <w:rFonts w:hint="eastAsia"/>
                <w:sz w:val="21"/>
              </w:rPr>
              <w:t>49.47</w:t>
            </w:r>
          </w:p>
        </w:tc>
        <w:tc>
          <w:tcPr>
            <w:tcW w:w="437" w:type="pct"/>
            <w:vAlign w:val="center"/>
          </w:tcPr>
          <w:p>
            <w:pPr>
              <w:spacing w:line="240" w:lineRule="auto"/>
              <w:ind w:firstLine="0" w:firstLineChars="0"/>
              <w:jc w:val="right"/>
              <w:rPr>
                <w:rFonts w:ascii="宋体" w:hAnsi="宋体" w:cs="宋体"/>
                <w:sz w:val="21"/>
              </w:rPr>
            </w:pPr>
            <w:r>
              <w:rPr>
                <w:rFonts w:hint="eastAsia"/>
                <w:sz w:val="21"/>
              </w:rPr>
              <w:t>48.35</w:t>
            </w:r>
          </w:p>
        </w:tc>
        <w:tc>
          <w:tcPr>
            <w:tcW w:w="437" w:type="pct"/>
            <w:vAlign w:val="center"/>
          </w:tcPr>
          <w:p>
            <w:pPr>
              <w:spacing w:line="240" w:lineRule="auto"/>
              <w:ind w:firstLine="0" w:firstLineChars="0"/>
              <w:jc w:val="right"/>
              <w:rPr>
                <w:rFonts w:ascii="宋体" w:hAnsi="宋体" w:cs="宋体"/>
                <w:sz w:val="21"/>
              </w:rPr>
            </w:pPr>
            <w:r>
              <w:rPr>
                <w:rFonts w:hint="eastAsia"/>
                <w:sz w:val="21"/>
              </w:rPr>
              <w:t>47.35</w:t>
            </w:r>
          </w:p>
        </w:tc>
        <w:tc>
          <w:tcPr>
            <w:tcW w:w="459" w:type="pct"/>
            <w:vAlign w:val="center"/>
          </w:tcPr>
          <w:p>
            <w:pPr>
              <w:spacing w:line="240" w:lineRule="auto"/>
              <w:ind w:firstLine="0" w:firstLineChars="0"/>
              <w:jc w:val="right"/>
              <w:rPr>
                <w:rFonts w:ascii="宋体" w:hAnsi="宋体" w:cs="宋体"/>
                <w:sz w:val="21"/>
              </w:rPr>
            </w:pPr>
            <w:r>
              <w:rPr>
                <w:rFonts w:hint="eastAsia"/>
                <w:sz w:val="21"/>
              </w:rPr>
              <w:t>46.44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60" w:type="pct"/>
            <w:vMerge w:val="continue"/>
            <w:vAlign w:val="center"/>
          </w:tcPr>
          <w:p>
            <w:pPr>
              <w:spacing w:line="240" w:lineRule="auto"/>
              <w:ind w:firstLine="0" w:firstLineChars="0"/>
              <w:jc w:val="center"/>
              <w:rPr>
                <w:sz w:val="21"/>
              </w:rPr>
            </w:pPr>
          </w:p>
        </w:tc>
        <w:tc>
          <w:tcPr>
            <w:tcW w:w="391" w:type="pct"/>
            <w:vAlign w:val="center"/>
          </w:tcPr>
          <w:p>
            <w:pPr>
              <w:spacing w:line="240" w:lineRule="auto"/>
              <w:ind w:firstLine="0" w:firstLineChars="0"/>
              <w:jc w:val="center"/>
              <w:rPr>
                <w:sz w:val="21"/>
              </w:rPr>
            </w:pPr>
            <w:r>
              <w:rPr>
                <w:sz w:val="21"/>
              </w:rPr>
              <w:t>夜间</w:t>
            </w:r>
          </w:p>
        </w:tc>
        <w:tc>
          <w:tcPr>
            <w:tcW w:w="351" w:type="pct"/>
            <w:vAlign w:val="center"/>
          </w:tcPr>
          <w:p>
            <w:pPr>
              <w:spacing w:line="240" w:lineRule="auto"/>
              <w:ind w:firstLine="0" w:firstLineChars="0"/>
              <w:jc w:val="right"/>
              <w:rPr>
                <w:rFonts w:ascii="宋体" w:hAnsi="宋体" w:cs="宋体"/>
                <w:sz w:val="21"/>
              </w:rPr>
            </w:pPr>
            <w:r>
              <w:rPr>
                <w:rFonts w:hint="eastAsia"/>
                <w:sz w:val="21"/>
              </w:rPr>
              <w:t>58.38</w:t>
            </w:r>
          </w:p>
        </w:tc>
        <w:tc>
          <w:tcPr>
            <w:tcW w:w="351" w:type="pct"/>
            <w:vAlign w:val="center"/>
          </w:tcPr>
          <w:p>
            <w:pPr>
              <w:spacing w:line="240" w:lineRule="auto"/>
              <w:ind w:firstLine="0" w:firstLineChars="0"/>
              <w:jc w:val="right"/>
              <w:rPr>
                <w:rFonts w:ascii="宋体" w:hAnsi="宋体" w:cs="宋体"/>
                <w:sz w:val="21"/>
              </w:rPr>
            </w:pPr>
            <w:r>
              <w:rPr>
                <w:rFonts w:hint="eastAsia"/>
                <w:sz w:val="21"/>
              </w:rPr>
              <w:t>54.13</w:t>
            </w:r>
          </w:p>
        </w:tc>
        <w:tc>
          <w:tcPr>
            <w:tcW w:w="351" w:type="pct"/>
            <w:vAlign w:val="center"/>
          </w:tcPr>
          <w:p>
            <w:pPr>
              <w:spacing w:line="240" w:lineRule="auto"/>
              <w:ind w:firstLine="0" w:firstLineChars="0"/>
              <w:jc w:val="right"/>
              <w:rPr>
                <w:rFonts w:ascii="宋体" w:hAnsi="宋体" w:cs="宋体"/>
                <w:sz w:val="21"/>
              </w:rPr>
            </w:pPr>
            <w:r>
              <w:rPr>
                <w:rFonts w:hint="eastAsia"/>
                <w:sz w:val="21"/>
              </w:rPr>
              <w:t>51.34</w:t>
            </w:r>
          </w:p>
        </w:tc>
        <w:tc>
          <w:tcPr>
            <w:tcW w:w="351" w:type="pct"/>
            <w:vAlign w:val="center"/>
          </w:tcPr>
          <w:p>
            <w:pPr>
              <w:spacing w:line="240" w:lineRule="auto"/>
              <w:ind w:firstLine="0" w:firstLineChars="0"/>
              <w:jc w:val="right"/>
              <w:rPr>
                <w:rFonts w:ascii="宋体" w:hAnsi="宋体" w:cs="宋体"/>
                <w:sz w:val="21"/>
              </w:rPr>
            </w:pPr>
            <w:r>
              <w:rPr>
                <w:rFonts w:hint="eastAsia"/>
                <w:sz w:val="21"/>
              </w:rPr>
              <w:t>49.2</w:t>
            </w:r>
          </w:p>
        </w:tc>
        <w:tc>
          <w:tcPr>
            <w:tcW w:w="437" w:type="pct"/>
            <w:vAlign w:val="center"/>
          </w:tcPr>
          <w:p>
            <w:pPr>
              <w:spacing w:line="240" w:lineRule="auto"/>
              <w:ind w:firstLine="0" w:firstLineChars="0"/>
              <w:jc w:val="right"/>
              <w:rPr>
                <w:rFonts w:ascii="宋体" w:hAnsi="宋体" w:cs="宋体"/>
                <w:sz w:val="21"/>
              </w:rPr>
            </w:pPr>
            <w:r>
              <w:rPr>
                <w:rFonts w:hint="eastAsia"/>
                <w:sz w:val="21"/>
              </w:rPr>
              <w:t>47.47</w:t>
            </w:r>
          </w:p>
        </w:tc>
        <w:tc>
          <w:tcPr>
            <w:tcW w:w="437" w:type="pct"/>
            <w:vAlign w:val="center"/>
          </w:tcPr>
          <w:p>
            <w:pPr>
              <w:spacing w:line="240" w:lineRule="auto"/>
              <w:ind w:firstLine="0" w:firstLineChars="0"/>
              <w:jc w:val="right"/>
              <w:rPr>
                <w:rFonts w:ascii="宋体" w:hAnsi="宋体" w:cs="宋体"/>
                <w:sz w:val="21"/>
              </w:rPr>
            </w:pPr>
            <w:r>
              <w:rPr>
                <w:rFonts w:hint="eastAsia"/>
                <w:sz w:val="21"/>
              </w:rPr>
              <w:t>46</w:t>
            </w:r>
          </w:p>
        </w:tc>
        <w:tc>
          <w:tcPr>
            <w:tcW w:w="437" w:type="pct"/>
            <w:vAlign w:val="center"/>
          </w:tcPr>
          <w:p>
            <w:pPr>
              <w:spacing w:line="240" w:lineRule="auto"/>
              <w:ind w:firstLine="0" w:firstLineChars="0"/>
              <w:jc w:val="right"/>
              <w:rPr>
                <w:rFonts w:ascii="宋体" w:hAnsi="宋体" w:cs="宋体"/>
                <w:sz w:val="21"/>
              </w:rPr>
            </w:pPr>
            <w:r>
              <w:rPr>
                <w:rFonts w:hint="eastAsia"/>
                <w:sz w:val="21"/>
              </w:rPr>
              <w:t>44.73</w:t>
            </w:r>
          </w:p>
        </w:tc>
        <w:tc>
          <w:tcPr>
            <w:tcW w:w="437" w:type="pct"/>
            <w:vAlign w:val="center"/>
          </w:tcPr>
          <w:p>
            <w:pPr>
              <w:spacing w:line="240" w:lineRule="auto"/>
              <w:ind w:firstLine="0" w:firstLineChars="0"/>
              <w:jc w:val="right"/>
              <w:rPr>
                <w:rFonts w:ascii="宋体" w:hAnsi="宋体" w:cs="宋体"/>
                <w:sz w:val="21"/>
              </w:rPr>
            </w:pPr>
            <w:r>
              <w:rPr>
                <w:rFonts w:hint="eastAsia"/>
                <w:sz w:val="21"/>
              </w:rPr>
              <w:t>43.61</w:t>
            </w:r>
          </w:p>
        </w:tc>
        <w:tc>
          <w:tcPr>
            <w:tcW w:w="437" w:type="pct"/>
            <w:vAlign w:val="center"/>
          </w:tcPr>
          <w:p>
            <w:pPr>
              <w:spacing w:line="240" w:lineRule="auto"/>
              <w:ind w:firstLine="0" w:firstLineChars="0"/>
              <w:jc w:val="right"/>
              <w:rPr>
                <w:rFonts w:ascii="宋体" w:hAnsi="宋体" w:cs="宋体"/>
                <w:sz w:val="21"/>
              </w:rPr>
            </w:pPr>
            <w:r>
              <w:rPr>
                <w:rFonts w:hint="eastAsia"/>
                <w:sz w:val="21"/>
              </w:rPr>
              <w:t>42.61</w:t>
            </w:r>
          </w:p>
        </w:tc>
        <w:tc>
          <w:tcPr>
            <w:tcW w:w="459" w:type="pct"/>
            <w:vAlign w:val="center"/>
          </w:tcPr>
          <w:p>
            <w:pPr>
              <w:spacing w:line="240" w:lineRule="auto"/>
              <w:ind w:firstLine="0" w:firstLineChars="0"/>
              <w:jc w:val="right"/>
              <w:rPr>
                <w:rFonts w:ascii="宋体" w:hAnsi="宋体" w:cs="宋体"/>
                <w:sz w:val="21"/>
              </w:rPr>
            </w:pPr>
            <w:r>
              <w:rPr>
                <w:rFonts w:hint="eastAsia"/>
                <w:sz w:val="21"/>
              </w:rPr>
              <w:t>41.7</w:t>
            </w:r>
          </w:p>
        </w:tc>
      </w:tr>
    </w:tbl>
    <w:p>
      <w:pPr>
        <w:ind w:firstLine="472"/>
      </w:pPr>
      <w:r>
        <w:rPr>
          <w:spacing w:val="-2"/>
        </w:rPr>
        <w:t>以《声环境质量标准》（</w:t>
      </w:r>
      <w:r>
        <w:rPr>
          <w:rFonts w:eastAsia="Times New Roman"/>
          <w:spacing w:val="-2"/>
        </w:rPr>
        <w:t>GB3096-2008</w:t>
      </w:r>
      <w:r>
        <w:rPr>
          <w:spacing w:val="-2"/>
        </w:rPr>
        <w:t>）中标准限值为基准，预测各特</w:t>
      </w:r>
      <w:r>
        <w:t>征年交通噪声辐射噪声达标距离（距道路中心线的距离），结果见表</w:t>
      </w:r>
      <w:r>
        <w:rPr>
          <w:rFonts w:hint="eastAsia"/>
        </w:rPr>
        <w:t>5.2-</w:t>
      </w:r>
      <w:r>
        <w:t>8</w:t>
      </w:r>
      <w:r>
        <w:rPr>
          <w:rFonts w:hint="eastAsia"/>
        </w:rPr>
        <w:t>。</w:t>
      </w:r>
    </w:p>
    <w:p>
      <w:pPr>
        <w:adjustRightInd w:val="0"/>
        <w:snapToGrid w:val="0"/>
        <w:ind w:firstLine="0" w:firstLineChars="0"/>
        <w:jc w:val="center"/>
        <w:rPr>
          <w:b/>
          <w:sz w:val="21"/>
        </w:rPr>
      </w:pPr>
      <w:r>
        <w:rPr>
          <w:b/>
          <w:sz w:val="21"/>
        </w:rPr>
        <w:t>表</w:t>
      </w:r>
      <w:r>
        <w:rPr>
          <w:rFonts w:hint="eastAsia"/>
          <w:b/>
          <w:sz w:val="21"/>
        </w:rPr>
        <w:t>5.2-</w:t>
      </w:r>
      <w:r>
        <w:rPr>
          <w:b/>
          <w:sz w:val="21"/>
        </w:rPr>
        <w:t>8</w:t>
      </w:r>
      <w:r>
        <w:rPr>
          <w:rFonts w:hint="eastAsia"/>
          <w:b/>
          <w:sz w:val="21"/>
        </w:rPr>
        <w:t xml:space="preserve"> </w:t>
      </w:r>
      <w:r>
        <w:rPr>
          <w:b/>
          <w:sz w:val="21"/>
        </w:rPr>
        <w:t>营运期交通辐射噪声达标距离（距中心线距离）</w:t>
      </w:r>
      <w:r>
        <w:rPr>
          <w:b/>
          <w:sz w:val="21"/>
        </w:rPr>
        <w:tab/>
      </w:r>
      <w:r>
        <w:rPr>
          <w:b/>
          <w:sz w:val="21"/>
        </w:rPr>
        <w:t>单位：m</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90"/>
        <w:gridCol w:w="1789"/>
        <w:gridCol w:w="1790"/>
        <w:gridCol w:w="1789"/>
        <w:gridCol w:w="186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9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预测年限</w:t>
            </w:r>
          </w:p>
        </w:tc>
        <w:tc>
          <w:tcPr>
            <w:tcW w:w="1983" w:type="pct"/>
            <w:gridSpan w:val="2"/>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bCs/>
                <w:sz w:val="21"/>
                <w:szCs w:val="21"/>
              </w:rPr>
              <w:t>4a</w:t>
            </w:r>
            <w:r>
              <w:rPr>
                <w:rFonts w:ascii="Times New Roman" w:hAnsi="Times New Roman" w:cs="Times New Roman"/>
                <w:bCs/>
                <w:sz w:val="21"/>
                <w:szCs w:val="21"/>
              </w:rPr>
              <w:t>类</w:t>
            </w:r>
          </w:p>
        </w:tc>
        <w:tc>
          <w:tcPr>
            <w:tcW w:w="2026" w:type="pct"/>
            <w:gridSpan w:val="2"/>
            <w:vAlign w:val="center"/>
          </w:tcPr>
          <w:p>
            <w:pPr>
              <w:pStyle w:val="675"/>
              <w:jc w:val="center"/>
              <w:rPr>
                <w:rFonts w:ascii="Times New Roman" w:hAnsi="Times New Roman" w:cs="Times New Roman"/>
                <w:sz w:val="21"/>
                <w:szCs w:val="21"/>
              </w:rPr>
            </w:pPr>
            <w:r>
              <w:rPr>
                <w:rFonts w:ascii="Times New Roman" w:hAnsi="Times New Roman" w:eastAsia="Times New Roman" w:cs="Times New Roman"/>
                <w:bCs/>
                <w:sz w:val="21"/>
                <w:szCs w:val="21"/>
              </w:rPr>
              <w:t>2</w:t>
            </w:r>
            <w:r>
              <w:rPr>
                <w:rFonts w:ascii="Times New Roman" w:hAnsi="Times New Roman" w:cs="Times New Roman"/>
                <w:bCs/>
                <w:sz w:val="21"/>
                <w:szCs w:val="21"/>
              </w:rPr>
              <w:t>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92" w:type="pct"/>
            <w:vMerge w:val="continue"/>
            <w:vAlign w:val="center"/>
          </w:tcPr>
          <w:p>
            <w:pPr>
              <w:spacing w:line="240" w:lineRule="auto"/>
              <w:ind w:firstLine="0" w:firstLineChars="0"/>
              <w:jc w:val="center"/>
              <w:rPr>
                <w:kern w:val="0"/>
                <w:szCs w:val="22"/>
                <w:lang w:eastAsia="en-US"/>
              </w:rPr>
            </w:pPr>
          </w:p>
        </w:tc>
        <w:tc>
          <w:tcPr>
            <w:tcW w:w="991"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昼间</w:t>
            </w:r>
          </w:p>
        </w:tc>
        <w:tc>
          <w:tcPr>
            <w:tcW w:w="9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夜间</w:t>
            </w:r>
          </w:p>
        </w:tc>
        <w:tc>
          <w:tcPr>
            <w:tcW w:w="991"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昼间</w:t>
            </w:r>
          </w:p>
        </w:tc>
        <w:tc>
          <w:tcPr>
            <w:tcW w:w="1035"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92"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近期</w:t>
            </w:r>
          </w:p>
        </w:tc>
        <w:tc>
          <w:tcPr>
            <w:tcW w:w="99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c>
          <w:tcPr>
            <w:tcW w:w="992" w:type="pct"/>
            <w:vAlign w:val="center"/>
          </w:tcPr>
          <w:p>
            <w:pPr>
              <w:pStyle w:val="675"/>
              <w:jc w:val="center"/>
              <w:rPr>
                <w:rFonts w:ascii="Times New Roman" w:hAnsi="Times New Roman" w:eastAsia="Times New Roman" w:cs="Times New Roman"/>
                <w:sz w:val="21"/>
                <w:szCs w:val="21"/>
              </w:rPr>
            </w:pPr>
            <w:r>
              <w:rPr>
                <w:rFonts w:hint="eastAsia" w:ascii="Times New Roman" w:hAnsi="Times New Roman" w:cs="Times New Roman"/>
                <w:sz w:val="21"/>
                <w:szCs w:val="21"/>
                <w:lang w:eastAsia="zh-CN"/>
              </w:rPr>
              <w:t>25</w:t>
            </w:r>
          </w:p>
        </w:tc>
        <w:tc>
          <w:tcPr>
            <w:tcW w:w="99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w:t>
            </w:r>
          </w:p>
        </w:tc>
        <w:tc>
          <w:tcPr>
            <w:tcW w:w="1035" w:type="pct"/>
            <w:vAlign w:val="center"/>
          </w:tcPr>
          <w:p>
            <w:pPr>
              <w:pStyle w:val="675"/>
              <w:jc w:val="center"/>
              <w:rPr>
                <w:rFonts w:ascii="Times New Roman" w:hAnsi="Times New Roman" w:eastAsia="Times New Roman" w:cs="Times New Roman"/>
                <w:sz w:val="21"/>
                <w:szCs w:val="21"/>
              </w:rPr>
            </w:pPr>
            <w:r>
              <w:rPr>
                <w:rFonts w:hint="eastAsia" w:ascii="Times New Roman" w:hAnsi="Times New Roman" w:cs="Times New Roman"/>
                <w:sz w:val="21"/>
                <w:szCs w:val="21"/>
                <w:lang w:eastAsia="zh-CN"/>
              </w:rPr>
              <w:t>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92"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中期</w:t>
            </w:r>
          </w:p>
        </w:tc>
        <w:tc>
          <w:tcPr>
            <w:tcW w:w="991" w:type="pct"/>
            <w:vAlign w:val="center"/>
          </w:tcPr>
          <w:p>
            <w:pPr>
              <w:pStyle w:val="675"/>
              <w:jc w:val="center"/>
              <w:rPr>
                <w:rFonts w:ascii="Times New Roman" w:hAnsi="Times New Roman" w:cs="Times New Roman"/>
                <w:sz w:val="21"/>
                <w:lang w:eastAsia="zh-CN"/>
              </w:rPr>
            </w:pPr>
            <w:r>
              <w:rPr>
                <w:rFonts w:hint="eastAsia" w:ascii="Times New Roman" w:hAnsi="Times New Roman" w:cs="Times New Roman"/>
                <w:sz w:val="21"/>
                <w:lang w:eastAsia="zh-CN"/>
              </w:rPr>
              <w:t>2</w:t>
            </w:r>
          </w:p>
        </w:tc>
        <w:tc>
          <w:tcPr>
            <w:tcW w:w="992" w:type="pct"/>
            <w:vAlign w:val="center"/>
          </w:tcPr>
          <w:p>
            <w:pPr>
              <w:pStyle w:val="675"/>
              <w:jc w:val="center"/>
              <w:rPr>
                <w:rFonts w:ascii="Times New Roman" w:hAnsi="Times New Roman" w:cs="Times New Roman"/>
                <w:sz w:val="21"/>
                <w:lang w:eastAsia="zh-CN"/>
              </w:rPr>
            </w:pPr>
            <w:r>
              <w:rPr>
                <w:rFonts w:hint="eastAsia" w:ascii="Times New Roman" w:hAnsi="Times New Roman" w:cs="Times New Roman"/>
                <w:sz w:val="21"/>
                <w:lang w:eastAsia="zh-CN"/>
              </w:rPr>
              <w:t>29</w:t>
            </w:r>
          </w:p>
        </w:tc>
        <w:tc>
          <w:tcPr>
            <w:tcW w:w="991" w:type="pct"/>
            <w:vAlign w:val="center"/>
          </w:tcPr>
          <w:p>
            <w:pPr>
              <w:pStyle w:val="675"/>
              <w:jc w:val="center"/>
              <w:rPr>
                <w:rFonts w:ascii="Times New Roman" w:hAnsi="Times New Roman" w:cs="Times New Roman"/>
                <w:sz w:val="21"/>
                <w:lang w:eastAsia="zh-CN"/>
              </w:rPr>
            </w:pPr>
            <w:r>
              <w:rPr>
                <w:rFonts w:hint="eastAsia" w:ascii="Times New Roman" w:hAnsi="Times New Roman" w:cs="Times New Roman"/>
                <w:sz w:val="21"/>
                <w:lang w:eastAsia="zh-CN"/>
              </w:rPr>
              <w:t>/</w:t>
            </w:r>
          </w:p>
        </w:tc>
        <w:tc>
          <w:tcPr>
            <w:tcW w:w="1035" w:type="pct"/>
            <w:vAlign w:val="center"/>
          </w:tcPr>
          <w:p>
            <w:pPr>
              <w:pStyle w:val="675"/>
              <w:jc w:val="center"/>
              <w:rPr>
                <w:rFonts w:ascii="Times New Roman" w:hAnsi="Times New Roman" w:cs="Times New Roman"/>
                <w:sz w:val="21"/>
                <w:lang w:eastAsia="zh-CN"/>
              </w:rPr>
            </w:pPr>
            <w:r>
              <w:rPr>
                <w:rFonts w:hint="eastAsia" w:ascii="Times New Roman" w:hAnsi="Times New Roman" w:cs="Times New Roman"/>
                <w:sz w:val="21"/>
                <w:lang w:eastAsia="zh-CN"/>
              </w:rPr>
              <w:t>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992"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远期</w:t>
            </w:r>
          </w:p>
        </w:tc>
        <w:tc>
          <w:tcPr>
            <w:tcW w:w="99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w:t>
            </w:r>
          </w:p>
        </w:tc>
        <w:tc>
          <w:tcPr>
            <w:tcW w:w="992"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30</w:t>
            </w:r>
          </w:p>
        </w:tc>
        <w:tc>
          <w:tcPr>
            <w:tcW w:w="99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34</w:t>
            </w:r>
          </w:p>
        </w:tc>
        <w:tc>
          <w:tcPr>
            <w:tcW w:w="103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73</w:t>
            </w:r>
          </w:p>
        </w:tc>
      </w:tr>
    </w:tbl>
    <w:p>
      <w:pPr>
        <w:ind w:firstLine="480"/>
      </w:pPr>
      <w:r>
        <w:t>（</w:t>
      </w:r>
      <w:r>
        <w:rPr>
          <w:rFonts w:eastAsia="Times New Roman"/>
        </w:rPr>
        <w:t>1</w:t>
      </w:r>
      <w:r>
        <w:t>）</w:t>
      </w:r>
      <w:r>
        <w:rPr>
          <w:szCs w:val="24"/>
        </w:rPr>
        <w:t>营</w:t>
      </w:r>
      <w:r>
        <w:t>运期交通噪声预测结果分析</w:t>
      </w:r>
    </w:p>
    <w:p>
      <w:pPr>
        <w:ind w:firstLine="480"/>
      </w:pPr>
      <w:r>
        <w:t>由以上交通噪声预测结果可知，在环境开阔地带，在不考虑声波传播途径中障碍物等引起的衰减量你给的情况下：</w:t>
      </w:r>
      <w:r>
        <w:rPr>
          <w:rFonts w:hint="eastAsia"/>
          <w:szCs w:val="24"/>
        </w:rPr>
        <w:t>本项目</w:t>
      </w:r>
      <w:r>
        <w:rPr>
          <w:rFonts w:hint="eastAsia"/>
        </w:rPr>
        <w:t>在特征年中</w:t>
      </w:r>
      <w:r>
        <w:rPr>
          <w:rFonts w:eastAsia="Times New Roman"/>
        </w:rPr>
        <w:t>4a</w:t>
      </w:r>
      <w:r>
        <w:t>类区昼间达标距离为距离中心线</w:t>
      </w:r>
      <w:r>
        <w:rPr>
          <w:rFonts w:hint="eastAsia"/>
        </w:rPr>
        <w:t>1</w:t>
      </w:r>
      <w:r>
        <w:rPr>
          <w:rFonts w:eastAsia="Times New Roman"/>
        </w:rPr>
        <w:t>-</w:t>
      </w:r>
      <w:r>
        <w:rPr>
          <w:rFonts w:hint="eastAsia"/>
        </w:rPr>
        <w:t>5</w:t>
      </w:r>
      <w:r>
        <w:rPr>
          <w:rFonts w:eastAsia="Times New Roman"/>
        </w:rPr>
        <w:t>m</w:t>
      </w:r>
      <w:r>
        <w:t>，夜间达标距离为距离中心线</w:t>
      </w:r>
      <w:r>
        <w:rPr>
          <w:rFonts w:hint="eastAsia"/>
        </w:rPr>
        <w:t>25-35</w:t>
      </w:r>
      <w:r>
        <w:rPr>
          <w:rFonts w:eastAsia="Times New Roman"/>
        </w:rPr>
        <w:t>m</w:t>
      </w:r>
      <w:r>
        <w:t>；</w:t>
      </w:r>
      <w:r>
        <w:rPr>
          <w:rFonts w:eastAsia="Times New Roman"/>
        </w:rPr>
        <w:t>2</w:t>
      </w:r>
      <w:r>
        <w:t>类区昼间达标距离为距离中心线</w:t>
      </w:r>
      <w:r>
        <w:rPr>
          <w:rFonts w:hint="eastAsia"/>
        </w:rPr>
        <w:t>0-34</w:t>
      </w:r>
      <w:r>
        <w:rPr>
          <w:rFonts w:eastAsia="Times New Roman"/>
        </w:rPr>
        <w:t>m</w:t>
      </w:r>
      <w:r>
        <w:t>，</w:t>
      </w:r>
      <w:r>
        <w:rPr>
          <w:rFonts w:hint="eastAsia"/>
        </w:rPr>
        <w:t>夜间</w:t>
      </w:r>
      <w:r>
        <w:t>达标距离为距离中心线</w:t>
      </w:r>
      <w:r>
        <w:rPr>
          <w:rFonts w:hint="eastAsia"/>
        </w:rPr>
        <w:t>55-73</w:t>
      </w:r>
      <w:r>
        <w:rPr>
          <w:rFonts w:eastAsia="Times New Roman"/>
        </w:rPr>
        <w:t>m</w:t>
      </w:r>
      <w:r>
        <w:rPr>
          <w:rFonts w:hint="eastAsia"/>
        </w:rPr>
        <w:t>，本项目在特征年</w:t>
      </w:r>
      <w:r>
        <w:t>达标距离均在</w:t>
      </w:r>
      <w:r>
        <w:rPr>
          <w:rFonts w:hint="eastAsia"/>
        </w:rPr>
        <w:t>100</w:t>
      </w:r>
      <w:r>
        <w:rPr>
          <w:rFonts w:eastAsia="Times New Roman"/>
        </w:rPr>
        <w:t>m</w:t>
      </w:r>
      <w:r>
        <w:rPr>
          <w:rFonts w:hint="eastAsia"/>
        </w:rPr>
        <w:t>内</w:t>
      </w:r>
      <w:r>
        <w:t>。</w:t>
      </w:r>
    </w:p>
    <w:p>
      <w:pPr>
        <w:ind w:firstLine="480"/>
      </w:pPr>
      <w:r>
        <w:t>（</w:t>
      </w:r>
      <w:r>
        <w:rPr>
          <w:rFonts w:hint="eastAsia" w:eastAsiaTheme="minorEastAsia"/>
        </w:rPr>
        <w:t>2</w:t>
      </w:r>
      <w:r>
        <w:t>）建议各路段噪声污染防护距离范围内，首排不应规划建设学习、医院及居民住宅等噪声敏感建筑，在规划和建设过程中充分考虑交通噪声的影响。</w:t>
      </w:r>
    </w:p>
    <w:p>
      <w:pPr>
        <w:ind w:firstLine="480"/>
      </w:pPr>
      <w:r>
        <w:t>根据《地面交通噪声污染防治技术政策》（环发</w:t>
      </w:r>
      <w:r>
        <w:rPr>
          <w:rFonts w:eastAsia="Times New Roman"/>
        </w:rPr>
        <w:t>[2010]7</w:t>
      </w:r>
      <w:r>
        <w:t>号），敏感点噪声防护应遵循以下原则：</w:t>
      </w:r>
    </w:p>
    <w:p>
      <w:pPr>
        <w:ind w:firstLine="480"/>
      </w:pPr>
      <w:r>
        <w:rPr>
          <w:rFonts w:hint="eastAsia" w:ascii="宋体" w:hAnsi="宋体" w:cs="宋体"/>
        </w:rPr>
        <w:t>①</w:t>
      </w:r>
      <w:r>
        <w:t>建筑设计单位应依据《民用建筑隔声设计规范》等有关规范文件，考虑周</w:t>
      </w:r>
      <w:r>
        <w:rPr>
          <w:spacing w:val="4"/>
        </w:rPr>
        <w:t>边环境特点，对噪声敏感建筑物进行隔声设计，使室内声环境质量符合规范要</w:t>
      </w:r>
      <w:r>
        <w:t>求。</w:t>
      </w:r>
    </w:p>
    <w:p>
      <w:pPr>
        <w:ind w:firstLine="496"/>
      </w:pPr>
      <w:r>
        <w:rPr>
          <w:rFonts w:hint="eastAsia" w:ascii="宋体" w:hAnsi="宋体" w:cs="宋体"/>
          <w:spacing w:val="4"/>
        </w:rPr>
        <w:t>②</w:t>
      </w:r>
      <w:r>
        <w:rPr>
          <w:spacing w:val="4"/>
        </w:rPr>
        <w:t>邻近道路或轨道的噪声敏感建筑物，设计时宜合理安排房间的使用功能</w:t>
      </w:r>
    </w:p>
    <w:p>
      <w:pPr>
        <w:ind w:firstLine="480"/>
      </w:pPr>
      <w:r>
        <w:t>（如居民住宅在面向道路或轨道一侧设计作为厨房、卫生间等非居住用房），以减少交通噪声干扰。</w:t>
      </w:r>
    </w:p>
    <w:p>
      <w:pPr>
        <w:ind w:firstLine="496"/>
      </w:pPr>
      <w:r>
        <w:rPr>
          <w:rFonts w:hint="eastAsia" w:ascii="宋体" w:hAnsi="宋体" w:cs="宋体"/>
          <w:spacing w:val="4"/>
        </w:rPr>
        <w:t>③</w:t>
      </w:r>
      <w:r>
        <w:rPr>
          <w:spacing w:val="4"/>
        </w:rPr>
        <w:t>地面交通设施的建设或运行造成噪声敏感建筑物室外环境噪声超标，如采取室外达标的技术手段不可行，应考虑对噪声敏感建筑物采取被动防护措施</w:t>
      </w:r>
      <w:r>
        <w:t>（如隔声门窗、通风消声窗等），对室内声环境质量进行合理保护。</w:t>
      </w:r>
    </w:p>
    <w:p>
      <w:pPr>
        <w:ind w:firstLine="496"/>
      </w:pPr>
      <w:r>
        <w:rPr>
          <w:rFonts w:hint="eastAsia" w:ascii="宋体" w:hAnsi="宋体" w:cs="宋体"/>
          <w:spacing w:val="4"/>
        </w:rPr>
        <w:t>④</w:t>
      </w:r>
      <w:r>
        <w:rPr>
          <w:spacing w:val="4"/>
        </w:rPr>
        <w:t>对噪声敏感建筑物采取被动防护措施，应使室内声环境质量达到有关标</w:t>
      </w:r>
      <w:r>
        <w:t>准要求，同时宜合理考虑当地气候特点对通风的要求。</w:t>
      </w:r>
    </w:p>
    <w:p>
      <w:pPr>
        <w:ind w:firstLine="480"/>
      </w:pPr>
      <w:r>
        <w:t>此预测为不考虑建筑物遮挡情况下进行预测，考虑到实际情况，各敏感点</w:t>
      </w:r>
      <w:r>
        <w:rPr>
          <w:rFonts w:hint="eastAsia"/>
        </w:rPr>
        <w:t>房</w:t>
      </w:r>
      <w:r>
        <w:t>屋朝向、围墙遮挡等情况，应根据噪声预测结果，合理设置隔声降噪措施，对于</w:t>
      </w:r>
      <w:r>
        <w:rPr>
          <w:spacing w:val="-4"/>
        </w:rPr>
        <w:t>室外不达标的使其室内声环境满足相应建筑物的使用功能要求，《民用建筑设计</w:t>
      </w:r>
      <w:r>
        <w:rPr>
          <w:spacing w:val="-6"/>
        </w:rPr>
        <w:t>隔声规范》（</w:t>
      </w:r>
      <w:r>
        <w:rPr>
          <w:rFonts w:eastAsia="Times New Roman"/>
          <w:spacing w:val="-6"/>
        </w:rPr>
        <w:t>GB50118-2010</w:t>
      </w:r>
      <w:r>
        <w:rPr>
          <w:spacing w:val="-6"/>
        </w:rPr>
        <w:t>）的要求详见表</w:t>
      </w:r>
      <w:r>
        <w:rPr>
          <w:rFonts w:hint="eastAsia"/>
        </w:rPr>
        <w:t>5.2-</w:t>
      </w:r>
      <w:r>
        <w:t>9。</w:t>
      </w:r>
    </w:p>
    <w:p>
      <w:pPr>
        <w:adjustRightInd w:val="0"/>
        <w:snapToGrid w:val="0"/>
        <w:ind w:firstLine="0" w:firstLineChars="0"/>
        <w:jc w:val="center"/>
        <w:rPr>
          <w:b/>
          <w:sz w:val="21"/>
        </w:rPr>
      </w:pPr>
      <w:r>
        <w:rPr>
          <w:b/>
          <w:sz w:val="21"/>
        </w:rPr>
        <w:t>表</w:t>
      </w:r>
      <w:r>
        <w:rPr>
          <w:rFonts w:hint="eastAsia"/>
          <w:b/>
          <w:sz w:val="21"/>
        </w:rPr>
        <w:t>5.2-</w:t>
      </w:r>
      <w:r>
        <w:rPr>
          <w:b/>
          <w:sz w:val="21"/>
        </w:rPr>
        <w:t>9住宅、学校、医院允许声级</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363"/>
        <w:gridCol w:w="1646"/>
        <w:gridCol w:w="1652"/>
        <w:gridCol w:w="1652"/>
        <w:gridCol w:w="17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Merge w:val="restart"/>
            <w:vAlign w:val="center"/>
          </w:tcPr>
          <w:p>
            <w:pPr>
              <w:pStyle w:val="675"/>
              <w:jc w:val="center"/>
              <w:rPr>
                <w:sz w:val="21"/>
                <w:szCs w:val="21"/>
              </w:rPr>
            </w:pPr>
            <w:r>
              <w:rPr>
                <w:bCs/>
                <w:sz w:val="21"/>
                <w:szCs w:val="21"/>
              </w:rPr>
              <w:t>房间名称</w:t>
            </w:r>
          </w:p>
        </w:tc>
        <w:tc>
          <w:tcPr>
            <w:tcW w:w="2347" w:type="pct"/>
            <w:gridSpan w:val="4"/>
            <w:vAlign w:val="center"/>
          </w:tcPr>
          <w:p>
            <w:pPr>
              <w:pStyle w:val="675"/>
              <w:jc w:val="center"/>
              <w:rPr>
                <w:sz w:val="21"/>
                <w:szCs w:val="21"/>
              </w:rPr>
            </w:pPr>
            <w:r>
              <w:rPr>
                <w:bCs/>
                <w:sz w:val="21"/>
                <w:szCs w:val="21"/>
              </w:rPr>
              <w:t>允许噪声级（</w:t>
            </w:r>
            <w:r>
              <w:rPr>
                <w:rFonts w:ascii="Times New Roman" w:hAnsi="Times New Roman" w:eastAsia="Times New Roman" w:cs="Times New Roman"/>
                <w:bCs/>
                <w:sz w:val="21"/>
                <w:szCs w:val="21"/>
              </w:rPr>
              <w:t>dB</w:t>
            </w:r>
            <w:r>
              <w:rPr>
                <w:bCs/>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Merge w:val="continue"/>
            <w:vAlign w:val="center"/>
          </w:tcPr>
          <w:p>
            <w:pPr>
              <w:spacing w:line="240" w:lineRule="auto"/>
              <w:ind w:firstLine="0" w:firstLineChars="0"/>
              <w:jc w:val="center"/>
              <w:rPr>
                <w:kern w:val="0"/>
                <w:szCs w:val="22"/>
                <w:lang w:eastAsia="en-US"/>
              </w:rPr>
            </w:pPr>
          </w:p>
        </w:tc>
        <w:tc>
          <w:tcPr>
            <w:tcW w:w="1162" w:type="pct"/>
            <w:gridSpan w:val="2"/>
            <w:vAlign w:val="center"/>
          </w:tcPr>
          <w:p>
            <w:pPr>
              <w:pStyle w:val="675"/>
              <w:jc w:val="center"/>
              <w:rPr>
                <w:sz w:val="21"/>
                <w:szCs w:val="21"/>
              </w:rPr>
            </w:pPr>
            <w:r>
              <w:rPr>
                <w:bCs/>
                <w:sz w:val="21"/>
                <w:szCs w:val="21"/>
              </w:rPr>
              <w:t>一般标准</w:t>
            </w:r>
          </w:p>
        </w:tc>
        <w:tc>
          <w:tcPr>
            <w:tcW w:w="1184" w:type="pct"/>
            <w:gridSpan w:val="2"/>
            <w:vAlign w:val="center"/>
          </w:tcPr>
          <w:p>
            <w:pPr>
              <w:pStyle w:val="675"/>
              <w:jc w:val="center"/>
              <w:rPr>
                <w:sz w:val="21"/>
                <w:szCs w:val="21"/>
              </w:rPr>
            </w:pPr>
            <w:r>
              <w:rPr>
                <w:bCs/>
                <w:sz w:val="21"/>
                <w:szCs w:val="21"/>
              </w:rPr>
              <w:t>高要求标准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Merge w:val="continue"/>
            <w:vAlign w:val="center"/>
          </w:tcPr>
          <w:p>
            <w:pPr>
              <w:spacing w:line="240" w:lineRule="auto"/>
              <w:ind w:firstLine="0" w:firstLineChars="0"/>
              <w:jc w:val="center"/>
              <w:rPr>
                <w:kern w:val="0"/>
                <w:szCs w:val="22"/>
                <w:lang w:eastAsia="en-US"/>
              </w:rPr>
            </w:pPr>
          </w:p>
        </w:tc>
        <w:tc>
          <w:tcPr>
            <w:tcW w:w="580" w:type="pct"/>
            <w:vAlign w:val="center"/>
          </w:tcPr>
          <w:p>
            <w:pPr>
              <w:pStyle w:val="675"/>
              <w:jc w:val="center"/>
              <w:rPr>
                <w:sz w:val="21"/>
                <w:szCs w:val="21"/>
              </w:rPr>
            </w:pPr>
            <w:r>
              <w:rPr>
                <w:bCs/>
                <w:sz w:val="21"/>
                <w:szCs w:val="21"/>
              </w:rPr>
              <w:t>昼间</w:t>
            </w:r>
          </w:p>
        </w:tc>
        <w:tc>
          <w:tcPr>
            <w:tcW w:w="582" w:type="pct"/>
            <w:vAlign w:val="center"/>
          </w:tcPr>
          <w:p>
            <w:pPr>
              <w:pStyle w:val="675"/>
              <w:jc w:val="center"/>
              <w:rPr>
                <w:sz w:val="21"/>
                <w:szCs w:val="21"/>
              </w:rPr>
            </w:pPr>
            <w:r>
              <w:rPr>
                <w:bCs/>
                <w:sz w:val="21"/>
                <w:szCs w:val="21"/>
              </w:rPr>
              <w:t>夜间</w:t>
            </w:r>
          </w:p>
        </w:tc>
        <w:tc>
          <w:tcPr>
            <w:tcW w:w="582" w:type="pct"/>
            <w:vAlign w:val="center"/>
          </w:tcPr>
          <w:p>
            <w:pPr>
              <w:pStyle w:val="675"/>
              <w:jc w:val="center"/>
              <w:rPr>
                <w:sz w:val="21"/>
                <w:szCs w:val="21"/>
              </w:rPr>
            </w:pPr>
            <w:r>
              <w:rPr>
                <w:bCs/>
                <w:sz w:val="21"/>
                <w:szCs w:val="21"/>
              </w:rPr>
              <w:t>昼间</w:t>
            </w:r>
          </w:p>
        </w:tc>
        <w:tc>
          <w:tcPr>
            <w:tcW w:w="602" w:type="pct"/>
            <w:vAlign w:val="center"/>
          </w:tcPr>
          <w:p>
            <w:pPr>
              <w:pStyle w:val="675"/>
              <w:jc w:val="center"/>
              <w:rPr>
                <w:sz w:val="21"/>
                <w:szCs w:val="21"/>
              </w:rPr>
            </w:pPr>
            <w:r>
              <w:rPr>
                <w:bCs/>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Align w:val="center"/>
          </w:tcPr>
          <w:p>
            <w:pPr>
              <w:pStyle w:val="675"/>
              <w:jc w:val="center"/>
              <w:rPr>
                <w:sz w:val="21"/>
                <w:szCs w:val="21"/>
              </w:rPr>
            </w:pPr>
            <w:r>
              <w:rPr>
                <w:sz w:val="21"/>
                <w:szCs w:val="21"/>
              </w:rPr>
              <w:t>卧室</w:t>
            </w:r>
          </w:p>
        </w:tc>
        <w:tc>
          <w:tcPr>
            <w:tcW w:w="580"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≤45</w:t>
            </w:r>
          </w:p>
        </w:tc>
        <w:tc>
          <w:tcPr>
            <w:tcW w:w="58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≤37</w:t>
            </w:r>
          </w:p>
        </w:tc>
        <w:tc>
          <w:tcPr>
            <w:tcW w:w="58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≤40</w:t>
            </w:r>
          </w:p>
        </w:tc>
        <w:tc>
          <w:tcPr>
            <w:tcW w:w="60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≤30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Align w:val="center"/>
          </w:tcPr>
          <w:p>
            <w:pPr>
              <w:pStyle w:val="675"/>
              <w:jc w:val="center"/>
              <w:rPr>
                <w:sz w:val="21"/>
                <w:szCs w:val="21"/>
              </w:rPr>
            </w:pPr>
            <w:r>
              <w:rPr>
                <w:sz w:val="21"/>
                <w:szCs w:val="21"/>
              </w:rPr>
              <w:t>卧室（厅）</w:t>
            </w:r>
          </w:p>
        </w:tc>
        <w:tc>
          <w:tcPr>
            <w:tcW w:w="1162" w:type="pct"/>
            <w:gridSpan w:val="2"/>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≤45</w:t>
            </w:r>
          </w:p>
        </w:tc>
        <w:tc>
          <w:tcPr>
            <w:tcW w:w="1184" w:type="pct"/>
            <w:gridSpan w:val="2"/>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Align w:val="center"/>
          </w:tcPr>
          <w:p>
            <w:pPr>
              <w:pStyle w:val="675"/>
              <w:jc w:val="center"/>
              <w:rPr>
                <w:sz w:val="21"/>
                <w:szCs w:val="21"/>
              </w:rPr>
            </w:pPr>
            <w:r>
              <w:rPr>
                <w:sz w:val="21"/>
                <w:szCs w:val="21"/>
              </w:rPr>
              <w:t>普通教室</w:t>
            </w:r>
          </w:p>
        </w:tc>
        <w:tc>
          <w:tcPr>
            <w:tcW w:w="1162" w:type="pct"/>
            <w:gridSpan w:val="2"/>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≤45</w:t>
            </w:r>
          </w:p>
        </w:tc>
        <w:tc>
          <w:tcPr>
            <w:tcW w:w="582" w:type="pct"/>
            <w:vAlign w:val="center"/>
          </w:tcPr>
          <w:p>
            <w:pPr>
              <w:spacing w:line="240" w:lineRule="auto"/>
              <w:ind w:firstLine="0" w:firstLineChars="0"/>
              <w:jc w:val="center"/>
              <w:rPr>
                <w:kern w:val="0"/>
                <w:szCs w:val="22"/>
                <w:lang w:eastAsia="en-US"/>
              </w:rPr>
            </w:pPr>
          </w:p>
        </w:tc>
        <w:tc>
          <w:tcPr>
            <w:tcW w:w="602" w:type="pct"/>
            <w:vAlign w:val="center"/>
          </w:tcPr>
          <w:p>
            <w:pPr>
              <w:spacing w:line="240" w:lineRule="auto"/>
              <w:ind w:firstLine="0" w:firstLineChars="0"/>
              <w:jc w:val="center"/>
              <w:rPr>
                <w:kern w:val="0"/>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33" w:type="pct"/>
            <w:vAlign w:val="center"/>
          </w:tcPr>
          <w:p>
            <w:pPr>
              <w:pStyle w:val="675"/>
              <w:jc w:val="center"/>
              <w:rPr>
                <w:sz w:val="21"/>
                <w:szCs w:val="21"/>
                <w:lang w:eastAsia="zh-CN"/>
              </w:rPr>
            </w:pPr>
            <w:r>
              <w:rPr>
                <w:spacing w:val="-9"/>
                <w:sz w:val="21"/>
                <w:szCs w:val="21"/>
                <w:lang w:eastAsia="zh-CN"/>
              </w:rPr>
              <w:t>病房、医护人员休息室</w:t>
            </w:r>
          </w:p>
        </w:tc>
        <w:tc>
          <w:tcPr>
            <w:tcW w:w="580"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≤45</w:t>
            </w:r>
          </w:p>
        </w:tc>
        <w:tc>
          <w:tcPr>
            <w:tcW w:w="58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≤40</w:t>
            </w:r>
          </w:p>
        </w:tc>
        <w:tc>
          <w:tcPr>
            <w:tcW w:w="58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≤40</w:t>
            </w:r>
          </w:p>
        </w:tc>
        <w:tc>
          <w:tcPr>
            <w:tcW w:w="602" w:type="pct"/>
            <w:vAlign w:val="center"/>
          </w:tcPr>
          <w:p>
            <w:pPr>
              <w:pStyle w:val="675"/>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≤35</w:t>
            </w:r>
          </w:p>
        </w:tc>
      </w:tr>
    </w:tbl>
    <w:p>
      <w:pPr>
        <w:pStyle w:val="190"/>
        <w:spacing w:beforeLines="0" w:afterLines="0"/>
      </w:pPr>
      <w:r>
        <w:rPr>
          <w:rFonts w:hint="eastAsia"/>
        </w:rPr>
        <w:t>5.2.2.3各路段噪声分布预测结果</w:t>
      </w:r>
    </w:p>
    <w:p>
      <w:pPr>
        <w:ind w:firstLine="480"/>
      </w:pPr>
      <w:r>
        <w:t>（</w:t>
      </w:r>
      <w:r>
        <w:rPr>
          <w:rFonts w:eastAsia="Times New Roman"/>
        </w:rPr>
        <w:t>1</w:t>
      </w:r>
      <w:r>
        <w:t>）评价标准</w:t>
      </w:r>
    </w:p>
    <w:p>
      <w:pPr>
        <w:ind w:firstLine="480"/>
      </w:pPr>
      <w:r>
        <w:t>敏感点评价标准采用《声环境质量标准》（</w:t>
      </w:r>
      <w:r>
        <w:rPr>
          <w:rFonts w:eastAsia="Times New Roman"/>
        </w:rPr>
        <w:t>GB3096-2008</w:t>
      </w:r>
      <w:r>
        <w:t>）</w:t>
      </w:r>
      <w:r>
        <w:rPr>
          <w:rFonts w:eastAsia="Times New Roman"/>
        </w:rPr>
        <w:t>4a</w:t>
      </w:r>
      <w:r>
        <w:t>类及</w:t>
      </w:r>
      <w:r>
        <w:rPr>
          <w:rFonts w:eastAsia="Times New Roman"/>
        </w:rPr>
        <w:t>2</w:t>
      </w:r>
      <w:r>
        <w:t>类标准。</w:t>
      </w:r>
    </w:p>
    <w:p>
      <w:pPr>
        <w:ind w:firstLine="480"/>
      </w:pPr>
      <w:r>
        <w:t>（</w:t>
      </w:r>
      <w:r>
        <w:rPr>
          <w:rFonts w:eastAsia="Times New Roman"/>
        </w:rPr>
        <w:t>2</w:t>
      </w:r>
      <w:r>
        <w:t>）评价方法</w:t>
      </w:r>
    </w:p>
    <w:p>
      <w:pPr>
        <w:ind w:firstLine="480"/>
      </w:pPr>
      <w:r>
        <w:t>评价方法采用预测值与标准值直接比较法。</w:t>
      </w:r>
    </w:p>
    <w:p>
      <w:pPr>
        <w:ind w:firstLine="480"/>
      </w:pPr>
      <w:r>
        <w:t>（</w:t>
      </w:r>
      <w:r>
        <w:rPr>
          <w:rFonts w:eastAsia="Times New Roman"/>
        </w:rPr>
        <w:t>3</w:t>
      </w:r>
      <w:r>
        <w:t>）预测值</w:t>
      </w:r>
    </w:p>
    <w:p>
      <w:pPr>
        <w:ind w:firstLine="480"/>
      </w:pPr>
      <w:r>
        <w:rPr>
          <w:rFonts w:hint="eastAsia" w:ascii="宋体" w:hAnsi="宋体" w:cs="宋体"/>
        </w:rPr>
        <w:t>①</w:t>
      </w:r>
      <w:r>
        <w:t>计算方法</w:t>
      </w:r>
    </w:p>
    <w:p>
      <w:pPr>
        <w:ind w:firstLine="480"/>
      </w:pPr>
      <w:r>
        <w:t>本项目预测过程将拟建工程实施后交通噪声贡献值与环境背景值进行叠加，说明项目实施后沿线敏感点声环境质量情况。</w:t>
      </w:r>
    </w:p>
    <w:p>
      <w:pPr>
        <w:ind w:firstLine="480"/>
      </w:pPr>
      <w:r>
        <w:rPr>
          <w:rFonts w:hint="eastAsia" w:ascii="宋体" w:hAnsi="宋体" w:cs="宋体"/>
        </w:rPr>
        <w:t>②</w:t>
      </w:r>
      <w:r>
        <w:t>背景值</w:t>
      </w:r>
    </w:p>
    <w:p>
      <w:pPr>
        <w:ind w:firstLine="480"/>
      </w:pPr>
      <w:r>
        <w:t>拟建项目沿线为农村区域，多数敏感点地形、地貌、建筑物特征和声环境特征相似，因此在监测布点时选取其中有代表性的敏感点进行监测，作为类型相似敏感点的背景值。</w:t>
      </w:r>
    </w:p>
    <w:p>
      <w:pPr>
        <w:ind w:firstLine="480"/>
      </w:pPr>
      <w:r>
        <w:t>敏感点本身作为监测点，因昼间和夜间分别监测两次，该点背景值取值为两次监测的最大值。敏感点临近，且背景噪声相似，取相近敏感点的监测值为背景值。对不受现有</w:t>
      </w:r>
      <w:r>
        <w:rPr>
          <w:rFonts w:hint="eastAsia"/>
        </w:rPr>
        <w:t>公路</w:t>
      </w:r>
      <w:r>
        <w:t>噪声影响的敏感点实测现状噪声值作为背景值，对于同时受现有</w:t>
      </w:r>
      <w:r>
        <w:rPr>
          <w:rFonts w:hint="eastAsia"/>
        </w:rPr>
        <w:t>公路</w:t>
      </w:r>
      <w:r>
        <w:t>及</w:t>
      </w:r>
      <w:r>
        <w:rPr>
          <w:rFonts w:hint="eastAsia"/>
        </w:rPr>
        <w:t>本拟建项目</w:t>
      </w:r>
      <w:r>
        <w:t>噪声影响的敏感点以现状监测值作为背景值，敏感点背景值叠加本项目贡献值作为预测值。</w:t>
      </w:r>
    </w:p>
    <w:p>
      <w:pPr>
        <w:ind w:firstLine="480"/>
      </w:pPr>
      <w:r>
        <w:t>现状声环境敏感点类比情况见表</w:t>
      </w:r>
      <w:r>
        <w:rPr>
          <w:rFonts w:hint="eastAsia"/>
        </w:rPr>
        <w:t>5.2-</w:t>
      </w:r>
      <w:r>
        <w:t>10</w:t>
      </w:r>
      <w:r>
        <w:rPr>
          <w:rFonts w:hint="eastAsia"/>
        </w:rPr>
        <w:t>。</w:t>
      </w:r>
    </w:p>
    <w:p>
      <w:pPr>
        <w:ind w:firstLine="480"/>
        <w:rPr>
          <w:highlight w:val="yellow"/>
        </w:rPr>
        <w:sectPr>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5.2-</w:t>
      </w:r>
      <w:r>
        <w:rPr>
          <w:b/>
          <w:sz w:val="21"/>
        </w:rPr>
        <w:t>10</w:t>
      </w:r>
      <w:r>
        <w:rPr>
          <w:rFonts w:hint="eastAsia"/>
          <w:b/>
          <w:sz w:val="21"/>
        </w:rPr>
        <w:t xml:space="preserve"> </w:t>
      </w:r>
      <w:r>
        <w:rPr>
          <w:b/>
          <w:sz w:val="21"/>
        </w:rPr>
        <w:t>声环境质量现状类比一览表</w:t>
      </w:r>
    </w:p>
    <w:tbl>
      <w:tblPr>
        <w:tblStyle w:val="52"/>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6"/>
        <w:gridCol w:w="3120"/>
        <w:gridCol w:w="1134"/>
        <w:gridCol w:w="1134"/>
        <w:gridCol w:w="1276"/>
        <w:gridCol w:w="1417"/>
        <w:gridCol w:w="1701"/>
        <w:gridCol w:w="851"/>
        <w:gridCol w:w="1134"/>
        <w:gridCol w:w="16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序号</w:t>
            </w:r>
          </w:p>
        </w:tc>
        <w:tc>
          <w:tcPr>
            <w:tcW w:w="3120" w:type="dxa"/>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敏感点名称</w:t>
            </w:r>
          </w:p>
        </w:tc>
        <w:tc>
          <w:tcPr>
            <w:tcW w:w="1134" w:type="dxa"/>
            <w:vMerge w:val="restar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rPr>
              <w:t>位置</w:t>
            </w:r>
          </w:p>
          <w:p>
            <w:pPr>
              <w:pStyle w:val="675"/>
              <w:jc w:val="center"/>
              <w:rPr>
                <w:rFonts w:ascii="Times New Roman" w:hAnsi="Times New Roman" w:cs="Times New Roman"/>
                <w:sz w:val="21"/>
                <w:szCs w:val="21"/>
              </w:rPr>
            </w:pPr>
            <w:r>
              <w:rPr>
                <w:rFonts w:ascii="Times New Roman" w:hAnsi="Times New Roman" w:cs="Times New Roman"/>
                <w:bCs/>
                <w:sz w:val="21"/>
                <w:szCs w:val="21"/>
              </w:rPr>
              <w:t>关系</w:t>
            </w:r>
          </w:p>
        </w:tc>
        <w:tc>
          <w:tcPr>
            <w:tcW w:w="1134" w:type="dxa"/>
            <w:vMerge w:val="restar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距路中心线</w:t>
            </w:r>
          </w:p>
          <w:p>
            <w:pPr>
              <w:pStyle w:val="675"/>
              <w:jc w:val="center"/>
              <w:rPr>
                <w:rFonts w:ascii="Times New Roman" w:hAnsi="Times New Roman" w:cs="Times New Roman"/>
                <w:sz w:val="21"/>
                <w:szCs w:val="21"/>
                <w:lang w:eastAsia="zh-CN"/>
              </w:rPr>
            </w:pPr>
            <w:r>
              <w:rPr>
                <w:rFonts w:ascii="Times New Roman" w:hAnsi="Times New Roman" w:cs="Times New Roman"/>
                <w:bCs/>
                <w:sz w:val="21"/>
                <w:szCs w:val="21"/>
                <w:lang w:eastAsia="zh-CN"/>
              </w:rPr>
              <w:t>距离（</w:t>
            </w:r>
            <w:r>
              <w:rPr>
                <w:rFonts w:ascii="Times New Roman" w:hAnsi="Times New Roman" w:eastAsia="Times New Roman" w:cs="Times New Roman"/>
                <w:bCs/>
                <w:sz w:val="21"/>
                <w:szCs w:val="21"/>
                <w:lang w:eastAsia="zh-CN"/>
              </w:rPr>
              <w:t>m</w:t>
            </w:r>
            <w:r>
              <w:rPr>
                <w:rFonts w:ascii="Times New Roman" w:hAnsi="Times New Roman" w:cs="Times New Roman"/>
                <w:bCs/>
                <w:sz w:val="21"/>
                <w:szCs w:val="21"/>
                <w:lang w:eastAsia="zh-CN"/>
              </w:rPr>
              <w:t>）</w:t>
            </w:r>
          </w:p>
        </w:tc>
        <w:tc>
          <w:tcPr>
            <w:tcW w:w="1276" w:type="dxa"/>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路面高差</w:t>
            </w:r>
          </w:p>
          <w:p>
            <w:pPr>
              <w:pStyle w:val="675"/>
              <w:jc w:val="center"/>
              <w:rPr>
                <w:rFonts w:ascii="Times New Roman" w:hAnsi="Times New Roman" w:cs="Times New Roman"/>
                <w:sz w:val="21"/>
                <w:szCs w:val="21"/>
              </w:rPr>
            </w:pPr>
            <w:r>
              <w:rPr>
                <w:rFonts w:ascii="Times New Roman" w:hAnsi="Times New Roman" w:cs="Times New Roman"/>
                <w:bCs/>
                <w:sz w:val="21"/>
                <w:szCs w:val="21"/>
              </w:rPr>
              <w:t>（</w:t>
            </w:r>
            <w:r>
              <w:rPr>
                <w:rFonts w:ascii="Times New Roman" w:hAnsi="Times New Roman" w:eastAsia="Times New Roman" w:cs="Times New Roman"/>
                <w:bCs/>
                <w:sz w:val="21"/>
                <w:szCs w:val="21"/>
              </w:rPr>
              <w:t>m</w:t>
            </w:r>
            <w:r>
              <w:rPr>
                <w:rFonts w:ascii="Times New Roman" w:hAnsi="Times New Roman" w:cs="Times New Roman"/>
                <w:bCs/>
                <w:sz w:val="21"/>
                <w:szCs w:val="21"/>
              </w:rPr>
              <w:t>）</w:t>
            </w:r>
          </w:p>
        </w:tc>
        <w:tc>
          <w:tcPr>
            <w:tcW w:w="1417" w:type="dxa"/>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评价标准</w:t>
            </w:r>
          </w:p>
        </w:tc>
        <w:tc>
          <w:tcPr>
            <w:tcW w:w="1701" w:type="dxa"/>
            <w:vMerge w:val="restar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rPr>
              <w:t>实测</w:t>
            </w:r>
            <w:r>
              <w:rPr>
                <w:rFonts w:ascii="Times New Roman" w:hAnsi="Times New Roman" w:eastAsia="Times New Roman" w:cs="Times New Roman"/>
                <w:bCs/>
                <w:sz w:val="21"/>
                <w:szCs w:val="21"/>
              </w:rPr>
              <w:t>/</w:t>
            </w:r>
            <w:r>
              <w:rPr>
                <w:rFonts w:ascii="Times New Roman" w:hAnsi="Times New Roman" w:cs="Times New Roman"/>
                <w:bCs/>
                <w:sz w:val="21"/>
                <w:szCs w:val="21"/>
              </w:rPr>
              <w:t>可类比</w:t>
            </w:r>
          </w:p>
          <w:p>
            <w:pPr>
              <w:pStyle w:val="675"/>
              <w:jc w:val="center"/>
              <w:rPr>
                <w:rFonts w:ascii="Times New Roman" w:hAnsi="Times New Roman" w:cs="Times New Roman"/>
                <w:sz w:val="21"/>
                <w:szCs w:val="21"/>
              </w:rPr>
            </w:pPr>
            <w:r>
              <w:rPr>
                <w:rFonts w:ascii="Times New Roman" w:hAnsi="Times New Roman" w:cs="Times New Roman"/>
                <w:bCs/>
                <w:sz w:val="21"/>
                <w:szCs w:val="21"/>
              </w:rPr>
              <w:t>监测点</w:t>
            </w:r>
          </w:p>
        </w:tc>
        <w:tc>
          <w:tcPr>
            <w:tcW w:w="1985" w:type="dxa"/>
            <w:gridSpan w:val="2"/>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背景噪声</w:t>
            </w:r>
          </w:p>
        </w:tc>
        <w:tc>
          <w:tcPr>
            <w:tcW w:w="1669" w:type="dxa"/>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Merge w:val="continue"/>
            <w:vAlign w:val="center"/>
          </w:tcPr>
          <w:p>
            <w:pPr>
              <w:spacing w:line="240" w:lineRule="auto"/>
              <w:ind w:firstLine="0" w:firstLineChars="0"/>
              <w:jc w:val="center"/>
              <w:rPr>
                <w:kern w:val="0"/>
                <w:sz w:val="21"/>
                <w:lang w:eastAsia="en-US"/>
              </w:rPr>
            </w:pPr>
          </w:p>
        </w:tc>
        <w:tc>
          <w:tcPr>
            <w:tcW w:w="3120" w:type="dxa"/>
            <w:vMerge w:val="continue"/>
            <w:vAlign w:val="center"/>
          </w:tcPr>
          <w:p>
            <w:pPr>
              <w:spacing w:line="240" w:lineRule="auto"/>
              <w:ind w:firstLine="0" w:firstLineChars="0"/>
              <w:jc w:val="center"/>
              <w:rPr>
                <w:kern w:val="0"/>
                <w:sz w:val="21"/>
                <w:lang w:eastAsia="en-US"/>
              </w:rPr>
            </w:pPr>
          </w:p>
        </w:tc>
        <w:tc>
          <w:tcPr>
            <w:tcW w:w="1134" w:type="dxa"/>
            <w:vMerge w:val="continue"/>
            <w:vAlign w:val="center"/>
          </w:tcPr>
          <w:p>
            <w:pPr>
              <w:spacing w:line="240" w:lineRule="auto"/>
              <w:ind w:firstLine="0" w:firstLineChars="0"/>
              <w:jc w:val="center"/>
              <w:rPr>
                <w:kern w:val="0"/>
                <w:sz w:val="21"/>
                <w:lang w:eastAsia="en-US"/>
              </w:rPr>
            </w:pPr>
          </w:p>
        </w:tc>
        <w:tc>
          <w:tcPr>
            <w:tcW w:w="1134" w:type="dxa"/>
            <w:vMerge w:val="continue"/>
            <w:vAlign w:val="center"/>
          </w:tcPr>
          <w:p>
            <w:pPr>
              <w:spacing w:line="240" w:lineRule="auto"/>
              <w:ind w:firstLine="0" w:firstLineChars="0"/>
              <w:jc w:val="center"/>
              <w:rPr>
                <w:kern w:val="0"/>
                <w:sz w:val="21"/>
                <w:lang w:eastAsia="en-US"/>
              </w:rPr>
            </w:pPr>
          </w:p>
        </w:tc>
        <w:tc>
          <w:tcPr>
            <w:tcW w:w="1276" w:type="dxa"/>
            <w:vMerge w:val="continue"/>
            <w:vAlign w:val="center"/>
          </w:tcPr>
          <w:p>
            <w:pPr>
              <w:spacing w:line="240" w:lineRule="auto"/>
              <w:ind w:firstLine="0" w:firstLineChars="0"/>
              <w:jc w:val="center"/>
              <w:rPr>
                <w:kern w:val="0"/>
                <w:sz w:val="21"/>
                <w:lang w:eastAsia="en-US"/>
              </w:rPr>
            </w:pPr>
          </w:p>
        </w:tc>
        <w:tc>
          <w:tcPr>
            <w:tcW w:w="1417" w:type="dxa"/>
            <w:vMerge w:val="continue"/>
            <w:vAlign w:val="center"/>
          </w:tcPr>
          <w:p>
            <w:pPr>
              <w:spacing w:line="240" w:lineRule="auto"/>
              <w:ind w:firstLine="0" w:firstLineChars="0"/>
              <w:jc w:val="center"/>
              <w:rPr>
                <w:kern w:val="0"/>
                <w:sz w:val="21"/>
                <w:lang w:eastAsia="en-US"/>
              </w:rPr>
            </w:pPr>
          </w:p>
        </w:tc>
        <w:tc>
          <w:tcPr>
            <w:tcW w:w="1701" w:type="dxa"/>
            <w:vMerge w:val="continue"/>
            <w:vAlign w:val="center"/>
          </w:tcPr>
          <w:p>
            <w:pPr>
              <w:spacing w:line="240" w:lineRule="auto"/>
              <w:ind w:firstLine="0" w:firstLineChars="0"/>
              <w:jc w:val="center"/>
              <w:rPr>
                <w:kern w:val="0"/>
                <w:sz w:val="21"/>
                <w:lang w:eastAsia="en-US"/>
              </w:rPr>
            </w:pPr>
          </w:p>
        </w:tc>
        <w:tc>
          <w:tcPr>
            <w:tcW w:w="851" w:type="dxa"/>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昼间</w:t>
            </w:r>
          </w:p>
        </w:tc>
        <w:tc>
          <w:tcPr>
            <w:tcW w:w="1134" w:type="dxa"/>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夜间</w:t>
            </w:r>
          </w:p>
        </w:tc>
        <w:tc>
          <w:tcPr>
            <w:tcW w:w="1669" w:type="dxa"/>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566" w:type="dxa"/>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w:t>
            </w:r>
          </w:p>
        </w:tc>
        <w:tc>
          <w:tcPr>
            <w:tcW w:w="3120"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北黄土坡村</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利旧路段</w:t>
            </w:r>
            <w:r>
              <w:rPr>
                <w:rFonts w:ascii="Times New Roman" w:hAnsi="Times New Roman" w:cs="Times New Roman"/>
                <w:sz w:val="21"/>
                <w:szCs w:val="21"/>
                <w:lang w:eastAsia="zh-CN"/>
              </w:rPr>
              <w:t>K0+000~K</w:t>
            </w:r>
            <w:r>
              <w:rPr>
                <w:rFonts w:hint="eastAsia" w:ascii="Times New Roman" w:hAnsi="Times New Roman" w:cs="Times New Roman"/>
                <w:sz w:val="21"/>
                <w:szCs w:val="21"/>
                <w:lang w:eastAsia="zh-CN"/>
              </w:rPr>
              <w:t>0</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900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路南</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18</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-1</w:t>
            </w: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highlight w:val="yellow"/>
              </w:rPr>
            </w:pPr>
            <w:r>
              <w:rPr>
                <w:rFonts w:ascii="Times New Roman" w:hAnsi="Times New Roman" w:cs="Times New Roman"/>
                <w:sz w:val="21"/>
                <w:szCs w:val="21"/>
              </w:rPr>
              <w:t>2</w:t>
            </w:r>
          </w:p>
        </w:tc>
        <w:tc>
          <w:tcPr>
            <w:tcW w:w="3120"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龙凤书香苑小区</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利旧</w:t>
            </w:r>
            <w:r>
              <w:rPr>
                <w:rFonts w:ascii="Times New Roman" w:hAnsi="Times New Roman" w:cs="Times New Roman"/>
                <w:sz w:val="21"/>
                <w:szCs w:val="21"/>
                <w:lang w:eastAsia="zh-CN"/>
              </w:rPr>
              <w:t>路段K</w:t>
            </w: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450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650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路南</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49</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restart"/>
            <w:vAlign w:val="center"/>
          </w:tcPr>
          <w:p>
            <w:pPr>
              <w:pStyle w:val="675"/>
              <w:jc w:val="center"/>
              <w:rPr>
                <w:rFonts w:ascii="Times New Roman" w:hAnsi="Times New Roman" w:cs="Times New Roman"/>
                <w:sz w:val="21"/>
                <w:szCs w:val="21"/>
                <w:highlight w:val="yellow"/>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p>
        </w:tc>
        <w:tc>
          <w:tcPr>
            <w:tcW w:w="3120"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遵化市第三中学</w:t>
            </w:r>
            <w:r>
              <w:rPr>
                <w:rFonts w:ascii="Times New Roman" w:hAnsi="Times New Roman" w:cs="Times New Roman"/>
                <w:sz w:val="21"/>
                <w:szCs w:val="21"/>
                <w:lang w:eastAsia="zh-CN"/>
              </w:rPr>
              <w:t>：</w:t>
            </w:r>
            <w:r>
              <w:rPr>
                <w:rFonts w:hint="eastAsia" w:ascii="Times New Roman" w:cs="Times New Roman"/>
                <w:sz w:val="21"/>
                <w:szCs w:val="21"/>
                <w:lang w:eastAsia="zh-CN"/>
              </w:rPr>
              <w:t>利旧</w:t>
            </w:r>
            <w:r>
              <w:rPr>
                <w:rFonts w:ascii="Times New Roman" w:cs="Times New Roman"/>
                <w:sz w:val="21"/>
                <w:szCs w:val="21"/>
                <w:lang w:eastAsia="zh-CN"/>
              </w:rPr>
              <w:t>路段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700</w:t>
            </w:r>
            <w:r>
              <w:rPr>
                <w:rFonts w:ascii="Times New Roman" w:hAnsi="Times New Roman" w:cs="Times New Roman"/>
                <w:sz w:val="21"/>
                <w:szCs w:val="21"/>
              </w:rPr>
              <w:t>~K</w:t>
            </w:r>
            <w:r>
              <w:rPr>
                <w:rFonts w:hint="eastAsia" w:ascii="Times New Roman" w:hAnsi="Times New Roman" w:cs="Times New Roman"/>
                <w:sz w:val="21"/>
                <w:szCs w:val="21"/>
                <w:lang w:eastAsia="zh-CN"/>
              </w:rPr>
              <w:t>1</w:t>
            </w:r>
            <w:r>
              <w:rPr>
                <w:rFonts w:ascii="Times New Roman" w:hAnsi="Times New Roman" w:cs="Times New Roman"/>
                <w:sz w:val="21"/>
                <w:szCs w:val="21"/>
              </w:rPr>
              <w:t>+</w:t>
            </w:r>
            <w:r>
              <w:rPr>
                <w:rFonts w:hint="eastAsia" w:ascii="Times New Roman" w:hAnsi="Times New Roman" w:cs="Times New Roman"/>
                <w:sz w:val="21"/>
                <w:szCs w:val="21"/>
                <w:lang w:eastAsia="zh-CN"/>
              </w:rPr>
              <w:t>870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路南</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75</w:t>
            </w:r>
          </w:p>
        </w:tc>
        <w:tc>
          <w:tcPr>
            <w:tcW w:w="1276"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pStyle w:val="675"/>
              <w:jc w:val="center"/>
              <w:rPr>
                <w:rFonts w:ascii="Times New Roman" w:hAnsi="Times New Roman" w:cs="Times New Roman"/>
                <w:sz w:val="21"/>
                <w:szCs w:val="21"/>
                <w:highlight w:val="yellow"/>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4</w:t>
            </w:r>
          </w:p>
        </w:tc>
        <w:tc>
          <w:tcPr>
            <w:tcW w:w="3120" w:type="dxa"/>
            <w:vAlign w:val="center"/>
          </w:tcPr>
          <w:p>
            <w:pPr>
              <w:pStyle w:val="675"/>
              <w:jc w:val="center"/>
              <w:rPr>
                <w:rFonts w:ascii="Times New Roman" w:hAnsi="Times New Roman" w:cs="Times New Roman"/>
                <w:sz w:val="21"/>
                <w:szCs w:val="21"/>
                <w:lang w:eastAsia="zh-CN"/>
              </w:rPr>
            </w:pPr>
            <w:r>
              <w:rPr>
                <w:rFonts w:hint="eastAsia"/>
                <w:sz w:val="21"/>
                <w:szCs w:val="21"/>
                <w:lang w:eastAsia="zh-CN"/>
              </w:rPr>
              <w:t>智慧城</w:t>
            </w:r>
            <w:r>
              <w:rPr>
                <w:rFonts w:hint="eastAsia"/>
                <w:sz w:val="21"/>
                <w:lang w:eastAsia="zh-CN"/>
              </w:rPr>
              <w:t>小区</w:t>
            </w:r>
            <w:r>
              <w:rPr>
                <w:rFonts w:ascii="Times New Roman" w:hAnsi="Times New Roman" w:cs="Times New Roman"/>
                <w:sz w:val="21"/>
                <w:szCs w:val="21"/>
                <w:lang w:eastAsia="zh-CN"/>
              </w:rPr>
              <w:t>：</w:t>
            </w:r>
            <w:r>
              <w:rPr>
                <w:rFonts w:ascii="Times New Roman" w:cs="Times New Roman"/>
                <w:sz w:val="21"/>
                <w:szCs w:val="21"/>
                <w:lang w:eastAsia="zh-CN"/>
              </w:rPr>
              <w:t>利旧</w:t>
            </w:r>
            <w:r>
              <w:rPr>
                <w:rFonts w:hint="eastAsia" w:ascii="Times New Roman" w:cs="Times New Roman"/>
                <w:sz w:val="21"/>
                <w:szCs w:val="21"/>
                <w:lang w:eastAsia="zh-CN"/>
              </w:rPr>
              <w:t>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2</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900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120</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路东</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49</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pStyle w:val="675"/>
              <w:jc w:val="center"/>
              <w:rPr>
                <w:rFonts w:ascii="Times New Roman" w:hAnsi="Times New Roman" w:cs="Times New Roman"/>
                <w:sz w:val="21"/>
                <w:szCs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5</w:t>
            </w:r>
          </w:p>
        </w:tc>
        <w:tc>
          <w:tcPr>
            <w:tcW w:w="3120"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张各庄村</w:t>
            </w:r>
            <w:r>
              <w:rPr>
                <w:rFonts w:ascii="Times New Roman" w:hAnsi="Times New Roman" w:cs="Times New Roman"/>
                <w:sz w:val="21"/>
                <w:szCs w:val="21"/>
                <w:lang w:eastAsia="zh-CN"/>
              </w:rPr>
              <w:t>：</w:t>
            </w:r>
            <w:r>
              <w:rPr>
                <w:rFonts w:ascii="Times New Roman" w:cs="Times New Roman"/>
                <w:sz w:val="21"/>
                <w:szCs w:val="21"/>
                <w:lang w:eastAsia="zh-CN"/>
              </w:rPr>
              <w:t>利旧</w:t>
            </w:r>
            <w:r>
              <w:rPr>
                <w:rFonts w:hint="eastAsia" w:ascii="Times New Roman" w:cs="Times New Roman"/>
                <w:sz w:val="21"/>
                <w:szCs w:val="21"/>
                <w:lang w:eastAsia="zh-CN"/>
              </w:rPr>
              <w:t>路</w:t>
            </w:r>
            <w:r>
              <w:rPr>
                <w:rFonts w:ascii="Times New Roman" w:cs="Times New Roman"/>
                <w:sz w:val="21"/>
                <w:szCs w:val="21"/>
                <w:lang w:eastAsia="zh-CN"/>
              </w:rPr>
              <w:t>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500</w:t>
            </w:r>
            <w:r>
              <w:rPr>
                <w:rFonts w:ascii="Times New Roman" w:hAnsi="Times New Roman" w:cs="Times New Roman"/>
                <w:sz w:val="21"/>
                <w:szCs w:val="21"/>
                <w:lang w:eastAsia="zh-CN"/>
              </w:rPr>
              <w:t>~K4+</w:t>
            </w:r>
            <w:r>
              <w:rPr>
                <w:rFonts w:hint="eastAsia" w:ascii="Times New Roman" w:hAnsi="Times New Roman" w:cs="Times New Roman"/>
                <w:sz w:val="21"/>
                <w:szCs w:val="21"/>
                <w:lang w:eastAsia="zh-CN"/>
              </w:rPr>
              <w:t>090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路南</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35</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pStyle w:val="675"/>
              <w:jc w:val="center"/>
              <w:rPr>
                <w:rFonts w:ascii="Times New Roman" w:hAnsi="Times New Roman" w:cs="Times New Roman"/>
                <w:sz w:val="21"/>
                <w:szCs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6</w:t>
            </w:r>
          </w:p>
        </w:tc>
        <w:tc>
          <w:tcPr>
            <w:tcW w:w="3120" w:type="dxa"/>
            <w:vAlign w:val="center"/>
          </w:tcPr>
          <w:p>
            <w:pPr>
              <w:pStyle w:val="675"/>
              <w:jc w:val="center"/>
              <w:rPr>
                <w:rFonts w:ascii="Times New Roman" w:hAnsi="Times New Roman" w:eastAsia="Times New Roman" w:cs="Times New Roman"/>
                <w:sz w:val="21"/>
                <w:szCs w:val="21"/>
                <w:lang w:eastAsia="zh-CN"/>
              </w:rPr>
            </w:pPr>
            <w:r>
              <w:rPr>
                <w:rFonts w:hint="eastAsia"/>
                <w:sz w:val="21"/>
                <w:lang w:eastAsia="zh-CN"/>
              </w:rPr>
              <w:t>西十里铺村</w:t>
            </w:r>
            <w:r>
              <w:rPr>
                <w:rFonts w:ascii="Times New Roman" w:hAnsi="Times New Roman" w:cs="Times New Roman"/>
                <w:sz w:val="21"/>
                <w:szCs w:val="21"/>
                <w:lang w:eastAsia="zh-CN"/>
              </w:rPr>
              <w:t>：</w:t>
            </w:r>
            <w:r>
              <w:rPr>
                <w:rFonts w:ascii="Times New Roman" w:cs="Times New Roman"/>
                <w:sz w:val="21"/>
                <w:szCs w:val="21"/>
                <w:lang w:eastAsia="zh-CN"/>
              </w:rPr>
              <w:t>利旧路段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6</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750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7</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800</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路</w:t>
            </w:r>
            <w:r>
              <w:rPr>
                <w:rFonts w:ascii="Times New Roman" w:hAnsi="Times New Roman" w:cs="Times New Roman"/>
                <w:sz w:val="21"/>
                <w:szCs w:val="21"/>
                <w:lang w:eastAsia="zh-CN"/>
              </w:rPr>
              <w:t>东</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17</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w:t>
            </w: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rPr>
            </w:pPr>
            <w:r>
              <w:rPr>
                <w:rFonts w:hint="eastAsia"/>
                <w:sz w:val="21"/>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restart"/>
            <w:vAlign w:val="center"/>
          </w:tcPr>
          <w:p>
            <w:pPr>
              <w:spacing w:line="240" w:lineRule="auto"/>
              <w:ind w:firstLine="0" w:firstLineChars="0"/>
              <w:jc w:val="center"/>
              <w:rPr>
                <w:kern w:val="0"/>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7</w:t>
            </w:r>
          </w:p>
        </w:tc>
        <w:tc>
          <w:tcPr>
            <w:tcW w:w="3120" w:type="dxa"/>
            <w:vAlign w:val="center"/>
          </w:tcPr>
          <w:p>
            <w:pPr>
              <w:pStyle w:val="675"/>
              <w:jc w:val="center"/>
              <w:rPr>
                <w:rFonts w:ascii="Times New Roman" w:cs="Times New Roman"/>
                <w:sz w:val="21"/>
                <w:szCs w:val="21"/>
                <w:lang w:eastAsia="zh-CN"/>
              </w:rPr>
            </w:pPr>
            <w:r>
              <w:rPr>
                <w:rFonts w:hint="eastAsia"/>
                <w:sz w:val="21"/>
                <w:lang w:eastAsia="zh-CN"/>
              </w:rPr>
              <w:t>后王庄村</w:t>
            </w:r>
            <w:r>
              <w:rPr>
                <w:rFonts w:ascii="Times New Roman" w:hAnsi="Times New Roman" w:cs="Times New Roman"/>
                <w:sz w:val="21"/>
                <w:szCs w:val="21"/>
                <w:lang w:eastAsia="zh-CN"/>
              </w:rPr>
              <w:t>：</w:t>
            </w:r>
            <w:r>
              <w:rPr>
                <w:rFonts w:ascii="Times New Roman" w:cs="Times New Roman"/>
                <w:sz w:val="21"/>
                <w:szCs w:val="21"/>
                <w:lang w:eastAsia="zh-CN"/>
              </w:rPr>
              <w:t>新建路段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7</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950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8</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500</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w:t>
            </w:r>
            <w:r>
              <w:rPr>
                <w:rFonts w:hint="eastAsia" w:ascii="Times New Roman" w:hAnsi="Times New Roman" w:cs="Times New Roman"/>
                <w:sz w:val="21"/>
                <w:szCs w:val="21"/>
                <w:lang w:eastAsia="zh-CN"/>
              </w:rPr>
              <w:t>西</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65</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-2</w:t>
            </w:r>
          </w:p>
        </w:tc>
        <w:tc>
          <w:tcPr>
            <w:tcW w:w="1417" w:type="dxa"/>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2</w:t>
            </w:r>
            <w:r>
              <w:rPr>
                <w:rFonts w:ascii="Times New Roman" w:hAnsi="Times New Roman" w:cs="Times New Roman"/>
                <w:sz w:val="21"/>
                <w:szCs w:val="21"/>
                <w:lang w:eastAsia="zh-CN"/>
              </w:rPr>
              <w:t>类</w:t>
            </w:r>
          </w:p>
        </w:tc>
        <w:tc>
          <w:tcPr>
            <w:tcW w:w="1701" w:type="dxa"/>
            <w:vAlign w:val="center"/>
          </w:tcPr>
          <w:p>
            <w:pPr>
              <w:spacing w:line="240" w:lineRule="auto"/>
              <w:ind w:firstLine="0" w:firstLineChars="0"/>
              <w:jc w:val="center"/>
              <w:rPr>
                <w:kern w:val="0"/>
                <w:sz w:val="21"/>
              </w:rPr>
            </w:pPr>
            <w:r>
              <w:rPr>
                <w:rFonts w:hint="eastAsia"/>
                <w:sz w:val="21"/>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spacing w:line="240" w:lineRule="auto"/>
              <w:ind w:firstLine="0" w:firstLineChars="0"/>
              <w:jc w:val="center"/>
              <w:rPr>
                <w:kern w:val="0"/>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8</w:t>
            </w:r>
          </w:p>
        </w:tc>
        <w:tc>
          <w:tcPr>
            <w:tcW w:w="3120" w:type="dxa"/>
            <w:vAlign w:val="center"/>
          </w:tcPr>
          <w:p>
            <w:pPr>
              <w:pStyle w:val="675"/>
              <w:jc w:val="center"/>
              <w:rPr>
                <w:rFonts w:ascii="Times New Roman" w:cs="Times New Roman"/>
                <w:sz w:val="21"/>
                <w:szCs w:val="21"/>
                <w:lang w:eastAsia="zh-CN"/>
              </w:rPr>
            </w:pPr>
            <w:r>
              <w:rPr>
                <w:rFonts w:hint="eastAsia"/>
                <w:sz w:val="21"/>
              </w:rPr>
              <w:t>前辅村</w:t>
            </w:r>
            <w:r>
              <w:rPr>
                <w:rFonts w:ascii="Times New Roman" w:hAnsi="Times New Roman" w:cs="Times New Roman"/>
                <w:sz w:val="21"/>
                <w:szCs w:val="21"/>
                <w:lang w:eastAsia="zh-CN"/>
              </w:rPr>
              <w:t>：</w:t>
            </w:r>
            <w:r>
              <w:rPr>
                <w:rFonts w:hint="eastAsia" w:ascii="Times New Roman" w:cs="Times New Roman"/>
                <w:sz w:val="21"/>
                <w:szCs w:val="21"/>
                <w:lang w:eastAsia="zh-CN"/>
              </w:rPr>
              <w:t>新建路段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8</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650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9</w:t>
            </w:r>
            <w:r>
              <w:rPr>
                <w:rFonts w:ascii="Times New Roman" w:hAnsi="Times New Roman" w:cs="Times New Roman"/>
                <w:sz w:val="21"/>
                <w:szCs w:val="21"/>
              </w:rPr>
              <w:t>+</w:t>
            </w:r>
            <w:r>
              <w:rPr>
                <w:rFonts w:hint="eastAsia" w:ascii="Times New Roman" w:hAnsi="Times New Roman" w:cs="Times New Roman"/>
                <w:sz w:val="21"/>
                <w:szCs w:val="21"/>
                <w:lang w:eastAsia="zh-CN"/>
              </w:rPr>
              <w:t>150</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路东</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160</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2</w:t>
            </w:r>
            <w:r>
              <w:rPr>
                <w:rFonts w:ascii="Times New Roman" w:hAnsi="Times New Roman" w:cs="Times New Roman"/>
                <w:sz w:val="21"/>
                <w:szCs w:val="21"/>
                <w:lang w:eastAsia="zh-CN"/>
              </w:rPr>
              <w:t>类</w:t>
            </w:r>
          </w:p>
        </w:tc>
        <w:tc>
          <w:tcPr>
            <w:tcW w:w="1701" w:type="dxa"/>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restart"/>
            <w:vAlign w:val="center"/>
          </w:tcPr>
          <w:p>
            <w:pPr>
              <w:pStyle w:val="675"/>
              <w:jc w:val="center"/>
              <w:rPr>
                <w:rFonts w:ascii="Times New Roman" w:hAnsi="Times New Roman" w:cs="Times New Roman"/>
                <w:sz w:val="21"/>
                <w:szCs w:val="21"/>
                <w:highlight w:val="yellow"/>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9</w:t>
            </w:r>
          </w:p>
        </w:tc>
        <w:tc>
          <w:tcPr>
            <w:tcW w:w="3120" w:type="dxa"/>
            <w:vAlign w:val="center"/>
          </w:tcPr>
          <w:p>
            <w:pPr>
              <w:pStyle w:val="675"/>
              <w:jc w:val="center"/>
              <w:rPr>
                <w:rFonts w:ascii="Times New Roman" w:hAnsi="Times New Roman" w:cs="Times New Roman"/>
                <w:sz w:val="21"/>
                <w:szCs w:val="21"/>
                <w:lang w:eastAsia="zh-CN"/>
              </w:rPr>
            </w:pPr>
            <w:r>
              <w:rPr>
                <w:rFonts w:hint="eastAsia"/>
                <w:sz w:val="21"/>
                <w:lang w:eastAsia="zh-CN"/>
              </w:rPr>
              <w:t>白方寺村</w:t>
            </w:r>
            <w:r>
              <w:rPr>
                <w:rFonts w:ascii="Times New Roman" w:hAnsi="Times New Roman" w:cs="Times New Roman"/>
                <w:sz w:val="21"/>
                <w:szCs w:val="21"/>
                <w:lang w:eastAsia="zh-CN"/>
              </w:rPr>
              <w:t>：</w:t>
            </w:r>
            <w:r>
              <w:rPr>
                <w:rFonts w:ascii="Times New Roman" w:cs="Times New Roman"/>
                <w:sz w:val="21"/>
                <w:szCs w:val="21"/>
                <w:lang w:eastAsia="zh-CN"/>
              </w:rPr>
              <w:t>新建路段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13</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420</w:t>
            </w:r>
            <w:r>
              <w:rPr>
                <w:rFonts w:ascii="Times New Roman" w:hAnsi="Times New Roman" w:cs="Times New Roman"/>
                <w:sz w:val="21"/>
                <w:szCs w:val="21"/>
                <w:lang w:eastAsia="zh-CN"/>
              </w:rPr>
              <w:t>~</w:t>
            </w:r>
            <w:r>
              <w:rPr>
                <w:rFonts w:ascii="Times New Roman" w:hAnsi="Times New Roman" w:cs="Times New Roman"/>
                <w:sz w:val="21"/>
                <w:szCs w:val="21"/>
              </w:rPr>
              <w:t>K</w:t>
            </w:r>
            <w:r>
              <w:rPr>
                <w:rFonts w:hint="eastAsia" w:ascii="Times New Roman" w:hAnsi="Times New Roman" w:cs="Times New Roman"/>
                <w:sz w:val="21"/>
                <w:szCs w:val="21"/>
                <w:lang w:eastAsia="zh-CN"/>
              </w:rPr>
              <w:t>14</w:t>
            </w:r>
            <w:r>
              <w:rPr>
                <w:rFonts w:ascii="Times New Roman" w:hAnsi="Times New Roman" w:cs="Times New Roman"/>
                <w:sz w:val="21"/>
                <w:szCs w:val="21"/>
              </w:rPr>
              <w:t>+</w:t>
            </w:r>
            <w:r>
              <w:rPr>
                <w:rFonts w:hint="eastAsia" w:ascii="Times New Roman" w:hAnsi="Times New Roman" w:cs="Times New Roman"/>
                <w:sz w:val="21"/>
                <w:szCs w:val="21"/>
                <w:lang w:eastAsia="zh-CN"/>
              </w:rPr>
              <w:t>33</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路东</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86</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w:t>
            </w:r>
          </w:p>
        </w:tc>
        <w:tc>
          <w:tcPr>
            <w:tcW w:w="1417" w:type="dxa"/>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2</w:t>
            </w:r>
            <w:r>
              <w:rPr>
                <w:rFonts w:ascii="Times New Roman" w:hAnsi="Times New Roman" w:cs="Times New Roman"/>
                <w:sz w:val="21"/>
                <w:szCs w:val="21"/>
                <w:lang w:eastAsia="zh-CN"/>
              </w:rPr>
              <w:t>类</w:t>
            </w:r>
          </w:p>
        </w:tc>
        <w:tc>
          <w:tcPr>
            <w:tcW w:w="1701"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pStyle w:val="675"/>
              <w:jc w:val="center"/>
              <w:rPr>
                <w:rFonts w:ascii="Times New Roman" w:hAnsi="Times New Roman" w:cs="Times New Roman"/>
                <w:sz w:val="21"/>
                <w:szCs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10</w:t>
            </w:r>
          </w:p>
        </w:tc>
        <w:tc>
          <w:tcPr>
            <w:tcW w:w="3120" w:type="dxa"/>
            <w:vAlign w:val="center"/>
          </w:tcPr>
          <w:p>
            <w:pPr>
              <w:pStyle w:val="675"/>
              <w:jc w:val="center"/>
              <w:rPr>
                <w:rFonts w:ascii="Times New Roman" w:hAnsi="Times New Roman" w:eastAsia="Times New Roman" w:cs="Times New Roman"/>
                <w:sz w:val="21"/>
                <w:szCs w:val="21"/>
                <w:lang w:eastAsia="zh-CN"/>
              </w:rPr>
            </w:pPr>
            <w:r>
              <w:rPr>
                <w:rFonts w:hint="eastAsia"/>
                <w:sz w:val="21"/>
                <w:lang w:eastAsia="zh-CN"/>
              </w:rPr>
              <w:t>学汉坨村</w:t>
            </w:r>
            <w:r>
              <w:rPr>
                <w:rFonts w:ascii="Times New Roman" w:hAnsi="Times New Roman" w:cs="Times New Roman"/>
                <w:sz w:val="21"/>
                <w:szCs w:val="21"/>
                <w:lang w:eastAsia="zh-CN"/>
              </w:rPr>
              <w:t>：</w:t>
            </w: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14</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440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15</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140</w:t>
            </w:r>
          </w:p>
        </w:tc>
        <w:tc>
          <w:tcPr>
            <w:tcW w:w="1134"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路东</w:t>
            </w:r>
            <w:r>
              <w:rPr>
                <w:rFonts w:hint="eastAsia" w:ascii="Times New Roman" w:hAnsi="Times New Roman" w:cs="Times New Roman"/>
                <w:sz w:val="21"/>
                <w:szCs w:val="21"/>
                <w:lang w:eastAsia="zh-CN"/>
              </w:rPr>
              <w:t>/路西</w:t>
            </w:r>
          </w:p>
        </w:tc>
        <w:tc>
          <w:tcPr>
            <w:tcW w:w="1134"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116</w:t>
            </w:r>
          </w:p>
        </w:tc>
        <w:tc>
          <w:tcPr>
            <w:tcW w:w="1276" w:type="dxa"/>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-2</w:t>
            </w:r>
          </w:p>
        </w:tc>
        <w:tc>
          <w:tcPr>
            <w:tcW w:w="1417" w:type="dxa"/>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highlight w:val="yellow"/>
              </w:rPr>
            </w:pPr>
            <w:r>
              <w:rPr>
                <w:kern w:val="0"/>
                <w:sz w:val="21"/>
              </w:rPr>
              <w:t>实测</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continue"/>
            <w:vAlign w:val="center"/>
          </w:tcPr>
          <w:p>
            <w:pPr>
              <w:spacing w:line="240" w:lineRule="auto"/>
              <w:ind w:firstLine="0" w:firstLineChars="0"/>
              <w:jc w:val="center"/>
              <w:rPr>
                <w:kern w:val="0"/>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1" w:hRule="atLeast"/>
          <w:jc w:val="center"/>
        </w:trPr>
        <w:tc>
          <w:tcPr>
            <w:tcW w:w="566"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11</w:t>
            </w:r>
          </w:p>
        </w:tc>
        <w:tc>
          <w:tcPr>
            <w:tcW w:w="3120" w:type="dxa"/>
            <w:vAlign w:val="center"/>
          </w:tcPr>
          <w:p>
            <w:pPr>
              <w:pStyle w:val="675"/>
              <w:jc w:val="center"/>
              <w:rPr>
                <w:rFonts w:ascii="Times New Roman" w:hAnsi="Times New Roman" w:cs="Times New Roman"/>
                <w:sz w:val="21"/>
                <w:szCs w:val="21"/>
                <w:lang w:eastAsia="zh-CN"/>
              </w:rPr>
            </w:pPr>
            <w:r>
              <w:rPr>
                <w:rFonts w:hint="eastAsia"/>
                <w:sz w:val="21"/>
                <w:lang w:eastAsia="zh-CN"/>
              </w:rPr>
              <w:t>骆各庄村</w:t>
            </w:r>
            <w:r>
              <w:rPr>
                <w:rFonts w:ascii="Times New Roman" w:hAnsi="Times New Roman" w:cs="Times New Roman"/>
                <w:sz w:val="21"/>
                <w:szCs w:val="21"/>
                <w:lang w:eastAsia="zh-CN"/>
              </w:rPr>
              <w:t>：</w:t>
            </w: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15</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600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17</w:t>
            </w:r>
            <w:r>
              <w:rPr>
                <w:rFonts w:ascii="Times New Roman" w:hAnsi="Times New Roman" w:cs="Times New Roman"/>
                <w:sz w:val="21"/>
                <w:szCs w:val="21"/>
                <w:lang w:eastAsia="zh-CN"/>
              </w:rPr>
              <w:t>+</w:t>
            </w:r>
            <w:r>
              <w:rPr>
                <w:rFonts w:hint="eastAsia" w:ascii="Times New Roman" w:hAnsi="Times New Roman" w:cs="Times New Roman"/>
                <w:sz w:val="21"/>
                <w:szCs w:val="21"/>
                <w:lang w:eastAsia="zh-CN"/>
              </w:rPr>
              <w:t>000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路北</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15</w:t>
            </w:r>
          </w:p>
        </w:tc>
        <w:tc>
          <w:tcPr>
            <w:tcW w:w="1276"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rPr>
            </w:pPr>
            <w:r>
              <w:rPr>
                <w:rFonts w:hint="eastAsia"/>
                <w:sz w:val="21"/>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Merge w:val="restart"/>
            <w:vAlign w:val="center"/>
          </w:tcPr>
          <w:p>
            <w:pPr>
              <w:spacing w:line="240" w:lineRule="auto"/>
              <w:ind w:firstLine="0" w:firstLineChars="0"/>
              <w:jc w:val="center"/>
              <w:rPr>
                <w:kern w:val="0"/>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12</w:t>
            </w:r>
          </w:p>
        </w:tc>
        <w:tc>
          <w:tcPr>
            <w:tcW w:w="3120" w:type="dxa"/>
            <w:vAlign w:val="center"/>
          </w:tcPr>
          <w:p>
            <w:pPr>
              <w:pStyle w:val="675"/>
              <w:jc w:val="center"/>
              <w:rPr>
                <w:rFonts w:ascii="Times New Roman" w:hAnsi="Times New Roman" w:cs="Times New Roman"/>
                <w:sz w:val="21"/>
                <w:szCs w:val="21"/>
                <w:lang w:eastAsia="zh-CN"/>
              </w:rPr>
            </w:pPr>
            <w:r>
              <w:rPr>
                <w:rFonts w:hint="eastAsia"/>
                <w:sz w:val="21"/>
                <w:lang w:eastAsia="zh-CN"/>
              </w:rPr>
              <w:t>吴家坑村</w:t>
            </w:r>
            <w:r>
              <w:rPr>
                <w:rFonts w:ascii="Times New Roman" w:hAnsi="Times New Roman" w:cs="Times New Roman"/>
                <w:sz w:val="21"/>
                <w:szCs w:val="21"/>
                <w:lang w:eastAsia="zh-CN"/>
              </w:rPr>
              <w:t>：</w:t>
            </w:r>
            <w:r>
              <w:rPr>
                <w:rFonts w:ascii="Times New Roman" w:cs="Times New Roman"/>
                <w:sz w:val="21"/>
                <w:szCs w:val="21"/>
                <w:lang w:eastAsia="zh-CN"/>
              </w:rPr>
              <w:t>新建路段</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16+980</w:t>
            </w: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18+000</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路南</w:t>
            </w:r>
          </w:p>
        </w:tc>
        <w:tc>
          <w:tcPr>
            <w:tcW w:w="1134"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25</w:t>
            </w:r>
          </w:p>
        </w:tc>
        <w:tc>
          <w:tcPr>
            <w:tcW w:w="1276" w:type="dxa"/>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4a</w:t>
            </w:r>
            <w:r>
              <w:rPr>
                <w:rFonts w:ascii="Times New Roman" w:hAnsi="Times New Roman" w:cs="Times New Roman"/>
                <w:sz w:val="21"/>
                <w:szCs w:val="21"/>
              </w:rPr>
              <w:t>类</w:t>
            </w:r>
            <w:r>
              <w:rPr>
                <w:rFonts w:hint="eastAsia" w:ascii="Times New Roman" w:hAnsi="Times New Roman" w:cs="Times New Roman"/>
                <w:sz w:val="21"/>
                <w:szCs w:val="21"/>
                <w:lang w:eastAsia="zh-CN"/>
              </w:rPr>
              <w:t>/</w:t>
            </w: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rPr>
            </w:pPr>
            <w:r>
              <w:rPr>
                <w:rFonts w:hint="eastAsia"/>
                <w:kern w:val="0"/>
                <w:sz w:val="21"/>
              </w:rPr>
              <w:t>实测</w:t>
            </w:r>
          </w:p>
        </w:tc>
        <w:tc>
          <w:tcPr>
            <w:tcW w:w="851" w:type="dxa"/>
            <w:vAlign w:val="center"/>
          </w:tcPr>
          <w:p>
            <w:pPr>
              <w:spacing w:line="240" w:lineRule="auto"/>
              <w:ind w:firstLine="0" w:firstLineChars="0"/>
              <w:jc w:val="center"/>
              <w:rPr>
                <w:kern w:val="0"/>
                <w:sz w:val="21"/>
              </w:rPr>
            </w:pPr>
            <w:r>
              <w:rPr>
                <w:rFonts w:hint="eastAsia"/>
                <w:kern w:val="0"/>
                <w:sz w:val="21"/>
              </w:rPr>
              <w:t>55</w:t>
            </w:r>
          </w:p>
        </w:tc>
        <w:tc>
          <w:tcPr>
            <w:tcW w:w="1134" w:type="dxa"/>
            <w:vAlign w:val="center"/>
          </w:tcPr>
          <w:p>
            <w:pPr>
              <w:spacing w:line="240" w:lineRule="auto"/>
              <w:ind w:firstLine="0" w:firstLineChars="0"/>
              <w:jc w:val="center"/>
              <w:rPr>
                <w:kern w:val="0"/>
                <w:sz w:val="21"/>
              </w:rPr>
            </w:pPr>
            <w:r>
              <w:rPr>
                <w:rFonts w:hint="eastAsia"/>
                <w:kern w:val="0"/>
                <w:sz w:val="21"/>
              </w:rPr>
              <w:t>45</w:t>
            </w:r>
          </w:p>
        </w:tc>
        <w:tc>
          <w:tcPr>
            <w:tcW w:w="1669" w:type="dxa"/>
            <w:vMerge w:val="continue"/>
            <w:vAlign w:val="center"/>
          </w:tcPr>
          <w:p>
            <w:pPr>
              <w:spacing w:line="240" w:lineRule="auto"/>
              <w:ind w:firstLine="0" w:firstLineChars="0"/>
              <w:jc w:val="center"/>
              <w:rPr>
                <w:kern w:val="0"/>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13</w:t>
            </w:r>
          </w:p>
        </w:tc>
        <w:tc>
          <w:tcPr>
            <w:tcW w:w="3120" w:type="dxa"/>
            <w:vMerge w:val="restart"/>
            <w:vAlign w:val="center"/>
          </w:tcPr>
          <w:p>
            <w:pPr>
              <w:pStyle w:val="675"/>
              <w:jc w:val="center"/>
              <w:rPr>
                <w:rFonts w:ascii="Times New Roman" w:cs="Times New Roman"/>
                <w:sz w:val="21"/>
                <w:szCs w:val="21"/>
                <w:lang w:eastAsia="zh-CN"/>
              </w:rPr>
            </w:pPr>
            <w:r>
              <w:rPr>
                <w:rFonts w:hint="eastAsia"/>
                <w:szCs w:val="24"/>
              </w:rPr>
              <w:t>圪塔坨村</w:t>
            </w:r>
            <w:r>
              <w:rPr>
                <w:rFonts w:ascii="Times New Roman" w:hAnsi="Times New Roman" w:cs="Times New Roman"/>
                <w:sz w:val="21"/>
                <w:szCs w:val="21"/>
                <w:lang w:eastAsia="zh-CN"/>
              </w:rPr>
              <w:t>：</w:t>
            </w:r>
            <w:r>
              <w:rPr>
                <w:rFonts w:hint="eastAsia" w:ascii="Times New Roman" w:cs="Times New Roman"/>
                <w:sz w:val="21"/>
                <w:szCs w:val="21"/>
                <w:lang w:eastAsia="zh-CN"/>
              </w:rPr>
              <w:t>终点</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w:t>
            </w:r>
            <w:r>
              <w:rPr>
                <w:rFonts w:hint="eastAsia" w:ascii="Times New Roman" w:hAnsi="Times New Roman" w:cs="Times New Roman"/>
                <w:sz w:val="21"/>
                <w:szCs w:val="21"/>
                <w:lang w:eastAsia="zh-CN"/>
              </w:rPr>
              <w:t>18+000</w:t>
            </w:r>
          </w:p>
        </w:tc>
        <w:tc>
          <w:tcPr>
            <w:tcW w:w="1134" w:type="dxa"/>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路东北</w:t>
            </w:r>
          </w:p>
        </w:tc>
        <w:tc>
          <w:tcPr>
            <w:tcW w:w="1134" w:type="dxa"/>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75</w:t>
            </w:r>
          </w:p>
        </w:tc>
        <w:tc>
          <w:tcPr>
            <w:tcW w:w="1276" w:type="dxa"/>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w:t>
            </w: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4a</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rPr>
            </w:pPr>
            <w:r>
              <w:rPr>
                <w:rFonts w:hint="eastAsia"/>
                <w:kern w:val="0"/>
                <w:sz w:val="21"/>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66</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50</w:t>
            </w:r>
          </w:p>
        </w:tc>
        <w:tc>
          <w:tcPr>
            <w:tcW w:w="1669" w:type="dxa"/>
            <w:vMerge w:val="continue"/>
            <w:vAlign w:val="center"/>
          </w:tcPr>
          <w:p>
            <w:pPr>
              <w:spacing w:line="240" w:lineRule="auto"/>
              <w:ind w:firstLine="0" w:firstLineChars="0"/>
              <w:jc w:val="center"/>
              <w:rPr>
                <w:kern w:val="0"/>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66" w:type="dxa"/>
            <w:vMerge w:val="continue"/>
            <w:vAlign w:val="center"/>
          </w:tcPr>
          <w:p>
            <w:pPr>
              <w:pStyle w:val="675"/>
              <w:jc w:val="center"/>
              <w:rPr>
                <w:rFonts w:ascii="Times New Roman" w:hAnsi="Times New Roman" w:cs="Times New Roman"/>
                <w:sz w:val="21"/>
                <w:szCs w:val="21"/>
                <w:lang w:eastAsia="zh-CN"/>
              </w:rPr>
            </w:pPr>
          </w:p>
        </w:tc>
        <w:tc>
          <w:tcPr>
            <w:tcW w:w="3120" w:type="dxa"/>
            <w:vMerge w:val="continue"/>
            <w:vAlign w:val="center"/>
          </w:tcPr>
          <w:p>
            <w:pPr>
              <w:pStyle w:val="675"/>
              <w:jc w:val="center"/>
              <w:rPr>
                <w:szCs w:val="24"/>
              </w:rPr>
            </w:pPr>
          </w:p>
        </w:tc>
        <w:tc>
          <w:tcPr>
            <w:tcW w:w="1134" w:type="dxa"/>
            <w:vMerge w:val="continue"/>
            <w:vAlign w:val="center"/>
          </w:tcPr>
          <w:p>
            <w:pPr>
              <w:pStyle w:val="675"/>
              <w:jc w:val="center"/>
              <w:rPr>
                <w:rFonts w:ascii="Times New Roman" w:hAnsi="Times New Roman" w:cs="Times New Roman"/>
                <w:sz w:val="21"/>
                <w:szCs w:val="21"/>
                <w:lang w:eastAsia="zh-CN"/>
              </w:rPr>
            </w:pPr>
          </w:p>
        </w:tc>
        <w:tc>
          <w:tcPr>
            <w:tcW w:w="1134" w:type="dxa"/>
            <w:vMerge w:val="continue"/>
            <w:vAlign w:val="center"/>
          </w:tcPr>
          <w:p>
            <w:pPr>
              <w:pStyle w:val="675"/>
              <w:jc w:val="center"/>
              <w:rPr>
                <w:rFonts w:ascii="Times New Roman" w:hAnsi="Times New Roman" w:cs="Times New Roman"/>
                <w:sz w:val="21"/>
                <w:szCs w:val="21"/>
                <w:lang w:eastAsia="zh-CN"/>
              </w:rPr>
            </w:pPr>
          </w:p>
        </w:tc>
        <w:tc>
          <w:tcPr>
            <w:tcW w:w="1276" w:type="dxa"/>
            <w:vMerge w:val="continue"/>
            <w:vAlign w:val="center"/>
          </w:tcPr>
          <w:p>
            <w:pPr>
              <w:pStyle w:val="675"/>
              <w:jc w:val="center"/>
              <w:rPr>
                <w:rFonts w:ascii="Times New Roman" w:hAnsi="Times New Roman" w:cs="Times New Roman"/>
                <w:sz w:val="21"/>
                <w:szCs w:val="21"/>
                <w:lang w:eastAsia="zh-CN"/>
              </w:rPr>
            </w:pPr>
          </w:p>
        </w:tc>
        <w:tc>
          <w:tcPr>
            <w:tcW w:w="1417" w:type="dxa"/>
            <w:vAlign w:val="center"/>
          </w:tcPr>
          <w:p>
            <w:pPr>
              <w:pStyle w:val="675"/>
              <w:jc w:val="center"/>
              <w:rPr>
                <w:rFonts w:ascii="Times New Roman" w:hAnsi="Times New Roman" w:cs="Times New Roman"/>
                <w:sz w:val="21"/>
                <w:szCs w:val="21"/>
                <w:lang w:eastAsia="zh-CN"/>
              </w:rPr>
            </w:pPr>
            <w:r>
              <w:rPr>
                <w:rFonts w:ascii="Times New Roman" w:hAnsi="Times New Roman" w:eastAsia="Times New Roman" w:cs="Times New Roman"/>
                <w:sz w:val="21"/>
                <w:szCs w:val="21"/>
              </w:rPr>
              <w:t>2</w:t>
            </w:r>
            <w:r>
              <w:rPr>
                <w:rFonts w:ascii="Times New Roman" w:hAnsi="Times New Roman" w:cs="Times New Roman"/>
                <w:sz w:val="21"/>
                <w:szCs w:val="21"/>
              </w:rPr>
              <w:t>类</w:t>
            </w:r>
          </w:p>
        </w:tc>
        <w:tc>
          <w:tcPr>
            <w:tcW w:w="1701" w:type="dxa"/>
            <w:vAlign w:val="center"/>
          </w:tcPr>
          <w:p>
            <w:pPr>
              <w:spacing w:line="240" w:lineRule="auto"/>
              <w:ind w:firstLine="0" w:firstLineChars="0"/>
              <w:jc w:val="center"/>
              <w:rPr>
                <w:kern w:val="0"/>
                <w:sz w:val="21"/>
              </w:rPr>
            </w:pPr>
            <w:r>
              <w:rPr>
                <w:rFonts w:hint="eastAsia"/>
                <w:kern w:val="0"/>
                <w:sz w:val="21"/>
              </w:rPr>
              <w:t>类比</w:t>
            </w:r>
          </w:p>
        </w:tc>
        <w:tc>
          <w:tcPr>
            <w:tcW w:w="851"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54</w:t>
            </w:r>
          </w:p>
        </w:tc>
        <w:tc>
          <w:tcPr>
            <w:tcW w:w="1134" w:type="dxa"/>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47</w:t>
            </w:r>
          </w:p>
        </w:tc>
        <w:tc>
          <w:tcPr>
            <w:tcW w:w="1669" w:type="dxa"/>
            <w:vAlign w:val="center"/>
          </w:tcPr>
          <w:p>
            <w:pPr>
              <w:spacing w:line="240" w:lineRule="auto"/>
              <w:ind w:firstLine="0" w:firstLineChars="0"/>
              <w:jc w:val="center"/>
              <w:rPr>
                <w:kern w:val="0"/>
                <w:sz w:val="21"/>
                <w:highlight w:val="yellow"/>
                <w:lang w:eastAsia="en-US"/>
              </w:rPr>
            </w:pPr>
          </w:p>
        </w:tc>
      </w:tr>
    </w:tbl>
    <w:p>
      <w:pPr>
        <w:ind w:firstLine="532"/>
        <w:rPr>
          <w:spacing w:val="13"/>
          <w:highlight w:val="yellow"/>
        </w:rPr>
        <w:sectPr>
          <w:pgSz w:w="16838" w:h="11906" w:orient="landscape"/>
          <w:pgMar w:top="1418" w:right="1418" w:bottom="1474" w:left="1418" w:header="964" w:footer="964" w:gutter="0"/>
          <w:cols w:space="720" w:num="1"/>
          <w:docGrid w:linePitch="326" w:charSpace="0"/>
        </w:sectPr>
      </w:pPr>
    </w:p>
    <w:p>
      <w:pPr>
        <w:ind w:firstLine="480"/>
      </w:pPr>
      <w:r>
        <w:t>（</w:t>
      </w:r>
      <w:r>
        <w:rPr>
          <w:rFonts w:eastAsia="Times New Roman"/>
        </w:rPr>
        <w:t>4</w:t>
      </w:r>
      <w:r>
        <w:t>）预测情景</w:t>
      </w:r>
    </w:p>
    <w:p>
      <w:pPr>
        <w:ind w:firstLine="532"/>
      </w:pPr>
      <w:r>
        <w:rPr>
          <w:spacing w:val="13"/>
        </w:rPr>
        <w:t>根据各敏感目标与拟建项目的位置关系，计算各敏感目标处因高差、地</w:t>
      </w:r>
      <w:r>
        <w:t>形、线路走向</w:t>
      </w:r>
      <w:r>
        <w:rPr>
          <w:spacing w:val="-3"/>
        </w:rPr>
        <w:t>引起的衰减，衰减后的噪声贡献值叠加各个敏感点的背景值。</w:t>
      </w:r>
    </w:p>
    <w:p>
      <w:pPr>
        <w:ind w:firstLine="480"/>
      </w:pPr>
      <w:r>
        <w:t>（</w:t>
      </w:r>
      <w:r>
        <w:rPr>
          <w:rFonts w:eastAsia="Times New Roman"/>
        </w:rPr>
        <w:t>4</w:t>
      </w:r>
      <w:r>
        <w:t>）预测结果</w:t>
      </w:r>
    </w:p>
    <w:p>
      <w:pPr>
        <w:ind w:firstLine="480"/>
      </w:pPr>
      <w:r>
        <w:t>预测各敏感目标噪声值见表</w:t>
      </w:r>
      <w:r>
        <w:rPr>
          <w:rFonts w:hint="eastAsia"/>
        </w:rPr>
        <w:t>5.2-</w:t>
      </w:r>
      <w:r>
        <w:t>11、超标户数统计见表</w:t>
      </w:r>
      <w:r>
        <w:rPr>
          <w:rFonts w:hint="eastAsia"/>
        </w:rPr>
        <w:t>5.2-</w:t>
      </w:r>
      <w:r>
        <w:t>12</w:t>
      </w:r>
      <w:r>
        <w:rPr>
          <w:rFonts w:hint="eastAsia"/>
        </w:rPr>
        <w:t>。</w:t>
      </w:r>
    </w:p>
    <w:p>
      <w:pPr>
        <w:ind w:firstLine="480"/>
        <w:rPr>
          <w:highlight w:val="yellow"/>
        </w:rPr>
        <w:sectPr>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5.2-</w:t>
      </w:r>
      <w:r>
        <w:rPr>
          <w:b/>
          <w:sz w:val="21"/>
        </w:rPr>
        <w:t>11各敏感目标预测结果统计</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16"/>
        <w:gridCol w:w="3266"/>
        <w:gridCol w:w="1134"/>
        <w:gridCol w:w="991"/>
        <w:gridCol w:w="1847"/>
        <w:gridCol w:w="848"/>
        <w:gridCol w:w="856"/>
        <w:gridCol w:w="1134"/>
        <w:gridCol w:w="1700"/>
        <w:gridCol w:w="710"/>
        <w:gridCol w:w="987"/>
        <w:gridCol w:w="852"/>
        <w:gridCol w:w="856"/>
        <w:gridCol w:w="848"/>
        <w:gridCol w:w="856"/>
        <w:gridCol w:w="852"/>
        <w:gridCol w:w="991"/>
        <w:gridCol w:w="852"/>
        <w:gridCol w:w="9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序号</w:t>
            </w:r>
          </w:p>
        </w:tc>
        <w:tc>
          <w:tcPr>
            <w:tcW w:w="778"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敏感点名称桩号</w:t>
            </w:r>
          </w:p>
        </w:tc>
        <w:tc>
          <w:tcPr>
            <w:tcW w:w="27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距路中心</w:t>
            </w:r>
          </w:p>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（m）</w:t>
            </w:r>
          </w:p>
        </w:tc>
        <w:tc>
          <w:tcPr>
            <w:tcW w:w="236"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距红线</w:t>
            </w:r>
          </w:p>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（m）</w:t>
            </w:r>
          </w:p>
        </w:tc>
        <w:tc>
          <w:tcPr>
            <w:tcW w:w="44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工程形式、高差</w:t>
            </w:r>
          </w:p>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（m）</w:t>
            </w:r>
          </w:p>
        </w:tc>
        <w:tc>
          <w:tcPr>
            <w:tcW w:w="406" w:type="pct"/>
            <w:gridSpan w:val="2"/>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背景噪声</w:t>
            </w:r>
          </w:p>
        </w:tc>
        <w:tc>
          <w:tcPr>
            <w:tcW w:w="270" w:type="pct"/>
            <w:vMerge w:val="restart"/>
            <w:shd w:val="clear" w:color="auto" w:fill="auto"/>
            <w:vAlign w:val="center"/>
          </w:tcPr>
          <w:p>
            <w:pPr>
              <w:pStyle w:val="675"/>
              <w:jc w:val="center"/>
              <w:rPr>
                <w:rFonts w:ascii="Times New Roman" w:hAnsi="Times New Roman" w:cs="Times New Roman"/>
                <w:bCs/>
                <w:kern w:val="2"/>
                <w:sz w:val="21"/>
                <w:szCs w:val="21"/>
                <w:lang w:eastAsia="zh-CN"/>
              </w:rPr>
            </w:pPr>
            <w:r>
              <w:rPr>
                <w:rFonts w:ascii="Times New Roman" w:hAnsi="Times New Roman" w:cs="Times New Roman"/>
                <w:bCs/>
                <w:kern w:val="2"/>
                <w:sz w:val="21"/>
                <w:szCs w:val="21"/>
              </w:rPr>
              <w:t>噪声执行</w:t>
            </w:r>
          </w:p>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标准</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bCs/>
                <w:kern w:val="2"/>
                <w:sz w:val="21"/>
                <w:szCs w:val="21"/>
                <w:lang w:eastAsia="zh-CN"/>
              </w:rPr>
              <w:t>评价范围内户数（户）</w:t>
            </w:r>
          </w:p>
        </w:tc>
        <w:tc>
          <w:tcPr>
            <w:tcW w:w="235"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评价时段</w:t>
            </w:r>
          </w:p>
        </w:tc>
        <w:tc>
          <w:tcPr>
            <w:tcW w:w="407" w:type="pct"/>
            <w:gridSpan w:val="2"/>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贡献值</w:t>
            </w:r>
          </w:p>
        </w:tc>
        <w:tc>
          <w:tcPr>
            <w:tcW w:w="406" w:type="pct"/>
            <w:gridSpan w:val="2"/>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预测值</w:t>
            </w:r>
          </w:p>
        </w:tc>
        <w:tc>
          <w:tcPr>
            <w:tcW w:w="439" w:type="pct"/>
            <w:gridSpan w:val="2"/>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lang w:eastAsia="zh-CN"/>
              </w:rPr>
              <w:t>增加</w:t>
            </w:r>
            <w:r>
              <w:rPr>
                <w:rFonts w:ascii="Times New Roman" w:hAnsi="Times New Roman" w:cs="Times New Roman"/>
                <w:bCs/>
                <w:kern w:val="2"/>
                <w:sz w:val="21"/>
                <w:szCs w:val="21"/>
              </w:rPr>
              <w:t>量</w:t>
            </w:r>
          </w:p>
        </w:tc>
        <w:tc>
          <w:tcPr>
            <w:tcW w:w="439" w:type="pct"/>
            <w:gridSpan w:val="2"/>
            <w:shd w:val="clear" w:color="auto" w:fill="auto"/>
            <w:vAlign w:val="center"/>
          </w:tcPr>
          <w:p>
            <w:pPr>
              <w:pStyle w:val="675"/>
              <w:jc w:val="center"/>
              <w:rPr>
                <w:rFonts w:ascii="Times New Roman" w:hAnsi="Times New Roman" w:cs="Times New Roman"/>
                <w:bCs/>
                <w:kern w:val="2"/>
                <w:sz w:val="21"/>
                <w:szCs w:val="21"/>
                <w:lang w:eastAsia="zh-CN"/>
              </w:rPr>
            </w:pPr>
            <w:r>
              <w:rPr>
                <w:rFonts w:ascii="Times New Roman" w:hAnsi="Times New Roman" w:cs="Times New Roman"/>
                <w:bCs/>
                <w:kern w:val="2"/>
                <w:sz w:val="21"/>
                <w:szCs w:val="21"/>
                <w:lang w:eastAsia="zh-CN"/>
              </w:rPr>
              <w:t>超标量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昼间</w:t>
            </w:r>
          </w:p>
        </w:tc>
        <w:tc>
          <w:tcPr>
            <w:tcW w:w="204"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夜间</w:t>
            </w: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spacing w:line="240" w:lineRule="auto"/>
              <w:ind w:firstLine="0" w:firstLineChars="0"/>
              <w:jc w:val="center"/>
              <w:rPr>
                <w:sz w:val="21"/>
                <w:lang w:eastAsia="en-US"/>
              </w:rPr>
            </w:pPr>
          </w:p>
        </w:tc>
        <w:tc>
          <w:tcPr>
            <w:tcW w:w="235" w:type="pct"/>
            <w:vMerge w:val="continue"/>
            <w:shd w:val="clear" w:color="auto" w:fill="auto"/>
            <w:vAlign w:val="center"/>
          </w:tcPr>
          <w:p>
            <w:pPr>
              <w:spacing w:line="240" w:lineRule="auto"/>
              <w:ind w:firstLine="0" w:firstLineChars="0"/>
              <w:jc w:val="center"/>
              <w:rPr>
                <w:sz w:val="21"/>
                <w:lang w:eastAsia="en-US"/>
              </w:rPr>
            </w:pPr>
          </w:p>
        </w:tc>
        <w:tc>
          <w:tcPr>
            <w:tcW w:w="203"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昼间</w:t>
            </w:r>
          </w:p>
        </w:tc>
        <w:tc>
          <w:tcPr>
            <w:tcW w:w="204"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夜间</w:t>
            </w:r>
          </w:p>
        </w:tc>
        <w:tc>
          <w:tcPr>
            <w:tcW w:w="202"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昼间</w:t>
            </w:r>
          </w:p>
        </w:tc>
        <w:tc>
          <w:tcPr>
            <w:tcW w:w="204"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夜间</w:t>
            </w:r>
          </w:p>
        </w:tc>
        <w:tc>
          <w:tcPr>
            <w:tcW w:w="203"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昼间</w:t>
            </w:r>
          </w:p>
        </w:tc>
        <w:tc>
          <w:tcPr>
            <w:tcW w:w="236"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夜间</w:t>
            </w:r>
          </w:p>
        </w:tc>
        <w:tc>
          <w:tcPr>
            <w:tcW w:w="203"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昼间</w:t>
            </w:r>
          </w:p>
        </w:tc>
        <w:tc>
          <w:tcPr>
            <w:tcW w:w="236"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bCs/>
                <w:kern w:val="2"/>
                <w:sz w:val="21"/>
                <w:szCs w:val="21"/>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w:t>
            </w:r>
          </w:p>
        </w:tc>
        <w:tc>
          <w:tcPr>
            <w:tcW w:w="778"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北黄土坡村：利旧路段K0+000~K0+900</w:t>
            </w:r>
          </w:p>
        </w:tc>
        <w:tc>
          <w:tcPr>
            <w:tcW w:w="270"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18</w:t>
            </w:r>
          </w:p>
        </w:tc>
        <w:tc>
          <w:tcPr>
            <w:tcW w:w="236"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6</w:t>
            </w:r>
          </w:p>
        </w:tc>
        <w:tc>
          <w:tcPr>
            <w:tcW w:w="440"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19</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65.03</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60.34</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65.36</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60.53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11.36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13.53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65.88</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61.18</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66.16</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61.34</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12.16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14.34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6.34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67.16</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62.42</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67.36</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62.54</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13.36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15.54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restart"/>
            <w:shd w:val="clear" w:color="auto" w:fill="auto"/>
            <w:vAlign w:val="center"/>
          </w:tcPr>
          <w:p>
            <w:pPr>
              <w:spacing w:line="240" w:lineRule="auto"/>
              <w:ind w:firstLine="0" w:firstLineChars="0"/>
              <w:jc w:val="center"/>
              <w:rPr>
                <w:sz w:val="21"/>
              </w:rPr>
            </w:pPr>
            <w:r>
              <w:rPr>
                <w:sz w:val="21"/>
              </w:rPr>
              <w:t>50</w:t>
            </w:r>
          </w:p>
        </w:tc>
        <w:tc>
          <w:tcPr>
            <w:tcW w:w="236" w:type="pct"/>
            <w:vMerge w:val="restart"/>
            <w:shd w:val="clear" w:color="auto" w:fill="auto"/>
            <w:vAlign w:val="center"/>
          </w:tcPr>
          <w:p>
            <w:pPr>
              <w:spacing w:line="240" w:lineRule="auto"/>
              <w:ind w:firstLine="0" w:firstLineChars="0"/>
              <w:jc w:val="center"/>
              <w:rPr>
                <w:sz w:val="21"/>
              </w:rPr>
            </w:pPr>
            <w:r>
              <w:rPr>
                <w:sz w:val="21"/>
              </w:rPr>
              <w:t>36</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150</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53.33</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48.64</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56.69</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50.91</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2.69</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3.91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54.19</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49.48</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57.11</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51.43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3.11</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4.43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55.46</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50.72</w:t>
            </w:r>
          </w:p>
        </w:tc>
        <w:tc>
          <w:tcPr>
            <w:tcW w:w="202"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57.80</w:t>
            </w:r>
          </w:p>
        </w:tc>
        <w:tc>
          <w:tcPr>
            <w:tcW w:w="204"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52.26</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3.8</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5.26</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2.26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龙凤书香苑小区：利旧路段K1+450~K1+650</w:t>
            </w:r>
          </w:p>
        </w:tc>
        <w:tc>
          <w:tcPr>
            <w:tcW w:w="270" w:type="pct"/>
            <w:vMerge w:val="restart"/>
            <w:shd w:val="clear" w:color="auto" w:fill="auto"/>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49</w:t>
            </w:r>
          </w:p>
        </w:tc>
        <w:tc>
          <w:tcPr>
            <w:tcW w:w="236" w:type="pct"/>
            <w:vMerge w:val="restart"/>
            <w:shd w:val="clear" w:color="auto" w:fill="auto"/>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35</w:t>
            </w:r>
          </w:p>
        </w:tc>
        <w:tc>
          <w:tcPr>
            <w:tcW w:w="440" w:type="pct"/>
            <w:vMerge w:val="restart"/>
            <w:shd w:val="clear" w:color="auto" w:fill="auto"/>
            <w:vAlign w:val="center"/>
          </w:tcPr>
          <w:p>
            <w:pPr>
              <w:pStyle w:val="675"/>
              <w:jc w:val="center"/>
              <w:rPr>
                <w:rFonts w:ascii="Times New Roman" w:hAnsi="Times New Roman" w:cs="Times New Roman"/>
                <w:sz w:val="21"/>
                <w:szCs w:val="21"/>
              </w:rPr>
            </w:pPr>
            <w:r>
              <w:rPr>
                <w:rFonts w:ascii="Times New Roman" w:hAnsi="Times New Roman" w:cs="Times New Roman"/>
                <w:kern w:val="2"/>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4a</w:t>
            </w:r>
          </w:p>
        </w:tc>
        <w:tc>
          <w:tcPr>
            <w:tcW w:w="405" w:type="pct"/>
            <w:vMerge w:val="restart"/>
            <w:shd w:val="clear" w:color="auto" w:fill="auto"/>
            <w:vAlign w:val="center"/>
          </w:tcPr>
          <w:p>
            <w:pPr>
              <w:pStyle w:val="675"/>
              <w:jc w:val="center"/>
              <w:rPr>
                <w:rFonts w:ascii="Times New Roman" w:hAnsi="Times New Roman" w:cs="Times New Roman"/>
                <w:kern w:val="2"/>
                <w:sz w:val="21"/>
                <w:szCs w:val="21"/>
              </w:rPr>
            </w:pPr>
            <w:r>
              <w:rPr>
                <w:rFonts w:hint="eastAsia" w:ascii="Times New Roman" w:hAnsi="Times New Roman" w:cs="Times New Roman"/>
                <w:kern w:val="2"/>
                <w:sz w:val="21"/>
                <w:szCs w:val="21"/>
                <w:lang w:eastAsia="zh-CN"/>
              </w:rPr>
              <w:t>3</w:t>
            </w:r>
            <w:r>
              <w:rPr>
                <w:rFonts w:ascii="Times New Roman" w:hAnsi="Times New Roman" w:cs="Times New Roman"/>
                <w:kern w:val="2"/>
                <w:sz w:val="21"/>
                <w:szCs w:val="21"/>
                <w:lang w:eastAsia="zh-CN"/>
              </w:rPr>
              <w:t>栋</w:t>
            </w: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57.62</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52.92</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59.19</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53.91</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5.19</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6.91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58.47</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53.76</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59.8</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54.59</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5.8</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7.59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59.75</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55.01</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60.77</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55.65</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6.77</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8.65</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58.83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54.14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60.07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59.69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54.98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60.73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55.62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6.73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8.62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60.96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56.22</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61.76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56.71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7.76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9.71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58.84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54.14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60.07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54.91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7.91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59.69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54.98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60.73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55.62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6.73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8.62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60.97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56.23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61.76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56.72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7.76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9.72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59.39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54.7</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60.49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55.38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6.49</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8.38</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60.25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55.54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61.17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56.11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7.17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9.11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61.52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56.78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62.23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57.22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8.23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10.22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59.8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55.11</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60.82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55.73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6.82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8.73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0.73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60.66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55.95</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61.51</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56.47</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7.51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9.47</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61.94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57.19</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62.58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57.59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8.58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10.59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2.59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59.57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54.88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60.64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55.53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6.64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8.53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60.43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55.72</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61.32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56.27</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7.32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9.27</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61.7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56.96</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62.38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57.38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8.38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10.38</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93</w:t>
            </w:r>
          </w:p>
        </w:tc>
        <w:tc>
          <w:tcPr>
            <w:tcW w:w="236"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79</w:t>
            </w:r>
          </w:p>
        </w:tc>
        <w:tc>
          <w:tcPr>
            <w:tcW w:w="440"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p>
        </w:tc>
        <w:tc>
          <w:tcPr>
            <w:tcW w:w="405"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r>
              <w:rPr>
                <w:rFonts w:hint="eastAsia" w:ascii="Times New Roman" w:hAnsi="Times New Roman" w:cs="Times New Roman"/>
                <w:kern w:val="2"/>
                <w:sz w:val="21"/>
                <w:szCs w:val="21"/>
                <w:lang w:eastAsia="zh-CN"/>
              </w:rPr>
              <w:t>1</w:t>
            </w:r>
            <w:r>
              <w:rPr>
                <w:rFonts w:ascii="Times New Roman" w:hAnsi="Times New Roman" w:cs="Times New Roman"/>
                <w:kern w:val="2"/>
                <w:sz w:val="21"/>
                <w:szCs w:val="21"/>
                <w:lang w:eastAsia="zh-CN"/>
              </w:rPr>
              <w:t>栋</w:t>
            </w: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50.01</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45.31</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55.46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49.25</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1.46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2.25</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50.87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46.16</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55.72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49.61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1.72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2.61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52.14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56.18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50.22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2.18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3.22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51.94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47.24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56.1</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50.13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3.13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52.79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48.08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56.45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50.58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2.45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3.58</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54.07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49.33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57.04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51.33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3.04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4.33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52.38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47.69</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56.28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50.37</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2.28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3.37</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53.24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48.53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56.65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50.84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2.65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3.84</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54.51</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49.77</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57.27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51.61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3.27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4.61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1.61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52.84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48.14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56.47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50.62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2.47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3.62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53.69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48.98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56.86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51.11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2.86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4.11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54.97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50.23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57.52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51.92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3.52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4.92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53.5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48.8</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56.77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2.77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54.35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49.64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57.19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51.53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3.19</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4.53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55.63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50.89</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57.9</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52.38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3.9</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5.38</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53.74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49.04</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56.88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51.15</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2.88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4.15</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54.6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49.89</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57.32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51.69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3.32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4.69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sz w:val="21"/>
                <w:szCs w:val="21"/>
              </w:rPr>
            </w:pPr>
          </w:p>
        </w:tc>
        <w:tc>
          <w:tcPr>
            <w:tcW w:w="236" w:type="pct"/>
            <w:vMerge w:val="continue"/>
            <w:shd w:val="clear" w:color="auto" w:fill="auto"/>
            <w:vAlign w:val="center"/>
          </w:tcPr>
          <w:p>
            <w:pPr>
              <w:pStyle w:val="675"/>
              <w:jc w:val="center"/>
              <w:rPr>
                <w:rFonts w:ascii="Times New Roman" w:hAnsi="Times New Roman" w:cs="Times New Roman"/>
                <w:sz w:val="21"/>
                <w:szCs w:val="21"/>
              </w:rPr>
            </w:pPr>
          </w:p>
        </w:tc>
        <w:tc>
          <w:tcPr>
            <w:tcW w:w="440" w:type="pct"/>
            <w:vMerge w:val="continue"/>
            <w:shd w:val="clear" w:color="auto" w:fill="auto"/>
            <w:vAlign w:val="center"/>
          </w:tcPr>
          <w:p>
            <w:pPr>
              <w:pStyle w:val="675"/>
              <w:jc w:val="center"/>
              <w:rPr>
                <w:rFonts w:ascii="Times New Roman" w:hAnsi="Times New Roman" w:cs="Times New Roman"/>
                <w:sz w:val="21"/>
                <w:szCs w:val="21"/>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55.87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51.13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58.05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52.55</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4.05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5.55</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遵化市第三中学：利旧路段</w:t>
            </w:r>
          </w:p>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rPr>
              <w:t>K</w:t>
            </w:r>
            <w:r>
              <w:rPr>
                <w:rFonts w:ascii="Times New Roman" w:hAnsi="Times New Roman" w:cs="Times New Roman"/>
                <w:sz w:val="21"/>
                <w:szCs w:val="21"/>
                <w:lang w:eastAsia="zh-CN"/>
              </w:rPr>
              <w:t>1</w:t>
            </w:r>
            <w:r>
              <w:rPr>
                <w:rFonts w:ascii="Times New Roman" w:hAnsi="Times New Roman" w:cs="Times New Roman"/>
                <w:sz w:val="21"/>
                <w:szCs w:val="21"/>
              </w:rPr>
              <w:t>+</w:t>
            </w:r>
            <w:r>
              <w:rPr>
                <w:rFonts w:ascii="Times New Roman" w:hAnsi="Times New Roman" w:cs="Times New Roman"/>
                <w:sz w:val="21"/>
                <w:szCs w:val="21"/>
                <w:lang w:eastAsia="zh-CN"/>
              </w:rPr>
              <w:t>700</w:t>
            </w:r>
            <w:r>
              <w:rPr>
                <w:rFonts w:ascii="Times New Roman" w:hAnsi="Times New Roman" w:cs="Times New Roman"/>
                <w:sz w:val="21"/>
                <w:szCs w:val="21"/>
              </w:rPr>
              <w:t>~K</w:t>
            </w:r>
            <w:r>
              <w:rPr>
                <w:rFonts w:ascii="Times New Roman" w:hAnsi="Times New Roman" w:cs="Times New Roman"/>
                <w:sz w:val="21"/>
                <w:szCs w:val="21"/>
                <w:lang w:eastAsia="zh-CN"/>
              </w:rPr>
              <w:t>1</w:t>
            </w:r>
            <w:r>
              <w:rPr>
                <w:rFonts w:ascii="Times New Roman" w:hAnsi="Times New Roman" w:cs="Times New Roman"/>
                <w:sz w:val="21"/>
                <w:szCs w:val="21"/>
              </w:rPr>
              <w:t>+</w:t>
            </w:r>
            <w:r>
              <w:rPr>
                <w:rFonts w:ascii="Times New Roman" w:hAnsi="Times New Roman" w:cs="Times New Roman"/>
                <w:sz w:val="21"/>
                <w:szCs w:val="21"/>
                <w:lang w:eastAsia="zh-CN"/>
              </w:rPr>
              <w:t>870</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75</w:t>
            </w:r>
          </w:p>
        </w:tc>
        <w:tc>
          <w:tcPr>
            <w:tcW w:w="236"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56</w:t>
            </w:r>
          </w:p>
        </w:tc>
        <w:tc>
          <w:tcPr>
            <w:tcW w:w="44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2</w:t>
            </w:r>
          </w:p>
        </w:tc>
        <w:tc>
          <w:tcPr>
            <w:tcW w:w="405"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2</w:t>
            </w:r>
            <w:r>
              <w:rPr>
                <w:rFonts w:ascii="Times New Roman" w:cs="Times New Roman"/>
                <w:sz w:val="21"/>
                <w:szCs w:val="21"/>
                <w:lang w:eastAsia="zh-CN"/>
              </w:rPr>
              <w:t>栋</w:t>
            </w: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43.32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38.63</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54.36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47.59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0.36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0.59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44.18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39.47</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54.43</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47.71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0.43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0.71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45.45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40.71</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54.57</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47.92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0.57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0.92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44.34</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39.64</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54.45</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47.73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0.45</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0.73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45.19</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40.48</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54.54</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47.87</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0.54</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0.87</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46.47</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41.73</w:t>
            </w:r>
          </w:p>
        </w:tc>
        <w:tc>
          <w:tcPr>
            <w:tcW w:w="202"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54.71</w:t>
            </w:r>
          </w:p>
        </w:tc>
        <w:tc>
          <w:tcPr>
            <w:tcW w:w="204"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48.13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0.71</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1.13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45.82</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41.12</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54.61</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0.61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46.68</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41.97</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54.74</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48.19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0.74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1.19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05"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47.95</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43.21</w:t>
            </w:r>
          </w:p>
        </w:tc>
        <w:tc>
          <w:tcPr>
            <w:tcW w:w="202" w:type="pct"/>
            <w:shd w:val="clear" w:color="auto" w:fill="auto"/>
            <w:vAlign w:val="center"/>
          </w:tcPr>
          <w:p>
            <w:pPr>
              <w:widowControl/>
              <w:spacing w:line="240" w:lineRule="auto"/>
              <w:ind w:firstLine="0" w:firstLineChars="0"/>
              <w:jc w:val="center"/>
              <w:textAlignment w:val="center"/>
              <w:rPr>
                <w:sz w:val="21"/>
              </w:rPr>
            </w:pPr>
            <w:r>
              <w:rPr>
                <w:kern w:val="0"/>
                <w:sz w:val="21"/>
              </w:rPr>
              <w:t>54.96</w:t>
            </w:r>
          </w:p>
        </w:tc>
        <w:tc>
          <w:tcPr>
            <w:tcW w:w="204" w:type="pct"/>
            <w:shd w:val="clear" w:color="auto" w:fill="auto"/>
            <w:vAlign w:val="center"/>
          </w:tcPr>
          <w:p>
            <w:pPr>
              <w:widowControl/>
              <w:spacing w:line="240" w:lineRule="auto"/>
              <w:ind w:firstLine="0" w:firstLineChars="0"/>
              <w:jc w:val="center"/>
              <w:textAlignment w:val="center"/>
              <w:rPr>
                <w:sz w:val="21"/>
              </w:rPr>
            </w:pPr>
            <w:r>
              <w:rPr>
                <w:kern w:val="0"/>
                <w:sz w:val="21"/>
              </w:rPr>
              <w:t>48.52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0.96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1.52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4</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智慧城小区</w:t>
            </w:r>
            <w:r>
              <w:rPr>
                <w:rFonts w:ascii="Times New Roman" w:hAnsi="Times New Roman" w:cs="Times New Roman"/>
                <w:sz w:val="21"/>
                <w:szCs w:val="21"/>
                <w:lang w:eastAsia="zh-CN"/>
              </w:rPr>
              <w:t>：利旧路段</w:t>
            </w:r>
          </w:p>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K2+900~K3+120</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49</w:t>
            </w:r>
          </w:p>
        </w:tc>
        <w:tc>
          <w:tcPr>
            <w:tcW w:w="236"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35</w:t>
            </w:r>
          </w:p>
        </w:tc>
        <w:tc>
          <w:tcPr>
            <w:tcW w:w="44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4a</w:t>
            </w:r>
          </w:p>
        </w:tc>
        <w:tc>
          <w:tcPr>
            <w:tcW w:w="405"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7栋</w:t>
            </w: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58.89</w:t>
            </w:r>
          </w:p>
        </w:tc>
        <w:tc>
          <w:tcPr>
            <w:tcW w:w="204" w:type="pct"/>
            <w:shd w:val="clear" w:color="auto" w:fill="auto"/>
            <w:vAlign w:val="center"/>
          </w:tcPr>
          <w:p>
            <w:pPr>
              <w:spacing w:line="240" w:lineRule="auto"/>
              <w:ind w:firstLine="0" w:firstLineChars="0"/>
              <w:jc w:val="center"/>
              <w:rPr>
                <w:sz w:val="21"/>
              </w:rPr>
            </w:pPr>
            <w:r>
              <w:rPr>
                <w:sz w:val="21"/>
              </w:rPr>
              <w:t>54.19</w:t>
            </w:r>
          </w:p>
        </w:tc>
        <w:tc>
          <w:tcPr>
            <w:tcW w:w="202" w:type="pct"/>
            <w:shd w:val="clear" w:color="auto" w:fill="auto"/>
            <w:vAlign w:val="center"/>
          </w:tcPr>
          <w:p>
            <w:pPr>
              <w:spacing w:line="240" w:lineRule="auto"/>
              <w:ind w:firstLine="0" w:firstLineChars="0"/>
              <w:jc w:val="center"/>
              <w:rPr>
                <w:sz w:val="21"/>
              </w:rPr>
            </w:pPr>
            <w:r>
              <w:rPr>
                <w:sz w:val="21"/>
              </w:rPr>
              <w:t>60.11</w:t>
            </w:r>
          </w:p>
        </w:tc>
        <w:tc>
          <w:tcPr>
            <w:tcW w:w="204" w:type="pct"/>
            <w:shd w:val="clear" w:color="auto" w:fill="auto"/>
            <w:vAlign w:val="center"/>
          </w:tcPr>
          <w:p>
            <w:pPr>
              <w:spacing w:line="240" w:lineRule="auto"/>
              <w:ind w:firstLine="0" w:firstLineChars="0"/>
              <w:jc w:val="center"/>
              <w:rPr>
                <w:sz w:val="21"/>
              </w:rPr>
            </w:pPr>
            <w:r>
              <w:rPr>
                <w:sz w:val="21"/>
              </w:rPr>
              <w:t>54.95</w:t>
            </w:r>
          </w:p>
        </w:tc>
        <w:tc>
          <w:tcPr>
            <w:tcW w:w="203" w:type="pct"/>
            <w:shd w:val="clear" w:color="auto" w:fill="auto"/>
            <w:vAlign w:val="center"/>
          </w:tcPr>
          <w:p>
            <w:pPr>
              <w:spacing w:line="240" w:lineRule="auto"/>
              <w:ind w:firstLine="0" w:firstLineChars="0"/>
              <w:jc w:val="center"/>
              <w:rPr>
                <w:sz w:val="21"/>
              </w:rPr>
            </w:pPr>
            <w:r>
              <w:rPr>
                <w:sz w:val="21"/>
              </w:rPr>
              <w:t>6.11</w:t>
            </w:r>
          </w:p>
        </w:tc>
        <w:tc>
          <w:tcPr>
            <w:tcW w:w="236" w:type="pct"/>
            <w:shd w:val="clear" w:color="auto" w:fill="auto"/>
            <w:vAlign w:val="center"/>
          </w:tcPr>
          <w:p>
            <w:pPr>
              <w:spacing w:line="240" w:lineRule="auto"/>
              <w:ind w:firstLine="0" w:firstLineChars="0"/>
              <w:jc w:val="center"/>
              <w:rPr>
                <w:sz w:val="21"/>
              </w:rPr>
            </w:pPr>
            <w:r>
              <w:rPr>
                <w:sz w:val="21"/>
              </w:rPr>
              <w:t>7.95</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59.74</w:t>
            </w:r>
          </w:p>
        </w:tc>
        <w:tc>
          <w:tcPr>
            <w:tcW w:w="204" w:type="pct"/>
            <w:shd w:val="clear" w:color="auto" w:fill="auto"/>
            <w:vAlign w:val="center"/>
          </w:tcPr>
          <w:p>
            <w:pPr>
              <w:spacing w:line="240" w:lineRule="auto"/>
              <w:ind w:firstLine="0" w:firstLineChars="0"/>
              <w:jc w:val="center"/>
              <w:rPr>
                <w:sz w:val="21"/>
              </w:rPr>
            </w:pPr>
            <w:r>
              <w:rPr>
                <w:sz w:val="21"/>
              </w:rPr>
              <w:t>55.03</w:t>
            </w:r>
          </w:p>
        </w:tc>
        <w:tc>
          <w:tcPr>
            <w:tcW w:w="202" w:type="pct"/>
            <w:shd w:val="clear" w:color="auto" w:fill="auto"/>
            <w:vAlign w:val="center"/>
          </w:tcPr>
          <w:p>
            <w:pPr>
              <w:spacing w:line="240" w:lineRule="auto"/>
              <w:ind w:firstLine="0" w:firstLineChars="0"/>
              <w:jc w:val="center"/>
              <w:rPr>
                <w:sz w:val="21"/>
              </w:rPr>
            </w:pPr>
            <w:r>
              <w:rPr>
                <w:sz w:val="21"/>
              </w:rPr>
              <w:t>60.77</w:t>
            </w:r>
          </w:p>
        </w:tc>
        <w:tc>
          <w:tcPr>
            <w:tcW w:w="204" w:type="pct"/>
            <w:shd w:val="clear" w:color="auto" w:fill="auto"/>
            <w:vAlign w:val="center"/>
          </w:tcPr>
          <w:p>
            <w:pPr>
              <w:spacing w:line="240" w:lineRule="auto"/>
              <w:ind w:firstLine="0" w:firstLineChars="0"/>
              <w:jc w:val="center"/>
              <w:rPr>
                <w:sz w:val="21"/>
              </w:rPr>
            </w:pPr>
            <w:r>
              <w:rPr>
                <w:sz w:val="21"/>
              </w:rPr>
              <w:t>55.67</w:t>
            </w:r>
          </w:p>
        </w:tc>
        <w:tc>
          <w:tcPr>
            <w:tcW w:w="203" w:type="pct"/>
            <w:shd w:val="clear" w:color="auto" w:fill="auto"/>
            <w:vAlign w:val="center"/>
          </w:tcPr>
          <w:p>
            <w:pPr>
              <w:spacing w:line="240" w:lineRule="auto"/>
              <w:ind w:firstLine="0" w:firstLineChars="0"/>
              <w:jc w:val="center"/>
              <w:rPr>
                <w:sz w:val="21"/>
              </w:rPr>
            </w:pPr>
            <w:r>
              <w:rPr>
                <w:sz w:val="21"/>
              </w:rPr>
              <w:t>6.77</w:t>
            </w:r>
          </w:p>
        </w:tc>
        <w:tc>
          <w:tcPr>
            <w:tcW w:w="236" w:type="pct"/>
            <w:shd w:val="clear" w:color="auto" w:fill="auto"/>
            <w:vAlign w:val="center"/>
          </w:tcPr>
          <w:p>
            <w:pPr>
              <w:spacing w:line="240" w:lineRule="auto"/>
              <w:ind w:firstLine="0" w:firstLineChars="0"/>
              <w:jc w:val="center"/>
              <w:rPr>
                <w:sz w:val="21"/>
              </w:rPr>
            </w:pPr>
            <w:r>
              <w:rPr>
                <w:sz w:val="21"/>
              </w:rPr>
              <w:t>8.67</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0.67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61.02</w:t>
            </w:r>
          </w:p>
        </w:tc>
        <w:tc>
          <w:tcPr>
            <w:tcW w:w="204" w:type="pct"/>
            <w:shd w:val="clear" w:color="auto" w:fill="auto"/>
            <w:vAlign w:val="center"/>
          </w:tcPr>
          <w:p>
            <w:pPr>
              <w:spacing w:line="240" w:lineRule="auto"/>
              <w:ind w:firstLine="0" w:firstLineChars="0"/>
              <w:jc w:val="center"/>
              <w:rPr>
                <w:sz w:val="21"/>
              </w:rPr>
            </w:pPr>
            <w:r>
              <w:rPr>
                <w:sz w:val="21"/>
              </w:rPr>
              <w:t>56.28</w:t>
            </w:r>
          </w:p>
        </w:tc>
        <w:tc>
          <w:tcPr>
            <w:tcW w:w="202" w:type="pct"/>
            <w:shd w:val="clear" w:color="auto" w:fill="auto"/>
            <w:vAlign w:val="center"/>
          </w:tcPr>
          <w:p>
            <w:pPr>
              <w:spacing w:line="240" w:lineRule="auto"/>
              <w:ind w:firstLine="0" w:firstLineChars="0"/>
              <w:jc w:val="center"/>
              <w:rPr>
                <w:sz w:val="21"/>
              </w:rPr>
            </w:pPr>
            <w:r>
              <w:rPr>
                <w:sz w:val="21"/>
              </w:rPr>
              <w:t>61.8</w:t>
            </w:r>
          </w:p>
        </w:tc>
        <w:tc>
          <w:tcPr>
            <w:tcW w:w="204" w:type="pct"/>
            <w:shd w:val="clear" w:color="auto" w:fill="auto"/>
            <w:vAlign w:val="center"/>
          </w:tcPr>
          <w:p>
            <w:pPr>
              <w:spacing w:line="240" w:lineRule="auto"/>
              <w:ind w:firstLine="0" w:firstLineChars="0"/>
              <w:jc w:val="center"/>
              <w:rPr>
                <w:sz w:val="21"/>
              </w:rPr>
            </w:pPr>
            <w:r>
              <w:rPr>
                <w:sz w:val="21"/>
              </w:rPr>
              <w:t>56.76</w:t>
            </w:r>
          </w:p>
        </w:tc>
        <w:tc>
          <w:tcPr>
            <w:tcW w:w="203" w:type="pct"/>
            <w:shd w:val="clear" w:color="auto" w:fill="auto"/>
            <w:vAlign w:val="center"/>
          </w:tcPr>
          <w:p>
            <w:pPr>
              <w:spacing w:line="240" w:lineRule="auto"/>
              <w:ind w:firstLine="0" w:firstLineChars="0"/>
              <w:jc w:val="center"/>
              <w:rPr>
                <w:sz w:val="21"/>
              </w:rPr>
            </w:pPr>
            <w:r>
              <w:rPr>
                <w:sz w:val="21"/>
              </w:rPr>
              <w:t>7.8</w:t>
            </w:r>
          </w:p>
        </w:tc>
        <w:tc>
          <w:tcPr>
            <w:tcW w:w="236" w:type="pct"/>
            <w:shd w:val="clear" w:color="auto" w:fill="auto"/>
            <w:vAlign w:val="center"/>
          </w:tcPr>
          <w:p>
            <w:pPr>
              <w:spacing w:line="240" w:lineRule="auto"/>
              <w:ind w:firstLine="0" w:firstLineChars="0"/>
              <w:jc w:val="center"/>
              <w:rPr>
                <w:sz w:val="21"/>
              </w:rPr>
            </w:pPr>
            <w:r>
              <w:rPr>
                <w:sz w:val="21"/>
              </w:rPr>
              <w:t>9.76</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60.07</w:t>
            </w:r>
          </w:p>
        </w:tc>
        <w:tc>
          <w:tcPr>
            <w:tcW w:w="204" w:type="pct"/>
            <w:shd w:val="clear" w:color="auto" w:fill="auto"/>
            <w:vAlign w:val="center"/>
          </w:tcPr>
          <w:p>
            <w:pPr>
              <w:spacing w:line="240" w:lineRule="auto"/>
              <w:ind w:firstLine="0" w:firstLineChars="0"/>
              <w:jc w:val="center"/>
              <w:rPr>
                <w:sz w:val="21"/>
              </w:rPr>
            </w:pPr>
            <w:r>
              <w:rPr>
                <w:sz w:val="21"/>
              </w:rPr>
              <w:t>55.37</w:t>
            </w:r>
          </w:p>
        </w:tc>
        <w:tc>
          <w:tcPr>
            <w:tcW w:w="202" w:type="pct"/>
            <w:shd w:val="clear" w:color="auto" w:fill="auto"/>
            <w:vAlign w:val="center"/>
          </w:tcPr>
          <w:p>
            <w:pPr>
              <w:spacing w:line="240" w:lineRule="auto"/>
              <w:ind w:firstLine="0" w:firstLineChars="0"/>
              <w:jc w:val="center"/>
              <w:rPr>
                <w:sz w:val="21"/>
              </w:rPr>
            </w:pPr>
            <w:r>
              <w:rPr>
                <w:sz w:val="21"/>
              </w:rPr>
              <w:t>61.03</w:t>
            </w:r>
          </w:p>
        </w:tc>
        <w:tc>
          <w:tcPr>
            <w:tcW w:w="204" w:type="pct"/>
            <w:shd w:val="clear" w:color="auto" w:fill="auto"/>
            <w:vAlign w:val="center"/>
          </w:tcPr>
          <w:p>
            <w:pPr>
              <w:spacing w:line="240" w:lineRule="auto"/>
              <w:ind w:firstLine="0" w:firstLineChars="0"/>
              <w:jc w:val="center"/>
              <w:rPr>
                <w:sz w:val="21"/>
              </w:rPr>
            </w:pPr>
            <w:r>
              <w:rPr>
                <w:sz w:val="21"/>
              </w:rPr>
              <w:t>55.96</w:t>
            </w:r>
          </w:p>
        </w:tc>
        <w:tc>
          <w:tcPr>
            <w:tcW w:w="203" w:type="pct"/>
            <w:shd w:val="clear" w:color="auto" w:fill="auto"/>
            <w:vAlign w:val="center"/>
          </w:tcPr>
          <w:p>
            <w:pPr>
              <w:spacing w:line="240" w:lineRule="auto"/>
              <w:ind w:firstLine="0" w:firstLineChars="0"/>
              <w:jc w:val="center"/>
              <w:rPr>
                <w:sz w:val="21"/>
              </w:rPr>
            </w:pPr>
            <w:r>
              <w:rPr>
                <w:sz w:val="21"/>
              </w:rPr>
              <w:t>7.03</w:t>
            </w:r>
          </w:p>
        </w:tc>
        <w:tc>
          <w:tcPr>
            <w:tcW w:w="236" w:type="pct"/>
            <w:shd w:val="clear" w:color="auto" w:fill="auto"/>
            <w:vAlign w:val="center"/>
          </w:tcPr>
          <w:p>
            <w:pPr>
              <w:spacing w:line="240" w:lineRule="auto"/>
              <w:ind w:firstLine="0" w:firstLineChars="0"/>
              <w:jc w:val="center"/>
              <w:rPr>
                <w:sz w:val="21"/>
              </w:rPr>
            </w:pPr>
            <w:r>
              <w:rPr>
                <w:sz w:val="21"/>
              </w:rPr>
              <w:t>8.96</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0.96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60.92</w:t>
            </w:r>
          </w:p>
        </w:tc>
        <w:tc>
          <w:tcPr>
            <w:tcW w:w="204" w:type="pct"/>
            <w:shd w:val="clear" w:color="auto" w:fill="auto"/>
            <w:vAlign w:val="center"/>
          </w:tcPr>
          <w:p>
            <w:pPr>
              <w:spacing w:line="240" w:lineRule="auto"/>
              <w:ind w:firstLine="0" w:firstLineChars="0"/>
              <w:jc w:val="center"/>
              <w:rPr>
                <w:sz w:val="21"/>
              </w:rPr>
            </w:pPr>
            <w:r>
              <w:rPr>
                <w:sz w:val="21"/>
              </w:rPr>
              <w:t>56.22</w:t>
            </w:r>
          </w:p>
        </w:tc>
        <w:tc>
          <w:tcPr>
            <w:tcW w:w="202" w:type="pct"/>
            <w:shd w:val="clear" w:color="auto" w:fill="auto"/>
            <w:vAlign w:val="center"/>
          </w:tcPr>
          <w:p>
            <w:pPr>
              <w:spacing w:line="240" w:lineRule="auto"/>
              <w:ind w:firstLine="0" w:firstLineChars="0"/>
              <w:jc w:val="center"/>
              <w:rPr>
                <w:sz w:val="21"/>
              </w:rPr>
            </w:pPr>
            <w:r>
              <w:rPr>
                <w:sz w:val="21"/>
              </w:rPr>
              <w:t>61.73</w:t>
            </w:r>
          </w:p>
        </w:tc>
        <w:tc>
          <w:tcPr>
            <w:tcW w:w="204" w:type="pct"/>
            <w:shd w:val="clear" w:color="auto" w:fill="auto"/>
            <w:vAlign w:val="center"/>
          </w:tcPr>
          <w:p>
            <w:pPr>
              <w:spacing w:line="240" w:lineRule="auto"/>
              <w:ind w:firstLine="0" w:firstLineChars="0"/>
              <w:jc w:val="center"/>
              <w:rPr>
                <w:sz w:val="21"/>
              </w:rPr>
            </w:pPr>
            <w:r>
              <w:rPr>
                <w:sz w:val="21"/>
              </w:rPr>
              <w:t>56.71</w:t>
            </w:r>
          </w:p>
        </w:tc>
        <w:tc>
          <w:tcPr>
            <w:tcW w:w="203" w:type="pct"/>
            <w:shd w:val="clear" w:color="auto" w:fill="auto"/>
            <w:vAlign w:val="center"/>
          </w:tcPr>
          <w:p>
            <w:pPr>
              <w:spacing w:line="240" w:lineRule="auto"/>
              <w:ind w:firstLine="0" w:firstLineChars="0"/>
              <w:jc w:val="center"/>
              <w:rPr>
                <w:sz w:val="21"/>
              </w:rPr>
            </w:pPr>
            <w:r>
              <w:rPr>
                <w:sz w:val="21"/>
              </w:rPr>
              <w:t>7.73</w:t>
            </w:r>
          </w:p>
        </w:tc>
        <w:tc>
          <w:tcPr>
            <w:tcW w:w="236" w:type="pct"/>
            <w:shd w:val="clear" w:color="auto" w:fill="auto"/>
            <w:vAlign w:val="center"/>
          </w:tcPr>
          <w:p>
            <w:pPr>
              <w:spacing w:line="240" w:lineRule="auto"/>
              <w:ind w:firstLine="0" w:firstLineChars="0"/>
              <w:jc w:val="center"/>
              <w:rPr>
                <w:sz w:val="21"/>
              </w:rPr>
            </w:pPr>
            <w:r>
              <w:rPr>
                <w:sz w:val="21"/>
              </w:rPr>
              <w:t>9.71</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62.2</w:t>
            </w:r>
          </w:p>
        </w:tc>
        <w:tc>
          <w:tcPr>
            <w:tcW w:w="204" w:type="pct"/>
            <w:shd w:val="clear" w:color="auto" w:fill="auto"/>
            <w:vAlign w:val="center"/>
          </w:tcPr>
          <w:p>
            <w:pPr>
              <w:spacing w:line="240" w:lineRule="auto"/>
              <w:ind w:firstLine="0" w:firstLineChars="0"/>
              <w:jc w:val="center"/>
              <w:rPr>
                <w:sz w:val="21"/>
              </w:rPr>
            </w:pPr>
            <w:r>
              <w:rPr>
                <w:sz w:val="21"/>
              </w:rPr>
              <w:t>57.46</w:t>
            </w:r>
          </w:p>
        </w:tc>
        <w:tc>
          <w:tcPr>
            <w:tcW w:w="202" w:type="pct"/>
            <w:shd w:val="clear" w:color="auto" w:fill="auto"/>
            <w:vAlign w:val="center"/>
          </w:tcPr>
          <w:p>
            <w:pPr>
              <w:spacing w:line="240" w:lineRule="auto"/>
              <w:ind w:firstLine="0" w:firstLineChars="0"/>
              <w:jc w:val="center"/>
              <w:rPr>
                <w:sz w:val="21"/>
              </w:rPr>
            </w:pPr>
            <w:r>
              <w:rPr>
                <w:sz w:val="21"/>
              </w:rPr>
              <w:t>62.81</w:t>
            </w:r>
          </w:p>
        </w:tc>
        <w:tc>
          <w:tcPr>
            <w:tcW w:w="204" w:type="pct"/>
            <w:shd w:val="clear" w:color="auto" w:fill="auto"/>
            <w:vAlign w:val="center"/>
          </w:tcPr>
          <w:p>
            <w:pPr>
              <w:spacing w:line="240" w:lineRule="auto"/>
              <w:ind w:firstLine="0" w:firstLineChars="0"/>
              <w:jc w:val="center"/>
              <w:rPr>
                <w:sz w:val="21"/>
              </w:rPr>
            </w:pPr>
            <w:r>
              <w:rPr>
                <w:sz w:val="21"/>
              </w:rPr>
              <w:t>57.83</w:t>
            </w:r>
          </w:p>
        </w:tc>
        <w:tc>
          <w:tcPr>
            <w:tcW w:w="203" w:type="pct"/>
            <w:shd w:val="clear" w:color="auto" w:fill="auto"/>
            <w:vAlign w:val="center"/>
          </w:tcPr>
          <w:p>
            <w:pPr>
              <w:spacing w:line="240" w:lineRule="auto"/>
              <w:ind w:firstLine="0" w:firstLineChars="0"/>
              <w:jc w:val="center"/>
              <w:rPr>
                <w:sz w:val="21"/>
              </w:rPr>
            </w:pPr>
            <w:r>
              <w:rPr>
                <w:sz w:val="21"/>
              </w:rPr>
              <w:t>8.81</w:t>
            </w:r>
          </w:p>
        </w:tc>
        <w:tc>
          <w:tcPr>
            <w:tcW w:w="236" w:type="pct"/>
            <w:shd w:val="clear" w:color="auto" w:fill="auto"/>
            <w:vAlign w:val="center"/>
          </w:tcPr>
          <w:p>
            <w:pPr>
              <w:spacing w:line="240" w:lineRule="auto"/>
              <w:ind w:firstLine="0" w:firstLineChars="0"/>
              <w:jc w:val="center"/>
              <w:rPr>
                <w:sz w:val="21"/>
              </w:rPr>
            </w:pPr>
            <w:r>
              <w:rPr>
                <w:sz w:val="21"/>
              </w:rPr>
              <w:t>10.83</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2.83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60.17</w:t>
            </w:r>
          </w:p>
        </w:tc>
        <w:tc>
          <w:tcPr>
            <w:tcW w:w="204" w:type="pct"/>
            <w:shd w:val="clear" w:color="auto" w:fill="auto"/>
            <w:vAlign w:val="center"/>
          </w:tcPr>
          <w:p>
            <w:pPr>
              <w:spacing w:line="240" w:lineRule="auto"/>
              <w:ind w:firstLine="0" w:firstLineChars="0"/>
              <w:jc w:val="center"/>
              <w:rPr>
                <w:sz w:val="21"/>
              </w:rPr>
            </w:pPr>
            <w:r>
              <w:rPr>
                <w:sz w:val="21"/>
              </w:rPr>
              <w:t>55.47</w:t>
            </w:r>
          </w:p>
        </w:tc>
        <w:tc>
          <w:tcPr>
            <w:tcW w:w="202" w:type="pct"/>
            <w:shd w:val="clear" w:color="auto" w:fill="auto"/>
            <w:vAlign w:val="center"/>
          </w:tcPr>
          <w:p>
            <w:pPr>
              <w:spacing w:line="240" w:lineRule="auto"/>
              <w:ind w:firstLine="0" w:firstLineChars="0"/>
              <w:jc w:val="center"/>
              <w:rPr>
                <w:sz w:val="21"/>
              </w:rPr>
            </w:pPr>
            <w:r>
              <w:rPr>
                <w:sz w:val="21"/>
              </w:rPr>
              <w:t>61.11</w:t>
            </w:r>
          </w:p>
        </w:tc>
        <w:tc>
          <w:tcPr>
            <w:tcW w:w="204" w:type="pct"/>
            <w:shd w:val="clear" w:color="auto" w:fill="auto"/>
            <w:vAlign w:val="center"/>
          </w:tcPr>
          <w:p>
            <w:pPr>
              <w:spacing w:line="240" w:lineRule="auto"/>
              <w:ind w:firstLine="0" w:firstLineChars="0"/>
              <w:jc w:val="center"/>
              <w:rPr>
                <w:sz w:val="21"/>
              </w:rPr>
            </w:pPr>
            <w:r>
              <w:rPr>
                <w:sz w:val="21"/>
              </w:rPr>
              <w:t>56.05</w:t>
            </w:r>
          </w:p>
        </w:tc>
        <w:tc>
          <w:tcPr>
            <w:tcW w:w="203" w:type="pct"/>
            <w:shd w:val="clear" w:color="auto" w:fill="auto"/>
            <w:vAlign w:val="center"/>
          </w:tcPr>
          <w:p>
            <w:pPr>
              <w:spacing w:line="240" w:lineRule="auto"/>
              <w:ind w:firstLine="0" w:firstLineChars="0"/>
              <w:jc w:val="center"/>
              <w:rPr>
                <w:sz w:val="21"/>
              </w:rPr>
            </w:pPr>
            <w:r>
              <w:rPr>
                <w:sz w:val="21"/>
              </w:rPr>
              <w:t>7.11</w:t>
            </w:r>
          </w:p>
        </w:tc>
        <w:tc>
          <w:tcPr>
            <w:tcW w:w="236" w:type="pct"/>
            <w:shd w:val="clear" w:color="auto" w:fill="auto"/>
            <w:vAlign w:val="center"/>
          </w:tcPr>
          <w:p>
            <w:pPr>
              <w:spacing w:line="240" w:lineRule="auto"/>
              <w:ind w:firstLine="0" w:firstLineChars="0"/>
              <w:jc w:val="center"/>
              <w:rPr>
                <w:sz w:val="21"/>
              </w:rPr>
            </w:pPr>
            <w:r>
              <w:rPr>
                <w:sz w:val="21"/>
              </w:rPr>
              <w:t>9.05</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61.02</w:t>
            </w:r>
          </w:p>
        </w:tc>
        <w:tc>
          <w:tcPr>
            <w:tcW w:w="204" w:type="pct"/>
            <w:shd w:val="clear" w:color="auto" w:fill="auto"/>
            <w:vAlign w:val="center"/>
          </w:tcPr>
          <w:p>
            <w:pPr>
              <w:spacing w:line="240" w:lineRule="auto"/>
              <w:ind w:firstLine="0" w:firstLineChars="0"/>
              <w:jc w:val="center"/>
              <w:rPr>
                <w:sz w:val="21"/>
              </w:rPr>
            </w:pPr>
            <w:r>
              <w:rPr>
                <w:sz w:val="21"/>
              </w:rPr>
              <w:t>56.31</w:t>
            </w:r>
          </w:p>
        </w:tc>
        <w:tc>
          <w:tcPr>
            <w:tcW w:w="202" w:type="pct"/>
            <w:shd w:val="clear" w:color="auto" w:fill="auto"/>
            <w:vAlign w:val="center"/>
          </w:tcPr>
          <w:p>
            <w:pPr>
              <w:spacing w:line="240" w:lineRule="auto"/>
              <w:ind w:firstLine="0" w:firstLineChars="0"/>
              <w:jc w:val="center"/>
              <w:rPr>
                <w:sz w:val="21"/>
              </w:rPr>
            </w:pPr>
            <w:r>
              <w:rPr>
                <w:sz w:val="21"/>
              </w:rPr>
              <w:t>61.81</w:t>
            </w:r>
          </w:p>
        </w:tc>
        <w:tc>
          <w:tcPr>
            <w:tcW w:w="204" w:type="pct"/>
            <w:shd w:val="clear" w:color="auto" w:fill="auto"/>
            <w:vAlign w:val="center"/>
          </w:tcPr>
          <w:p>
            <w:pPr>
              <w:spacing w:line="240" w:lineRule="auto"/>
              <w:ind w:firstLine="0" w:firstLineChars="0"/>
              <w:jc w:val="center"/>
              <w:rPr>
                <w:sz w:val="21"/>
              </w:rPr>
            </w:pPr>
            <w:r>
              <w:rPr>
                <w:sz w:val="21"/>
              </w:rPr>
              <w:t>56.79</w:t>
            </w:r>
          </w:p>
        </w:tc>
        <w:tc>
          <w:tcPr>
            <w:tcW w:w="203" w:type="pct"/>
            <w:shd w:val="clear" w:color="auto" w:fill="auto"/>
            <w:vAlign w:val="center"/>
          </w:tcPr>
          <w:p>
            <w:pPr>
              <w:spacing w:line="240" w:lineRule="auto"/>
              <w:ind w:firstLine="0" w:firstLineChars="0"/>
              <w:jc w:val="center"/>
              <w:rPr>
                <w:sz w:val="21"/>
              </w:rPr>
            </w:pPr>
            <w:r>
              <w:rPr>
                <w:sz w:val="21"/>
              </w:rPr>
              <w:t>7.81</w:t>
            </w:r>
          </w:p>
        </w:tc>
        <w:tc>
          <w:tcPr>
            <w:tcW w:w="236" w:type="pct"/>
            <w:shd w:val="clear" w:color="auto" w:fill="auto"/>
            <w:vAlign w:val="center"/>
          </w:tcPr>
          <w:p>
            <w:pPr>
              <w:spacing w:line="240" w:lineRule="auto"/>
              <w:ind w:firstLine="0" w:firstLineChars="0"/>
              <w:jc w:val="center"/>
              <w:rPr>
                <w:sz w:val="21"/>
              </w:rPr>
            </w:pPr>
            <w:r>
              <w:rPr>
                <w:sz w:val="21"/>
              </w:rPr>
              <w:t>9.79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62.3</w:t>
            </w:r>
          </w:p>
        </w:tc>
        <w:tc>
          <w:tcPr>
            <w:tcW w:w="204" w:type="pct"/>
            <w:shd w:val="clear" w:color="auto" w:fill="auto"/>
            <w:vAlign w:val="center"/>
          </w:tcPr>
          <w:p>
            <w:pPr>
              <w:spacing w:line="240" w:lineRule="auto"/>
              <w:ind w:firstLine="0" w:firstLineChars="0"/>
              <w:jc w:val="center"/>
              <w:rPr>
                <w:sz w:val="21"/>
              </w:rPr>
            </w:pPr>
            <w:r>
              <w:rPr>
                <w:sz w:val="21"/>
              </w:rPr>
              <w:t>57.56</w:t>
            </w:r>
          </w:p>
        </w:tc>
        <w:tc>
          <w:tcPr>
            <w:tcW w:w="202" w:type="pct"/>
            <w:shd w:val="clear" w:color="auto" w:fill="auto"/>
            <w:vAlign w:val="center"/>
          </w:tcPr>
          <w:p>
            <w:pPr>
              <w:spacing w:line="240" w:lineRule="auto"/>
              <w:ind w:firstLine="0" w:firstLineChars="0"/>
              <w:jc w:val="center"/>
              <w:rPr>
                <w:sz w:val="21"/>
              </w:rPr>
            </w:pPr>
            <w:r>
              <w:rPr>
                <w:sz w:val="21"/>
              </w:rPr>
              <w:t>62.9</w:t>
            </w:r>
          </w:p>
        </w:tc>
        <w:tc>
          <w:tcPr>
            <w:tcW w:w="204" w:type="pct"/>
            <w:shd w:val="clear" w:color="auto" w:fill="auto"/>
            <w:vAlign w:val="center"/>
          </w:tcPr>
          <w:p>
            <w:pPr>
              <w:spacing w:line="240" w:lineRule="auto"/>
              <w:ind w:firstLine="0" w:firstLineChars="0"/>
              <w:jc w:val="center"/>
              <w:rPr>
                <w:sz w:val="21"/>
              </w:rPr>
            </w:pPr>
            <w:r>
              <w:rPr>
                <w:sz w:val="21"/>
              </w:rPr>
              <w:t>57.92</w:t>
            </w:r>
          </w:p>
        </w:tc>
        <w:tc>
          <w:tcPr>
            <w:tcW w:w="203" w:type="pct"/>
            <w:shd w:val="clear" w:color="auto" w:fill="auto"/>
            <w:vAlign w:val="center"/>
          </w:tcPr>
          <w:p>
            <w:pPr>
              <w:spacing w:line="240" w:lineRule="auto"/>
              <w:ind w:firstLine="0" w:firstLineChars="0"/>
              <w:jc w:val="center"/>
              <w:rPr>
                <w:sz w:val="21"/>
              </w:rPr>
            </w:pPr>
            <w:r>
              <w:rPr>
                <w:sz w:val="21"/>
              </w:rPr>
              <w:t>8.9</w:t>
            </w:r>
          </w:p>
        </w:tc>
        <w:tc>
          <w:tcPr>
            <w:tcW w:w="236" w:type="pct"/>
            <w:shd w:val="clear" w:color="auto" w:fill="auto"/>
            <w:vAlign w:val="center"/>
          </w:tcPr>
          <w:p>
            <w:pPr>
              <w:spacing w:line="240" w:lineRule="auto"/>
              <w:ind w:firstLine="0" w:firstLineChars="0"/>
              <w:jc w:val="center"/>
              <w:rPr>
                <w:sz w:val="21"/>
              </w:rPr>
            </w:pPr>
            <w:r>
              <w:rPr>
                <w:sz w:val="21"/>
              </w:rPr>
              <w:t>10.92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2.92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60.24</w:t>
            </w:r>
          </w:p>
        </w:tc>
        <w:tc>
          <w:tcPr>
            <w:tcW w:w="204" w:type="pct"/>
            <w:shd w:val="clear" w:color="auto" w:fill="auto"/>
            <w:vAlign w:val="center"/>
          </w:tcPr>
          <w:p>
            <w:pPr>
              <w:spacing w:line="240" w:lineRule="auto"/>
              <w:ind w:firstLine="0" w:firstLineChars="0"/>
              <w:jc w:val="center"/>
              <w:rPr>
                <w:sz w:val="21"/>
              </w:rPr>
            </w:pPr>
            <w:r>
              <w:rPr>
                <w:sz w:val="21"/>
              </w:rPr>
              <w:t>55.55</w:t>
            </w:r>
          </w:p>
        </w:tc>
        <w:tc>
          <w:tcPr>
            <w:tcW w:w="202" w:type="pct"/>
            <w:shd w:val="clear" w:color="auto" w:fill="auto"/>
            <w:vAlign w:val="center"/>
          </w:tcPr>
          <w:p>
            <w:pPr>
              <w:spacing w:line="240" w:lineRule="auto"/>
              <w:ind w:firstLine="0" w:firstLineChars="0"/>
              <w:jc w:val="center"/>
              <w:rPr>
                <w:sz w:val="21"/>
              </w:rPr>
            </w:pPr>
            <w:r>
              <w:rPr>
                <w:sz w:val="21"/>
              </w:rPr>
              <w:t>61.17</w:t>
            </w:r>
          </w:p>
        </w:tc>
        <w:tc>
          <w:tcPr>
            <w:tcW w:w="204" w:type="pct"/>
            <w:shd w:val="clear" w:color="auto" w:fill="auto"/>
            <w:vAlign w:val="center"/>
          </w:tcPr>
          <w:p>
            <w:pPr>
              <w:spacing w:line="240" w:lineRule="auto"/>
              <w:ind w:firstLine="0" w:firstLineChars="0"/>
              <w:jc w:val="center"/>
              <w:rPr>
                <w:sz w:val="21"/>
              </w:rPr>
            </w:pPr>
            <w:r>
              <w:rPr>
                <w:sz w:val="21"/>
              </w:rPr>
              <w:t>56.12</w:t>
            </w:r>
          </w:p>
        </w:tc>
        <w:tc>
          <w:tcPr>
            <w:tcW w:w="203" w:type="pct"/>
            <w:shd w:val="clear" w:color="auto" w:fill="auto"/>
            <w:vAlign w:val="center"/>
          </w:tcPr>
          <w:p>
            <w:pPr>
              <w:spacing w:line="240" w:lineRule="auto"/>
              <w:ind w:firstLine="0" w:firstLineChars="0"/>
              <w:jc w:val="center"/>
              <w:rPr>
                <w:sz w:val="21"/>
              </w:rPr>
            </w:pPr>
            <w:r>
              <w:rPr>
                <w:sz w:val="21"/>
              </w:rPr>
              <w:t>7.17</w:t>
            </w:r>
          </w:p>
        </w:tc>
        <w:tc>
          <w:tcPr>
            <w:tcW w:w="236" w:type="pct"/>
            <w:shd w:val="clear" w:color="auto" w:fill="auto"/>
            <w:vAlign w:val="center"/>
          </w:tcPr>
          <w:p>
            <w:pPr>
              <w:spacing w:line="240" w:lineRule="auto"/>
              <w:ind w:firstLine="0" w:firstLineChars="0"/>
              <w:jc w:val="center"/>
              <w:rPr>
                <w:sz w:val="21"/>
              </w:rPr>
            </w:pPr>
            <w:r>
              <w:rPr>
                <w:sz w:val="21"/>
              </w:rPr>
              <w:t>9.12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61.1</w:t>
            </w:r>
          </w:p>
        </w:tc>
        <w:tc>
          <w:tcPr>
            <w:tcW w:w="204" w:type="pct"/>
            <w:shd w:val="clear" w:color="auto" w:fill="auto"/>
            <w:vAlign w:val="center"/>
          </w:tcPr>
          <w:p>
            <w:pPr>
              <w:spacing w:line="240" w:lineRule="auto"/>
              <w:ind w:firstLine="0" w:firstLineChars="0"/>
              <w:jc w:val="center"/>
              <w:rPr>
                <w:sz w:val="21"/>
              </w:rPr>
            </w:pPr>
            <w:r>
              <w:rPr>
                <w:sz w:val="21"/>
              </w:rPr>
              <w:t>56.39</w:t>
            </w:r>
          </w:p>
        </w:tc>
        <w:tc>
          <w:tcPr>
            <w:tcW w:w="202" w:type="pct"/>
            <w:shd w:val="clear" w:color="auto" w:fill="auto"/>
            <w:vAlign w:val="center"/>
          </w:tcPr>
          <w:p>
            <w:pPr>
              <w:spacing w:line="240" w:lineRule="auto"/>
              <w:ind w:firstLine="0" w:firstLineChars="0"/>
              <w:jc w:val="center"/>
              <w:rPr>
                <w:sz w:val="21"/>
              </w:rPr>
            </w:pPr>
            <w:r>
              <w:rPr>
                <w:sz w:val="21"/>
              </w:rPr>
              <w:t>61.87</w:t>
            </w:r>
          </w:p>
        </w:tc>
        <w:tc>
          <w:tcPr>
            <w:tcW w:w="204" w:type="pct"/>
            <w:shd w:val="clear" w:color="auto" w:fill="auto"/>
            <w:vAlign w:val="center"/>
          </w:tcPr>
          <w:p>
            <w:pPr>
              <w:spacing w:line="240" w:lineRule="auto"/>
              <w:ind w:firstLine="0" w:firstLineChars="0"/>
              <w:jc w:val="center"/>
              <w:rPr>
                <w:sz w:val="21"/>
              </w:rPr>
            </w:pPr>
            <w:r>
              <w:rPr>
                <w:sz w:val="21"/>
              </w:rPr>
              <w:t>56.86</w:t>
            </w:r>
          </w:p>
        </w:tc>
        <w:tc>
          <w:tcPr>
            <w:tcW w:w="203" w:type="pct"/>
            <w:shd w:val="clear" w:color="auto" w:fill="auto"/>
            <w:vAlign w:val="center"/>
          </w:tcPr>
          <w:p>
            <w:pPr>
              <w:spacing w:line="240" w:lineRule="auto"/>
              <w:ind w:firstLine="0" w:firstLineChars="0"/>
              <w:jc w:val="center"/>
              <w:rPr>
                <w:sz w:val="21"/>
              </w:rPr>
            </w:pPr>
            <w:r>
              <w:rPr>
                <w:sz w:val="21"/>
              </w:rPr>
              <w:t>7.87</w:t>
            </w:r>
          </w:p>
        </w:tc>
        <w:tc>
          <w:tcPr>
            <w:tcW w:w="236" w:type="pct"/>
            <w:shd w:val="clear" w:color="auto" w:fill="auto"/>
            <w:vAlign w:val="center"/>
          </w:tcPr>
          <w:p>
            <w:pPr>
              <w:spacing w:line="240" w:lineRule="auto"/>
              <w:ind w:firstLine="0" w:firstLineChars="0"/>
              <w:jc w:val="center"/>
              <w:rPr>
                <w:sz w:val="21"/>
              </w:rPr>
            </w:pPr>
            <w:r>
              <w:rPr>
                <w:sz w:val="21"/>
              </w:rPr>
              <w:t>9.86</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1.86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sz w:val="21"/>
                <w:szCs w:val="21"/>
              </w:rPr>
            </w:pPr>
          </w:p>
        </w:tc>
        <w:tc>
          <w:tcPr>
            <w:tcW w:w="204" w:type="pct"/>
            <w:vMerge w:val="continue"/>
            <w:shd w:val="clear" w:color="auto" w:fill="auto"/>
            <w:vAlign w:val="center"/>
          </w:tcPr>
          <w:p>
            <w:pPr>
              <w:pStyle w:val="675"/>
              <w:jc w:val="center"/>
              <w:rPr>
                <w:rFonts w:ascii="Times New Roman" w:hAnsi="Times New Roman" w:cs="Times New Roman"/>
                <w:sz w:val="21"/>
                <w:szCs w:val="21"/>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62.37</w:t>
            </w:r>
          </w:p>
        </w:tc>
        <w:tc>
          <w:tcPr>
            <w:tcW w:w="204" w:type="pct"/>
            <w:shd w:val="clear" w:color="auto" w:fill="auto"/>
            <w:vAlign w:val="center"/>
          </w:tcPr>
          <w:p>
            <w:pPr>
              <w:spacing w:line="240" w:lineRule="auto"/>
              <w:ind w:firstLine="0" w:firstLineChars="0"/>
              <w:jc w:val="center"/>
              <w:rPr>
                <w:sz w:val="21"/>
              </w:rPr>
            </w:pPr>
            <w:r>
              <w:rPr>
                <w:sz w:val="21"/>
              </w:rPr>
              <w:t>57.63</w:t>
            </w:r>
          </w:p>
        </w:tc>
        <w:tc>
          <w:tcPr>
            <w:tcW w:w="202" w:type="pct"/>
            <w:shd w:val="clear" w:color="auto" w:fill="auto"/>
            <w:vAlign w:val="center"/>
          </w:tcPr>
          <w:p>
            <w:pPr>
              <w:spacing w:line="240" w:lineRule="auto"/>
              <w:ind w:firstLine="0" w:firstLineChars="0"/>
              <w:jc w:val="center"/>
              <w:rPr>
                <w:sz w:val="21"/>
              </w:rPr>
            </w:pPr>
            <w:r>
              <w:rPr>
                <w:sz w:val="21"/>
              </w:rPr>
              <w:t>62.96</w:t>
            </w:r>
          </w:p>
        </w:tc>
        <w:tc>
          <w:tcPr>
            <w:tcW w:w="204" w:type="pct"/>
            <w:shd w:val="clear" w:color="auto" w:fill="auto"/>
            <w:vAlign w:val="center"/>
          </w:tcPr>
          <w:p>
            <w:pPr>
              <w:spacing w:line="240" w:lineRule="auto"/>
              <w:ind w:firstLine="0" w:firstLineChars="0"/>
              <w:jc w:val="center"/>
              <w:rPr>
                <w:sz w:val="21"/>
              </w:rPr>
            </w:pPr>
            <w:r>
              <w:rPr>
                <w:sz w:val="21"/>
              </w:rPr>
              <w:t>57.99</w:t>
            </w:r>
          </w:p>
        </w:tc>
        <w:tc>
          <w:tcPr>
            <w:tcW w:w="203" w:type="pct"/>
            <w:shd w:val="clear" w:color="auto" w:fill="auto"/>
            <w:vAlign w:val="center"/>
          </w:tcPr>
          <w:p>
            <w:pPr>
              <w:spacing w:line="240" w:lineRule="auto"/>
              <w:ind w:firstLine="0" w:firstLineChars="0"/>
              <w:jc w:val="center"/>
              <w:rPr>
                <w:sz w:val="21"/>
              </w:rPr>
            </w:pPr>
            <w:r>
              <w:rPr>
                <w:sz w:val="21"/>
              </w:rPr>
              <w:t>8.96</w:t>
            </w:r>
          </w:p>
        </w:tc>
        <w:tc>
          <w:tcPr>
            <w:tcW w:w="236" w:type="pct"/>
            <w:shd w:val="clear" w:color="auto" w:fill="auto"/>
            <w:vAlign w:val="center"/>
          </w:tcPr>
          <w:p>
            <w:pPr>
              <w:spacing w:line="240" w:lineRule="auto"/>
              <w:ind w:firstLine="0" w:firstLineChars="0"/>
              <w:jc w:val="center"/>
              <w:rPr>
                <w:sz w:val="21"/>
              </w:rPr>
            </w:pPr>
            <w:r>
              <w:rPr>
                <w:sz w:val="21"/>
              </w:rPr>
              <w:t>10.99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2.99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60.25</w:t>
            </w:r>
          </w:p>
        </w:tc>
        <w:tc>
          <w:tcPr>
            <w:tcW w:w="204" w:type="pct"/>
            <w:shd w:val="clear" w:color="auto" w:fill="auto"/>
            <w:vAlign w:val="center"/>
          </w:tcPr>
          <w:p>
            <w:pPr>
              <w:spacing w:line="240" w:lineRule="auto"/>
              <w:ind w:firstLine="0" w:firstLineChars="0"/>
              <w:jc w:val="center"/>
              <w:rPr>
                <w:sz w:val="21"/>
              </w:rPr>
            </w:pPr>
            <w:r>
              <w:rPr>
                <w:sz w:val="21"/>
              </w:rPr>
              <w:t>55.56</w:t>
            </w:r>
          </w:p>
        </w:tc>
        <w:tc>
          <w:tcPr>
            <w:tcW w:w="202" w:type="pct"/>
            <w:shd w:val="clear" w:color="auto" w:fill="auto"/>
            <w:vAlign w:val="center"/>
          </w:tcPr>
          <w:p>
            <w:pPr>
              <w:spacing w:line="240" w:lineRule="auto"/>
              <w:ind w:firstLine="0" w:firstLineChars="0"/>
              <w:jc w:val="center"/>
              <w:rPr>
                <w:sz w:val="21"/>
              </w:rPr>
            </w:pPr>
            <w:r>
              <w:rPr>
                <w:sz w:val="21"/>
              </w:rPr>
              <w:t>61.18</w:t>
            </w:r>
          </w:p>
        </w:tc>
        <w:tc>
          <w:tcPr>
            <w:tcW w:w="204" w:type="pct"/>
            <w:shd w:val="clear" w:color="auto" w:fill="auto"/>
            <w:vAlign w:val="center"/>
          </w:tcPr>
          <w:p>
            <w:pPr>
              <w:spacing w:line="240" w:lineRule="auto"/>
              <w:ind w:firstLine="0" w:firstLineChars="0"/>
              <w:jc w:val="center"/>
              <w:rPr>
                <w:sz w:val="21"/>
              </w:rPr>
            </w:pPr>
            <w:r>
              <w:rPr>
                <w:sz w:val="21"/>
              </w:rPr>
              <w:t>56.12</w:t>
            </w:r>
          </w:p>
        </w:tc>
        <w:tc>
          <w:tcPr>
            <w:tcW w:w="203" w:type="pct"/>
            <w:shd w:val="clear" w:color="auto" w:fill="auto"/>
            <w:vAlign w:val="center"/>
          </w:tcPr>
          <w:p>
            <w:pPr>
              <w:spacing w:line="240" w:lineRule="auto"/>
              <w:ind w:firstLine="0" w:firstLineChars="0"/>
              <w:jc w:val="center"/>
              <w:rPr>
                <w:sz w:val="21"/>
              </w:rPr>
            </w:pPr>
            <w:r>
              <w:rPr>
                <w:sz w:val="21"/>
              </w:rPr>
              <w:t>7.18</w:t>
            </w:r>
          </w:p>
        </w:tc>
        <w:tc>
          <w:tcPr>
            <w:tcW w:w="236" w:type="pct"/>
            <w:shd w:val="clear" w:color="auto" w:fill="auto"/>
            <w:vAlign w:val="center"/>
          </w:tcPr>
          <w:p>
            <w:pPr>
              <w:spacing w:line="240" w:lineRule="auto"/>
              <w:ind w:firstLine="0" w:firstLineChars="0"/>
              <w:jc w:val="center"/>
              <w:rPr>
                <w:sz w:val="21"/>
              </w:rPr>
            </w:pPr>
            <w:r>
              <w:rPr>
                <w:sz w:val="21"/>
              </w:rPr>
              <w:t>9.12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61.11</w:t>
            </w:r>
          </w:p>
        </w:tc>
        <w:tc>
          <w:tcPr>
            <w:tcW w:w="204" w:type="pct"/>
            <w:shd w:val="clear" w:color="auto" w:fill="auto"/>
            <w:vAlign w:val="center"/>
          </w:tcPr>
          <w:p>
            <w:pPr>
              <w:spacing w:line="240" w:lineRule="auto"/>
              <w:ind w:firstLine="0" w:firstLineChars="0"/>
              <w:jc w:val="center"/>
              <w:rPr>
                <w:sz w:val="21"/>
              </w:rPr>
            </w:pPr>
            <w:r>
              <w:rPr>
                <w:sz w:val="21"/>
              </w:rPr>
              <w:t>56.4</w:t>
            </w:r>
          </w:p>
        </w:tc>
        <w:tc>
          <w:tcPr>
            <w:tcW w:w="202" w:type="pct"/>
            <w:shd w:val="clear" w:color="auto" w:fill="auto"/>
            <w:vAlign w:val="center"/>
          </w:tcPr>
          <w:p>
            <w:pPr>
              <w:spacing w:line="240" w:lineRule="auto"/>
              <w:ind w:firstLine="0" w:firstLineChars="0"/>
              <w:jc w:val="center"/>
              <w:rPr>
                <w:sz w:val="21"/>
              </w:rPr>
            </w:pPr>
            <w:r>
              <w:rPr>
                <w:sz w:val="21"/>
              </w:rPr>
              <w:t>61.88</w:t>
            </w:r>
          </w:p>
        </w:tc>
        <w:tc>
          <w:tcPr>
            <w:tcW w:w="204" w:type="pct"/>
            <w:shd w:val="clear" w:color="auto" w:fill="auto"/>
            <w:vAlign w:val="center"/>
          </w:tcPr>
          <w:p>
            <w:pPr>
              <w:spacing w:line="240" w:lineRule="auto"/>
              <w:ind w:firstLine="0" w:firstLineChars="0"/>
              <w:jc w:val="center"/>
              <w:rPr>
                <w:sz w:val="21"/>
              </w:rPr>
            </w:pPr>
            <w:r>
              <w:rPr>
                <w:sz w:val="21"/>
              </w:rPr>
              <w:t>56.87</w:t>
            </w:r>
          </w:p>
        </w:tc>
        <w:tc>
          <w:tcPr>
            <w:tcW w:w="203" w:type="pct"/>
            <w:shd w:val="clear" w:color="auto" w:fill="auto"/>
            <w:vAlign w:val="center"/>
          </w:tcPr>
          <w:p>
            <w:pPr>
              <w:spacing w:line="240" w:lineRule="auto"/>
              <w:ind w:firstLine="0" w:firstLineChars="0"/>
              <w:jc w:val="center"/>
              <w:rPr>
                <w:sz w:val="21"/>
              </w:rPr>
            </w:pPr>
            <w:r>
              <w:rPr>
                <w:sz w:val="21"/>
              </w:rPr>
              <w:t>7.88</w:t>
            </w:r>
          </w:p>
        </w:tc>
        <w:tc>
          <w:tcPr>
            <w:tcW w:w="236" w:type="pct"/>
            <w:shd w:val="clear" w:color="auto" w:fill="auto"/>
            <w:vAlign w:val="center"/>
          </w:tcPr>
          <w:p>
            <w:pPr>
              <w:spacing w:line="240" w:lineRule="auto"/>
              <w:ind w:firstLine="0" w:firstLineChars="0"/>
              <w:jc w:val="center"/>
              <w:rPr>
                <w:sz w:val="21"/>
              </w:rPr>
            </w:pPr>
            <w:r>
              <w:rPr>
                <w:sz w:val="21"/>
              </w:rPr>
              <w:t>9.87</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62.38</w:t>
            </w:r>
          </w:p>
        </w:tc>
        <w:tc>
          <w:tcPr>
            <w:tcW w:w="204" w:type="pct"/>
            <w:shd w:val="clear" w:color="auto" w:fill="auto"/>
            <w:vAlign w:val="center"/>
          </w:tcPr>
          <w:p>
            <w:pPr>
              <w:spacing w:line="240" w:lineRule="auto"/>
              <w:ind w:firstLine="0" w:firstLineChars="0"/>
              <w:jc w:val="center"/>
              <w:rPr>
                <w:sz w:val="21"/>
              </w:rPr>
            </w:pPr>
            <w:r>
              <w:rPr>
                <w:sz w:val="21"/>
              </w:rPr>
              <w:t>57.64</w:t>
            </w:r>
          </w:p>
        </w:tc>
        <w:tc>
          <w:tcPr>
            <w:tcW w:w="202" w:type="pct"/>
            <w:shd w:val="clear" w:color="auto" w:fill="auto"/>
            <w:vAlign w:val="center"/>
          </w:tcPr>
          <w:p>
            <w:pPr>
              <w:spacing w:line="240" w:lineRule="auto"/>
              <w:ind w:firstLine="0" w:firstLineChars="0"/>
              <w:jc w:val="center"/>
              <w:rPr>
                <w:sz w:val="21"/>
              </w:rPr>
            </w:pPr>
            <w:r>
              <w:rPr>
                <w:sz w:val="21"/>
              </w:rPr>
              <w:t>62.97</w:t>
            </w:r>
          </w:p>
        </w:tc>
        <w:tc>
          <w:tcPr>
            <w:tcW w:w="204" w:type="pct"/>
            <w:shd w:val="clear" w:color="auto" w:fill="auto"/>
            <w:vAlign w:val="center"/>
          </w:tcPr>
          <w:p>
            <w:pPr>
              <w:spacing w:line="240" w:lineRule="auto"/>
              <w:ind w:firstLine="0" w:firstLineChars="0"/>
              <w:jc w:val="center"/>
              <w:rPr>
                <w:sz w:val="21"/>
              </w:rPr>
            </w:pPr>
            <w:r>
              <w:rPr>
                <w:sz w:val="21"/>
              </w:rPr>
              <w:t>58</w:t>
            </w:r>
          </w:p>
        </w:tc>
        <w:tc>
          <w:tcPr>
            <w:tcW w:w="203" w:type="pct"/>
            <w:shd w:val="clear" w:color="auto" w:fill="auto"/>
            <w:vAlign w:val="center"/>
          </w:tcPr>
          <w:p>
            <w:pPr>
              <w:spacing w:line="240" w:lineRule="auto"/>
              <w:ind w:firstLine="0" w:firstLineChars="0"/>
              <w:jc w:val="center"/>
              <w:rPr>
                <w:sz w:val="21"/>
              </w:rPr>
            </w:pPr>
            <w:r>
              <w:rPr>
                <w:sz w:val="21"/>
              </w:rPr>
              <w:t>8.97</w:t>
            </w:r>
          </w:p>
        </w:tc>
        <w:tc>
          <w:tcPr>
            <w:tcW w:w="236" w:type="pct"/>
            <w:shd w:val="clear" w:color="auto" w:fill="auto"/>
            <w:vAlign w:val="center"/>
          </w:tcPr>
          <w:p>
            <w:pPr>
              <w:spacing w:line="240" w:lineRule="auto"/>
              <w:ind w:firstLine="0" w:firstLineChars="0"/>
              <w:jc w:val="center"/>
              <w:rPr>
                <w:sz w:val="21"/>
              </w:rPr>
            </w:pPr>
            <w:r>
              <w:rPr>
                <w:sz w:val="21"/>
              </w:rPr>
              <w:t>11</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restart"/>
            <w:shd w:val="clear" w:color="auto" w:fill="auto"/>
            <w:vAlign w:val="center"/>
          </w:tcPr>
          <w:p>
            <w:pPr>
              <w:spacing w:line="240" w:lineRule="auto"/>
              <w:ind w:firstLine="0" w:firstLineChars="0"/>
              <w:jc w:val="center"/>
              <w:rPr>
                <w:sz w:val="21"/>
              </w:rPr>
            </w:pPr>
            <w:r>
              <w:rPr>
                <w:sz w:val="21"/>
              </w:rPr>
              <w:t>98</w:t>
            </w:r>
          </w:p>
        </w:tc>
        <w:tc>
          <w:tcPr>
            <w:tcW w:w="236" w:type="pct"/>
            <w:vMerge w:val="restart"/>
            <w:shd w:val="clear" w:color="auto" w:fill="auto"/>
            <w:vAlign w:val="center"/>
          </w:tcPr>
          <w:p>
            <w:pPr>
              <w:spacing w:line="240" w:lineRule="auto"/>
              <w:ind w:firstLine="0" w:firstLineChars="0"/>
              <w:jc w:val="center"/>
              <w:rPr>
                <w:sz w:val="21"/>
              </w:rPr>
            </w:pPr>
            <w:r>
              <w:rPr>
                <w:sz w:val="21"/>
              </w:rPr>
              <w:t>84</w:t>
            </w:r>
          </w:p>
        </w:tc>
        <w:tc>
          <w:tcPr>
            <w:tcW w:w="44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p>
        </w:tc>
        <w:tc>
          <w:tcPr>
            <w:tcW w:w="405"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10栋</w:t>
            </w: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41.13</w:t>
            </w:r>
          </w:p>
        </w:tc>
        <w:tc>
          <w:tcPr>
            <w:tcW w:w="204" w:type="pct"/>
            <w:shd w:val="clear" w:color="auto" w:fill="auto"/>
            <w:vAlign w:val="center"/>
          </w:tcPr>
          <w:p>
            <w:pPr>
              <w:spacing w:line="240" w:lineRule="auto"/>
              <w:ind w:firstLine="0" w:firstLineChars="0"/>
              <w:jc w:val="center"/>
              <w:rPr>
                <w:sz w:val="21"/>
              </w:rPr>
            </w:pPr>
            <w:r>
              <w:rPr>
                <w:sz w:val="21"/>
              </w:rPr>
              <w:t>36.43</w:t>
            </w:r>
          </w:p>
        </w:tc>
        <w:tc>
          <w:tcPr>
            <w:tcW w:w="202" w:type="pct"/>
            <w:shd w:val="clear" w:color="auto" w:fill="auto"/>
            <w:vAlign w:val="center"/>
          </w:tcPr>
          <w:p>
            <w:pPr>
              <w:spacing w:line="240" w:lineRule="auto"/>
              <w:ind w:firstLine="0" w:firstLineChars="0"/>
              <w:jc w:val="center"/>
              <w:rPr>
                <w:sz w:val="21"/>
              </w:rPr>
            </w:pPr>
            <w:r>
              <w:rPr>
                <w:sz w:val="21"/>
              </w:rPr>
              <w:t>54.22</w:t>
            </w:r>
          </w:p>
        </w:tc>
        <w:tc>
          <w:tcPr>
            <w:tcW w:w="204" w:type="pct"/>
            <w:shd w:val="clear" w:color="auto" w:fill="auto"/>
            <w:vAlign w:val="center"/>
          </w:tcPr>
          <w:p>
            <w:pPr>
              <w:spacing w:line="240" w:lineRule="auto"/>
              <w:ind w:firstLine="0" w:firstLineChars="0"/>
              <w:jc w:val="center"/>
              <w:rPr>
                <w:sz w:val="21"/>
              </w:rPr>
            </w:pPr>
            <w:r>
              <w:rPr>
                <w:sz w:val="21"/>
              </w:rPr>
              <w:t>47.37</w:t>
            </w:r>
          </w:p>
        </w:tc>
        <w:tc>
          <w:tcPr>
            <w:tcW w:w="203" w:type="pct"/>
            <w:shd w:val="clear" w:color="auto" w:fill="auto"/>
            <w:vAlign w:val="center"/>
          </w:tcPr>
          <w:p>
            <w:pPr>
              <w:spacing w:line="240" w:lineRule="auto"/>
              <w:ind w:firstLine="0" w:firstLineChars="0"/>
              <w:jc w:val="center"/>
              <w:rPr>
                <w:sz w:val="21"/>
              </w:rPr>
            </w:pPr>
            <w:r>
              <w:rPr>
                <w:sz w:val="21"/>
              </w:rPr>
              <w:t>0.22</w:t>
            </w:r>
          </w:p>
        </w:tc>
        <w:tc>
          <w:tcPr>
            <w:tcW w:w="236" w:type="pct"/>
            <w:shd w:val="clear" w:color="auto" w:fill="auto"/>
            <w:vAlign w:val="center"/>
          </w:tcPr>
          <w:p>
            <w:pPr>
              <w:spacing w:line="240" w:lineRule="auto"/>
              <w:ind w:firstLine="0" w:firstLineChars="0"/>
              <w:jc w:val="center"/>
              <w:rPr>
                <w:sz w:val="21"/>
              </w:rPr>
            </w:pPr>
            <w:r>
              <w:rPr>
                <w:sz w:val="21"/>
              </w:rPr>
              <w:t>0.37</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41.98</w:t>
            </w:r>
          </w:p>
        </w:tc>
        <w:tc>
          <w:tcPr>
            <w:tcW w:w="204" w:type="pct"/>
            <w:shd w:val="clear" w:color="auto" w:fill="auto"/>
            <w:vAlign w:val="center"/>
          </w:tcPr>
          <w:p>
            <w:pPr>
              <w:spacing w:line="240" w:lineRule="auto"/>
              <w:ind w:firstLine="0" w:firstLineChars="0"/>
              <w:jc w:val="center"/>
              <w:rPr>
                <w:sz w:val="21"/>
              </w:rPr>
            </w:pPr>
            <w:r>
              <w:rPr>
                <w:sz w:val="21"/>
              </w:rPr>
              <w:t>37.27</w:t>
            </w:r>
          </w:p>
        </w:tc>
        <w:tc>
          <w:tcPr>
            <w:tcW w:w="202" w:type="pct"/>
            <w:shd w:val="clear" w:color="auto" w:fill="auto"/>
            <w:vAlign w:val="center"/>
          </w:tcPr>
          <w:p>
            <w:pPr>
              <w:spacing w:line="240" w:lineRule="auto"/>
              <w:ind w:firstLine="0" w:firstLineChars="0"/>
              <w:jc w:val="center"/>
              <w:rPr>
                <w:sz w:val="21"/>
              </w:rPr>
            </w:pPr>
            <w:r>
              <w:rPr>
                <w:sz w:val="21"/>
              </w:rPr>
              <w:t>54.26</w:t>
            </w:r>
          </w:p>
        </w:tc>
        <w:tc>
          <w:tcPr>
            <w:tcW w:w="204" w:type="pct"/>
            <w:shd w:val="clear" w:color="auto" w:fill="auto"/>
            <w:vAlign w:val="center"/>
          </w:tcPr>
          <w:p>
            <w:pPr>
              <w:spacing w:line="240" w:lineRule="auto"/>
              <w:ind w:firstLine="0" w:firstLineChars="0"/>
              <w:jc w:val="center"/>
              <w:rPr>
                <w:sz w:val="21"/>
              </w:rPr>
            </w:pPr>
            <w:r>
              <w:rPr>
                <w:sz w:val="21"/>
              </w:rPr>
              <w:t>47.44</w:t>
            </w:r>
          </w:p>
        </w:tc>
        <w:tc>
          <w:tcPr>
            <w:tcW w:w="203" w:type="pct"/>
            <w:shd w:val="clear" w:color="auto" w:fill="auto"/>
            <w:vAlign w:val="center"/>
          </w:tcPr>
          <w:p>
            <w:pPr>
              <w:spacing w:line="240" w:lineRule="auto"/>
              <w:ind w:firstLine="0" w:firstLineChars="0"/>
              <w:jc w:val="center"/>
              <w:rPr>
                <w:sz w:val="21"/>
              </w:rPr>
            </w:pPr>
            <w:r>
              <w:rPr>
                <w:sz w:val="21"/>
              </w:rPr>
              <w:t>0.26</w:t>
            </w:r>
          </w:p>
        </w:tc>
        <w:tc>
          <w:tcPr>
            <w:tcW w:w="236" w:type="pct"/>
            <w:shd w:val="clear" w:color="auto" w:fill="auto"/>
            <w:vAlign w:val="center"/>
          </w:tcPr>
          <w:p>
            <w:pPr>
              <w:spacing w:line="240" w:lineRule="auto"/>
              <w:ind w:firstLine="0" w:firstLineChars="0"/>
              <w:jc w:val="center"/>
              <w:rPr>
                <w:sz w:val="21"/>
              </w:rPr>
            </w:pPr>
            <w:r>
              <w:rPr>
                <w:sz w:val="21"/>
              </w:rPr>
              <w:t>0.44</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1层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43.25</w:t>
            </w:r>
          </w:p>
        </w:tc>
        <w:tc>
          <w:tcPr>
            <w:tcW w:w="204" w:type="pct"/>
            <w:shd w:val="clear" w:color="auto" w:fill="auto"/>
            <w:vAlign w:val="center"/>
          </w:tcPr>
          <w:p>
            <w:pPr>
              <w:spacing w:line="240" w:lineRule="auto"/>
              <w:ind w:firstLine="0" w:firstLineChars="0"/>
              <w:jc w:val="center"/>
              <w:rPr>
                <w:sz w:val="21"/>
              </w:rPr>
            </w:pPr>
            <w:r>
              <w:rPr>
                <w:sz w:val="21"/>
              </w:rPr>
              <w:t>38.51</w:t>
            </w:r>
          </w:p>
        </w:tc>
        <w:tc>
          <w:tcPr>
            <w:tcW w:w="202" w:type="pct"/>
            <w:shd w:val="clear" w:color="auto" w:fill="auto"/>
            <w:vAlign w:val="center"/>
          </w:tcPr>
          <w:p>
            <w:pPr>
              <w:spacing w:line="240" w:lineRule="auto"/>
              <w:ind w:firstLine="0" w:firstLineChars="0"/>
              <w:jc w:val="center"/>
              <w:rPr>
                <w:sz w:val="21"/>
              </w:rPr>
            </w:pPr>
            <w:r>
              <w:rPr>
                <w:sz w:val="21"/>
              </w:rPr>
              <w:t>54.35</w:t>
            </w:r>
          </w:p>
        </w:tc>
        <w:tc>
          <w:tcPr>
            <w:tcW w:w="204" w:type="pct"/>
            <w:shd w:val="clear" w:color="auto" w:fill="auto"/>
            <w:vAlign w:val="center"/>
          </w:tcPr>
          <w:p>
            <w:pPr>
              <w:spacing w:line="240" w:lineRule="auto"/>
              <w:ind w:firstLine="0" w:firstLineChars="0"/>
              <w:jc w:val="center"/>
              <w:rPr>
                <w:sz w:val="21"/>
              </w:rPr>
            </w:pPr>
            <w:r>
              <w:rPr>
                <w:sz w:val="21"/>
              </w:rPr>
              <w:t>47.58</w:t>
            </w:r>
          </w:p>
        </w:tc>
        <w:tc>
          <w:tcPr>
            <w:tcW w:w="203" w:type="pct"/>
            <w:shd w:val="clear" w:color="auto" w:fill="auto"/>
            <w:vAlign w:val="center"/>
          </w:tcPr>
          <w:p>
            <w:pPr>
              <w:spacing w:line="240" w:lineRule="auto"/>
              <w:ind w:firstLine="0" w:firstLineChars="0"/>
              <w:jc w:val="center"/>
              <w:rPr>
                <w:sz w:val="21"/>
              </w:rPr>
            </w:pPr>
            <w:r>
              <w:rPr>
                <w:sz w:val="21"/>
              </w:rPr>
              <w:t>0.35</w:t>
            </w:r>
          </w:p>
        </w:tc>
        <w:tc>
          <w:tcPr>
            <w:tcW w:w="236" w:type="pct"/>
            <w:shd w:val="clear" w:color="auto" w:fill="auto"/>
            <w:vAlign w:val="center"/>
          </w:tcPr>
          <w:p>
            <w:pPr>
              <w:spacing w:line="240" w:lineRule="auto"/>
              <w:ind w:firstLine="0" w:firstLineChars="0"/>
              <w:jc w:val="center"/>
              <w:rPr>
                <w:sz w:val="21"/>
              </w:rPr>
            </w:pPr>
            <w:r>
              <w:rPr>
                <w:sz w:val="21"/>
              </w:rPr>
              <w:t>0.58</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41.25</w:t>
            </w:r>
          </w:p>
        </w:tc>
        <w:tc>
          <w:tcPr>
            <w:tcW w:w="204" w:type="pct"/>
            <w:shd w:val="clear" w:color="auto" w:fill="auto"/>
            <w:vAlign w:val="center"/>
          </w:tcPr>
          <w:p>
            <w:pPr>
              <w:spacing w:line="240" w:lineRule="auto"/>
              <w:ind w:firstLine="0" w:firstLineChars="0"/>
              <w:jc w:val="center"/>
              <w:rPr>
                <w:sz w:val="21"/>
              </w:rPr>
            </w:pPr>
            <w:r>
              <w:rPr>
                <w:sz w:val="21"/>
              </w:rPr>
              <w:t>36.55</w:t>
            </w:r>
          </w:p>
        </w:tc>
        <w:tc>
          <w:tcPr>
            <w:tcW w:w="202" w:type="pct"/>
            <w:shd w:val="clear" w:color="auto" w:fill="auto"/>
            <w:vAlign w:val="center"/>
          </w:tcPr>
          <w:p>
            <w:pPr>
              <w:spacing w:line="240" w:lineRule="auto"/>
              <w:ind w:firstLine="0" w:firstLineChars="0"/>
              <w:jc w:val="center"/>
              <w:rPr>
                <w:sz w:val="21"/>
              </w:rPr>
            </w:pPr>
            <w:r>
              <w:rPr>
                <w:sz w:val="21"/>
              </w:rPr>
              <w:t>54.22</w:t>
            </w:r>
          </w:p>
        </w:tc>
        <w:tc>
          <w:tcPr>
            <w:tcW w:w="204" w:type="pct"/>
            <w:shd w:val="clear" w:color="auto" w:fill="auto"/>
            <w:vAlign w:val="center"/>
          </w:tcPr>
          <w:p>
            <w:pPr>
              <w:spacing w:line="240" w:lineRule="auto"/>
              <w:ind w:firstLine="0" w:firstLineChars="0"/>
              <w:jc w:val="center"/>
              <w:rPr>
                <w:sz w:val="21"/>
              </w:rPr>
            </w:pPr>
            <w:r>
              <w:rPr>
                <w:sz w:val="21"/>
              </w:rPr>
              <w:t>47.38</w:t>
            </w:r>
          </w:p>
        </w:tc>
        <w:tc>
          <w:tcPr>
            <w:tcW w:w="203" w:type="pct"/>
            <w:shd w:val="clear" w:color="auto" w:fill="auto"/>
            <w:vAlign w:val="center"/>
          </w:tcPr>
          <w:p>
            <w:pPr>
              <w:spacing w:line="240" w:lineRule="auto"/>
              <w:ind w:firstLine="0" w:firstLineChars="0"/>
              <w:jc w:val="center"/>
              <w:rPr>
                <w:sz w:val="21"/>
              </w:rPr>
            </w:pPr>
            <w:r>
              <w:rPr>
                <w:sz w:val="21"/>
              </w:rPr>
              <w:t>0.22</w:t>
            </w:r>
          </w:p>
        </w:tc>
        <w:tc>
          <w:tcPr>
            <w:tcW w:w="236" w:type="pct"/>
            <w:shd w:val="clear" w:color="auto" w:fill="auto"/>
            <w:vAlign w:val="center"/>
          </w:tcPr>
          <w:p>
            <w:pPr>
              <w:spacing w:line="240" w:lineRule="auto"/>
              <w:ind w:firstLine="0" w:firstLineChars="0"/>
              <w:jc w:val="center"/>
              <w:rPr>
                <w:sz w:val="21"/>
              </w:rPr>
            </w:pPr>
            <w:r>
              <w:rPr>
                <w:sz w:val="21"/>
              </w:rPr>
              <w:t>0.38</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42.1</w:t>
            </w:r>
          </w:p>
        </w:tc>
        <w:tc>
          <w:tcPr>
            <w:tcW w:w="204" w:type="pct"/>
            <w:shd w:val="clear" w:color="auto" w:fill="auto"/>
            <w:vAlign w:val="center"/>
          </w:tcPr>
          <w:p>
            <w:pPr>
              <w:spacing w:line="240" w:lineRule="auto"/>
              <w:ind w:firstLine="0" w:firstLineChars="0"/>
              <w:jc w:val="center"/>
              <w:rPr>
                <w:sz w:val="21"/>
              </w:rPr>
            </w:pPr>
            <w:r>
              <w:rPr>
                <w:sz w:val="21"/>
              </w:rPr>
              <w:t>37.39</w:t>
            </w:r>
          </w:p>
        </w:tc>
        <w:tc>
          <w:tcPr>
            <w:tcW w:w="202" w:type="pct"/>
            <w:shd w:val="clear" w:color="auto" w:fill="auto"/>
            <w:vAlign w:val="center"/>
          </w:tcPr>
          <w:p>
            <w:pPr>
              <w:spacing w:line="240" w:lineRule="auto"/>
              <w:ind w:firstLine="0" w:firstLineChars="0"/>
              <w:jc w:val="center"/>
              <w:rPr>
                <w:sz w:val="21"/>
              </w:rPr>
            </w:pPr>
            <w:r>
              <w:rPr>
                <w:sz w:val="21"/>
              </w:rPr>
              <w:t>54.27</w:t>
            </w:r>
          </w:p>
        </w:tc>
        <w:tc>
          <w:tcPr>
            <w:tcW w:w="204" w:type="pct"/>
            <w:shd w:val="clear" w:color="auto" w:fill="auto"/>
            <w:vAlign w:val="center"/>
          </w:tcPr>
          <w:p>
            <w:pPr>
              <w:spacing w:line="240" w:lineRule="auto"/>
              <w:ind w:firstLine="0" w:firstLineChars="0"/>
              <w:jc w:val="center"/>
              <w:rPr>
                <w:sz w:val="21"/>
              </w:rPr>
            </w:pPr>
            <w:r>
              <w:rPr>
                <w:sz w:val="21"/>
              </w:rPr>
              <w:t>47.45</w:t>
            </w:r>
          </w:p>
        </w:tc>
        <w:tc>
          <w:tcPr>
            <w:tcW w:w="203" w:type="pct"/>
            <w:shd w:val="clear" w:color="auto" w:fill="auto"/>
            <w:vAlign w:val="center"/>
          </w:tcPr>
          <w:p>
            <w:pPr>
              <w:spacing w:line="240" w:lineRule="auto"/>
              <w:ind w:firstLine="0" w:firstLineChars="0"/>
              <w:jc w:val="center"/>
              <w:rPr>
                <w:sz w:val="21"/>
              </w:rPr>
            </w:pPr>
            <w:r>
              <w:rPr>
                <w:sz w:val="21"/>
              </w:rPr>
              <w:t>0.27</w:t>
            </w:r>
          </w:p>
        </w:tc>
        <w:tc>
          <w:tcPr>
            <w:tcW w:w="236" w:type="pct"/>
            <w:shd w:val="clear" w:color="auto" w:fill="auto"/>
            <w:vAlign w:val="center"/>
          </w:tcPr>
          <w:p>
            <w:pPr>
              <w:spacing w:line="240" w:lineRule="auto"/>
              <w:ind w:firstLine="0" w:firstLineChars="0"/>
              <w:jc w:val="center"/>
              <w:rPr>
                <w:sz w:val="21"/>
              </w:rPr>
            </w:pPr>
            <w:r>
              <w:rPr>
                <w:sz w:val="21"/>
              </w:rPr>
              <w:t>0.45</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3层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43.38</w:t>
            </w:r>
          </w:p>
        </w:tc>
        <w:tc>
          <w:tcPr>
            <w:tcW w:w="204" w:type="pct"/>
            <w:shd w:val="clear" w:color="auto" w:fill="auto"/>
            <w:vAlign w:val="center"/>
          </w:tcPr>
          <w:p>
            <w:pPr>
              <w:spacing w:line="240" w:lineRule="auto"/>
              <w:ind w:firstLine="0" w:firstLineChars="0"/>
              <w:jc w:val="center"/>
              <w:rPr>
                <w:sz w:val="21"/>
              </w:rPr>
            </w:pPr>
            <w:r>
              <w:rPr>
                <w:sz w:val="21"/>
              </w:rPr>
              <w:t>38.64</w:t>
            </w:r>
          </w:p>
        </w:tc>
        <w:tc>
          <w:tcPr>
            <w:tcW w:w="202" w:type="pct"/>
            <w:shd w:val="clear" w:color="auto" w:fill="auto"/>
            <w:vAlign w:val="center"/>
          </w:tcPr>
          <w:p>
            <w:pPr>
              <w:spacing w:line="240" w:lineRule="auto"/>
              <w:ind w:firstLine="0" w:firstLineChars="0"/>
              <w:jc w:val="center"/>
              <w:rPr>
                <w:sz w:val="21"/>
              </w:rPr>
            </w:pPr>
            <w:r>
              <w:rPr>
                <w:sz w:val="21"/>
              </w:rPr>
              <w:t>54.36</w:t>
            </w:r>
          </w:p>
        </w:tc>
        <w:tc>
          <w:tcPr>
            <w:tcW w:w="204" w:type="pct"/>
            <w:shd w:val="clear" w:color="auto" w:fill="auto"/>
            <w:vAlign w:val="center"/>
          </w:tcPr>
          <w:p>
            <w:pPr>
              <w:spacing w:line="240" w:lineRule="auto"/>
              <w:ind w:firstLine="0" w:firstLineChars="0"/>
              <w:jc w:val="center"/>
              <w:rPr>
                <w:sz w:val="21"/>
              </w:rPr>
            </w:pPr>
            <w:r>
              <w:rPr>
                <w:sz w:val="21"/>
              </w:rPr>
              <w:t>47.59</w:t>
            </w:r>
          </w:p>
        </w:tc>
        <w:tc>
          <w:tcPr>
            <w:tcW w:w="203" w:type="pct"/>
            <w:shd w:val="clear" w:color="auto" w:fill="auto"/>
            <w:vAlign w:val="center"/>
          </w:tcPr>
          <w:p>
            <w:pPr>
              <w:spacing w:line="240" w:lineRule="auto"/>
              <w:ind w:firstLine="0" w:firstLineChars="0"/>
              <w:jc w:val="center"/>
              <w:rPr>
                <w:sz w:val="21"/>
              </w:rPr>
            </w:pPr>
            <w:r>
              <w:rPr>
                <w:sz w:val="21"/>
              </w:rPr>
              <w:t>0.36</w:t>
            </w:r>
          </w:p>
        </w:tc>
        <w:tc>
          <w:tcPr>
            <w:tcW w:w="236" w:type="pct"/>
            <w:shd w:val="clear" w:color="auto" w:fill="auto"/>
            <w:vAlign w:val="center"/>
          </w:tcPr>
          <w:p>
            <w:pPr>
              <w:spacing w:line="240" w:lineRule="auto"/>
              <w:ind w:firstLine="0" w:firstLineChars="0"/>
              <w:jc w:val="center"/>
              <w:rPr>
                <w:sz w:val="21"/>
              </w:rPr>
            </w:pPr>
            <w:r>
              <w:rPr>
                <w:sz w:val="21"/>
              </w:rPr>
              <w:t>0.59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41.4</w:t>
            </w:r>
          </w:p>
        </w:tc>
        <w:tc>
          <w:tcPr>
            <w:tcW w:w="204" w:type="pct"/>
            <w:shd w:val="clear" w:color="auto" w:fill="auto"/>
            <w:vAlign w:val="center"/>
          </w:tcPr>
          <w:p>
            <w:pPr>
              <w:spacing w:line="240" w:lineRule="auto"/>
              <w:ind w:firstLine="0" w:firstLineChars="0"/>
              <w:jc w:val="center"/>
              <w:rPr>
                <w:sz w:val="21"/>
              </w:rPr>
            </w:pPr>
            <w:r>
              <w:rPr>
                <w:sz w:val="21"/>
              </w:rPr>
              <w:t>36.71</w:t>
            </w:r>
          </w:p>
        </w:tc>
        <w:tc>
          <w:tcPr>
            <w:tcW w:w="202" w:type="pct"/>
            <w:shd w:val="clear" w:color="auto" w:fill="auto"/>
            <w:vAlign w:val="center"/>
          </w:tcPr>
          <w:p>
            <w:pPr>
              <w:spacing w:line="240" w:lineRule="auto"/>
              <w:ind w:firstLine="0" w:firstLineChars="0"/>
              <w:jc w:val="center"/>
              <w:rPr>
                <w:sz w:val="21"/>
              </w:rPr>
            </w:pPr>
            <w:r>
              <w:rPr>
                <w:sz w:val="21"/>
              </w:rPr>
              <w:t>54.23</w:t>
            </w:r>
          </w:p>
        </w:tc>
        <w:tc>
          <w:tcPr>
            <w:tcW w:w="204" w:type="pct"/>
            <w:shd w:val="clear" w:color="auto" w:fill="auto"/>
            <w:vAlign w:val="center"/>
          </w:tcPr>
          <w:p>
            <w:pPr>
              <w:spacing w:line="240" w:lineRule="auto"/>
              <w:ind w:firstLine="0" w:firstLineChars="0"/>
              <w:jc w:val="center"/>
              <w:rPr>
                <w:sz w:val="21"/>
              </w:rPr>
            </w:pPr>
            <w:r>
              <w:rPr>
                <w:sz w:val="21"/>
              </w:rPr>
              <w:t>47.39</w:t>
            </w:r>
          </w:p>
        </w:tc>
        <w:tc>
          <w:tcPr>
            <w:tcW w:w="203" w:type="pct"/>
            <w:shd w:val="clear" w:color="auto" w:fill="auto"/>
            <w:vAlign w:val="center"/>
          </w:tcPr>
          <w:p>
            <w:pPr>
              <w:spacing w:line="240" w:lineRule="auto"/>
              <w:ind w:firstLine="0" w:firstLineChars="0"/>
              <w:jc w:val="center"/>
              <w:rPr>
                <w:sz w:val="21"/>
              </w:rPr>
            </w:pPr>
            <w:r>
              <w:rPr>
                <w:sz w:val="21"/>
              </w:rPr>
              <w:t>0.23</w:t>
            </w:r>
          </w:p>
        </w:tc>
        <w:tc>
          <w:tcPr>
            <w:tcW w:w="236" w:type="pct"/>
            <w:shd w:val="clear" w:color="auto" w:fill="auto"/>
            <w:vAlign w:val="center"/>
          </w:tcPr>
          <w:p>
            <w:pPr>
              <w:spacing w:line="240" w:lineRule="auto"/>
              <w:ind w:firstLine="0" w:firstLineChars="0"/>
              <w:jc w:val="center"/>
              <w:rPr>
                <w:sz w:val="21"/>
              </w:rPr>
            </w:pPr>
            <w:r>
              <w:rPr>
                <w:sz w:val="21"/>
              </w:rPr>
              <w:t>0.39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42.26</w:t>
            </w:r>
          </w:p>
        </w:tc>
        <w:tc>
          <w:tcPr>
            <w:tcW w:w="204" w:type="pct"/>
            <w:shd w:val="clear" w:color="auto" w:fill="auto"/>
            <w:vAlign w:val="center"/>
          </w:tcPr>
          <w:p>
            <w:pPr>
              <w:spacing w:line="240" w:lineRule="auto"/>
              <w:ind w:firstLine="0" w:firstLineChars="0"/>
              <w:jc w:val="center"/>
              <w:rPr>
                <w:sz w:val="21"/>
              </w:rPr>
            </w:pPr>
            <w:r>
              <w:rPr>
                <w:sz w:val="21"/>
              </w:rPr>
              <w:t>37.55</w:t>
            </w:r>
          </w:p>
        </w:tc>
        <w:tc>
          <w:tcPr>
            <w:tcW w:w="202" w:type="pct"/>
            <w:shd w:val="clear" w:color="auto" w:fill="auto"/>
            <w:vAlign w:val="center"/>
          </w:tcPr>
          <w:p>
            <w:pPr>
              <w:spacing w:line="240" w:lineRule="auto"/>
              <w:ind w:firstLine="0" w:firstLineChars="0"/>
              <w:jc w:val="center"/>
              <w:rPr>
                <w:sz w:val="21"/>
              </w:rPr>
            </w:pPr>
            <w:r>
              <w:rPr>
                <w:sz w:val="21"/>
              </w:rPr>
              <w:t>54.28</w:t>
            </w:r>
          </w:p>
        </w:tc>
        <w:tc>
          <w:tcPr>
            <w:tcW w:w="204" w:type="pct"/>
            <w:shd w:val="clear" w:color="auto" w:fill="auto"/>
            <w:vAlign w:val="center"/>
          </w:tcPr>
          <w:p>
            <w:pPr>
              <w:spacing w:line="240" w:lineRule="auto"/>
              <w:ind w:firstLine="0" w:firstLineChars="0"/>
              <w:jc w:val="center"/>
              <w:rPr>
                <w:sz w:val="21"/>
              </w:rPr>
            </w:pPr>
            <w:r>
              <w:rPr>
                <w:sz w:val="21"/>
              </w:rPr>
              <w:t>47.47</w:t>
            </w:r>
          </w:p>
        </w:tc>
        <w:tc>
          <w:tcPr>
            <w:tcW w:w="203" w:type="pct"/>
            <w:shd w:val="clear" w:color="auto" w:fill="auto"/>
            <w:vAlign w:val="center"/>
          </w:tcPr>
          <w:p>
            <w:pPr>
              <w:spacing w:line="240" w:lineRule="auto"/>
              <w:ind w:firstLine="0" w:firstLineChars="0"/>
              <w:jc w:val="center"/>
              <w:rPr>
                <w:sz w:val="21"/>
              </w:rPr>
            </w:pPr>
            <w:r>
              <w:rPr>
                <w:sz w:val="21"/>
              </w:rPr>
              <w:t>0.28</w:t>
            </w:r>
          </w:p>
        </w:tc>
        <w:tc>
          <w:tcPr>
            <w:tcW w:w="236" w:type="pct"/>
            <w:shd w:val="clear" w:color="auto" w:fill="auto"/>
            <w:vAlign w:val="center"/>
          </w:tcPr>
          <w:p>
            <w:pPr>
              <w:spacing w:line="240" w:lineRule="auto"/>
              <w:ind w:firstLine="0" w:firstLineChars="0"/>
              <w:jc w:val="center"/>
              <w:rPr>
                <w:sz w:val="21"/>
              </w:rPr>
            </w:pPr>
            <w:r>
              <w:rPr>
                <w:sz w:val="21"/>
              </w:rPr>
              <w:t>0.47</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5</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43.53</w:t>
            </w:r>
          </w:p>
        </w:tc>
        <w:tc>
          <w:tcPr>
            <w:tcW w:w="204" w:type="pct"/>
            <w:shd w:val="clear" w:color="auto" w:fill="auto"/>
            <w:vAlign w:val="center"/>
          </w:tcPr>
          <w:p>
            <w:pPr>
              <w:spacing w:line="240" w:lineRule="auto"/>
              <w:ind w:firstLine="0" w:firstLineChars="0"/>
              <w:jc w:val="center"/>
              <w:rPr>
                <w:sz w:val="21"/>
              </w:rPr>
            </w:pPr>
            <w:r>
              <w:rPr>
                <w:sz w:val="21"/>
              </w:rPr>
              <w:t>38.79</w:t>
            </w:r>
          </w:p>
        </w:tc>
        <w:tc>
          <w:tcPr>
            <w:tcW w:w="202" w:type="pct"/>
            <w:shd w:val="clear" w:color="auto" w:fill="auto"/>
            <w:vAlign w:val="center"/>
          </w:tcPr>
          <w:p>
            <w:pPr>
              <w:spacing w:line="240" w:lineRule="auto"/>
              <w:ind w:firstLine="0" w:firstLineChars="0"/>
              <w:jc w:val="center"/>
              <w:rPr>
                <w:sz w:val="21"/>
              </w:rPr>
            </w:pPr>
            <w:r>
              <w:rPr>
                <w:sz w:val="21"/>
              </w:rPr>
              <w:t>54.37</w:t>
            </w:r>
          </w:p>
        </w:tc>
        <w:tc>
          <w:tcPr>
            <w:tcW w:w="204" w:type="pct"/>
            <w:shd w:val="clear" w:color="auto" w:fill="auto"/>
            <w:vAlign w:val="center"/>
          </w:tcPr>
          <w:p>
            <w:pPr>
              <w:spacing w:line="240" w:lineRule="auto"/>
              <w:ind w:firstLine="0" w:firstLineChars="0"/>
              <w:jc w:val="center"/>
              <w:rPr>
                <w:sz w:val="21"/>
              </w:rPr>
            </w:pPr>
            <w:r>
              <w:rPr>
                <w:sz w:val="21"/>
              </w:rPr>
              <w:t>47.61</w:t>
            </w:r>
          </w:p>
        </w:tc>
        <w:tc>
          <w:tcPr>
            <w:tcW w:w="203" w:type="pct"/>
            <w:shd w:val="clear" w:color="auto" w:fill="auto"/>
            <w:vAlign w:val="center"/>
          </w:tcPr>
          <w:p>
            <w:pPr>
              <w:spacing w:line="240" w:lineRule="auto"/>
              <w:ind w:firstLine="0" w:firstLineChars="0"/>
              <w:jc w:val="center"/>
              <w:rPr>
                <w:sz w:val="21"/>
              </w:rPr>
            </w:pPr>
            <w:r>
              <w:rPr>
                <w:sz w:val="21"/>
              </w:rPr>
              <w:t>0.37</w:t>
            </w:r>
          </w:p>
        </w:tc>
        <w:tc>
          <w:tcPr>
            <w:tcW w:w="236" w:type="pct"/>
            <w:shd w:val="clear" w:color="auto" w:fill="auto"/>
            <w:vAlign w:val="center"/>
          </w:tcPr>
          <w:p>
            <w:pPr>
              <w:spacing w:line="240" w:lineRule="auto"/>
              <w:ind w:firstLine="0" w:firstLineChars="0"/>
              <w:jc w:val="center"/>
              <w:rPr>
                <w:sz w:val="21"/>
              </w:rPr>
            </w:pPr>
            <w:r>
              <w:rPr>
                <w:sz w:val="21"/>
              </w:rPr>
              <w:t>0.61</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41.73</w:t>
            </w:r>
          </w:p>
        </w:tc>
        <w:tc>
          <w:tcPr>
            <w:tcW w:w="204" w:type="pct"/>
            <w:shd w:val="clear" w:color="auto" w:fill="auto"/>
            <w:vAlign w:val="center"/>
          </w:tcPr>
          <w:p>
            <w:pPr>
              <w:spacing w:line="240" w:lineRule="auto"/>
              <w:ind w:firstLine="0" w:firstLineChars="0"/>
              <w:jc w:val="center"/>
              <w:rPr>
                <w:sz w:val="21"/>
              </w:rPr>
            </w:pPr>
            <w:r>
              <w:rPr>
                <w:sz w:val="21"/>
              </w:rPr>
              <w:t>37.03</w:t>
            </w:r>
          </w:p>
        </w:tc>
        <w:tc>
          <w:tcPr>
            <w:tcW w:w="202" w:type="pct"/>
            <w:shd w:val="clear" w:color="auto" w:fill="auto"/>
            <w:vAlign w:val="center"/>
          </w:tcPr>
          <w:p>
            <w:pPr>
              <w:spacing w:line="240" w:lineRule="auto"/>
              <w:ind w:firstLine="0" w:firstLineChars="0"/>
              <w:jc w:val="center"/>
              <w:rPr>
                <w:sz w:val="21"/>
              </w:rPr>
            </w:pPr>
            <w:r>
              <w:rPr>
                <w:sz w:val="21"/>
              </w:rPr>
              <w:t>54.25</w:t>
            </w:r>
          </w:p>
        </w:tc>
        <w:tc>
          <w:tcPr>
            <w:tcW w:w="204" w:type="pct"/>
            <w:shd w:val="clear" w:color="auto" w:fill="auto"/>
            <w:vAlign w:val="center"/>
          </w:tcPr>
          <w:p>
            <w:pPr>
              <w:spacing w:line="240" w:lineRule="auto"/>
              <w:ind w:firstLine="0" w:firstLineChars="0"/>
              <w:jc w:val="center"/>
              <w:rPr>
                <w:sz w:val="21"/>
              </w:rPr>
            </w:pPr>
            <w:r>
              <w:rPr>
                <w:sz w:val="21"/>
              </w:rPr>
              <w:t>47.42</w:t>
            </w:r>
          </w:p>
        </w:tc>
        <w:tc>
          <w:tcPr>
            <w:tcW w:w="203" w:type="pct"/>
            <w:shd w:val="clear" w:color="auto" w:fill="auto"/>
            <w:vAlign w:val="center"/>
          </w:tcPr>
          <w:p>
            <w:pPr>
              <w:spacing w:line="240" w:lineRule="auto"/>
              <w:ind w:firstLine="0" w:firstLineChars="0"/>
              <w:jc w:val="center"/>
              <w:rPr>
                <w:sz w:val="21"/>
              </w:rPr>
            </w:pPr>
            <w:r>
              <w:rPr>
                <w:sz w:val="21"/>
              </w:rPr>
              <w:t>0.25</w:t>
            </w:r>
          </w:p>
        </w:tc>
        <w:tc>
          <w:tcPr>
            <w:tcW w:w="236" w:type="pct"/>
            <w:shd w:val="clear" w:color="auto" w:fill="auto"/>
            <w:vAlign w:val="center"/>
          </w:tcPr>
          <w:p>
            <w:pPr>
              <w:spacing w:line="240" w:lineRule="auto"/>
              <w:ind w:firstLine="0" w:firstLineChars="0"/>
              <w:jc w:val="center"/>
              <w:rPr>
                <w:sz w:val="21"/>
              </w:rPr>
            </w:pPr>
            <w:r>
              <w:rPr>
                <w:sz w:val="21"/>
              </w:rPr>
              <w:t>0.42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42.58</w:t>
            </w:r>
          </w:p>
        </w:tc>
        <w:tc>
          <w:tcPr>
            <w:tcW w:w="204" w:type="pct"/>
            <w:shd w:val="clear" w:color="auto" w:fill="auto"/>
            <w:vAlign w:val="center"/>
          </w:tcPr>
          <w:p>
            <w:pPr>
              <w:spacing w:line="240" w:lineRule="auto"/>
              <w:ind w:firstLine="0" w:firstLineChars="0"/>
              <w:jc w:val="center"/>
              <w:rPr>
                <w:sz w:val="21"/>
              </w:rPr>
            </w:pPr>
            <w:r>
              <w:rPr>
                <w:sz w:val="21"/>
              </w:rPr>
              <w:t>37.87</w:t>
            </w:r>
          </w:p>
        </w:tc>
        <w:tc>
          <w:tcPr>
            <w:tcW w:w="202" w:type="pct"/>
            <w:shd w:val="clear" w:color="auto" w:fill="auto"/>
            <w:vAlign w:val="center"/>
          </w:tcPr>
          <w:p>
            <w:pPr>
              <w:spacing w:line="240" w:lineRule="auto"/>
              <w:ind w:firstLine="0" w:firstLineChars="0"/>
              <w:jc w:val="center"/>
              <w:rPr>
                <w:sz w:val="21"/>
              </w:rPr>
            </w:pPr>
            <w:r>
              <w:rPr>
                <w:sz w:val="21"/>
              </w:rPr>
              <w:t>54.3</w:t>
            </w:r>
          </w:p>
        </w:tc>
        <w:tc>
          <w:tcPr>
            <w:tcW w:w="204" w:type="pct"/>
            <w:shd w:val="clear" w:color="auto" w:fill="auto"/>
            <w:vAlign w:val="center"/>
          </w:tcPr>
          <w:p>
            <w:pPr>
              <w:spacing w:line="240" w:lineRule="auto"/>
              <w:ind w:firstLine="0" w:firstLineChars="0"/>
              <w:jc w:val="center"/>
              <w:rPr>
                <w:sz w:val="21"/>
              </w:rPr>
            </w:pPr>
            <w:r>
              <w:rPr>
                <w:sz w:val="21"/>
              </w:rPr>
              <w:t>47.5</w:t>
            </w:r>
          </w:p>
        </w:tc>
        <w:tc>
          <w:tcPr>
            <w:tcW w:w="203" w:type="pct"/>
            <w:shd w:val="clear" w:color="auto" w:fill="auto"/>
            <w:vAlign w:val="center"/>
          </w:tcPr>
          <w:p>
            <w:pPr>
              <w:spacing w:line="240" w:lineRule="auto"/>
              <w:ind w:firstLine="0" w:firstLineChars="0"/>
              <w:jc w:val="center"/>
              <w:rPr>
                <w:sz w:val="21"/>
              </w:rPr>
            </w:pPr>
            <w:r>
              <w:rPr>
                <w:sz w:val="21"/>
              </w:rPr>
              <w:t>0.3</w:t>
            </w:r>
          </w:p>
        </w:tc>
        <w:tc>
          <w:tcPr>
            <w:tcW w:w="236" w:type="pct"/>
            <w:shd w:val="clear" w:color="auto" w:fill="auto"/>
            <w:vAlign w:val="center"/>
          </w:tcPr>
          <w:p>
            <w:pPr>
              <w:spacing w:line="240" w:lineRule="auto"/>
              <w:ind w:firstLine="0" w:firstLineChars="0"/>
              <w:jc w:val="center"/>
              <w:rPr>
                <w:sz w:val="21"/>
              </w:rPr>
            </w:pPr>
            <w:r>
              <w:rPr>
                <w:sz w:val="21"/>
              </w:rPr>
              <w:t>0.5</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43.85</w:t>
            </w:r>
          </w:p>
        </w:tc>
        <w:tc>
          <w:tcPr>
            <w:tcW w:w="204" w:type="pct"/>
            <w:shd w:val="clear" w:color="auto" w:fill="auto"/>
            <w:vAlign w:val="center"/>
          </w:tcPr>
          <w:p>
            <w:pPr>
              <w:spacing w:line="240" w:lineRule="auto"/>
              <w:ind w:firstLine="0" w:firstLineChars="0"/>
              <w:jc w:val="center"/>
              <w:rPr>
                <w:sz w:val="21"/>
              </w:rPr>
            </w:pPr>
            <w:r>
              <w:rPr>
                <w:sz w:val="21"/>
              </w:rPr>
              <w:t>39.11</w:t>
            </w:r>
          </w:p>
        </w:tc>
        <w:tc>
          <w:tcPr>
            <w:tcW w:w="202" w:type="pct"/>
            <w:shd w:val="clear" w:color="auto" w:fill="auto"/>
            <w:vAlign w:val="center"/>
          </w:tcPr>
          <w:p>
            <w:pPr>
              <w:spacing w:line="240" w:lineRule="auto"/>
              <w:ind w:firstLine="0" w:firstLineChars="0"/>
              <w:jc w:val="center"/>
              <w:rPr>
                <w:sz w:val="21"/>
              </w:rPr>
            </w:pPr>
            <w:r>
              <w:rPr>
                <w:sz w:val="21"/>
              </w:rPr>
              <w:t>54.4</w:t>
            </w:r>
          </w:p>
        </w:tc>
        <w:tc>
          <w:tcPr>
            <w:tcW w:w="204" w:type="pct"/>
            <w:shd w:val="clear" w:color="auto" w:fill="auto"/>
            <w:vAlign w:val="center"/>
          </w:tcPr>
          <w:p>
            <w:pPr>
              <w:spacing w:line="240" w:lineRule="auto"/>
              <w:ind w:firstLine="0" w:firstLineChars="0"/>
              <w:jc w:val="center"/>
              <w:rPr>
                <w:sz w:val="21"/>
              </w:rPr>
            </w:pPr>
            <w:r>
              <w:rPr>
                <w:sz w:val="21"/>
              </w:rPr>
              <w:t>47.65</w:t>
            </w:r>
          </w:p>
        </w:tc>
        <w:tc>
          <w:tcPr>
            <w:tcW w:w="203" w:type="pct"/>
            <w:shd w:val="clear" w:color="auto" w:fill="auto"/>
            <w:vAlign w:val="center"/>
          </w:tcPr>
          <w:p>
            <w:pPr>
              <w:spacing w:line="240" w:lineRule="auto"/>
              <w:ind w:firstLine="0" w:firstLineChars="0"/>
              <w:jc w:val="center"/>
              <w:rPr>
                <w:sz w:val="21"/>
              </w:rPr>
            </w:pPr>
            <w:r>
              <w:rPr>
                <w:sz w:val="21"/>
              </w:rPr>
              <w:t>0.4</w:t>
            </w:r>
          </w:p>
        </w:tc>
        <w:tc>
          <w:tcPr>
            <w:tcW w:w="236" w:type="pct"/>
            <w:shd w:val="clear" w:color="auto" w:fill="auto"/>
            <w:vAlign w:val="center"/>
          </w:tcPr>
          <w:p>
            <w:pPr>
              <w:spacing w:line="240" w:lineRule="auto"/>
              <w:ind w:firstLine="0" w:firstLineChars="0"/>
              <w:jc w:val="center"/>
              <w:rPr>
                <w:sz w:val="21"/>
              </w:rPr>
            </w:pPr>
            <w:r>
              <w:rPr>
                <w:sz w:val="21"/>
              </w:rPr>
              <w:t>0.65</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44.28</w:t>
            </w:r>
          </w:p>
        </w:tc>
        <w:tc>
          <w:tcPr>
            <w:tcW w:w="204" w:type="pct"/>
            <w:shd w:val="clear" w:color="auto" w:fill="auto"/>
            <w:vAlign w:val="center"/>
          </w:tcPr>
          <w:p>
            <w:pPr>
              <w:spacing w:line="240" w:lineRule="auto"/>
              <w:ind w:firstLine="0" w:firstLineChars="0"/>
              <w:jc w:val="center"/>
              <w:rPr>
                <w:sz w:val="21"/>
              </w:rPr>
            </w:pPr>
            <w:r>
              <w:rPr>
                <w:sz w:val="21"/>
              </w:rPr>
              <w:t>39.59</w:t>
            </w:r>
          </w:p>
        </w:tc>
        <w:tc>
          <w:tcPr>
            <w:tcW w:w="202" w:type="pct"/>
            <w:shd w:val="clear" w:color="auto" w:fill="auto"/>
            <w:vAlign w:val="center"/>
          </w:tcPr>
          <w:p>
            <w:pPr>
              <w:spacing w:line="240" w:lineRule="auto"/>
              <w:ind w:firstLine="0" w:firstLineChars="0"/>
              <w:jc w:val="center"/>
              <w:rPr>
                <w:sz w:val="21"/>
              </w:rPr>
            </w:pPr>
            <w:r>
              <w:rPr>
                <w:sz w:val="21"/>
              </w:rPr>
              <w:t>54.44</w:t>
            </w:r>
          </w:p>
        </w:tc>
        <w:tc>
          <w:tcPr>
            <w:tcW w:w="204" w:type="pct"/>
            <w:shd w:val="clear" w:color="auto" w:fill="auto"/>
            <w:vAlign w:val="center"/>
          </w:tcPr>
          <w:p>
            <w:pPr>
              <w:spacing w:line="240" w:lineRule="auto"/>
              <w:ind w:firstLine="0" w:firstLineChars="0"/>
              <w:jc w:val="center"/>
              <w:rPr>
                <w:sz w:val="21"/>
              </w:rPr>
            </w:pPr>
            <w:r>
              <w:rPr>
                <w:sz w:val="21"/>
              </w:rPr>
              <w:t>47.72</w:t>
            </w:r>
          </w:p>
        </w:tc>
        <w:tc>
          <w:tcPr>
            <w:tcW w:w="203" w:type="pct"/>
            <w:shd w:val="clear" w:color="auto" w:fill="auto"/>
            <w:vAlign w:val="center"/>
          </w:tcPr>
          <w:p>
            <w:pPr>
              <w:spacing w:line="240" w:lineRule="auto"/>
              <w:ind w:firstLine="0" w:firstLineChars="0"/>
              <w:jc w:val="center"/>
              <w:rPr>
                <w:sz w:val="21"/>
              </w:rPr>
            </w:pPr>
            <w:r>
              <w:rPr>
                <w:sz w:val="21"/>
              </w:rPr>
              <w:t>0.44</w:t>
            </w:r>
          </w:p>
        </w:tc>
        <w:tc>
          <w:tcPr>
            <w:tcW w:w="236" w:type="pct"/>
            <w:shd w:val="clear" w:color="auto" w:fill="auto"/>
            <w:vAlign w:val="center"/>
          </w:tcPr>
          <w:p>
            <w:pPr>
              <w:spacing w:line="240" w:lineRule="auto"/>
              <w:ind w:firstLine="0" w:firstLineChars="0"/>
              <w:jc w:val="center"/>
              <w:rPr>
                <w:sz w:val="21"/>
              </w:rPr>
            </w:pPr>
            <w:r>
              <w:rPr>
                <w:sz w:val="21"/>
              </w:rPr>
              <w:t>0.72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45.14</w:t>
            </w:r>
          </w:p>
        </w:tc>
        <w:tc>
          <w:tcPr>
            <w:tcW w:w="204" w:type="pct"/>
            <w:shd w:val="clear" w:color="auto" w:fill="auto"/>
            <w:vAlign w:val="center"/>
          </w:tcPr>
          <w:p>
            <w:pPr>
              <w:spacing w:line="240" w:lineRule="auto"/>
              <w:ind w:firstLine="0" w:firstLineChars="0"/>
              <w:jc w:val="center"/>
              <w:rPr>
                <w:sz w:val="21"/>
              </w:rPr>
            </w:pPr>
            <w:r>
              <w:rPr>
                <w:sz w:val="21"/>
              </w:rPr>
              <w:t>40.43</w:t>
            </w:r>
          </w:p>
        </w:tc>
        <w:tc>
          <w:tcPr>
            <w:tcW w:w="202" w:type="pct"/>
            <w:shd w:val="clear" w:color="auto" w:fill="auto"/>
            <w:vAlign w:val="center"/>
          </w:tcPr>
          <w:p>
            <w:pPr>
              <w:spacing w:line="240" w:lineRule="auto"/>
              <w:ind w:firstLine="0" w:firstLineChars="0"/>
              <w:jc w:val="center"/>
              <w:rPr>
                <w:sz w:val="21"/>
              </w:rPr>
            </w:pPr>
            <w:r>
              <w:rPr>
                <w:sz w:val="21"/>
              </w:rPr>
              <w:t>54.53</w:t>
            </w:r>
          </w:p>
        </w:tc>
        <w:tc>
          <w:tcPr>
            <w:tcW w:w="204" w:type="pct"/>
            <w:shd w:val="clear" w:color="auto" w:fill="auto"/>
            <w:vAlign w:val="center"/>
          </w:tcPr>
          <w:p>
            <w:pPr>
              <w:spacing w:line="240" w:lineRule="auto"/>
              <w:ind w:firstLine="0" w:firstLineChars="0"/>
              <w:jc w:val="center"/>
              <w:rPr>
                <w:sz w:val="21"/>
              </w:rPr>
            </w:pPr>
            <w:r>
              <w:rPr>
                <w:sz w:val="21"/>
              </w:rPr>
              <w:t>47.86</w:t>
            </w:r>
          </w:p>
        </w:tc>
        <w:tc>
          <w:tcPr>
            <w:tcW w:w="203" w:type="pct"/>
            <w:shd w:val="clear" w:color="auto" w:fill="auto"/>
            <w:vAlign w:val="center"/>
          </w:tcPr>
          <w:p>
            <w:pPr>
              <w:spacing w:line="240" w:lineRule="auto"/>
              <w:ind w:firstLine="0" w:firstLineChars="0"/>
              <w:jc w:val="center"/>
              <w:rPr>
                <w:sz w:val="21"/>
              </w:rPr>
            </w:pPr>
            <w:r>
              <w:rPr>
                <w:sz w:val="21"/>
              </w:rPr>
              <w:t>0.53</w:t>
            </w:r>
          </w:p>
        </w:tc>
        <w:tc>
          <w:tcPr>
            <w:tcW w:w="236" w:type="pct"/>
            <w:shd w:val="clear" w:color="auto" w:fill="auto"/>
            <w:vAlign w:val="center"/>
          </w:tcPr>
          <w:p>
            <w:pPr>
              <w:spacing w:line="240" w:lineRule="auto"/>
              <w:ind w:firstLine="0" w:firstLineChars="0"/>
              <w:jc w:val="center"/>
              <w:rPr>
                <w:sz w:val="21"/>
              </w:rPr>
            </w:pPr>
            <w:r>
              <w:rPr>
                <w:sz w:val="21"/>
              </w:rPr>
              <w:t>0.86</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405" w:type="pct"/>
            <w:vMerge w:val="continue"/>
            <w:shd w:val="clear" w:color="auto" w:fill="auto"/>
            <w:vAlign w:val="center"/>
          </w:tcPr>
          <w:p>
            <w:pPr>
              <w:spacing w:line="240" w:lineRule="auto"/>
              <w:ind w:firstLine="0" w:firstLineChars="0"/>
              <w:jc w:val="center"/>
              <w:rPr>
                <w:sz w:val="21"/>
                <w:lang w:eastAsia="en-US"/>
              </w:rPr>
            </w:pPr>
          </w:p>
        </w:tc>
        <w:tc>
          <w:tcPr>
            <w:tcW w:w="169"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r>
              <w:rPr>
                <w:rFonts w:ascii="Times New Roman" w:hAnsi="Times New Roman" w:cs="Times New Roman"/>
                <w:kern w:val="2"/>
                <w:sz w:val="21"/>
                <w:szCs w:val="21"/>
              </w:rPr>
              <w:t>层</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46.41</w:t>
            </w:r>
          </w:p>
        </w:tc>
        <w:tc>
          <w:tcPr>
            <w:tcW w:w="204" w:type="pct"/>
            <w:shd w:val="clear" w:color="auto" w:fill="auto"/>
            <w:vAlign w:val="center"/>
          </w:tcPr>
          <w:p>
            <w:pPr>
              <w:spacing w:line="240" w:lineRule="auto"/>
              <w:ind w:firstLine="0" w:firstLineChars="0"/>
              <w:jc w:val="center"/>
              <w:rPr>
                <w:sz w:val="21"/>
              </w:rPr>
            </w:pPr>
            <w:r>
              <w:rPr>
                <w:sz w:val="21"/>
              </w:rPr>
              <w:t>41.67</w:t>
            </w:r>
          </w:p>
        </w:tc>
        <w:tc>
          <w:tcPr>
            <w:tcW w:w="202" w:type="pct"/>
            <w:shd w:val="clear" w:color="auto" w:fill="auto"/>
            <w:vAlign w:val="center"/>
          </w:tcPr>
          <w:p>
            <w:pPr>
              <w:spacing w:line="240" w:lineRule="auto"/>
              <w:ind w:firstLine="0" w:firstLineChars="0"/>
              <w:jc w:val="center"/>
              <w:rPr>
                <w:sz w:val="21"/>
              </w:rPr>
            </w:pPr>
            <w:r>
              <w:rPr>
                <w:sz w:val="21"/>
              </w:rPr>
              <w:t>54.7</w:t>
            </w:r>
          </w:p>
        </w:tc>
        <w:tc>
          <w:tcPr>
            <w:tcW w:w="204" w:type="pct"/>
            <w:shd w:val="clear" w:color="auto" w:fill="auto"/>
            <w:vAlign w:val="center"/>
          </w:tcPr>
          <w:p>
            <w:pPr>
              <w:spacing w:line="240" w:lineRule="auto"/>
              <w:ind w:firstLine="0" w:firstLineChars="0"/>
              <w:jc w:val="center"/>
              <w:rPr>
                <w:sz w:val="21"/>
              </w:rPr>
            </w:pPr>
            <w:r>
              <w:rPr>
                <w:sz w:val="21"/>
              </w:rPr>
              <w:t>48.12</w:t>
            </w:r>
          </w:p>
        </w:tc>
        <w:tc>
          <w:tcPr>
            <w:tcW w:w="203" w:type="pct"/>
            <w:shd w:val="clear" w:color="auto" w:fill="auto"/>
            <w:vAlign w:val="center"/>
          </w:tcPr>
          <w:p>
            <w:pPr>
              <w:spacing w:line="240" w:lineRule="auto"/>
              <w:ind w:firstLine="0" w:firstLineChars="0"/>
              <w:jc w:val="center"/>
              <w:rPr>
                <w:sz w:val="21"/>
              </w:rPr>
            </w:pPr>
            <w:r>
              <w:rPr>
                <w:sz w:val="21"/>
              </w:rPr>
              <w:t>0.7</w:t>
            </w:r>
          </w:p>
        </w:tc>
        <w:tc>
          <w:tcPr>
            <w:tcW w:w="236" w:type="pct"/>
            <w:shd w:val="clear" w:color="auto" w:fill="auto"/>
            <w:vAlign w:val="center"/>
          </w:tcPr>
          <w:p>
            <w:pPr>
              <w:spacing w:line="240" w:lineRule="auto"/>
              <w:ind w:firstLine="0" w:firstLineChars="0"/>
              <w:jc w:val="center"/>
              <w:rPr>
                <w:sz w:val="21"/>
              </w:rPr>
            </w:pPr>
            <w:r>
              <w:rPr>
                <w:sz w:val="21"/>
              </w:rPr>
              <w:t>1.12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张各庄村：利旧路段</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K3+500~K4+090</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35</w:t>
            </w:r>
          </w:p>
        </w:tc>
        <w:tc>
          <w:tcPr>
            <w:tcW w:w="236"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21</w:t>
            </w:r>
          </w:p>
        </w:tc>
        <w:tc>
          <w:tcPr>
            <w:tcW w:w="44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6</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60.99</w:t>
            </w:r>
          </w:p>
        </w:tc>
        <w:tc>
          <w:tcPr>
            <w:tcW w:w="204" w:type="pct"/>
            <w:shd w:val="clear" w:color="auto" w:fill="auto"/>
            <w:vAlign w:val="center"/>
          </w:tcPr>
          <w:p>
            <w:pPr>
              <w:spacing w:line="240" w:lineRule="auto"/>
              <w:ind w:firstLine="0" w:firstLineChars="0"/>
              <w:jc w:val="center"/>
              <w:rPr>
                <w:sz w:val="21"/>
              </w:rPr>
            </w:pPr>
            <w:r>
              <w:rPr>
                <w:sz w:val="21"/>
              </w:rPr>
              <w:t>56.3</w:t>
            </w:r>
          </w:p>
        </w:tc>
        <w:tc>
          <w:tcPr>
            <w:tcW w:w="202" w:type="pct"/>
            <w:shd w:val="clear" w:color="auto" w:fill="auto"/>
            <w:vAlign w:val="center"/>
          </w:tcPr>
          <w:p>
            <w:pPr>
              <w:spacing w:line="240" w:lineRule="auto"/>
              <w:ind w:firstLine="0" w:firstLineChars="0"/>
              <w:jc w:val="center"/>
              <w:rPr>
                <w:sz w:val="21"/>
              </w:rPr>
            </w:pPr>
            <w:r>
              <w:rPr>
                <w:sz w:val="21"/>
              </w:rPr>
              <w:t>61.78</w:t>
            </w:r>
          </w:p>
        </w:tc>
        <w:tc>
          <w:tcPr>
            <w:tcW w:w="204" w:type="pct"/>
            <w:shd w:val="clear" w:color="auto" w:fill="auto"/>
            <w:vAlign w:val="center"/>
          </w:tcPr>
          <w:p>
            <w:pPr>
              <w:spacing w:line="240" w:lineRule="auto"/>
              <w:ind w:firstLine="0" w:firstLineChars="0"/>
              <w:jc w:val="center"/>
              <w:rPr>
                <w:sz w:val="21"/>
              </w:rPr>
            </w:pPr>
            <w:r>
              <w:rPr>
                <w:sz w:val="21"/>
              </w:rPr>
              <w:t>56.78</w:t>
            </w:r>
          </w:p>
        </w:tc>
        <w:tc>
          <w:tcPr>
            <w:tcW w:w="203" w:type="pct"/>
            <w:shd w:val="clear" w:color="auto" w:fill="auto"/>
            <w:vAlign w:val="center"/>
          </w:tcPr>
          <w:p>
            <w:pPr>
              <w:spacing w:line="240" w:lineRule="auto"/>
              <w:ind w:firstLine="0" w:firstLineChars="0"/>
              <w:jc w:val="center"/>
              <w:rPr>
                <w:sz w:val="21"/>
              </w:rPr>
            </w:pPr>
            <w:r>
              <w:rPr>
                <w:sz w:val="21"/>
              </w:rPr>
              <w:t>7.78</w:t>
            </w:r>
          </w:p>
        </w:tc>
        <w:tc>
          <w:tcPr>
            <w:tcW w:w="236" w:type="pct"/>
            <w:shd w:val="clear" w:color="auto" w:fill="auto"/>
            <w:vAlign w:val="center"/>
          </w:tcPr>
          <w:p>
            <w:pPr>
              <w:spacing w:line="240" w:lineRule="auto"/>
              <w:ind w:firstLine="0" w:firstLineChars="0"/>
              <w:jc w:val="center"/>
              <w:rPr>
                <w:sz w:val="21"/>
              </w:rPr>
            </w:pPr>
            <w:r>
              <w:rPr>
                <w:sz w:val="21"/>
              </w:rPr>
              <w:t>9.78</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1.78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61.85</w:t>
            </w:r>
          </w:p>
        </w:tc>
        <w:tc>
          <w:tcPr>
            <w:tcW w:w="204" w:type="pct"/>
            <w:shd w:val="clear" w:color="auto" w:fill="auto"/>
            <w:vAlign w:val="center"/>
          </w:tcPr>
          <w:p>
            <w:pPr>
              <w:spacing w:line="240" w:lineRule="auto"/>
              <w:ind w:firstLine="0" w:firstLineChars="0"/>
              <w:jc w:val="center"/>
              <w:rPr>
                <w:sz w:val="21"/>
              </w:rPr>
            </w:pPr>
            <w:r>
              <w:rPr>
                <w:sz w:val="21"/>
              </w:rPr>
              <w:t>57.14</w:t>
            </w:r>
          </w:p>
        </w:tc>
        <w:tc>
          <w:tcPr>
            <w:tcW w:w="202" w:type="pct"/>
            <w:shd w:val="clear" w:color="auto" w:fill="auto"/>
            <w:vAlign w:val="center"/>
          </w:tcPr>
          <w:p>
            <w:pPr>
              <w:spacing w:line="240" w:lineRule="auto"/>
              <w:ind w:firstLine="0" w:firstLineChars="0"/>
              <w:jc w:val="center"/>
              <w:rPr>
                <w:sz w:val="21"/>
              </w:rPr>
            </w:pPr>
            <w:r>
              <w:rPr>
                <w:sz w:val="21"/>
              </w:rPr>
              <w:t>62.51</w:t>
            </w:r>
          </w:p>
        </w:tc>
        <w:tc>
          <w:tcPr>
            <w:tcW w:w="204" w:type="pct"/>
            <w:shd w:val="clear" w:color="auto" w:fill="auto"/>
            <w:vAlign w:val="center"/>
          </w:tcPr>
          <w:p>
            <w:pPr>
              <w:spacing w:line="240" w:lineRule="auto"/>
              <w:ind w:firstLine="0" w:firstLineChars="0"/>
              <w:jc w:val="center"/>
              <w:rPr>
                <w:sz w:val="21"/>
              </w:rPr>
            </w:pPr>
            <w:r>
              <w:rPr>
                <w:sz w:val="21"/>
              </w:rPr>
              <w:t>57.54</w:t>
            </w:r>
          </w:p>
        </w:tc>
        <w:tc>
          <w:tcPr>
            <w:tcW w:w="203" w:type="pct"/>
            <w:shd w:val="clear" w:color="auto" w:fill="auto"/>
            <w:vAlign w:val="center"/>
          </w:tcPr>
          <w:p>
            <w:pPr>
              <w:spacing w:line="240" w:lineRule="auto"/>
              <w:ind w:firstLine="0" w:firstLineChars="0"/>
              <w:jc w:val="center"/>
              <w:rPr>
                <w:sz w:val="21"/>
              </w:rPr>
            </w:pPr>
            <w:r>
              <w:rPr>
                <w:sz w:val="21"/>
              </w:rPr>
              <w:t>8.51</w:t>
            </w:r>
          </w:p>
        </w:tc>
        <w:tc>
          <w:tcPr>
            <w:tcW w:w="236" w:type="pct"/>
            <w:shd w:val="clear" w:color="auto" w:fill="auto"/>
            <w:vAlign w:val="center"/>
          </w:tcPr>
          <w:p>
            <w:pPr>
              <w:spacing w:line="240" w:lineRule="auto"/>
              <w:ind w:firstLine="0" w:firstLineChars="0"/>
              <w:jc w:val="center"/>
              <w:rPr>
                <w:sz w:val="21"/>
              </w:rPr>
            </w:pPr>
            <w:r>
              <w:rPr>
                <w:sz w:val="21"/>
              </w:rPr>
              <w:t>10.54</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2.54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6"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44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02"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04" w:type="pct"/>
            <w:vMerge w:val="continue"/>
            <w:shd w:val="clear" w:color="auto" w:fill="auto"/>
            <w:vAlign w:val="center"/>
          </w:tcPr>
          <w:p>
            <w:pPr>
              <w:pStyle w:val="675"/>
              <w:jc w:val="center"/>
              <w:rPr>
                <w:rFonts w:ascii="Times New Roman" w:hAnsi="Times New Roman" w:cs="Times New Roman" w:eastAsiaTheme="minorEastAsia"/>
                <w:sz w:val="21"/>
                <w:szCs w:val="21"/>
                <w:lang w:eastAsia="zh-CN"/>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63.12</w:t>
            </w:r>
          </w:p>
        </w:tc>
        <w:tc>
          <w:tcPr>
            <w:tcW w:w="204" w:type="pct"/>
            <w:shd w:val="clear" w:color="auto" w:fill="auto"/>
            <w:vAlign w:val="center"/>
          </w:tcPr>
          <w:p>
            <w:pPr>
              <w:spacing w:line="240" w:lineRule="auto"/>
              <w:ind w:firstLine="0" w:firstLineChars="0"/>
              <w:jc w:val="center"/>
              <w:rPr>
                <w:sz w:val="21"/>
              </w:rPr>
            </w:pPr>
            <w:r>
              <w:rPr>
                <w:sz w:val="21"/>
              </w:rPr>
              <w:t>58.38</w:t>
            </w:r>
          </w:p>
        </w:tc>
        <w:tc>
          <w:tcPr>
            <w:tcW w:w="202" w:type="pct"/>
            <w:shd w:val="clear" w:color="auto" w:fill="auto"/>
            <w:vAlign w:val="center"/>
          </w:tcPr>
          <w:p>
            <w:pPr>
              <w:spacing w:line="240" w:lineRule="auto"/>
              <w:ind w:firstLine="0" w:firstLineChars="0"/>
              <w:jc w:val="center"/>
              <w:rPr>
                <w:sz w:val="21"/>
              </w:rPr>
            </w:pPr>
            <w:r>
              <w:rPr>
                <w:sz w:val="21"/>
              </w:rPr>
              <w:t>63.63</w:t>
            </w:r>
          </w:p>
        </w:tc>
        <w:tc>
          <w:tcPr>
            <w:tcW w:w="204" w:type="pct"/>
            <w:shd w:val="clear" w:color="auto" w:fill="auto"/>
            <w:vAlign w:val="center"/>
          </w:tcPr>
          <w:p>
            <w:pPr>
              <w:spacing w:line="240" w:lineRule="auto"/>
              <w:ind w:firstLine="0" w:firstLineChars="0"/>
              <w:jc w:val="center"/>
              <w:rPr>
                <w:sz w:val="21"/>
              </w:rPr>
            </w:pPr>
            <w:r>
              <w:rPr>
                <w:sz w:val="21"/>
              </w:rPr>
              <w:t>58.69</w:t>
            </w:r>
          </w:p>
        </w:tc>
        <w:tc>
          <w:tcPr>
            <w:tcW w:w="203" w:type="pct"/>
            <w:shd w:val="clear" w:color="auto" w:fill="auto"/>
            <w:vAlign w:val="center"/>
          </w:tcPr>
          <w:p>
            <w:pPr>
              <w:spacing w:line="240" w:lineRule="auto"/>
              <w:ind w:firstLine="0" w:firstLineChars="0"/>
              <w:jc w:val="center"/>
              <w:rPr>
                <w:sz w:val="21"/>
              </w:rPr>
            </w:pPr>
            <w:r>
              <w:rPr>
                <w:sz w:val="21"/>
              </w:rPr>
              <w:t>9.63</w:t>
            </w:r>
          </w:p>
        </w:tc>
        <w:tc>
          <w:tcPr>
            <w:tcW w:w="236" w:type="pct"/>
            <w:shd w:val="clear" w:color="auto" w:fill="auto"/>
            <w:vAlign w:val="center"/>
          </w:tcPr>
          <w:p>
            <w:pPr>
              <w:spacing w:line="240" w:lineRule="auto"/>
              <w:ind w:firstLine="0" w:firstLineChars="0"/>
              <w:jc w:val="center"/>
              <w:rPr>
                <w:sz w:val="21"/>
              </w:rPr>
            </w:pPr>
            <w:r>
              <w:rPr>
                <w:sz w:val="21"/>
              </w:rPr>
              <w:t>11.69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sz w:val="21"/>
              </w:rPr>
              <w:t>3.69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778" w:type="pct"/>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7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69</w:t>
            </w:r>
          </w:p>
        </w:tc>
        <w:tc>
          <w:tcPr>
            <w:tcW w:w="236"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55</w:t>
            </w:r>
          </w:p>
        </w:tc>
        <w:tc>
          <w:tcPr>
            <w:tcW w:w="44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89</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49.1</w:t>
            </w:r>
          </w:p>
        </w:tc>
        <w:tc>
          <w:tcPr>
            <w:tcW w:w="204" w:type="pct"/>
            <w:shd w:val="clear" w:color="auto" w:fill="auto"/>
            <w:vAlign w:val="center"/>
          </w:tcPr>
          <w:p>
            <w:pPr>
              <w:spacing w:line="240" w:lineRule="auto"/>
              <w:ind w:firstLine="0" w:firstLineChars="0"/>
              <w:jc w:val="center"/>
              <w:rPr>
                <w:sz w:val="21"/>
              </w:rPr>
            </w:pPr>
            <w:r>
              <w:rPr>
                <w:sz w:val="21"/>
              </w:rPr>
              <w:t>44.4</w:t>
            </w:r>
          </w:p>
        </w:tc>
        <w:tc>
          <w:tcPr>
            <w:tcW w:w="202" w:type="pct"/>
            <w:shd w:val="clear" w:color="auto" w:fill="auto"/>
            <w:vAlign w:val="center"/>
          </w:tcPr>
          <w:p>
            <w:pPr>
              <w:spacing w:line="240" w:lineRule="auto"/>
              <w:ind w:firstLine="0" w:firstLineChars="0"/>
              <w:jc w:val="center"/>
              <w:rPr>
                <w:sz w:val="21"/>
              </w:rPr>
            </w:pPr>
            <w:r>
              <w:rPr>
                <w:sz w:val="21"/>
              </w:rPr>
              <w:t>55.22</w:t>
            </w:r>
          </w:p>
        </w:tc>
        <w:tc>
          <w:tcPr>
            <w:tcW w:w="204" w:type="pct"/>
            <w:shd w:val="clear" w:color="auto" w:fill="auto"/>
            <w:vAlign w:val="center"/>
          </w:tcPr>
          <w:p>
            <w:pPr>
              <w:spacing w:line="240" w:lineRule="auto"/>
              <w:ind w:firstLine="0" w:firstLineChars="0"/>
              <w:jc w:val="center"/>
              <w:rPr>
                <w:sz w:val="21"/>
              </w:rPr>
            </w:pPr>
            <w:r>
              <w:rPr>
                <w:sz w:val="21"/>
              </w:rPr>
              <w:t>48.9</w:t>
            </w:r>
          </w:p>
        </w:tc>
        <w:tc>
          <w:tcPr>
            <w:tcW w:w="203" w:type="pct"/>
            <w:shd w:val="clear" w:color="auto" w:fill="auto"/>
            <w:vAlign w:val="center"/>
          </w:tcPr>
          <w:p>
            <w:pPr>
              <w:spacing w:line="240" w:lineRule="auto"/>
              <w:ind w:firstLine="0" w:firstLineChars="0"/>
              <w:jc w:val="center"/>
              <w:rPr>
                <w:sz w:val="21"/>
              </w:rPr>
            </w:pPr>
            <w:r>
              <w:rPr>
                <w:sz w:val="21"/>
              </w:rPr>
              <w:t>1.22</w:t>
            </w:r>
          </w:p>
        </w:tc>
        <w:tc>
          <w:tcPr>
            <w:tcW w:w="236" w:type="pct"/>
            <w:shd w:val="clear" w:color="auto" w:fill="auto"/>
            <w:vAlign w:val="center"/>
          </w:tcPr>
          <w:p>
            <w:pPr>
              <w:spacing w:line="240" w:lineRule="auto"/>
              <w:ind w:firstLine="0" w:firstLineChars="0"/>
              <w:jc w:val="center"/>
              <w:rPr>
                <w:sz w:val="21"/>
              </w:rPr>
            </w:pPr>
            <w:r>
              <w:rPr>
                <w:sz w:val="21"/>
              </w:rPr>
              <w:t>1.9</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574" w:type="pct"/>
            <w:gridSpan w:val="2"/>
            <w:vMerge w:val="continue"/>
            <w:shd w:val="clear" w:color="auto" w:fill="auto"/>
            <w:vAlign w:val="center"/>
          </w:tcPr>
          <w:p>
            <w:pPr>
              <w:spacing w:line="240" w:lineRule="auto"/>
              <w:ind w:firstLine="0" w:firstLineChars="0"/>
              <w:jc w:val="center"/>
              <w:rPr>
                <w:sz w:val="21"/>
                <w:lang w:eastAsia="en-US"/>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49.96</w:t>
            </w:r>
          </w:p>
        </w:tc>
        <w:tc>
          <w:tcPr>
            <w:tcW w:w="204" w:type="pct"/>
            <w:shd w:val="clear" w:color="auto" w:fill="auto"/>
            <w:vAlign w:val="center"/>
          </w:tcPr>
          <w:p>
            <w:pPr>
              <w:spacing w:line="240" w:lineRule="auto"/>
              <w:ind w:firstLine="0" w:firstLineChars="0"/>
              <w:jc w:val="center"/>
              <w:rPr>
                <w:sz w:val="21"/>
              </w:rPr>
            </w:pPr>
            <w:r>
              <w:rPr>
                <w:sz w:val="21"/>
              </w:rPr>
              <w:t>45.25</w:t>
            </w:r>
          </w:p>
        </w:tc>
        <w:tc>
          <w:tcPr>
            <w:tcW w:w="202" w:type="pct"/>
            <w:shd w:val="clear" w:color="auto" w:fill="auto"/>
            <w:vAlign w:val="center"/>
          </w:tcPr>
          <w:p>
            <w:pPr>
              <w:spacing w:line="240" w:lineRule="auto"/>
              <w:ind w:firstLine="0" w:firstLineChars="0"/>
              <w:jc w:val="center"/>
              <w:rPr>
                <w:sz w:val="21"/>
              </w:rPr>
            </w:pPr>
            <w:r>
              <w:rPr>
                <w:sz w:val="21"/>
              </w:rPr>
              <w:t>55.44</w:t>
            </w:r>
          </w:p>
        </w:tc>
        <w:tc>
          <w:tcPr>
            <w:tcW w:w="204" w:type="pct"/>
            <w:shd w:val="clear" w:color="auto" w:fill="auto"/>
            <w:vAlign w:val="center"/>
          </w:tcPr>
          <w:p>
            <w:pPr>
              <w:spacing w:line="240" w:lineRule="auto"/>
              <w:ind w:firstLine="0" w:firstLineChars="0"/>
              <w:jc w:val="center"/>
              <w:rPr>
                <w:sz w:val="21"/>
              </w:rPr>
            </w:pPr>
            <w:r>
              <w:rPr>
                <w:sz w:val="21"/>
              </w:rPr>
              <w:t>49.22</w:t>
            </w:r>
          </w:p>
        </w:tc>
        <w:tc>
          <w:tcPr>
            <w:tcW w:w="203" w:type="pct"/>
            <w:shd w:val="clear" w:color="auto" w:fill="auto"/>
            <w:vAlign w:val="center"/>
          </w:tcPr>
          <w:p>
            <w:pPr>
              <w:spacing w:line="240" w:lineRule="auto"/>
              <w:ind w:firstLine="0" w:firstLineChars="0"/>
              <w:jc w:val="center"/>
              <w:rPr>
                <w:sz w:val="21"/>
              </w:rPr>
            </w:pPr>
            <w:r>
              <w:rPr>
                <w:sz w:val="21"/>
              </w:rPr>
              <w:t>1.44</w:t>
            </w:r>
          </w:p>
        </w:tc>
        <w:tc>
          <w:tcPr>
            <w:tcW w:w="236" w:type="pct"/>
            <w:shd w:val="clear" w:color="auto" w:fill="auto"/>
            <w:vAlign w:val="center"/>
          </w:tcPr>
          <w:p>
            <w:pPr>
              <w:spacing w:line="240" w:lineRule="auto"/>
              <w:ind w:firstLine="0" w:firstLineChars="0"/>
              <w:jc w:val="center"/>
              <w:rPr>
                <w:sz w:val="21"/>
              </w:rPr>
            </w:pPr>
            <w:r>
              <w:rPr>
                <w:sz w:val="21"/>
              </w:rPr>
              <w:t>2.22</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pStyle w:val="675"/>
              <w:jc w:val="center"/>
              <w:rPr>
                <w:rFonts w:ascii="Times New Roman" w:hAnsi="Times New Roman" w:cs="Times New Roman"/>
                <w:kern w:val="2"/>
                <w:sz w:val="21"/>
                <w:szCs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51.23</w:t>
            </w:r>
          </w:p>
        </w:tc>
        <w:tc>
          <w:tcPr>
            <w:tcW w:w="204" w:type="pct"/>
            <w:shd w:val="clear" w:color="auto" w:fill="auto"/>
            <w:vAlign w:val="center"/>
          </w:tcPr>
          <w:p>
            <w:pPr>
              <w:spacing w:line="240" w:lineRule="auto"/>
              <w:ind w:firstLine="0" w:firstLineChars="0"/>
              <w:jc w:val="center"/>
              <w:rPr>
                <w:sz w:val="21"/>
              </w:rPr>
            </w:pPr>
            <w:r>
              <w:rPr>
                <w:sz w:val="21"/>
              </w:rPr>
              <w:t>46.49</w:t>
            </w:r>
          </w:p>
        </w:tc>
        <w:tc>
          <w:tcPr>
            <w:tcW w:w="202" w:type="pct"/>
            <w:shd w:val="clear" w:color="auto" w:fill="auto"/>
            <w:vAlign w:val="center"/>
          </w:tcPr>
          <w:p>
            <w:pPr>
              <w:spacing w:line="240" w:lineRule="auto"/>
              <w:ind w:firstLine="0" w:firstLineChars="0"/>
              <w:jc w:val="center"/>
              <w:rPr>
                <w:sz w:val="21"/>
              </w:rPr>
            </w:pPr>
            <w:r>
              <w:rPr>
                <w:sz w:val="21"/>
              </w:rPr>
              <w:t>55.84</w:t>
            </w:r>
          </w:p>
        </w:tc>
        <w:tc>
          <w:tcPr>
            <w:tcW w:w="204" w:type="pct"/>
            <w:shd w:val="clear" w:color="auto" w:fill="auto"/>
            <w:vAlign w:val="center"/>
          </w:tcPr>
          <w:p>
            <w:pPr>
              <w:spacing w:line="240" w:lineRule="auto"/>
              <w:ind w:firstLine="0" w:firstLineChars="0"/>
              <w:jc w:val="center"/>
              <w:rPr>
                <w:sz w:val="21"/>
              </w:rPr>
            </w:pPr>
            <w:r>
              <w:rPr>
                <w:sz w:val="21"/>
              </w:rPr>
              <w:t>49.76</w:t>
            </w:r>
          </w:p>
        </w:tc>
        <w:tc>
          <w:tcPr>
            <w:tcW w:w="203" w:type="pct"/>
            <w:shd w:val="clear" w:color="auto" w:fill="auto"/>
            <w:vAlign w:val="center"/>
          </w:tcPr>
          <w:p>
            <w:pPr>
              <w:spacing w:line="240" w:lineRule="auto"/>
              <w:ind w:firstLine="0" w:firstLineChars="0"/>
              <w:jc w:val="center"/>
              <w:rPr>
                <w:sz w:val="21"/>
              </w:rPr>
            </w:pPr>
            <w:r>
              <w:rPr>
                <w:sz w:val="21"/>
              </w:rPr>
              <w:t>1.84</w:t>
            </w:r>
          </w:p>
        </w:tc>
        <w:tc>
          <w:tcPr>
            <w:tcW w:w="236" w:type="pct"/>
            <w:shd w:val="clear" w:color="auto" w:fill="auto"/>
            <w:vAlign w:val="center"/>
          </w:tcPr>
          <w:p>
            <w:pPr>
              <w:spacing w:line="240" w:lineRule="auto"/>
              <w:ind w:firstLine="0" w:firstLineChars="0"/>
              <w:jc w:val="center"/>
              <w:rPr>
                <w:sz w:val="21"/>
              </w:rPr>
            </w:pPr>
            <w:r>
              <w:rPr>
                <w:sz w:val="21"/>
              </w:rPr>
              <w:t>2.76</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w:t>
            </w:r>
          </w:p>
        </w:tc>
        <w:tc>
          <w:tcPr>
            <w:tcW w:w="778"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西十里铺村：利旧路段K6+750~K7+800</w:t>
            </w:r>
          </w:p>
        </w:tc>
        <w:tc>
          <w:tcPr>
            <w:tcW w:w="27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17</w:t>
            </w:r>
          </w:p>
        </w:tc>
        <w:tc>
          <w:tcPr>
            <w:tcW w:w="236"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w:t>
            </w:r>
          </w:p>
        </w:tc>
        <w:tc>
          <w:tcPr>
            <w:tcW w:w="440"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4</w:t>
            </w:r>
            <w:r>
              <w:rPr>
                <w:rFonts w:ascii="Times New Roman" w:hAnsi="Times New Roman" w:cs="Times New Roman"/>
                <w:kern w:val="2"/>
                <w:sz w:val="21"/>
                <w:szCs w:val="21"/>
              </w:rPr>
              <w:t>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14</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64.58</w:t>
            </w:r>
          </w:p>
        </w:tc>
        <w:tc>
          <w:tcPr>
            <w:tcW w:w="204" w:type="pct"/>
            <w:shd w:val="clear" w:color="auto" w:fill="auto"/>
            <w:vAlign w:val="center"/>
          </w:tcPr>
          <w:p>
            <w:pPr>
              <w:spacing w:line="240" w:lineRule="auto"/>
              <w:ind w:firstLine="0" w:firstLineChars="0"/>
              <w:jc w:val="center"/>
              <w:rPr>
                <w:sz w:val="21"/>
                <w:lang w:eastAsia="en-US"/>
              </w:rPr>
            </w:pPr>
            <w:r>
              <w:rPr>
                <w:sz w:val="21"/>
              </w:rPr>
              <w:t>59.89</w:t>
            </w:r>
          </w:p>
        </w:tc>
        <w:tc>
          <w:tcPr>
            <w:tcW w:w="202" w:type="pct"/>
            <w:shd w:val="clear" w:color="auto" w:fill="auto"/>
            <w:vAlign w:val="center"/>
          </w:tcPr>
          <w:p>
            <w:pPr>
              <w:spacing w:line="240" w:lineRule="auto"/>
              <w:ind w:firstLine="0" w:firstLineChars="0"/>
              <w:jc w:val="center"/>
              <w:rPr>
                <w:sz w:val="21"/>
              </w:rPr>
            </w:pPr>
            <w:r>
              <w:rPr>
                <w:sz w:val="21"/>
              </w:rPr>
              <w:t>64.95</w:t>
            </w:r>
          </w:p>
        </w:tc>
        <w:tc>
          <w:tcPr>
            <w:tcW w:w="204" w:type="pct"/>
            <w:shd w:val="clear" w:color="auto" w:fill="auto"/>
            <w:vAlign w:val="center"/>
          </w:tcPr>
          <w:p>
            <w:pPr>
              <w:spacing w:line="240" w:lineRule="auto"/>
              <w:ind w:firstLine="0" w:firstLineChars="0"/>
              <w:jc w:val="center"/>
              <w:rPr>
                <w:sz w:val="21"/>
                <w:lang w:eastAsia="en-US"/>
              </w:rPr>
            </w:pPr>
            <w:r>
              <w:rPr>
                <w:sz w:val="21"/>
              </w:rPr>
              <w:t>60.10</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10.95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13.1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65.44</w:t>
            </w:r>
          </w:p>
        </w:tc>
        <w:tc>
          <w:tcPr>
            <w:tcW w:w="204" w:type="pct"/>
            <w:shd w:val="clear" w:color="auto" w:fill="auto"/>
            <w:vAlign w:val="center"/>
          </w:tcPr>
          <w:p>
            <w:pPr>
              <w:spacing w:line="240" w:lineRule="auto"/>
              <w:ind w:firstLine="0" w:firstLineChars="0"/>
              <w:jc w:val="center"/>
              <w:rPr>
                <w:sz w:val="21"/>
              </w:rPr>
            </w:pPr>
            <w:r>
              <w:rPr>
                <w:sz w:val="21"/>
              </w:rPr>
              <w:t>60.73</w:t>
            </w:r>
          </w:p>
        </w:tc>
        <w:tc>
          <w:tcPr>
            <w:tcW w:w="202" w:type="pct"/>
            <w:shd w:val="clear" w:color="auto" w:fill="auto"/>
            <w:vAlign w:val="center"/>
          </w:tcPr>
          <w:p>
            <w:pPr>
              <w:spacing w:line="240" w:lineRule="auto"/>
              <w:ind w:firstLine="0" w:firstLineChars="0"/>
              <w:jc w:val="center"/>
              <w:rPr>
                <w:sz w:val="21"/>
              </w:rPr>
            </w:pPr>
            <w:r>
              <w:rPr>
                <w:sz w:val="21"/>
              </w:rPr>
              <w:t>65.74</w:t>
            </w:r>
          </w:p>
        </w:tc>
        <w:tc>
          <w:tcPr>
            <w:tcW w:w="204" w:type="pct"/>
            <w:shd w:val="clear" w:color="auto" w:fill="auto"/>
            <w:vAlign w:val="center"/>
          </w:tcPr>
          <w:p>
            <w:pPr>
              <w:spacing w:line="240" w:lineRule="auto"/>
              <w:ind w:firstLine="0" w:firstLineChars="0"/>
              <w:jc w:val="center"/>
              <w:rPr>
                <w:sz w:val="21"/>
              </w:rPr>
            </w:pPr>
            <w:r>
              <w:rPr>
                <w:sz w:val="21"/>
              </w:rPr>
              <w:t>60.91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11.74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13.91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66.71</w:t>
            </w:r>
          </w:p>
        </w:tc>
        <w:tc>
          <w:tcPr>
            <w:tcW w:w="204" w:type="pct"/>
            <w:shd w:val="clear" w:color="auto" w:fill="auto"/>
            <w:vAlign w:val="center"/>
          </w:tcPr>
          <w:p>
            <w:pPr>
              <w:spacing w:line="240" w:lineRule="auto"/>
              <w:ind w:firstLine="0" w:firstLineChars="0"/>
              <w:jc w:val="center"/>
              <w:rPr>
                <w:sz w:val="21"/>
              </w:rPr>
            </w:pPr>
            <w:r>
              <w:rPr>
                <w:sz w:val="21"/>
              </w:rPr>
              <w:t>62.21</w:t>
            </w:r>
          </w:p>
        </w:tc>
        <w:tc>
          <w:tcPr>
            <w:tcW w:w="202" w:type="pct"/>
            <w:shd w:val="clear" w:color="auto" w:fill="auto"/>
            <w:vAlign w:val="center"/>
          </w:tcPr>
          <w:p>
            <w:pPr>
              <w:spacing w:line="240" w:lineRule="auto"/>
              <w:ind w:firstLine="0" w:firstLineChars="0"/>
              <w:jc w:val="center"/>
              <w:rPr>
                <w:sz w:val="21"/>
              </w:rPr>
            </w:pPr>
            <w:r>
              <w:rPr>
                <w:sz w:val="21"/>
              </w:rPr>
              <w:t>66.94</w:t>
            </w:r>
          </w:p>
        </w:tc>
        <w:tc>
          <w:tcPr>
            <w:tcW w:w="204" w:type="pct"/>
            <w:shd w:val="clear" w:color="auto" w:fill="auto"/>
            <w:vAlign w:val="center"/>
          </w:tcPr>
          <w:p>
            <w:pPr>
              <w:spacing w:line="240" w:lineRule="auto"/>
              <w:ind w:firstLine="0" w:firstLineChars="0"/>
              <w:jc w:val="center"/>
              <w:rPr>
                <w:sz w:val="21"/>
              </w:rPr>
            </w:pPr>
            <w:r>
              <w:rPr>
                <w:sz w:val="21"/>
              </w:rPr>
              <w:t>62.34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12.94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15.34</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restart"/>
            <w:shd w:val="clear" w:color="auto" w:fill="auto"/>
            <w:vAlign w:val="center"/>
          </w:tcPr>
          <w:p>
            <w:pPr>
              <w:spacing w:line="240" w:lineRule="auto"/>
              <w:ind w:firstLine="0" w:firstLineChars="0"/>
              <w:jc w:val="center"/>
              <w:rPr>
                <w:sz w:val="21"/>
              </w:rPr>
            </w:pPr>
            <w:r>
              <w:rPr>
                <w:sz w:val="21"/>
              </w:rPr>
              <w:t>49</w:t>
            </w:r>
          </w:p>
        </w:tc>
        <w:tc>
          <w:tcPr>
            <w:tcW w:w="236" w:type="pct"/>
            <w:vMerge w:val="restart"/>
            <w:shd w:val="clear" w:color="auto" w:fill="auto"/>
            <w:vAlign w:val="center"/>
          </w:tcPr>
          <w:p>
            <w:pPr>
              <w:spacing w:line="240" w:lineRule="auto"/>
              <w:ind w:firstLine="0" w:firstLineChars="0"/>
              <w:jc w:val="center"/>
              <w:rPr>
                <w:sz w:val="21"/>
              </w:rPr>
            </w:pPr>
            <w:r>
              <w:rPr>
                <w:sz w:val="21"/>
              </w:rPr>
              <w:t>35</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122</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59.12</w:t>
            </w:r>
          </w:p>
        </w:tc>
        <w:tc>
          <w:tcPr>
            <w:tcW w:w="204" w:type="pct"/>
            <w:shd w:val="clear" w:color="auto" w:fill="auto"/>
            <w:vAlign w:val="center"/>
          </w:tcPr>
          <w:p>
            <w:pPr>
              <w:spacing w:line="240" w:lineRule="auto"/>
              <w:ind w:firstLine="0" w:firstLineChars="0"/>
              <w:jc w:val="center"/>
              <w:rPr>
                <w:sz w:val="21"/>
              </w:rPr>
            </w:pPr>
            <w:r>
              <w:rPr>
                <w:sz w:val="21"/>
              </w:rPr>
              <w:t>54.42</w:t>
            </w:r>
          </w:p>
        </w:tc>
        <w:tc>
          <w:tcPr>
            <w:tcW w:w="202" w:type="pct"/>
            <w:shd w:val="clear" w:color="auto" w:fill="auto"/>
            <w:vAlign w:val="center"/>
          </w:tcPr>
          <w:p>
            <w:pPr>
              <w:spacing w:line="240" w:lineRule="auto"/>
              <w:ind w:firstLine="0" w:firstLineChars="0"/>
              <w:jc w:val="center"/>
              <w:rPr>
                <w:sz w:val="21"/>
              </w:rPr>
            </w:pPr>
            <w:r>
              <w:rPr>
                <w:sz w:val="21"/>
              </w:rPr>
              <w:t>60.28</w:t>
            </w:r>
          </w:p>
        </w:tc>
        <w:tc>
          <w:tcPr>
            <w:tcW w:w="204" w:type="pct"/>
            <w:shd w:val="clear" w:color="auto" w:fill="auto"/>
            <w:vAlign w:val="center"/>
          </w:tcPr>
          <w:p>
            <w:pPr>
              <w:spacing w:line="240" w:lineRule="auto"/>
              <w:ind w:firstLine="0" w:firstLineChars="0"/>
              <w:jc w:val="center"/>
              <w:rPr>
                <w:sz w:val="21"/>
              </w:rPr>
            </w:pPr>
            <w:r>
              <w:rPr>
                <w:sz w:val="21"/>
              </w:rPr>
              <w:t>55.14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6.28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8.14</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0.28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59.97</w:t>
            </w:r>
          </w:p>
        </w:tc>
        <w:tc>
          <w:tcPr>
            <w:tcW w:w="204" w:type="pct"/>
            <w:shd w:val="clear" w:color="auto" w:fill="auto"/>
            <w:vAlign w:val="center"/>
          </w:tcPr>
          <w:p>
            <w:pPr>
              <w:spacing w:line="240" w:lineRule="auto"/>
              <w:ind w:firstLine="0" w:firstLineChars="0"/>
              <w:jc w:val="center"/>
              <w:rPr>
                <w:sz w:val="21"/>
              </w:rPr>
            </w:pPr>
            <w:r>
              <w:rPr>
                <w:sz w:val="21"/>
              </w:rPr>
              <w:t>55.26</w:t>
            </w:r>
          </w:p>
        </w:tc>
        <w:tc>
          <w:tcPr>
            <w:tcW w:w="202" w:type="pct"/>
            <w:shd w:val="clear" w:color="auto" w:fill="auto"/>
            <w:vAlign w:val="center"/>
          </w:tcPr>
          <w:p>
            <w:pPr>
              <w:spacing w:line="240" w:lineRule="auto"/>
              <w:ind w:firstLine="0" w:firstLineChars="0"/>
              <w:jc w:val="center"/>
              <w:rPr>
                <w:sz w:val="21"/>
              </w:rPr>
            </w:pPr>
            <w:r>
              <w:rPr>
                <w:sz w:val="21"/>
              </w:rPr>
              <w:t>60.95</w:t>
            </w:r>
          </w:p>
        </w:tc>
        <w:tc>
          <w:tcPr>
            <w:tcW w:w="204" w:type="pct"/>
            <w:shd w:val="clear" w:color="auto" w:fill="auto"/>
            <w:vAlign w:val="center"/>
          </w:tcPr>
          <w:p>
            <w:pPr>
              <w:spacing w:line="240" w:lineRule="auto"/>
              <w:ind w:firstLine="0" w:firstLineChars="0"/>
              <w:jc w:val="center"/>
              <w:rPr>
                <w:sz w:val="21"/>
              </w:rPr>
            </w:pPr>
            <w:r>
              <w:rPr>
                <w:sz w:val="21"/>
              </w:rPr>
              <w:t>55.87</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6.95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8.87</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0.95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61.25</w:t>
            </w:r>
          </w:p>
        </w:tc>
        <w:tc>
          <w:tcPr>
            <w:tcW w:w="204" w:type="pct"/>
            <w:shd w:val="clear" w:color="auto" w:fill="auto"/>
            <w:vAlign w:val="center"/>
          </w:tcPr>
          <w:p>
            <w:pPr>
              <w:spacing w:line="240" w:lineRule="auto"/>
              <w:ind w:firstLine="0" w:firstLineChars="0"/>
              <w:jc w:val="center"/>
              <w:rPr>
                <w:sz w:val="21"/>
              </w:rPr>
            </w:pPr>
            <w:r>
              <w:rPr>
                <w:sz w:val="21"/>
              </w:rPr>
              <w:t>56.74</w:t>
            </w:r>
          </w:p>
        </w:tc>
        <w:tc>
          <w:tcPr>
            <w:tcW w:w="202" w:type="pct"/>
            <w:shd w:val="clear" w:color="auto" w:fill="auto"/>
            <w:vAlign w:val="center"/>
          </w:tcPr>
          <w:p>
            <w:pPr>
              <w:spacing w:line="240" w:lineRule="auto"/>
              <w:ind w:firstLine="0" w:firstLineChars="0"/>
              <w:jc w:val="center"/>
              <w:rPr>
                <w:sz w:val="21"/>
              </w:rPr>
            </w:pPr>
            <w:r>
              <w:rPr>
                <w:sz w:val="21"/>
              </w:rPr>
              <w:t>62.00</w:t>
            </w:r>
          </w:p>
        </w:tc>
        <w:tc>
          <w:tcPr>
            <w:tcW w:w="204" w:type="pct"/>
            <w:shd w:val="clear" w:color="auto" w:fill="auto"/>
            <w:vAlign w:val="center"/>
          </w:tcPr>
          <w:p>
            <w:pPr>
              <w:spacing w:line="240" w:lineRule="auto"/>
              <w:ind w:firstLine="0" w:firstLineChars="0"/>
              <w:jc w:val="center"/>
              <w:rPr>
                <w:sz w:val="21"/>
              </w:rPr>
            </w:pPr>
            <w:r>
              <w:rPr>
                <w:sz w:val="21"/>
              </w:rPr>
              <w:t>57.18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10.18</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7</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后王庄村：新建路段</w:t>
            </w:r>
          </w:p>
          <w:p>
            <w:pPr>
              <w:spacing w:line="240" w:lineRule="auto"/>
              <w:ind w:firstLine="0" w:firstLineChars="0"/>
              <w:jc w:val="center"/>
              <w:rPr>
                <w:sz w:val="21"/>
              </w:rPr>
            </w:pPr>
            <w:r>
              <w:rPr>
                <w:sz w:val="21"/>
              </w:rPr>
              <w:t>K7+950~K8+500</w:t>
            </w:r>
          </w:p>
        </w:tc>
        <w:tc>
          <w:tcPr>
            <w:tcW w:w="270" w:type="pct"/>
            <w:vMerge w:val="restart"/>
            <w:shd w:val="clear" w:color="auto" w:fill="auto"/>
            <w:vAlign w:val="center"/>
          </w:tcPr>
          <w:p>
            <w:pPr>
              <w:spacing w:line="240" w:lineRule="auto"/>
              <w:ind w:firstLine="0" w:firstLineChars="0"/>
              <w:jc w:val="center"/>
              <w:rPr>
                <w:sz w:val="21"/>
              </w:rPr>
            </w:pPr>
            <w:r>
              <w:rPr>
                <w:sz w:val="21"/>
              </w:rPr>
              <w:t>65</w:t>
            </w:r>
          </w:p>
        </w:tc>
        <w:tc>
          <w:tcPr>
            <w:tcW w:w="236" w:type="pct"/>
            <w:vMerge w:val="restart"/>
            <w:shd w:val="clear" w:color="auto" w:fill="auto"/>
            <w:vAlign w:val="center"/>
          </w:tcPr>
          <w:p>
            <w:pPr>
              <w:spacing w:line="240" w:lineRule="auto"/>
              <w:ind w:firstLine="0" w:firstLineChars="0"/>
              <w:jc w:val="center"/>
              <w:rPr>
                <w:sz w:val="21"/>
              </w:rPr>
            </w:pPr>
            <w:r>
              <w:rPr>
                <w:sz w:val="21"/>
              </w:rPr>
              <w:t>53</w:t>
            </w:r>
          </w:p>
        </w:tc>
        <w:tc>
          <w:tcPr>
            <w:tcW w:w="440" w:type="pct"/>
            <w:vMerge w:val="restart"/>
            <w:shd w:val="clear" w:color="auto" w:fill="auto"/>
            <w:vAlign w:val="center"/>
          </w:tcPr>
          <w:p>
            <w:pPr>
              <w:spacing w:line="240" w:lineRule="auto"/>
              <w:ind w:firstLine="0" w:firstLineChars="0"/>
              <w:jc w:val="center"/>
              <w:rPr>
                <w:sz w:val="21"/>
              </w:rPr>
            </w:pPr>
            <w:r>
              <w:rPr>
                <w:sz w:val="21"/>
              </w:rPr>
              <w:t>-2</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33</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55.55</w:t>
            </w:r>
          </w:p>
        </w:tc>
        <w:tc>
          <w:tcPr>
            <w:tcW w:w="204" w:type="pct"/>
            <w:shd w:val="clear" w:color="auto" w:fill="auto"/>
            <w:vAlign w:val="center"/>
          </w:tcPr>
          <w:p>
            <w:pPr>
              <w:spacing w:line="240" w:lineRule="auto"/>
              <w:ind w:firstLine="0" w:firstLineChars="0"/>
              <w:jc w:val="center"/>
              <w:rPr>
                <w:sz w:val="21"/>
              </w:rPr>
            </w:pPr>
            <w:r>
              <w:rPr>
                <w:sz w:val="21"/>
              </w:rPr>
              <w:t>50.86</w:t>
            </w:r>
          </w:p>
        </w:tc>
        <w:tc>
          <w:tcPr>
            <w:tcW w:w="202" w:type="pct"/>
            <w:shd w:val="clear" w:color="auto" w:fill="auto"/>
            <w:vAlign w:val="center"/>
          </w:tcPr>
          <w:p>
            <w:pPr>
              <w:spacing w:line="240" w:lineRule="auto"/>
              <w:ind w:firstLine="0" w:firstLineChars="0"/>
              <w:jc w:val="center"/>
              <w:rPr>
                <w:sz w:val="21"/>
              </w:rPr>
            </w:pPr>
            <w:r>
              <w:rPr>
                <w:sz w:val="21"/>
              </w:rPr>
              <w:t>57.85</w:t>
            </w:r>
          </w:p>
        </w:tc>
        <w:tc>
          <w:tcPr>
            <w:tcW w:w="204" w:type="pct"/>
            <w:shd w:val="clear" w:color="auto" w:fill="auto"/>
            <w:vAlign w:val="center"/>
          </w:tcPr>
          <w:p>
            <w:pPr>
              <w:spacing w:line="240" w:lineRule="auto"/>
              <w:ind w:firstLine="0" w:firstLineChars="0"/>
              <w:jc w:val="center"/>
              <w:rPr>
                <w:sz w:val="21"/>
              </w:rPr>
            </w:pPr>
            <w:r>
              <w:rPr>
                <w:sz w:val="21"/>
              </w:rPr>
              <w:t>52.35</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3.85</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5.35</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56.41</w:t>
            </w:r>
          </w:p>
        </w:tc>
        <w:tc>
          <w:tcPr>
            <w:tcW w:w="204" w:type="pct"/>
            <w:shd w:val="clear" w:color="auto" w:fill="auto"/>
            <w:vAlign w:val="center"/>
          </w:tcPr>
          <w:p>
            <w:pPr>
              <w:spacing w:line="240" w:lineRule="auto"/>
              <w:ind w:firstLine="0" w:firstLineChars="0"/>
              <w:jc w:val="center"/>
              <w:rPr>
                <w:sz w:val="21"/>
              </w:rPr>
            </w:pPr>
            <w:r>
              <w:rPr>
                <w:sz w:val="21"/>
              </w:rPr>
              <w:t>51.70</w:t>
            </w:r>
          </w:p>
        </w:tc>
        <w:tc>
          <w:tcPr>
            <w:tcW w:w="202" w:type="pct"/>
            <w:shd w:val="clear" w:color="auto" w:fill="auto"/>
            <w:vAlign w:val="center"/>
          </w:tcPr>
          <w:p>
            <w:pPr>
              <w:spacing w:line="240" w:lineRule="auto"/>
              <w:ind w:firstLine="0" w:firstLineChars="0"/>
              <w:jc w:val="center"/>
              <w:rPr>
                <w:sz w:val="21"/>
              </w:rPr>
            </w:pPr>
            <w:r>
              <w:rPr>
                <w:sz w:val="21"/>
              </w:rPr>
              <w:t>58.38</w:t>
            </w:r>
          </w:p>
        </w:tc>
        <w:tc>
          <w:tcPr>
            <w:tcW w:w="204" w:type="pct"/>
            <w:shd w:val="clear" w:color="auto" w:fill="auto"/>
            <w:vAlign w:val="center"/>
          </w:tcPr>
          <w:p>
            <w:pPr>
              <w:spacing w:line="240" w:lineRule="auto"/>
              <w:ind w:firstLine="0" w:firstLineChars="0"/>
              <w:jc w:val="center"/>
              <w:rPr>
                <w:sz w:val="21"/>
              </w:rPr>
            </w:pPr>
            <w:r>
              <w:rPr>
                <w:sz w:val="21"/>
              </w:rPr>
              <w:t>52.96</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4.38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5.96</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57.68</w:t>
            </w:r>
          </w:p>
        </w:tc>
        <w:tc>
          <w:tcPr>
            <w:tcW w:w="204" w:type="pct"/>
            <w:shd w:val="clear" w:color="auto" w:fill="auto"/>
            <w:vAlign w:val="center"/>
          </w:tcPr>
          <w:p>
            <w:pPr>
              <w:spacing w:line="240" w:lineRule="auto"/>
              <w:ind w:firstLine="0" w:firstLineChars="0"/>
              <w:jc w:val="center"/>
              <w:rPr>
                <w:sz w:val="21"/>
              </w:rPr>
            </w:pPr>
            <w:r>
              <w:rPr>
                <w:sz w:val="21"/>
              </w:rPr>
              <w:t>52.94</w:t>
            </w:r>
          </w:p>
        </w:tc>
        <w:tc>
          <w:tcPr>
            <w:tcW w:w="202" w:type="pct"/>
            <w:shd w:val="clear" w:color="auto" w:fill="auto"/>
            <w:vAlign w:val="center"/>
          </w:tcPr>
          <w:p>
            <w:pPr>
              <w:spacing w:line="240" w:lineRule="auto"/>
              <w:ind w:firstLine="0" w:firstLineChars="0"/>
              <w:jc w:val="center"/>
              <w:rPr>
                <w:sz w:val="21"/>
              </w:rPr>
            </w:pPr>
            <w:r>
              <w:rPr>
                <w:sz w:val="21"/>
              </w:rPr>
              <w:t>59.23</w:t>
            </w:r>
          </w:p>
        </w:tc>
        <w:tc>
          <w:tcPr>
            <w:tcW w:w="204" w:type="pct"/>
            <w:shd w:val="clear" w:color="auto" w:fill="auto"/>
            <w:vAlign w:val="center"/>
          </w:tcPr>
          <w:p>
            <w:pPr>
              <w:spacing w:line="240" w:lineRule="auto"/>
              <w:ind w:firstLine="0" w:firstLineChars="0"/>
              <w:jc w:val="center"/>
              <w:rPr>
                <w:sz w:val="21"/>
              </w:rPr>
            </w:pPr>
            <w:r>
              <w:rPr>
                <w:sz w:val="21"/>
              </w:rPr>
              <w:t>53.93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5.23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6.93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8</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前辅村</w:t>
            </w:r>
            <w:r>
              <w:rPr>
                <w:rFonts w:ascii="Times New Roman" w:hAnsi="Times New Roman" w:cs="Times New Roman"/>
                <w:sz w:val="21"/>
                <w:szCs w:val="21"/>
                <w:lang w:eastAsia="zh-CN"/>
              </w:rPr>
              <w:t>：新建路段</w:t>
            </w:r>
          </w:p>
          <w:p>
            <w:pPr>
              <w:spacing w:line="240" w:lineRule="auto"/>
              <w:ind w:firstLine="0" w:firstLineChars="0"/>
              <w:jc w:val="center"/>
              <w:rPr>
                <w:sz w:val="21"/>
                <w:lang w:eastAsia="en-US"/>
              </w:rPr>
            </w:pPr>
            <w:r>
              <w:rPr>
                <w:sz w:val="21"/>
              </w:rPr>
              <w:t>K8+650~K9+150</w:t>
            </w:r>
          </w:p>
        </w:tc>
        <w:tc>
          <w:tcPr>
            <w:tcW w:w="270" w:type="pct"/>
            <w:vMerge w:val="restart"/>
            <w:shd w:val="clear" w:color="auto" w:fill="auto"/>
            <w:vAlign w:val="center"/>
          </w:tcPr>
          <w:p>
            <w:pPr>
              <w:spacing w:line="240" w:lineRule="auto"/>
              <w:ind w:firstLine="0" w:firstLineChars="0"/>
              <w:jc w:val="center"/>
              <w:rPr>
                <w:kern w:val="0"/>
                <w:sz w:val="21"/>
              </w:rPr>
            </w:pPr>
            <w:r>
              <w:rPr>
                <w:kern w:val="0"/>
                <w:sz w:val="21"/>
              </w:rPr>
              <w:t>160</w:t>
            </w:r>
          </w:p>
        </w:tc>
        <w:tc>
          <w:tcPr>
            <w:tcW w:w="236" w:type="pct"/>
            <w:vMerge w:val="restart"/>
            <w:shd w:val="clear" w:color="auto" w:fill="auto"/>
            <w:vAlign w:val="center"/>
          </w:tcPr>
          <w:p>
            <w:pPr>
              <w:spacing w:line="240" w:lineRule="auto"/>
              <w:ind w:firstLine="0" w:firstLineChars="0"/>
              <w:jc w:val="center"/>
              <w:rPr>
                <w:kern w:val="0"/>
                <w:sz w:val="21"/>
              </w:rPr>
            </w:pPr>
            <w:r>
              <w:rPr>
                <w:kern w:val="0"/>
                <w:sz w:val="21"/>
              </w:rPr>
              <w:t>148</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lang w:eastAsia="en-US"/>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8</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51.27</w:t>
            </w:r>
          </w:p>
        </w:tc>
        <w:tc>
          <w:tcPr>
            <w:tcW w:w="204" w:type="pct"/>
            <w:shd w:val="clear" w:color="auto" w:fill="auto"/>
            <w:vAlign w:val="center"/>
          </w:tcPr>
          <w:p>
            <w:pPr>
              <w:spacing w:line="240" w:lineRule="auto"/>
              <w:ind w:firstLine="0" w:firstLineChars="0"/>
              <w:jc w:val="center"/>
              <w:rPr>
                <w:sz w:val="21"/>
              </w:rPr>
            </w:pPr>
            <w:r>
              <w:rPr>
                <w:sz w:val="21"/>
              </w:rPr>
              <w:t>46.58</w:t>
            </w:r>
          </w:p>
        </w:tc>
        <w:tc>
          <w:tcPr>
            <w:tcW w:w="202" w:type="pct"/>
            <w:shd w:val="clear" w:color="auto" w:fill="auto"/>
            <w:vAlign w:val="center"/>
          </w:tcPr>
          <w:p>
            <w:pPr>
              <w:spacing w:line="240" w:lineRule="auto"/>
              <w:ind w:firstLine="0" w:firstLineChars="0"/>
              <w:jc w:val="center"/>
              <w:rPr>
                <w:sz w:val="21"/>
              </w:rPr>
            </w:pPr>
            <w:r>
              <w:rPr>
                <w:sz w:val="21"/>
              </w:rPr>
              <w:t>55.86</w:t>
            </w:r>
          </w:p>
        </w:tc>
        <w:tc>
          <w:tcPr>
            <w:tcW w:w="204" w:type="pct"/>
            <w:shd w:val="clear" w:color="auto" w:fill="auto"/>
            <w:vAlign w:val="center"/>
          </w:tcPr>
          <w:p>
            <w:pPr>
              <w:spacing w:line="240" w:lineRule="auto"/>
              <w:ind w:firstLine="0" w:firstLineChars="0"/>
              <w:jc w:val="center"/>
              <w:rPr>
                <w:sz w:val="21"/>
              </w:rPr>
            </w:pPr>
            <w:r>
              <w:rPr>
                <w:sz w:val="21"/>
              </w:rPr>
              <w:t>49.81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1.86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2.81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52.13</w:t>
            </w:r>
          </w:p>
        </w:tc>
        <w:tc>
          <w:tcPr>
            <w:tcW w:w="204" w:type="pct"/>
            <w:shd w:val="clear" w:color="auto" w:fill="auto"/>
            <w:vAlign w:val="center"/>
          </w:tcPr>
          <w:p>
            <w:pPr>
              <w:spacing w:line="240" w:lineRule="auto"/>
              <w:ind w:firstLine="0" w:firstLineChars="0"/>
              <w:jc w:val="center"/>
              <w:rPr>
                <w:sz w:val="21"/>
              </w:rPr>
            </w:pPr>
            <w:r>
              <w:rPr>
                <w:sz w:val="21"/>
              </w:rPr>
              <w:t>47.42</w:t>
            </w:r>
          </w:p>
        </w:tc>
        <w:tc>
          <w:tcPr>
            <w:tcW w:w="202" w:type="pct"/>
            <w:shd w:val="clear" w:color="auto" w:fill="auto"/>
            <w:vAlign w:val="center"/>
          </w:tcPr>
          <w:p>
            <w:pPr>
              <w:spacing w:line="240" w:lineRule="auto"/>
              <w:ind w:firstLine="0" w:firstLineChars="0"/>
              <w:jc w:val="center"/>
              <w:rPr>
                <w:sz w:val="21"/>
              </w:rPr>
            </w:pPr>
            <w:r>
              <w:rPr>
                <w:sz w:val="21"/>
              </w:rPr>
              <w:t>56.18</w:t>
            </w:r>
          </w:p>
        </w:tc>
        <w:tc>
          <w:tcPr>
            <w:tcW w:w="204" w:type="pct"/>
            <w:shd w:val="clear" w:color="auto" w:fill="auto"/>
            <w:vAlign w:val="center"/>
          </w:tcPr>
          <w:p>
            <w:pPr>
              <w:spacing w:line="240" w:lineRule="auto"/>
              <w:ind w:firstLine="0" w:firstLineChars="0"/>
              <w:jc w:val="center"/>
              <w:rPr>
                <w:sz w:val="21"/>
              </w:rPr>
            </w:pPr>
            <w:r>
              <w:rPr>
                <w:sz w:val="21"/>
              </w:rPr>
              <w:t>50.23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2.18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3.23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53.40</w:t>
            </w:r>
          </w:p>
        </w:tc>
        <w:tc>
          <w:tcPr>
            <w:tcW w:w="204" w:type="pct"/>
            <w:shd w:val="clear" w:color="auto" w:fill="auto"/>
            <w:vAlign w:val="center"/>
          </w:tcPr>
          <w:p>
            <w:pPr>
              <w:spacing w:line="240" w:lineRule="auto"/>
              <w:ind w:firstLine="0" w:firstLineChars="0"/>
              <w:jc w:val="center"/>
              <w:rPr>
                <w:sz w:val="21"/>
              </w:rPr>
            </w:pPr>
            <w:r>
              <w:rPr>
                <w:sz w:val="21"/>
              </w:rPr>
              <w:t>48.66</w:t>
            </w:r>
          </w:p>
        </w:tc>
        <w:tc>
          <w:tcPr>
            <w:tcW w:w="202" w:type="pct"/>
            <w:shd w:val="clear" w:color="auto" w:fill="auto"/>
            <w:vAlign w:val="center"/>
          </w:tcPr>
          <w:p>
            <w:pPr>
              <w:spacing w:line="240" w:lineRule="auto"/>
              <w:ind w:firstLine="0" w:firstLineChars="0"/>
              <w:jc w:val="center"/>
              <w:rPr>
                <w:sz w:val="21"/>
              </w:rPr>
            </w:pPr>
            <w:r>
              <w:rPr>
                <w:sz w:val="21"/>
              </w:rPr>
              <w:t>56.72</w:t>
            </w:r>
          </w:p>
        </w:tc>
        <w:tc>
          <w:tcPr>
            <w:tcW w:w="204" w:type="pct"/>
            <w:shd w:val="clear" w:color="auto" w:fill="auto"/>
            <w:vAlign w:val="center"/>
          </w:tcPr>
          <w:p>
            <w:pPr>
              <w:spacing w:line="240" w:lineRule="auto"/>
              <w:ind w:firstLine="0" w:firstLineChars="0"/>
              <w:jc w:val="center"/>
              <w:rPr>
                <w:sz w:val="21"/>
              </w:rPr>
            </w:pPr>
            <w:r>
              <w:rPr>
                <w:sz w:val="21"/>
              </w:rPr>
              <w:t>50.92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2.72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3.92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9</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白方寺村：新建路段</w:t>
            </w:r>
          </w:p>
          <w:p>
            <w:pPr>
              <w:spacing w:line="240" w:lineRule="auto"/>
              <w:ind w:firstLine="0" w:firstLineChars="0"/>
              <w:jc w:val="center"/>
              <w:rPr>
                <w:sz w:val="21"/>
              </w:rPr>
            </w:pPr>
            <w:r>
              <w:rPr>
                <w:sz w:val="21"/>
              </w:rPr>
              <w:t>K13+420~K14+33</w:t>
            </w:r>
          </w:p>
        </w:tc>
        <w:tc>
          <w:tcPr>
            <w:tcW w:w="270" w:type="pct"/>
            <w:vMerge w:val="restart"/>
            <w:shd w:val="clear" w:color="auto" w:fill="auto"/>
            <w:vAlign w:val="center"/>
          </w:tcPr>
          <w:p>
            <w:pPr>
              <w:spacing w:line="240" w:lineRule="auto"/>
              <w:ind w:firstLine="0" w:firstLineChars="0"/>
              <w:jc w:val="center"/>
              <w:rPr>
                <w:kern w:val="0"/>
                <w:sz w:val="21"/>
              </w:rPr>
            </w:pPr>
            <w:r>
              <w:rPr>
                <w:kern w:val="0"/>
                <w:sz w:val="21"/>
              </w:rPr>
              <w:t>86</w:t>
            </w:r>
          </w:p>
        </w:tc>
        <w:tc>
          <w:tcPr>
            <w:tcW w:w="236" w:type="pct"/>
            <w:vMerge w:val="restart"/>
            <w:shd w:val="clear" w:color="auto" w:fill="auto"/>
            <w:vAlign w:val="center"/>
          </w:tcPr>
          <w:p>
            <w:pPr>
              <w:spacing w:line="240" w:lineRule="auto"/>
              <w:ind w:firstLine="0" w:firstLineChars="0"/>
              <w:jc w:val="center"/>
              <w:rPr>
                <w:kern w:val="0"/>
                <w:sz w:val="21"/>
              </w:rPr>
            </w:pPr>
            <w:r>
              <w:rPr>
                <w:kern w:val="0"/>
                <w:sz w:val="21"/>
              </w:rPr>
              <w:t>74</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54.49</w:t>
            </w:r>
          </w:p>
        </w:tc>
        <w:tc>
          <w:tcPr>
            <w:tcW w:w="204" w:type="pct"/>
            <w:shd w:val="clear" w:color="auto" w:fill="auto"/>
            <w:vAlign w:val="center"/>
          </w:tcPr>
          <w:p>
            <w:pPr>
              <w:spacing w:line="240" w:lineRule="auto"/>
              <w:ind w:firstLine="0" w:firstLineChars="0"/>
              <w:jc w:val="center"/>
              <w:rPr>
                <w:sz w:val="21"/>
              </w:rPr>
            </w:pPr>
            <w:r>
              <w:rPr>
                <w:sz w:val="21"/>
              </w:rPr>
              <w:t>49.80</w:t>
            </w:r>
          </w:p>
        </w:tc>
        <w:tc>
          <w:tcPr>
            <w:tcW w:w="202" w:type="pct"/>
            <w:shd w:val="clear" w:color="auto" w:fill="auto"/>
            <w:vAlign w:val="center"/>
          </w:tcPr>
          <w:p>
            <w:pPr>
              <w:spacing w:line="240" w:lineRule="auto"/>
              <w:ind w:firstLine="0" w:firstLineChars="0"/>
              <w:jc w:val="center"/>
              <w:rPr>
                <w:sz w:val="21"/>
              </w:rPr>
            </w:pPr>
            <w:r>
              <w:rPr>
                <w:sz w:val="21"/>
              </w:rPr>
              <w:t>57.26</w:t>
            </w:r>
          </w:p>
        </w:tc>
        <w:tc>
          <w:tcPr>
            <w:tcW w:w="204" w:type="pct"/>
            <w:shd w:val="clear" w:color="auto" w:fill="auto"/>
            <w:vAlign w:val="center"/>
          </w:tcPr>
          <w:p>
            <w:pPr>
              <w:spacing w:line="240" w:lineRule="auto"/>
              <w:ind w:firstLine="0" w:firstLineChars="0"/>
              <w:jc w:val="center"/>
              <w:rPr>
                <w:sz w:val="21"/>
              </w:rPr>
            </w:pPr>
            <w:r>
              <w:rPr>
                <w:sz w:val="21"/>
              </w:rPr>
              <w:t>51.63</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3.26</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4.63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55.35</w:t>
            </w:r>
          </w:p>
        </w:tc>
        <w:tc>
          <w:tcPr>
            <w:tcW w:w="204" w:type="pct"/>
            <w:shd w:val="clear" w:color="auto" w:fill="auto"/>
            <w:vAlign w:val="center"/>
          </w:tcPr>
          <w:p>
            <w:pPr>
              <w:spacing w:line="240" w:lineRule="auto"/>
              <w:ind w:firstLine="0" w:firstLineChars="0"/>
              <w:jc w:val="center"/>
              <w:rPr>
                <w:sz w:val="21"/>
              </w:rPr>
            </w:pPr>
            <w:r>
              <w:rPr>
                <w:sz w:val="21"/>
              </w:rPr>
              <w:t>50.64</w:t>
            </w:r>
          </w:p>
        </w:tc>
        <w:tc>
          <w:tcPr>
            <w:tcW w:w="202" w:type="pct"/>
            <w:shd w:val="clear" w:color="auto" w:fill="auto"/>
            <w:vAlign w:val="center"/>
          </w:tcPr>
          <w:p>
            <w:pPr>
              <w:spacing w:line="240" w:lineRule="auto"/>
              <w:ind w:firstLine="0" w:firstLineChars="0"/>
              <w:jc w:val="center"/>
              <w:rPr>
                <w:sz w:val="21"/>
              </w:rPr>
            </w:pPr>
            <w:r>
              <w:rPr>
                <w:sz w:val="21"/>
              </w:rPr>
              <w:t>57.73</w:t>
            </w:r>
          </w:p>
        </w:tc>
        <w:tc>
          <w:tcPr>
            <w:tcW w:w="204" w:type="pct"/>
            <w:shd w:val="clear" w:color="auto" w:fill="auto"/>
            <w:vAlign w:val="center"/>
          </w:tcPr>
          <w:p>
            <w:pPr>
              <w:spacing w:line="240" w:lineRule="auto"/>
              <w:ind w:firstLine="0" w:firstLineChars="0"/>
              <w:jc w:val="center"/>
              <w:rPr>
                <w:sz w:val="21"/>
              </w:rPr>
            </w:pPr>
            <w:r>
              <w:rPr>
                <w:sz w:val="21"/>
              </w:rPr>
              <w:t>52.20</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3.73</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56.62</w:t>
            </w:r>
          </w:p>
        </w:tc>
        <w:tc>
          <w:tcPr>
            <w:tcW w:w="204" w:type="pct"/>
            <w:shd w:val="clear" w:color="auto" w:fill="auto"/>
            <w:vAlign w:val="center"/>
          </w:tcPr>
          <w:p>
            <w:pPr>
              <w:spacing w:line="240" w:lineRule="auto"/>
              <w:ind w:firstLine="0" w:firstLineChars="0"/>
              <w:jc w:val="center"/>
              <w:rPr>
                <w:sz w:val="21"/>
              </w:rPr>
            </w:pPr>
            <w:r>
              <w:rPr>
                <w:sz w:val="21"/>
              </w:rPr>
              <w:t>51.88</w:t>
            </w:r>
          </w:p>
        </w:tc>
        <w:tc>
          <w:tcPr>
            <w:tcW w:w="202" w:type="pct"/>
            <w:shd w:val="clear" w:color="auto" w:fill="auto"/>
            <w:vAlign w:val="center"/>
          </w:tcPr>
          <w:p>
            <w:pPr>
              <w:spacing w:line="240" w:lineRule="auto"/>
              <w:ind w:firstLine="0" w:firstLineChars="0"/>
              <w:jc w:val="center"/>
              <w:rPr>
                <w:sz w:val="21"/>
              </w:rPr>
            </w:pPr>
            <w:r>
              <w:rPr>
                <w:sz w:val="21"/>
              </w:rPr>
              <w:t>58.51</w:t>
            </w:r>
          </w:p>
        </w:tc>
        <w:tc>
          <w:tcPr>
            <w:tcW w:w="204" w:type="pct"/>
            <w:shd w:val="clear" w:color="auto" w:fill="auto"/>
            <w:vAlign w:val="center"/>
          </w:tcPr>
          <w:p>
            <w:pPr>
              <w:spacing w:line="240" w:lineRule="auto"/>
              <w:ind w:firstLine="0" w:firstLineChars="0"/>
              <w:jc w:val="center"/>
              <w:rPr>
                <w:sz w:val="21"/>
              </w:rPr>
            </w:pPr>
            <w:r>
              <w:rPr>
                <w:sz w:val="21"/>
              </w:rPr>
              <w:t>53.10</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4.51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6.1</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10</w:t>
            </w:r>
          </w:p>
        </w:tc>
        <w:tc>
          <w:tcPr>
            <w:tcW w:w="778" w:type="pct"/>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sz w:val="21"/>
                <w:szCs w:val="21"/>
                <w:lang w:eastAsia="zh-CN"/>
              </w:rPr>
              <w:t>学汉坨村：新建路段K14+440~K15+140</w:t>
            </w:r>
          </w:p>
        </w:tc>
        <w:tc>
          <w:tcPr>
            <w:tcW w:w="270" w:type="pct"/>
            <w:vMerge w:val="restart"/>
            <w:shd w:val="clear" w:color="auto" w:fill="auto"/>
            <w:vAlign w:val="center"/>
          </w:tcPr>
          <w:p>
            <w:pPr>
              <w:spacing w:line="240" w:lineRule="auto"/>
              <w:ind w:firstLine="0" w:firstLineChars="0"/>
              <w:jc w:val="center"/>
              <w:rPr>
                <w:kern w:val="0"/>
                <w:sz w:val="21"/>
              </w:rPr>
            </w:pPr>
            <w:r>
              <w:rPr>
                <w:kern w:val="0"/>
                <w:sz w:val="21"/>
              </w:rPr>
              <w:t>116</w:t>
            </w:r>
          </w:p>
        </w:tc>
        <w:tc>
          <w:tcPr>
            <w:tcW w:w="236" w:type="pct"/>
            <w:vMerge w:val="restart"/>
            <w:shd w:val="clear" w:color="auto" w:fill="auto"/>
            <w:vAlign w:val="center"/>
          </w:tcPr>
          <w:p>
            <w:pPr>
              <w:spacing w:line="240" w:lineRule="auto"/>
              <w:ind w:firstLine="0" w:firstLineChars="0"/>
              <w:jc w:val="center"/>
              <w:rPr>
                <w:kern w:val="0"/>
                <w:sz w:val="21"/>
              </w:rPr>
            </w:pPr>
            <w:r>
              <w:rPr>
                <w:kern w:val="0"/>
                <w:sz w:val="21"/>
              </w:rPr>
              <w:t>104</w:t>
            </w:r>
          </w:p>
        </w:tc>
        <w:tc>
          <w:tcPr>
            <w:tcW w:w="440" w:type="pct"/>
            <w:vMerge w:val="restart"/>
            <w:shd w:val="clear" w:color="auto" w:fill="auto"/>
            <w:vAlign w:val="center"/>
          </w:tcPr>
          <w:p>
            <w:pPr>
              <w:spacing w:line="240" w:lineRule="auto"/>
              <w:ind w:firstLine="0" w:firstLineChars="0"/>
              <w:jc w:val="center"/>
              <w:rPr>
                <w:sz w:val="21"/>
              </w:rPr>
            </w:pPr>
            <w:r>
              <w:rPr>
                <w:sz w:val="21"/>
              </w:rPr>
              <w:t>-2</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29</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51.6</w:t>
            </w:r>
          </w:p>
        </w:tc>
        <w:tc>
          <w:tcPr>
            <w:tcW w:w="204" w:type="pct"/>
            <w:shd w:val="clear" w:color="auto" w:fill="auto"/>
            <w:vAlign w:val="center"/>
          </w:tcPr>
          <w:p>
            <w:pPr>
              <w:spacing w:line="240" w:lineRule="auto"/>
              <w:ind w:firstLine="0" w:firstLineChars="0"/>
              <w:jc w:val="center"/>
              <w:rPr>
                <w:sz w:val="21"/>
              </w:rPr>
            </w:pPr>
            <w:r>
              <w:rPr>
                <w:sz w:val="21"/>
              </w:rPr>
              <w:t>46.9</w:t>
            </w:r>
          </w:p>
        </w:tc>
        <w:tc>
          <w:tcPr>
            <w:tcW w:w="202" w:type="pct"/>
            <w:shd w:val="clear" w:color="auto" w:fill="auto"/>
            <w:vAlign w:val="center"/>
          </w:tcPr>
          <w:p>
            <w:pPr>
              <w:spacing w:line="240" w:lineRule="auto"/>
              <w:ind w:firstLine="0" w:firstLineChars="0"/>
              <w:jc w:val="center"/>
              <w:rPr>
                <w:sz w:val="21"/>
              </w:rPr>
            </w:pPr>
            <w:r>
              <w:rPr>
                <w:sz w:val="21"/>
              </w:rPr>
              <w:t>55.97</w:t>
            </w:r>
          </w:p>
        </w:tc>
        <w:tc>
          <w:tcPr>
            <w:tcW w:w="204" w:type="pct"/>
            <w:shd w:val="clear" w:color="auto" w:fill="auto"/>
            <w:vAlign w:val="center"/>
          </w:tcPr>
          <w:p>
            <w:pPr>
              <w:spacing w:line="240" w:lineRule="auto"/>
              <w:ind w:firstLine="0" w:firstLineChars="0"/>
              <w:jc w:val="center"/>
              <w:rPr>
                <w:sz w:val="21"/>
              </w:rPr>
            </w:pPr>
            <w:r>
              <w:rPr>
                <w:sz w:val="21"/>
              </w:rPr>
              <w:t>49.96</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1.97</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2.96</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52.45</w:t>
            </w:r>
          </w:p>
        </w:tc>
        <w:tc>
          <w:tcPr>
            <w:tcW w:w="204" w:type="pct"/>
            <w:shd w:val="clear" w:color="auto" w:fill="auto"/>
            <w:vAlign w:val="center"/>
          </w:tcPr>
          <w:p>
            <w:pPr>
              <w:spacing w:line="240" w:lineRule="auto"/>
              <w:ind w:firstLine="0" w:firstLineChars="0"/>
              <w:jc w:val="center"/>
              <w:rPr>
                <w:sz w:val="21"/>
              </w:rPr>
            </w:pPr>
            <w:r>
              <w:rPr>
                <w:sz w:val="21"/>
              </w:rPr>
              <w:t>47.74</w:t>
            </w:r>
          </w:p>
        </w:tc>
        <w:tc>
          <w:tcPr>
            <w:tcW w:w="202" w:type="pct"/>
            <w:shd w:val="clear" w:color="auto" w:fill="auto"/>
            <w:vAlign w:val="center"/>
          </w:tcPr>
          <w:p>
            <w:pPr>
              <w:spacing w:line="240" w:lineRule="auto"/>
              <w:ind w:firstLine="0" w:firstLineChars="0"/>
              <w:jc w:val="center"/>
              <w:rPr>
                <w:sz w:val="21"/>
              </w:rPr>
            </w:pPr>
            <w:r>
              <w:rPr>
                <w:sz w:val="21"/>
              </w:rPr>
              <w:t>56.31</w:t>
            </w:r>
          </w:p>
        </w:tc>
        <w:tc>
          <w:tcPr>
            <w:tcW w:w="204" w:type="pct"/>
            <w:shd w:val="clear" w:color="auto" w:fill="auto"/>
            <w:vAlign w:val="center"/>
          </w:tcPr>
          <w:p>
            <w:pPr>
              <w:spacing w:line="240" w:lineRule="auto"/>
              <w:ind w:firstLine="0" w:firstLineChars="0"/>
              <w:jc w:val="center"/>
              <w:rPr>
                <w:sz w:val="21"/>
              </w:rPr>
            </w:pPr>
            <w:r>
              <w:rPr>
                <w:sz w:val="21"/>
              </w:rPr>
              <w:t>50.40</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2.31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3.4</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53.73</w:t>
            </w:r>
          </w:p>
        </w:tc>
        <w:tc>
          <w:tcPr>
            <w:tcW w:w="204" w:type="pct"/>
            <w:shd w:val="clear" w:color="auto" w:fill="auto"/>
            <w:vAlign w:val="center"/>
          </w:tcPr>
          <w:p>
            <w:pPr>
              <w:spacing w:line="240" w:lineRule="auto"/>
              <w:ind w:firstLine="0" w:firstLineChars="0"/>
              <w:jc w:val="center"/>
              <w:rPr>
                <w:sz w:val="21"/>
              </w:rPr>
            </w:pPr>
            <w:r>
              <w:rPr>
                <w:sz w:val="21"/>
              </w:rPr>
              <w:t>48.99</w:t>
            </w:r>
          </w:p>
        </w:tc>
        <w:tc>
          <w:tcPr>
            <w:tcW w:w="202" w:type="pct"/>
            <w:shd w:val="clear" w:color="auto" w:fill="auto"/>
            <w:vAlign w:val="center"/>
          </w:tcPr>
          <w:p>
            <w:pPr>
              <w:spacing w:line="240" w:lineRule="auto"/>
              <w:ind w:firstLine="0" w:firstLineChars="0"/>
              <w:jc w:val="center"/>
              <w:rPr>
                <w:sz w:val="21"/>
              </w:rPr>
            </w:pPr>
            <w:r>
              <w:rPr>
                <w:sz w:val="21"/>
              </w:rPr>
              <w:t>56.88</w:t>
            </w:r>
          </w:p>
        </w:tc>
        <w:tc>
          <w:tcPr>
            <w:tcW w:w="204" w:type="pct"/>
            <w:shd w:val="clear" w:color="auto" w:fill="auto"/>
            <w:vAlign w:val="center"/>
          </w:tcPr>
          <w:p>
            <w:pPr>
              <w:spacing w:line="240" w:lineRule="auto"/>
              <w:ind w:firstLine="0" w:firstLineChars="0"/>
              <w:jc w:val="center"/>
              <w:rPr>
                <w:sz w:val="21"/>
              </w:rPr>
            </w:pPr>
            <w:r>
              <w:rPr>
                <w:sz w:val="21"/>
              </w:rPr>
              <w:t>51.12</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2.88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4.12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11</w:t>
            </w:r>
          </w:p>
        </w:tc>
        <w:tc>
          <w:tcPr>
            <w:tcW w:w="778" w:type="pct"/>
            <w:vMerge w:val="restart"/>
            <w:shd w:val="clear" w:color="auto" w:fill="auto"/>
            <w:vAlign w:val="center"/>
          </w:tcPr>
          <w:p>
            <w:pPr>
              <w:spacing w:line="240" w:lineRule="auto"/>
              <w:ind w:firstLine="0" w:firstLineChars="0"/>
              <w:jc w:val="center"/>
              <w:rPr>
                <w:sz w:val="21"/>
              </w:rPr>
            </w:pPr>
            <w:r>
              <w:rPr>
                <w:kern w:val="0"/>
                <w:sz w:val="21"/>
              </w:rPr>
              <w:t>骆各庄村</w:t>
            </w:r>
            <w:r>
              <w:rPr>
                <w:sz w:val="21"/>
              </w:rPr>
              <w:t>：新建路段K15+600~K17+000</w:t>
            </w:r>
          </w:p>
        </w:tc>
        <w:tc>
          <w:tcPr>
            <w:tcW w:w="270" w:type="pct"/>
            <w:vMerge w:val="restart"/>
            <w:shd w:val="clear" w:color="auto" w:fill="auto"/>
            <w:vAlign w:val="center"/>
          </w:tcPr>
          <w:p>
            <w:pPr>
              <w:spacing w:line="240" w:lineRule="auto"/>
              <w:ind w:firstLine="0" w:firstLineChars="0"/>
              <w:jc w:val="center"/>
              <w:rPr>
                <w:kern w:val="0"/>
                <w:sz w:val="21"/>
              </w:rPr>
            </w:pPr>
            <w:r>
              <w:rPr>
                <w:kern w:val="0"/>
                <w:sz w:val="21"/>
              </w:rPr>
              <w:t>15</w:t>
            </w:r>
          </w:p>
        </w:tc>
        <w:tc>
          <w:tcPr>
            <w:tcW w:w="236" w:type="pct"/>
            <w:vMerge w:val="restart"/>
            <w:shd w:val="clear" w:color="auto" w:fill="auto"/>
            <w:vAlign w:val="center"/>
          </w:tcPr>
          <w:p>
            <w:pPr>
              <w:spacing w:line="240" w:lineRule="auto"/>
              <w:ind w:firstLine="0" w:firstLineChars="0"/>
              <w:jc w:val="center"/>
              <w:rPr>
                <w:kern w:val="0"/>
                <w:sz w:val="21"/>
              </w:rPr>
            </w:pPr>
            <w:r>
              <w:rPr>
                <w:kern w:val="0"/>
                <w:sz w:val="21"/>
              </w:rPr>
              <w:t>3</w:t>
            </w:r>
          </w:p>
        </w:tc>
        <w:tc>
          <w:tcPr>
            <w:tcW w:w="440" w:type="pct"/>
            <w:vMerge w:val="restart"/>
            <w:shd w:val="clear" w:color="auto" w:fill="auto"/>
            <w:vAlign w:val="center"/>
          </w:tcPr>
          <w:p>
            <w:pPr>
              <w:spacing w:line="240" w:lineRule="auto"/>
              <w:ind w:firstLine="0" w:firstLineChars="0"/>
              <w:jc w:val="center"/>
              <w:rPr>
                <w:sz w:val="21"/>
              </w:rPr>
            </w:pPr>
            <w:r>
              <w:rPr>
                <w:sz w:val="21"/>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4a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11</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52.6</w:t>
            </w:r>
          </w:p>
        </w:tc>
        <w:tc>
          <w:tcPr>
            <w:tcW w:w="204" w:type="pct"/>
            <w:shd w:val="clear" w:color="auto" w:fill="auto"/>
            <w:vAlign w:val="center"/>
          </w:tcPr>
          <w:p>
            <w:pPr>
              <w:spacing w:line="240" w:lineRule="auto"/>
              <w:ind w:firstLine="0" w:firstLineChars="0"/>
              <w:jc w:val="center"/>
              <w:rPr>
                <w:sz w:val="21"/>
              </w:rPr>
            </w:pPr>
            <w:r>
              <w:rPr>
                <w:sz w:val="21"/>
              </w:rPr>
              <w:t>57.91</w:t>
            </w:r>
          </w:p>
        </w:tc>
        <w:tc>
          <w:tcPr>
            <w:tcW w:w="202" w:type="pct"/>
            <w:shd w:val="clear" w:color="auto" w:fill="auto"/>
            <w:vAlign w:val="center"/>
          </w:tcPr>
          <w:p>
            <w:pPr>
              <w:spacing w:line="240" w:lineRule="auto"/>
              <w:ind w:firstLine="0" w:firstLineChars="0"/>
              <w:jc w:val="center"/>
              <w:rPr>
                <w:sz w:val="21"/>
              </w:rPr>
            </w:pPr>
            <w:r>
              <w:rPr>
                <w:sz w:val="21"/>
              </w:rPr>
              <w:t>63.16</w:t>
            </w:r>
          </w:p>
        </w:tc>
        <w:tc>
          <w:tcPr>
            <w:tcW w:w="204" w:type="pct"/>
            <w:shd w:val="clear" w:color="auto" w:fill="auto"/>
            <w:vAlign w:val="center"/>
          </w:tcPr>
          <w:p>
            <w:pPr>
              <w:spacing w:line="240" w:lineRule="auto"/>
              <w:ind w:firstLine="0" w:firstLineChars="0"/>
              <w:jc w:val="center"/>
              <w:rPr>
                <w:sz w:val="21"/>
              </w:rPr>
            </w:pPr>
            <w:r>
              <w:rPr>
                <w:sz w:val="21"/>
              </w:rPr>
              <w:t>58.25</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9.16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11.25</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63.46</w:t>
            </w:r>
          </w:p>
        </w:tc>
        <w:tc>
          <w:tcPr>
            <w:tcW w:w="204" w:type="pct"/>
            <w:shd w:val="clear" w:color="auto" w:fill="auto"/>
            <w:vAlign w:val="center"/>
          </w:tcPr>
          <w:p>
            <w:pPr>
              <w:spacing w:line="240" w:lineRule="auto"/>
              <w:ind w:firstLine="0" w:firstLineChars="0"/>
              <w:jc w:val="center"/>
              <w:rPr>
                <w:sz w:val="21"/>
              </w:rPr>
            </w:pPr>
            <w:r>
              <w:rPr>
                <w:sz w:val="21"/>
              </w:rPr>
              <w:t>58.75</w:t>
            </w:r>
          </w:p>
        </w:tc>
        <w:tc>
          <w:tcPr>
            <w:tcW w:w="202" w:type="pct"/>
            <w:shd w:val="clear" w:color="auto" w:fill="auto"/>
            <w:vAlign w:val="center"/>
          </w:tcPr>
          <w:p>
            <w:pPr>
              <w:spacing w:line="240" w:lineRule="auto"/>
              <w:ind w:firstLine="0" w:firstLineChars="0"/>
              <w:jc w:val="center"/>
              <w:rPr>
                <w:sz w:val="21"/>
              </w:rPr>
            </w:pPr>
            <w:r>
              <w:rPr>
                <w:sz w:val="21"/>
              </w:rPr>
              <w:t>63.92</w:t>
            </w:r>
          </w:p>
        </w:tc>
        <w:tc>
          <w:tcPr>
            <w:tcW w:w="204" w:type="pct"/>
            <w:shd w:val="clear" w:color="auto" w:fill="auto"/>
            <w:vAlign w:val="center"/>
          </w:tcPr>
          <w:p>
            <w:pPr>
              <w:spacing w:line="240" w:lineRule="auto"/>
              <w:ind w:firstLine="0" w:firstLineChars="0"/>
              <w:jc w:val="center"/>
              <w:rPr>
                <w:sz w:val="21"/>
              </w:rPr>
            </w:pPr>
            <w:r>
              <w:rPr>
                <w:sz w:val="21"/>
              </w:rPr>
              <w:t>59.03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9.92</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12.03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64.73</w:t>
            </w:r>
          </w:p>
        </w:tc>
        <w:tc>
          <w:tcPr>
            <w:tcW w:w="204" w:type="pct"/>
            <w:shd w:val="clear" w:color="auto" w:fill="auto"/>
            <w:vAlign w:val="center"/>
          </w:tcPr>
          <w:p>
            <w:pPr>
              <w:spacing w:line="240" w:lineRule="auto"/>
              <w:ind w:firstLine="0" w:firstLineChars="0"/>
              <w:jc w:val="center"/>
              <w:rPr>
                <w:sz w:val="21"/>
              </w:rPr>
            </w:pPr>
            <w:r>
              <w:rPr>
                <w:sz w:val="21"/>
              </w:rPr>
              <w:t>59.99</w:t>
            </w:r>
          </w:p>
        </w:tc>
        <w:tc>
          <w:tcPr>
            <w:tcW w:w="202" w:type="pct"/>
            <w:shd w:val="clear" w:color="auto" w:fill="auto"/>
            <w:vAlign w:val="center"/>
          </w:tcPr>
          <w:p>
            <w:pPr>
              <w:spacing w:line="240" w:lineRule="auto"/>
              <w:ind w:firstLine="0" w:firstLineChars="0"/>
              <w:jc w:val="center"/>
              <w:rPr>
                <w:sz w:val="21"/>
              </w:rPr>
            </w:pPr>
            <w:r>
              <w:rPr>
                <w:sz w:val="21"/>
              </w:rPr>
              <w:t>65.08</w:t>
            </w:r>
          </w:p>
        </w:tc>
        <w:tc>
          <w:tcPr>
            <w:tcW w:w="204" w:type="pct"/>
            <w:shd w:val="clear" w:color="auto" w:fill="auto"/>
            <w:vAlign w:val="center"/>
          </w:tcPr>
          <w:p>
            <w:pPr>
              <w:spacing w:line="240" w:lineRule="auto"/>
              <w:ind w:firstLine="0" w:firstLineChars="0"/>
              <w:jc w:val="center"/>
              <w:rPr>
                <w:sz w:val="21"/>
              </w:rPr>
            </w:pPr>
            <w:r>
              <w:rPr>
                <w:sz w:val="21"/>
              </w:rPr>
              <w:t>60.20</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11.08</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13.2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restart"/>
            <w:shd w:val="clear" w:color="auto" w:fill="auto"/>
            <w:vAlign w:val="center"/>
          </w:tcPr>
          <w:p>
            <w:pPr>
              <w:spacing w:line="240" w:lineRule="auto"/>
              <w:ind w:firstLine="0" w:firstLineChars="0"/>
              <w:jc w:val="center"/>
              <w:rPr>
                <w:sz w:val="21"/>
              </w:rPr>
            </w:pPr>
            <w:r>
              <w:rPr>
                <w:sz w:val="21"/>
              </w:rPr>
              <w:t>59</w:t>
            </w:r>
          </w:p>
        </w:tc>
        <w:tc>
          <w:tcPr>
            <w:tcW w:w="236" w:type="pct"/>
            <w:vMerge w:val="restart"/>
            <w:shd w:val="clear" w:color="auto" w:fill="auto"/>
            <w:vAlign w:val="center"/>
          </w:tcPr>
          <w:p>
            <w:pPr>
              <w:spacing w:line="240" w:lineRule="auto"/>
              <w:ind w:firstLine="0" w:firstLineChars="0"/>
              <w:jc w:val="center"/>
              <w:rPr>
                <w:sz w:val="21"/>
              </w:rPr>
            </w:pPr>
            <w:r>
              <w:rPr>
                <w:sz w:val="21"/>
              </w:rPr>
              <w:t>47</w:t>
            </w:r>
          </w:p>
        </w:tc>
        <w:tc>
          <w:tcPr>
            <w:tcW w:w="440" w:type="pct"/>
            <w:vMerge w:val="restart"/>
            <w:shd w:val="clear" w:color="auto" w:fill="auto"/>
            <w:vAlign w:val="center"/>
          </w:tcPr>
          <w:p>
            <w:pPr>
              <w:spacing w:line="240" w:lineRule="auto"/>
              <w:ind w:firstLine="0" w:firstLineChars="0"/>
              <w:jc w:val="center"/>
              <w:rPr>
                <w:sz w:val="21"/>
              </w:rPr>
            </w:pPr>
            <w:r>
              <w:rPr>
                <w:sz w:val="21"/>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76</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56.75</w:t>
            </w:r>
          </w:p>
        </w:tc>
        <w:tc>
          <w:tcPr>
            <w:tcW w:w="204" w:type="pct"/>
            <w:shd w:val="clear" w:color="auto" w:fill="auto"/>
            <w:vAlign w:val="center"/>
          </w:tcPr>
          <w:p>
            <w:pPr>
              <w:spacing w:line="240" w:lineRule="auto"/>
              <w:ind w:firstLine="0" w:firstLineChars="0"/>
              <w:jc w:val="center"/>
              <w:rPr>
                <w:sz w:val="21"/>
              </w:rPr>
            </w:pPr>
            <w:r>
              <w:rPr>
                <w:sz w:val="21"/>
              </w:rPr>
              <w:t>52.05</w:t>
            </w:r>
          </w:p>
        </w:tc>
        <w:tc>
          <w:tcPr>
            <w:tcW w:w="202" w:type="pct"/>
            <w:shd w:val="clear" w:color="auto" w:fill="auto"/>
            <w:vAlign w:val="center"/>
          </w:tcPr>
          <w:p>
            <w:pPr>
              <w:spacing w:line="240" w:lineRule="auto"/>
              <w:ind w:firstLine="0" w:firstLineChars="0"/>
              <w:jc w:val="center"/>
              <w:rPr>
                <w:sz w:val="21"/>
              </w:rPr>
            </w:pPr>
            <w:r>
              <w:rPr>
                <w:sz w:val="21"/>
              </w:rPr>
              <w:t>58.6</w:t>
            </w:r>
          </w:p>
        </w:tc>
        <w:tc>
          <w:tcPr>
            <w:tcW w:w="204" w:type="pct"/>
            <w:shd w:val="clear" w:color="auto" w:fill="auto"/>
            <w:vAlign w:val="center"/>
          </w:tcPr>
          <w:p>
            <w:pPr>
              <w:spacing w:line="240" w:lineRule="auto"/>
              <w:ind w:firstLine="0" w:firstLineChars="0"/>
              <w:jc w:val="center"/>
              <w:rPr>
                <w:sz w:val="21"/>
              </w:rPr>
            </w:pPr>
            <w:r>
              <w:rPr>
                <w:sz w:val="21"/>
              </w:rPr>
              <w:t>53.23</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4.6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6.23</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57.60</w:t>
            </w:r>
          </w:p>
        </w:tc>
        <w:tc>
          <w:tcPr>
            <w:tcW w:w="204" w:type="pct"/>
            <w:shd w:val="clear" w:color="auto" w:fill="auto"/>
            <w:vAlign w:val="center"/>
          </w:tcPr>
          <w:p>
            <w:pPr>
              <w:spacing w:line="240" w:lineRule="auto"/>
              <w:ind w:firstLine="0" w:firstLineChars="0"/>
              <w:jc w:val="center"/>
              <w:rPr>
                <w:sz w:val="21"/>
              </w:rPr>
            </w:pPr>
            <w:r>
              <w:rPr>
                <w:sz w:val="21"/>
              </w:rPr>
              <w:t>52.9</w:t>
            </w:r>
          </w:p>
        </w:tc>
        <w:tc>
          <w:tcPr>
            <w:tcW w:w="202" w:type="pct"/>
            <w:shd w:val="clear" w:color="auto" w:fill="auto"/>
            <w:vAlign w:val="center"/>
          </w:tcPr>
          <w:p>
            <w:pPr>
              <w:spacing w:line="240" w:lineRule="auto"/>
              <w:ind w:firstLine="0" w:firstLineChars="0"/>
              <w:jc w:val="center"/>
              <w:rPr>
                <w:sz w:val="21"/>
              </w:rPr>
            </w:pPr>
            <w:r>
              <w:rPr>
                <w:sz w:val="21"/>
              </w:rPr>
              <w:t>59.18</w:t>
            </w:r>
          </w:p>
        </w:tc>
        <w:tc>
          <w:tcPr>
            <w:tcW w:w="204" w:type="pct"/>
            <w:shd w:val="clear" w:color="auto" w:fill="auto"/>
            <w:vAlign w:val="center"/>
          </w:tcPr>
          <w:p>
            <w:pPr>
              <w:spacing w:line="240" w:lineRule="auto"/>
              <w:ind w:firstLine="0" w:firstLineChars="0"/>
              <w:jc w:val="center"/>
              <w:rPr>
                <w:sz w:val="21"/>
              </w:rPr>
            </w:pPr>
            <w:r>
              <w:rPr>
                <w:sz w:val="21"/>
              </w:rPr>
              <w:t>53.89</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5.18</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6.89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3.89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rPr>
            </w:pPr>
          </w:p>
        </w:tc>
        <w:tc>
          <w:tcPr>
            <w:tcW w:w="778"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236" w:type="pct"/>
            <w:vMerge w:val="continue"/>
            <w:shd w:val="clear" w:color="auto" w:fill="auto"/>
            <w:vAlign w:val="center"/>
          </w:tcPr>
          <w:p>
            <w:pPr>
              <w:spacing w:line="240" w:lineRule="auto"/>
              <w:ind w:firstLine="0" w:firstLineChars="0"/>
              <w:jc w:val="center"/>
              <w:rPr>
                <w:sz w:val="21"/>
              </w:rPr>
            </w:pPr>
          </w:p>
        </w:tc>
        <w:tc>
          <w:tcPr>
            <w:tcW w:w="440" w:type="pct"/>
            <w:vMerge w:val="continue"/>
            <w:shd w:val="clear" w:color="auto" w:fill="auto"/>
            <w:vAlign w:val="center"/>
          </w:tcPr>
          <w:p>
            <w:pPr>
              <w:spacing w:line="240" w:lineRule="auto"/>
              <w:ind w:firstLine="0" w:firstLineChars="0"/>
              <w:jc w:val="center"/>
              <w:rPr>
                <w:sz w:val="21"/>
              </w:rPr>
            </w:pPr>
          </w:p>
        </w:tc>
        <w:tc>
          <w:tcPr>
            <w:tcW w:w="202" w:type="pct"/>
            <w:vMerge w:val="continue"/>
            <w:shd w:val="clear" w:color="auto" w:fill="auto"/>
            <w:vAlign w:val="center"/>
          </w:tcPr>
          <w:p>
            <w:pPr>
              <w:spacing w:line="240" w:lineRule="auto"/>
              <w:ind w:firstLine="0" w:firstLineChars="0"/>
              <w:jc w:val="center"/>
              <w:rPr>
                <w:sz w:val="21"/>
              </w:rPr>
            </w:pPr>
          </w:p>
        </w:tc>
        <w:tc>
          <w:tcPr>
            <w:tcW w:w="204" w:type="pct"/>
            <w:vMerge w:val="continue"/>
            <w:shd w:val="clear" w:color="auto" w:fill="auto"/>
            <w:vAlign w:val="center"/>
          </w:tcPr>
          <w:p>
            <w:pPr>
              <w:spacing w:line="240" w:lineRule="auto"/>
              <w:ind w:firstLine="0" w:firstLineChars="0"/>
              <w:jc w:val="center"/>
              <w:rPr>
                <w:sz w:val="21"/>
              </w:rPr>
            </w:pPr>
          </w:p>
        </w:tc>
        <w:tc>
          <w:tcPr>
            <w:tcW w:w="270" w:type="pct"/>
            <w:vMerge w:val="continue"/>
            <w:shd w:val="clear" w:color="auto" w:fill="auto"/>
            <w:vAlign w:val="center"/>
          </w:tcPr>
          <w:p>
            <w:pPr>
              <w:spacing w:line="240" w:lineRule="auto"/>
              <w:ind w:firstLine="0" w:firstLineChars="0"/>
              <w:jc w:val="center"/>
              <w:rPr>
                <w:sz w:val="21"/>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58.88</w:t>
            </w:r>
          </w:p>
        </w:tc>
        <w:tc>
          <w:tcPr>
            <w:tcW w:w="204" w:type="pct"/>
            <w:shd w:val="clear" w:color="auto" w:fill="auto"/>
            <w:vAlign w:val="center"/>
          </w:tcPr>
          <w:p>
            <w:pPr>
              <w:spacing w:line="240" w:lineRule="auto"/>
              <w:ind w:firstLine="0" w:firstLineChars="0"/>
              <w:jc w:val="center"/>
              <w:rPr>
                <w:sz w:val="21"/>
              </w:rPr>
            </w:pPr>
            <w:r>
              <w:rPr>
                <w:sz w:val="21"/>
              </w:rPr>
              <w:t>54.14</w:t>
            </w:r>
          </w:p>
        </w:tc>
        <w:tc>
          <w:tcPr>
            <w:tcW w:w="202" w:type="pct"/>
            <w:shd w:val="clear" w:color="auto" w:fill="auto"/>
            <w:vAlign w:val="center"/>
          </w:tcPr>
          <w:p>
            <w:pPr>
              <w:spacing w:line="240" w:lineRule="auto"/>
              <w:ind w:firstLine="0" w:firstLineChars="0"/>
              <w:jc w:val="center"/>
              <w:rPr>
                <w:sz w:val="21"/>
              </w:rPr>
            </w:pPr>
            <w:r>
              <w:rPr>
                <w:sz w:val="21"/>
              </w:rPr>
              <w:t>60.10</w:t>
            </w:r>
          </w:p>
        </w:tc>
        <w:tc>
          <w:tcPr>
            <w:tcW w:w="204" w:type="pct"/>
            <w:shd w:val="clear" w:color="auto" w:fill="auto"/>
            <w:vAlign w:val="center"/>
          </w:tcPr>
          <w:p>
            <w:pPr>
              <w:spacing w:line="240" w:lineRule="auto"/>
              <w:ind w:firstLine="0" w:firstLineChars="0"/>
              <w:jc w:val="center"/>
              <w:rPr>
                <w:sz w:val="21"/>
              </w:rPr>
            </w:pPr>
            <w:r>
              <w:rPr>
                <w:sz w:val="21"/>
              </w:rPr>
              <w:t>54.91</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6.1</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7.91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0.1</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12</w:t>
            </w:r>
          </w:p>
        </w:tc>
        <w:tc>
          <w:tcPr>
            <w:tcW w:w="778" w:type="pct"/>
            <w:vMerge w:val="restart"/>
            <w:shd w:val="clear" w:color="auto" w:fill="auto"/>
            <w:vAlign w:val="center"/>
          </w:tcPr>
          <w:p>
            <w:pPr>
              <w:spacing w:line="240" w:lineRule="auto"/>
              <w:ind w:firstLine="0" w:firstLineChars="0"/>
              <w:jc w:val="center"/>
              <w:rPr>
                <w:sz w:val="21"/>
              </w:rPr>
            </w:pPr>
            <w:r>
              <w:rPr>
                <w:kern w:val="0"/>
                <w:sz w:val="21"/>
              </w:rPr>
              <w:t>吴家坑村</w:t>
            </w:r>
            <w:r>
              <w:rPr>
                <w:sz w:val="21"/>
              </w:rPr>
              <w:t>：新建路段K16+980~K18+000</w:t>
            </w:r>
          </w:p>
        </w:tc>
        <w:tc>
          <w:tcPr>
            <w:tcW w:w="270" w:type="pct"/>
            <w:vMerge w:val="restart"/>
            <w:shd w:val="clear" w:color="auto" w:fill="auto"/>
            <w:vAlign w:val="center"/>
          </w:tcPr>
          <w:p>
            <w:pPr>
              <w:spacing w:line="240" w:lineRule="auto"/>
              <w:ind w:firstLine="0" w:firstLineChars="0"/>
              <w:jc w:val="center"/>
              <w:rPr>
                <w:sz w:val="21"/>
              </w:rPr>
            </w:pPr>
            <w:r>
              <w:rPr>
                <w:sz w:val="21"/>
              </w:rPr>
              <w:t>25</w:t>
            </w:r>
          </w:p>
        </w:tc>
        <w:tc>
          <w:tcPr>
            <w:tcW w:w="236" w:type="pct"/>
            <w:vMerge w:val="restart"/>
            <w:shd w:val="clear" w:color="auto" w:fill="auto"/>
            <w:vAlign w:val="center"/>
          </w:tcPr>
          <w:p>
            <w:pPr>
              <w:spacing w:line="240" w:lineRule="auto"/>
              <w:ind w:firstLine="0" w:firstLineChars="0"/>
              <w:jc w:val="center"/>
              <w:rPr>
                <w:sz w:val="21"/>
              </w:rPr>
            </w:pPr>
            <w:r>
              <w:rPr>
                <w:sz w:val="21"/>
              </w:rPr>
              <w:t>13</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55</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45</w:t>
            </w:r>
          </w:p>
        </w:tc>
        <w:tc>
          <w:tcPr>
            <w:tcW w:w="270" w:type="pct"/>
            <w:vMerge w:val="restart"/>
            <w:shd w:val="clear" w:color="auto" w:fill="auto"/>
            <w:vAlign w:val="center"/>
          </w:tcPr>
          <w:p>
            <w:pPr>
              <w:spacing w:line="240" w:lineRule="auto"/>
              <w:ind w:firstLine="0" w:firstLineChars="0"/>
              <w:jc w:val="center"/>
              <w:rPr>
                <w:sz w:val="21"/>
              </w:rPr>
            </w:pPr>
            <w:r>
              <w:rPr>
                <w:sz w:val="21"/>
              </w:rPr>
              <w:t>4a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27</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64.33</w:t>
            </w:r>
          </w:p>
        </w:tc>
        <w:tc>
          <w:tcPr>
            <w:tcW w:w="204" w:type="pct"/>
            <w:shd w:val="clear" w:color="auto" w:fill="auto"/>
            <w:vAlign w:val="center"/>
          </w:tcPr>
          <w:p>
            <w:pPr>
              <w:spacing w:line="240" w:lineRule="auto"/>
              <w:ind w:firstLine="0" w:firstLineChars="0"/>
              <w:jc w:val="center"/>
              <w:rPr>
                <w:sz w:val="21"/>
              </w:rPr>
            </w:pPr>
            <w:r>
              <w:rPr>
                <w:sz w:val="21"/>
              </w:rPr>
              <w:t>59.64</w:t>
            </w:r>
          </w:p>
        </w:tc>
        <w:tc>
          <w:tcPr>
            <w:tcW w:w="202" w:type="pct"/>
            <w:shd w:val="clear" w:color="auto" w:fill="auto"/>
            <w:vAlign w:val="center"/>
          </w:tcPr>
          <w:p>
            <w:pPr>
              <w:spacing w:line="240" w:lineRule="auto"/>
              <w:ind w:firstLine="0" w:firstLineChars="0"/>
              <w:jc w:val="center"/>
              <w:rPr>
                <w:sz w:val="21"/>
              </w:rPr>
            </w:pPr>
            <w:r>
              <w:rPr>
                <w:sz w:val="21"/>
              </w:rPr>
              <w:t>64.81</w:t>
            </w:r>
          </w:p>
        </w:tc>
        <w:tc>
          <w:tcPr>
            <w:tcW w:w="204" w:type="pct"/>
            <w:shd w:val="clear" w:color="auto" w:fill="auto"/>
            <w:vAlign w:val="center"/>
          </w:tcPr>
          <w:p>
            <w:pPr>
              <w:spacing w:line="240" w:lineRule="auto"/>
              <w:ind w:firstLine="0" w:firstLineChars="0"/>
              <w:jc w:val="center"/>
              <w:rPr>
                <w:sz w:val="21"/>
              </w:rPr>
            </w:pPr>
            <w:r>
              <w:rPr>
                <w:sz w:val="21"/>
              </w:rPr>
              <w:t>59.79</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9.81</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14.79</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4.79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65.19</w:t>
            </w:r>
          </w:p>
        </w:tc>
        <w:tc>
          <w:tcPr>
            <w:tcW w:w="204" w:type="pct"/>
            <w:shd w:val="clear" w:color="auto" w:fill="auto"/>
            <w:vAlign w:val="center"/>
          </w:tcPr>
          <w:p>
            <w:pPr>
              <w:spacing w:line="240" w:lineRule="auto"/>
              <w:ind w:firstLine="0" w:firstLineChars="0"/>
              <w:jc w:val="center"/>
              <w:rPr>
                <w:sz w:val="21"/>
              </w:rPr>
            </w:pPr>
            <w:r>
              <w:rPr>
                <w:sz w:val="21"/>
              </w:rPr>
              <w:t>60.48</w:t>
            </w:r>
          </w:p>
        </w:tc>
        <w:tc>
          <w:tcPr>
            <w:tcW w:w="202" w:type="pct"/>
            <w:shd w:val="clear" w:color="auto" w:fill="auto"/>
            <w:vAlign w:val="center"/>
          </w:tcPr>
          <w:p>
            <w:pPr>
              <w:spacing w:line="240" w:lineRule="auto"/>
              <w:ind w:firstLine="0" w:firstLineChars="0"/>
              <w:jc w:val="center"/>
              <w:rPr>
                <w:sz w:val="21"/>
              </w:rPr>
            </w:pPr>
            <w:r>
              <w:rPr>
                <w:sz w:val="21"/>
              </w:rPr>
              <w:t>65.59</w:t>
            </w:r>
          </w:p>
        </w:tc>
        <w:tc>
          <w:tcPr>
            <w:tcW w:w="204" w:type="pct"/>
            <w:shd w:val="clear" w:color="auto" w:fill="auto"/>
            <w:vAlign w:val="center"/>
          </w:tcPr>
          <w:p>
            <w:pPr>
              <w:spacing w:line="240" w:lineRule="auto"/>
              <w:ind w:firstLine="0" w:firstLineChars="0"/>
              <w:jc w:val="center"/>
              <w:rPr>
                <w:sz w:val="21"/>
              </w:rPr>
            </w:pPr>
            <w:r>
              <w:rPr>
                <w:sz w:val="21"/>
              </w:rPr>
              <w:t>60.60</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10.59</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15.6</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66.46</w:t>
            </w:r>
          </w:p>
        </w:tc>
        <w:tc>
          <w:tcPr>
            <w:tcW w:w="204" w:type="pct"/>
            <w:shd w:val="clear" w:color="auto" w:fill="auto"/>
            <w:vAlign w:val="center"/>
          </w:tcPr>
          <w:p>
            <w:pPr>
              <w:spacing w:line="240" w:lineRule="auto"/>
              <w:ind w:firstLine="0" w:firstLineChars="0"/>
              <w:jc w:val="center"/>
              <w:rPr>
                <w:sz w:val="21"/>
              </w:rPr>
            </w:pPr>
            <w:r>
              <w:rPr>
                <w:sz w:val="21"/>
              </w:rPr>
              <w:t>61.72</w:t>
            </w:r>
          </w:p>
        </w:tc>
        <w:tc>
          <w:tcPr>
            <w:tcW w:w="202" w:type="pct"/>
            <w:shd w:val="clear" w:color="auto" w:fill="auto"/>
            <w:vAlign w:val="center"/>
          </w:tcPr>
          <w:p>
            <w:pPr>
              <w:spacing w:line="240" w:lineRule="auto"/>
              <w:ind w:firstLine="0" w:firstLineChars="0"/>
              <w:jc w:val="center"/>
              <w:rPr>
                <w:sz w:val="21"/>
              </w:rPr>
            </w:pPr>
            <w:r>
              <w:rPr>
                <w:sz w:val="21"/>
              </w:rPr>
              <w:t>66.76</w:t>
            </w:r>
          </w:p>
        </w:tc>
        <w:tc>
          <w:tcPr>
            <w:tcW w:w="204" w:type="pct"/>
            <w:shd w:val="clear" w:color="auto" w:fill="auto"/>
            <w:vAlign w:val="center"/>
          </w:tcPr>
          <w:p>
            <w:pPr>
              <w:spacing w:line="240" w:lineRule="auto"/>
              <w:ind w:firstLine="0" w:firstLineChars="0"/>
              <w:jc w:val="center"/>
              <w:rPr>
                <w:sz w:val="21"/>
              </w:rPr>
            </w:pPr>
            <w:r>
              <w:rPr>
                <w:sz w:val="21"/>
              </w:rPr>
              <w:t>61.82</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11.76</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16.82</w:t>
            </w:r>
          </w:p>
        </w:tc>
        <w:tc>
          <w:tcPr>
            <w:tcW w:w="203" w:type="pct"/>
            <w:shd w:val="clear" w:color="auto" w:fill="auto"/>
            <w:vAlign w:val="center"/>
          </w:tcPr>
          <w:p>
            <w:pPr>
              <w:widowControl/>
              <w:spacing w:line="240" w:lineRule="auto"/>
              <w:ind w:firstLine="0" w:firstLineChars="0"/>
              <w:jc w:val="center"/>
              <w:textAlignment w:val="center"/>
              <w:rPr>
                <w:sz w:val="21"/>
              </w:rPr>
            </w:pPr>
            <w:r>
              <w:rPr>
                <w:sz w:val="21"/>
              </w:rPr>
              <w:t>/</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6.82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restart"/>
            <w:shd w:val="clear" w:color="auto" w:fill="auto"/>
            <w:vAlign w:val="center"/>
          </w:tcPr>
          <w:p>
            <w:pPr>
              <w:spacing w:line="240" w:lineRule="auto"/>
              <w:ind w:firstLine="0" w:firstLineChars="0"/>
              <w:jc w:val="center"/>
              <w:rPr>
                <w:sz w:val="21"/>
              </w:rPr>
            </w:pPr>
            <w:r>
              <w:rPr>
                <w:sz w:val="21"/>
              </w:rPr>
              <w:t>55</w:t>
            </w:r>
          </w:p>
        </w:tc>
        <w:tc>
          <w:tcPr>
            <w:tcW w:w="236" w:type="pct"/>
            <w:vMerge w:val="restart"/>
            <w:shd w:val="clear" w:color="auto" w:fill="auto"/>
            <w:vAlign w:val="center"/>
          </w:tcPr>
          <w:p>
            <w:pPr>
              <w:spacing w:line="240" w:lineRule="auto"/>
              <w:ind w:firstLine="0" w:firstLineChars="0"/>
              <w:jc w:val="center"/>
              <w:rPr>
                <w:sz w:val="21"/>
              </w:rPr>
            </w:pPr>
            <w:r>
              <w:rPr>
                <w:sz w:val="21"/>
              </w:rPr>
              <w:t>43</w:t>
            </w:r>
          </w:p>
        </w:tc>
        <w:tc>
          <w:tcPr>
            <w:tcW w:w="440" w:type="pct"/>
            <w:vMerge w:val="restart"/>
            <w:shd w:val="clear" w:color="auto" w:fill="auto"/>
            <w:vAlign w:val="center"/>
          </w:tcPr>
          <w:p>
            <w:pPr>
              <w:spacing w:line="240" w:lineRule="auto"/>
              <w:ind w:firstLine="0" w:firstLineChars="0"/>
              <w:jc w:val="center"/>
              <w:rPr>
                <w:sz w:val="21"/>
              </w:rPr>
            </w:pPr>
            <w:r>
              <w:rPr>
                <w:sz w:val="21"/>
              </w:rPr>
              <w:t>-1</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55</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45</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203</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sz w:val="21"/>
              </w:rPr>
              <w:t>59.45</w:t>
            </w:r>
          </w:p>
        </w:tc>
        <w:tc>
          <w:tcPr>
            <w:tcW w:w="204" w:type="pct"/>
            <w:shd w:val="clear" w:color="auto" w:fill="auto"/>
            <w:vAlign w:val="center"/>
          </w:tcPr>
          <w:p>
            <w:pPr>
              <w:spacing w:line="240" w:lineRule="auto"/>
              <w:ind w:firstLine="0" w:firstLineChars="0"/>
              <w:jc w:val="center"/>
              <w:rPr>
                <w:sz w:val="21"/>
              </w:rPr>
            </w:pPr>
            <w:r>
              <w:rPr>
                <w:sz w:val="21"/>
              </w:rPr>
              <w:t>54.75</w:t>
            </w:r>
          </w:p>
        </w:tc>
        <w:tc>
          <w:tcPr>
            <w:tcW w:w="202" w:type="pct"/>
            <w:shd w:val="clear" w:color="auto" w:fill="auto"/>
            <w:vAlign w:val="center"/>
          </w:tcPr>
          <w:p>
            <w:pPr>
              <w:spacing w:line="240" w:lineRule="auto"/>
              <w:ind w:firstLine="0" w:firstLineChars="0"/>
              <w:jc w:val="center"/>
              <w:rPr>
                <w:sz w:val="21"/>
              </w:rPr>
            </w:pPr>
            <w:r>
              <w:rPr>
                <w:sz w:val="21"/>
              </w:rPr>
              <w:t>60.78</w:t>
            </w:r>
          </w:p>
        </w:tc>
        <w:tc>
          <w:tcPr>
            <w:tcW w:w="204" w:type="pct"/>
            <w:shd w:val="clear" w:color="auto" w:fill="auto"/>
            <w:vAlign w:val="center"/>
          </w:tcPr>
          <w:p>
            <w:pPr>
              <w:spacing w:line="240" w:lineRule="auto"/>
              <w:ind w:firstLine="0" w:firstLineChars="0"/>
              <w:jc w:val="center"/>
              <w:rPr>
                <w:sz w:val="21"/>
              </w:rPr>
            </w:pPr>
            <w:r>
              <w:rPr>
                <w:sz w:val="21"/>
              </w:rPr>
              <w:t>55.19</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5.78</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10.19</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0.78</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sz w:val="21"/>
              </w:rPr>
              <w:t>60.30</w:t>
            </w:r>
          </w:p>
        </w:tc>
        <w:tc>
          <w:tcPr>
            <w:tcW w:w="204" w:type="pct"/>
            <w:shd w:val="clear" w:color="auto" w:fill="auto"/>
            <w:vAlign w:val="center"/>
          </w:tcPr>
          <w:p>
            <w:pPr>
              <w:spacing w:line="240" w:lineRule="auto"/>
              <w:ind w:firstLine="0" w:firstLineChars="0"/>
              <w:jc w:val="center"/>
              <w:rPr>
                <w:sz w:val="21"/>
              </w:rPr>
            </w:pPr>
            <w:r>
              <w:rPr>
                <w:sz w:val="21"/>
              </w:rPr>
              <w:t>55.59</w:t>
            </w:r>
          </w:p>
        </w:tc>
        <w:tc>
          <w:tcPr>
            <w:tcW w:w="202" w:type="pct"/>
            <w:shd w:val="clear" w:color="auto" w:fill="auto"/>
            <w:vAlign w:val="center"/>
          </w:tcPr>
          <w:p>
            <w:pPr>
              <w:spacing w:line="240" w:lineRule="auto"/>
              <w:ind w:firstLine="0" w:firstLineChars="0"/>
              <w:jc w:val="center"/>
              <w:rPr>
                <w:sz w:val="21"/>
              </w:rPr>
            </w:pPr>
            <w:r>
              <w:rPr>
                <w:sz w:val="21"/>
              </w:rPr>
              <w:t>61.42</w:t>
            </w:r>
          </w:p>
        </w:tc>
        <w:tc>
          <w:tcPr>
            <w:tcW w:w="204" w:type="pct"/>
            <w:shd w:val="clear" w:color="auto" w:fill="auto"/>
            <w:vAlign w:val="center"/>
          </w:tcPr>
          <w:p>
            <w:pPr>
              <w:spacing w:line="240" w:lineRule="auto"/>
              <w:ind w:firstLine="0" w:firstLineChars="0"/>
              <w:jc w:val="center"/>
              <w:rPr>
                <w:sz w:val="21"/>
              </w:rPr>
            </w:pPr>
            <w:r>
              <w:rPr>
                <w:sz w:val="21"/>
              </w:rPr>
              <w:t>55.96</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6.42</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10.96</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1.42</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5.96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sz w:val="21"/>
              </w:rPr>
              <w:t>61.58</w:t>
            </w:r>
          </w:p>
        </w:tc>
        <w:tc>
          <w:tcPr>
            <w:tcW w:w="204" w:type="pct"/>
            <w:shd w:val="clear" w:color="auto" w:fill="auto"/>
            <w:vAlign w:val="center"/>
          </w:tcPr>
          <w:p>
            <w:pPr>
              <w:spacing w:line="240" w:lineRule="auto"/>
              <w:ind w:firstLine="0" w:firstLineChars="0"/>
              <w:jc w:val="center"/>
              <w:rPr>
                <w:sz w:val="21"/>
              </w:rPr>
            </w:pPr>
            <w:r>
              <w:rPr>
                <w:sz w:val="21"/>
              </w:rPr>
              <w:t>56.84</w:t>
            </w:r>
          </w:p>
        </w:tc>
        <w:tc>
          <w:tcPr>
            <w:tcW w:w="202" w:type="pct"/>
            <w:shd w:val="clear" w:color="auto" w:fill="auto"/>
            <w:vAlign w:val="center"/>
          </w:tcPr>
          <w:p>
            <w:pPr>
              <w:spacing w:line="240" w:lineRule="auto"/>
              <w:ind w:firstLine="0" w:firstLineChars="0"/>
              <w:jc w:val="center"/>
              <w:rPr>
                <w:sz w:val="21"/>
              </w:rPr>
            </w:pPr>
            <w:r>
              <w:rPr>
                <w:sz w:val="21"/>
              </w:rPr>
              <w:t>62.44</w:t>
            </w:r>
          </w:p>
        </w:tc>
        <w:tc>
          <w:tcPr>
            <w:tcW w:w="204" w:type="pct"/>
            <w:shd w:val="clear" w:color="auto" w:fill="auto"/>
            <w:vAlign w:val="center"/>
          </w:tcPr>
          <w:p>
            <w:pPr>
              <w:spacing w:line="240" w:lineRule="auto"/>
              <w:ind w:firstLine="0" w:firstLineChars="0"/>
              <w:jc w:val="center"/>
              <w:rPr>
                <w:sz w:val="21"/>
              </w:rPr>
            </w:pPr>
            <w:r>
              <w:rPr>
                <w:sz w:val="21"/>
              </w:rPr>
              <w:t>57.11</w:t>
            </w:r>
          </w:p>
        </w:tc>
        <w:tc>
          <w:tcPr>
            <w:tcW w:w="203"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7.44</w:t>
            </w:r>
          </w:p>
        </w:tc>
        <w:tc>
          <w:tcPr>
            <w:tcW w:w="236" w:type="pct"/>
            <w:shd w:val="clear" w:color="auto" w:fill="auto"/>
            <w:vAlign w:val="center"/>
          </w:tcPr>
          <w:p>
            <w:pPr>
              <w:widowControl/>
              <w:spacing w:line="240" w:lineRule="auto"/>
              <w:ind w:firstLine="0" w:firstLineChars="0"/>
              <w:jc w:val="center"/>
              <w:textAlignment w:val="center"/>
              <w:rPr>
                <w:sz w:val="21"/>
                <w:lang w:eastAsia="en-US"/>
              </w:rPr>
            </w:pPr>
            <w:r>
              <w:rPr>
                <w:kern w:val="0"/>
                <w:sz w:val="21"/>
              </w:rPr>
              <w:t>12.11</w:t>
            </w:r>
          </w:p>
        </w:tc>
        <w:tc>
          <w:tcPr>
            <w:tcW w:w="203" w:type="pct"/>
            <w:shd w:val="clear" w:color="auto" w:fill="auto"/>
            <w:vAlign w:val="center"/>
          </w:tcPr>
          <w:p>
            <w:pPr>
              <w:widowControl/>
              <w:spacing w:line="240" w:lineRule="auto"/>
              <w:ind w:firstLine="0" w:firstLineChars="0"/>
              <w:jc w:val="center"/>
              <w:textAlignment w:val="center"/>
              <w:rPr>
                <w:sz w:val="21"/>
              </w:rPr>
            </w:pPr>
            <w:r>
              <w:rPr>
                <w:kern w:val="0"/>
                <w:sz w:val="21"/>
              </w:rPr>
              <w:t>2.44</w:t>
            </w:r>
          </w:p>
        </w:tc>
        <w:tc>
          <w:tcPr>
            <w:tcW w:w="236" w:type="pct"/>
            <w:shd w:val="clear" w:color="auto" w:fill="auto"/>
            <w:vAlign w:val="center"/>
          </w:tcPr>
          <w:p>
            <w:pPr>
              <w:widowControl/>
              <w:spacing w:line="240" w:lineRule="auto"/>
              <w:ind w:firstLine="0" w:firstLineChars="0"/>
              <w:jc w:val="center"/>
              <w:textAlignment w:val="center"/>
              <w:rPr>
                <w:sz w:val="21"/>
              </w:rPr>
            </w:pPr>
            <w:r>
              <w:rPr>
                <w:kern w:val="0"/>
                <w:sz w:val="21"/>
              </w:rPr>
              <w:t>7.11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restart"/>
            <w:shd w:val="clear" w:color="auto" w:fill="auto"/>
            <w:vAlign w:val="center"/>
          </w:tcPr>
          <w:p>
            <w:pPr>
              <w:spacing w:line="240" w:lineRule="auto"/>
              <w:ind w:firstLine="0" w:firstLineChars="0"/>
              <w:jc w:val="center"/>
              <w:rPr>
                <w:sz w:val="21"/>
              </w:rPr>
            </w:pPr>
            <w:r>
              <w:rPr>
                <w:sz w:val="21"/>
              </w:rPr>
              <w:t>13</w:t>
            </w:r>
          </w:p>
        </w:tc>
        <w:tc>
          <w:tcPr>
            <w:tcW w:w="778" w:type="pct"/>
            <w:vMerge w:val="restart"/>
            <w:shd w:val="clear" w:color="auto" w:fill="auto"/>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圪塔坨村</w:t>
            </w:r>
            <w:r>
              <w:rPr>
                <w:rFonts w:ascii="Times New Roman" w:hAnsi="Times New Roman" w:cs="Times New Roman"/>
                <w:sz w:val="21"/>
                <w:szCs w:val="21"/>
                <w:lang w:eastAsia="zh-CN"/>
              </w:rPr>
              <w:t>：终点</w:t>
            </w:r>
          </w:p>
          <w:p>
            <w:pPr>
              <w:spacing w:line="240" w:lineRule="auto"/>
              <w:ind w:firstLine="0" w:firstLineChars="0"/>
              <w:jc w:val="center"/>
              <w:rPr>
                <w:sz w:val="21"/>
              </w:rPr>
            </w:pPr>
            <w:r>
              <w:rPr>
                <w:sz w:val="21"/>
              </w:rPr>
              <w:t>K18+000</w:t>
            </w:r>
          </w:p>
        </w:tc>
        <w:tc>
          <w:tcPr>
            <w:tcW w:w="270" w:type="pct"/>
            <w:vMerge w:val="restart"/>
            <w:shd w:val="clear" w:color="auto" w:fill="auto"/>
            <w:vAlign w:val="center"/>
          </w:tcPr>
          <w:p>
            <w:pPr>
              <w:spacing w:line="240" w:lineRule="auto"/>
              <w:ind w:firstLine="0" w:firstLineChars="0"/>
              <w:jc w:val="center"/>
              <w:rPr>
                <w:sz w:val="21"/>
              </w:rPr>
            </w:pPr>
            <w:r>
              <w:rPr>
                <w:sz w:val="21"/>
              </w:rPr>
              <w:t>75</w:t>
            </w:r>
          </w:p>
        </w:tc>
        <w:tc>
          <w:tcPr>
            <w:tcW w:w="236" w:type="pct"/>
            <w:vMerge w:val="restart"/>
            <w:shd w:val="clear" w:color="auto" w:fill="auto"/>
            <w:vAlign w:val="center"/>
          </w:tcPr>
          <w:p>
            <w:pPr>
              <w:spacing w:line="240" w:lineRule="auto"/>
              <w:ind w:firstLine="0" w:firstLineChars="0"/>
              <w:jc w:val="center"/>
              <w:rPr>
                <w:sz w:val="21"/>
              </w:rPr>
            </w:pPr>
            <w:r>
              <w:rPr>
                <w:sz w:val="21"/>
              </w:rPr>
              <w:t>63</w:t>
            </w:r>
          </w:p>
        </w:tc>
        <w:tc>
          <w:tcPr>
            <w:tcW w:w="440" w:type="pct"/>
            <w:vMerge w:val="restart"/>
            <w:shd w:val="clear" w:color="auto" w:fill="auto"/>
            <w:vAlign w:val="center"/>
          </w:tcPr>
          <w:p>
            <w:pPr>
              <w:spacing w:line="240" w:lineRule="auto"/>
              <w:ind w:firstLine="0" w:firstLineChars="0"/>
              <w:jc w:val="center"/>
              <w:rPr>
                <w:sz w:val="21"/>
              </w:rPr>
            </w:pPr>
            <w:r>
              <w:rPr>
                <w:sz w:val="21"/>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66</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50</w:t>
            </w:r>
          </w:p>
        </w:tc>
        <w:tc>
          <w:tcPr>
            <w:tcW w:w="270" w:type="pct"/>
            <w:vMerge w:val="restart"/>
            <w:shd w:val="clear" w:color="auto" w:fill="auto"/>
            <w:vAlign w:val="center"/>
          </w:tcPr>
          <w:p>
            <w:pPr>
              <w:spacing w:line="240" w:lineRule="auto"/>
              <w:ind w:firstLine="0" w:firstLineChars="0"/>
              <w:jc w:val="center"/>
              <w:rPr>
                <w:sz w:val="21"/>
              </w:rPr>
            </w:pPr>
            <w:r>
              <w:rPr>
                <w:rFonts w:hint="eastAsia"/>
                <w:sz w:val="21"/>
              </w:rPr>
              <w:t>4a</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14</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rFonts w:hint="eastAsia"/>
                <w:sz w:val="21"/>
              </w:rPr>
              <w:t>52.28</w:t>
            </w:r>
          </w:p>
        </w:tc>
        <w:tc>
          <w:tcPr>
            <w:tcW w:w="204" w:type="pct"/>
            <w:shd w:val="clear" w:color="auto" w:fill="auto"/>
            <w:vAlign w:val="center"/>
          </w:tcPr>
          <w:p>
            <w:pPr>
              <w:spacing w:line="240" w:lineRule="auto"/>
              <w:ind w:firstLine="0" w:firstLineChars="0"/>
              <w:jc w:val="center"/>
              <w:rPr>
                <w:sz w:val="21"/>
              </w:rPr>
            </w:pPr>
            <w:r>
              <w:rPr>
                <w:rFonts w:hint="eastAsia"/>
                <w:sz w:val="21"/>
              </w:rPr>
              <w:t>47.58</w:t>
            </w:r>
          </w:p>
        </w:tc>
        <w:tc>
          <w:tcPr>
            <w:tcW w:w="202" w:type="pct"/>
            <w:shd w:val="clear" w:color="auto" w:fill="auto"/>
            <w:vAlign w:val="center"/>
          </w:tcPr>
          <w:p>
            <w:pPr>
              <w:spacing w:line="240" w:lineRule="auto"/>
              <w:ind w:firstLine="0" w:firstLineChars="0"/>
              <w:jc w:val="center"/>
              <w:rPr>
                <w:sz w:val="21"/>
              </w:rPr>
            </w:pPr>
            <w:r>
              <w:rPr>
                <w:rFonts w:hint="eastAsia"/>
                <w:sz w:val="21"/>
              </w:rPr>
              <w:t>66.18</w:t>
            </w:r>
          </w:p>
        </w:tc>
        <w:tc>
          <w:tcPr>
            <w:tcW w:w="204" w:type="pct"/>
            <w:shd w:val="clear" w:color="auto" w:fill="auto"/>
            <w:vAlign w:val="center"/>
          </w:tcPr>
          <w:p>
            <w:pPr>
              <w:spacing w:line="240" w:lineRule="auto"/>
              <w:ind w:firstLine="0" w:firstLineChars="0"/>
              <w:jc w:val="center"/>
              <w:rPr>
                <w:sz w:val="21"/>
              </w:rPr>
            </w:pPr>
            <w:r>
              <w:rPr>
                <w:rFonts w:hint="eastAsia"/>
                <w:sz w:val="21"/>
              </w:rPr>
              <w:t>51.97</w:t>
            </w:r>
          </w:p>
        </w:tc>
        <w:tc>
          <w:tcPr>
            <w:tcW w:w="203" w:type="pct"/>
            <w:shd w:val="clear" w:color="auto" w:fill="auto"/>
            <w:vAlign w:val="center"/>
          </w:tcPr>
          <w:p>
            <w:pPr>
              <w:spacing w:line="240" w:lineRule="auto"/>
              <w:ind w:firstLine="0" w:firstLineChars="0"/>
              <w:jc w:val="center"/>
              <w:rPr>
                <w:sz w:val="21"/>
              </w:rPr>
            </w:pPr>
            <w:r>
              <w:rPr>
                <w:sz w:val="21"/>
              </w:rPr>
              <w:t>0.18</w:t>
            </w:r>
          </w:p>
        </w:tc>
        <w:tc>
          <w:tcPr>
            <w:tcW w:w="236" w:type="pct"/>
            <w:shd w:val="clear" w:color="auto" w:fill="auto"/>
            <w:vAlign w:val="center"/>
          </w:tcPr>
          <w:p>
            <w:pPr>
              <w:spacing w:line="240" w:lineRule="auto"/>
              <w:ind w:firstLine="0" w:firstLineChars="0"/>
              <w:jc w:val="center"/>
              <w:rPr>
                <w:sz w:val="21"/>
              </w:rPr>
            </w:pPr>
            <w:r>
              <w:rPr>
                <w:sz w:val="21"/>
              </w:rPr>
              <w:t>1.97</w:t>
            </w:r>
          </w:p>
        </w:tc>
        <w:tc>
          <w:tcPr>
            <w:tcW w:w="203" w:type="pct"/>
            <w:shd w:val="clear" w:color="auto" w:fill="auto"/>
            <w:vAlign w:val="center"/>
          </w:tcPr>
          <w:p>
            <w:pPr>
              <w:spacing w:line="240" w:lineRule="auto"/>
              <w:ind w:firstLine="0" w:firstLineChars="0"/>
              <w:jc w:val="center"/>
              <w:rPr>
                <w:sz w:val="21"/>
              </w:rPr>
            </w:pPr>
            <w:r>
              <w:rPr>
                <w:rFonts w:hint="eastAsia"/>
                <w:sz w:val="21"/>
              </w:rPr>
              <w:t>/</w:t>
            </w:r>
          </w:p>
        </w:tc>
        <w:tc>
          <w:tcPr>
            <w:tcW w:w="236" w:type="pct"/>
            <w:shd w:val="clear" w:color="auto" w:fill="auto"/>
            <w:vAlign w:val="center"/>
          </w:tcPr>
          <w:p>
            <w:pPr>
              <w:spacing w:line="240" w:lineRule="auto"/>
              <w:ind w:firstLine="0" w:firstLineChars="0"/>
              <w:jc w:val="center"/>
              <w:rPr>
                <w:sz w:val="21"/>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rFonts w:hint="eastAsia"/>
                <w:sz w:val="21"/>
              </w:rPr>
              <w:t>53.13</w:t>
            </w:r>
          </w:p>
        </w:tc>
        <w:tc>
          <w:tcPr>
            <w:tcW w:w="204" w:type="pct"/>
            <w:shd w:val="clear" w:color="auto" w:fill="auto"/>
            <w:vAlign w:val="center"/>
          </w:tcPr>
          <w:p>
            <w:pPr>
              <w:spacing w:line="240" w:lineRule="auto"/>
              <w:ind w:firstLine="0" w:firstLineChars="0"/>
              <w:jc w:val="center"/>
              <w:rPr>
                <w:sz w:val="21"/>
              </w:rPr>
            </w:pPr>
            <w:r>
              <w:rPr>
                <w:rFonts w:hint="eastAsia"/>
                <w:sz w:val="21"/>
              </w:rPr>
              <w:t>48.42</w:t>
            </w:r>
          </w:p>
        </w:tc>
        <w:tc>
          <w:tcPr>
            <w:tcW w:w="202" w:type="pct"/>
            <w:shd w:val="clear" w:color="auto" w:fill="auto"/>
            <w:vAlign w:val="center"/>
          </w:tcPr>
          <w:p>
            <w:pPr>
              <w:spacing w:line="240" w:lineRule="auto"/>
              <w:ind w:firstLine="0" w:firstLineChars="0"/>
              <w:jc w:val="center"/>
              <w:rPr>
                <w:sz w:val="21"/>
              </w:rPr>
            </w:pPr>
            <w:r>
              <w:rPr>
                <w:rFonts w:hint="eastAsia"/>
                <w:sz w:val="21"/>
              </w:rPr>
              <w:t>66.22</w:t>
            </w:r>
          </w:p>
        </w:tc>
        <w:tc>
          <w:tcPr>
            <w:tcW w:w="204" w:type="pct"/>
            <w:shd w:val="clear" w:color="auto" w:fill="auto"/>
            <w:vAlign w:val="center"/>
          </w:tcPr>
          <w:p>
            <w:pPr>
              <w:spacing w:line="240" w:lineRule="auto"/>
              <w:ind w:firstLine="0" w:firstLineChars="0"/>
              <w:jc w:val="center"/>
              <w:rPr>
                <w:sz w:val="21"/>
              </w:rPr>
            </w:pPr>
            <w:r>
              <w:rPr>
                <w:rFonts w:hint="eastAsia"/>
                <w:sz w:val="21"/>
              </w:rPr>
              <w:t>52.29</w:t>
            </w:r>
          </w:p>
        </w:tc>
        <w:tc>
          <w:tcPr>
            <w:tcW w:w="203" w:type="pct"/>
            <w:shd w:val="clear" w:color="auto" w:fill="auto"/>
            <w:vAlign w:val="center"/>
          </w:tcPr>
          <w:p>
            <w:pPr>
              <w:spacing w:line="240" w:lineRule="auto"/>
              <w:ind w:firstLine="0" w:firstLineChars="0"/>
              <w:jc w:val="center"/>
              <w:rPr>
                <w:sz w:val="21"/>
              </w:rPr>
            </w:pPr>
            <w:r>
              <w:rPr>
                <w:sz w:val="21"/>
              </w:rPr>
              <w:t>0.22</w:t>
            </w:r>
          </w:p>
        </w:tc>
        <w:tc>
          <w:tcPr>
            <w:tcW w:w="236" w:type="pct"/>
            <w:shd w:val="clear" w:color="auto" w:fill="auto"/>
            <w:vAlign w:val="center"/>
          </w:tcPr>
          <w:p>
            <w:pPr>
              <w:spacing w:line="240" w:lineRule="auto"/>
              <w:ind w:firstLine="0" w:firstLineChars="0"/>
              <w:jc w:val="center"/>
              <w:rPr>
                <w:sz w:val="21"/>
              </w:rPr>
            </w:pPr>
            <w:r>
              <w:rPr>
                <w:sz w:val="21"/>
              </w:rPr>
              <w:t>2.29</w:t>
            </w:r>
          </w:p>
        </w:tc>
        <w:tc>
          <w:tcPr>
            <w:tcW w:w="203" w:type="pct"/>
            <w:shd w:val="clear" w:color="auto" w:fill="auto"/>
            <w:vAlign w:val="center"/>
          </w:tcPr>
          <w:p>
            <w:pPr>
              <w:spacing w:line="240" w:lineRule="auto"/>
              <w:ind w:firstLine="0" w:firstLineChars="0"/>
              <w:jc w:val="center"/>
            </w:pPr>
            <w:r>
              <w:rPr>
                <w:rFonts w:hint="eastAsia"/>
                <w:sz w:val="21"/>
              </w:rPr>
              <w:t>/</w:t>
            </w:r>
          </w:p>
        </w:tc>
        <w:tc>
          <w:tcPr>
            <w:tcW w:w="236" w:type="pct"/>
            <w:shd w:val="clear" w:color="auto" w:fill="auto"/>
            <w:vAlign w:val="center"/>
          </w:tcPr>
          <w:p>
            <w:pPr>
              <w:spacing w:line="240" w:lineRule="auto"/>
              <w:ind w:firstLine="0" w:firstLineChars="0"/>
              <w:jc w:val="cente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rFonts w:hint="eastAsia"/>
                <w:sz w:val="21"/>
              </w:rPr>
              <w:t>54.41</w:t>
            </w:r>
          </w:p>
        </w:tc>
        <w:tc>
          <w:tcPr>
            <w:tcW w:w="204" w:type="pct"/>
            <w:shd w:val="clear" w:color="auto" w:fill="auto"/>
            <w:vAlign w:val="center"/>
          </w:tcPr>
          <w:p>
            <w:pPr>
              <w:spacing w:line="240" w:lineRule="auto"/>
              <w:ind w:firstLine="0" w:firstLineChars="0"/>
              <w:jc w:val="center"/>
              <w:rPr>
                <w:sz w:val="21"/>
              </w:rPr>
            </w:pPr>
            <w:r>
              <w:rPr>
                <w:rFonts w:hint="eastAsia"/>
                <w:sz w:val="21"/>
              </w:rPr>
              <w:t>49.67</w:t>
            </w:r>
          </w:p>
        </w:tc>
        <w:tc>
          <w:tcPr>
            <w:tcW w:w="202" w:type="pct"/>
            <w:shd w:val="clear" w:color="auto" w:fill="auto"/>
            <w:vAlign w:val="center"/>
          </w:tcPr>
          <w:p>
            <w:pPr>
              <w:spacing w:line="240" w:lineRule="auto"/>
              <w:ind w:firstLine="0" w:firstLineChars="0"/>
              <w:jc w:val="center"/>
              <w:rPr>
                <w:sz w:val="21"/>
              </w:rPr>
            </w:pPr>
            <w:r>
              <w:rPr>
                <w:rFonts w:hint="eastAsia"/>
                <w:sz w:val="21"/>
              </w:rPr>
              <w:t>66.29</w:t>
            </w:r>
          </w:p>
        </w:tc>
        <w:tc>
          <w:tcPr>
            <w:tcW w:w="204" w:type="pct"/>
            <w:shd w:val="clear" w:color="auto" w:fill="auto"/>
            <w:vAlign w:val="center"/>
          </w:tcPr>
          <w:p>
            <w:pPr>
              <w:spacing w:line="240" w:lineRule="auto"/>
              <w:ind w:firstLine="0" w:firstLineChars="0"/>
              <w:jc w:val="center"/>
              <w:rPr>
                <w:sz w:val="21"/>
              </w:rPr>
            </w:pPr>
            <w:r>
              <w:rPr>
                <w:rFonts w:hint="eastAsia"/>
                <w:sz w:val="21"/>
              </w:rPr>
              <w:t>52.85</w:t>
            </w:r>
          </w:p>
        </w:tc>
        <w:tc>
          <w:tcPr>
            <w:tcW w:w="203" w:type="pct"/>
            <w:shd w:val="clear" w:color="auto" w:fill="auto"/>
            <w:vAlign w:val="center"/>
          </w:tcPr>
          <w:p>
            <w:pPr>
              <w:spacing w:line="240" w:lineRule="auto"/>
              <w:ind w:firstLine="0" w:firstLineChars="0"/>
              <w:jc w:val="center"/>
              <w:rPr>
                <w:sz w:val="21"/>
              </w:rPr>
            </w:pPr>
            <w:r>
              <w:rPr>
                <w:sz w:val="21"/>
              </w:rPr>
              <w:t>0.29</w:t>
            </w:r>
          </w:p>
        </w:tc>
        <w:tc>
          <w:tcPr>
            <w:tcW w:w="236" w:type="pct"/>
            <w:shd w:val="clear" w:color="auto" w:fill="auto"/>
            <w:vAlign w:val="center"/>
          </w:tcPr>
          <w:p>
            <w:pPr>
              <w:spacing w:line="240" w:lineRule="auto"/>
              <w:ind w:firstLine="0" w:firstLineChars="0"/>
              <w:jc w:val="center"/>
              <w:rPr>
                <w:sz w:val="21"/>
              </w:rPr>
            </w:pPr>
            <w:r>
              <w:rPr>
                <w:sz w:val="21"/>
              </w:rPr>
              <w:t>2.85</w:t>
            </w:r>
          </w:p>
        </w:tc>
        <w:tc>
          <w:tcPr>
            <w:tcW w:w="203" w:type="pct"/>
            <w:shd w:val="clear" w:color="auto" w:fill="auto"/>
            <w:vAlign w:val="center"/>
          </w:tcPr>
          <w:p>
            <w:pPr>
              <w:spacing w:line="240" w:lineRule="auto"/>
              <w:ind w:firstLine="0" w:firstLineChars="0"/>
              <w:jc w:val="center"/>
            </w:pPr>
            <w:r>
              <w:rPr>
                <w:rFonts w:hint="eastAsia"/>
                <w:sz w:val="21"/>
              </w:rPr>
              <w:t>/</w:t>
            </w:r>
          </w:p>
        </w:tc>
        <w:tc>
          <w:tcPr>
            <w:tcW w:w="236" w:type="pct"/>
            <w:shd w:val="clear" w:color="auto" w:fill="auto"/>
            <w:vAlign w:val="center"/>
          </w:tcPr>
          <w:p>
            <w:pPr>
              <w:spacing w:line="240" w:lineRule="auto"/>
              <w:ind w:firstLine="0" w:firstLineChars="0"/>
              <w:jc w:val="cente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restart"/>
            <w:shd w:val="clear" w:color="auto" w:fill="auto"/>
            <w:vAlign w:val="center"/>
          </w:tcPr>
          <w:p>
            <w:pPr>
              <w:spacing w:line="240" w:lineRule="auto"/>
              <w:ind w:firstLine="0" w:firstLineChars="0"/>
              <w:jc w:val="center"/>
              <w:rPr>
                <w:sz w:val="21"/>
              </w:rPr>
            </w:pPr>
            <w:r>
              <w:rPr>
                <w:rFonts w:hint="eastAsia"/>
                <w:sz w:val="21"/>
              </w:rPr>
              <w:t>133</w:t>
            </w:r>
          </w:p>
        </w:tc>
        <w:tc>
          <w:tcPr>
            <w:tcW w:w="236" w:type="pct"/>
            <w:vMerge w:val="restart"/>
            <w:shd w:val="clear" w:color="auto" w:fill="auto"/>
            <w:vAlign w:val="center"/>
          </w:tcPr>
          <w:p>
            <w:pPr>
              <w:spacing w:line="240" w:lineRule="auto"/>
              <w:ind w:firstLine="0" w:firstLineChars="0"/>
              <w:jc w:val="center"/>
              <w:rPr>
                <w:sz w:val="21"/>
              </w:rPr>
            </w:pPr>
            <w:r>
              <w:rPr>
                <w:rFonts w:hint="eastAsia"/>
                <w:sz w:val="21"/>
              </w:rPr>
              <w:t>121</w:t>
            </w:r>
          </w:p>
        </w:tc>
        <w:tc>
          <w:tcPr>
            <w:tcW w:w="440" w:type="pct"/>
            <w:vMerge w:val="restart"/>
            <w:shd w:val="clear" w:color="auto" w:fill="auto"/>
            <w:vAlign w:val="center"/>
          </w:tcPr>
          <w:p>
            <w:pPr>
              <w:spacing w:line="240" w:lineRule="auto"/>
              <w:ind w:firstLine="0" w:firstLineChars="0"/>
              <w:jc w:val="center"/>
              <w:rPr>
                <w:sz w:val="21"/>
              </w:rPr>
            </w:pPr>
            <w:r>
              <w:rPr>
                <w:rFonts w:hint="eastAsia"/>
                <w:sz w:val="21"/>
              </w:rPr>
              <w:t>0</w:t>
            </w:r>
          </w:p>
        </w:tc>
        <w:tc>
          <w:tcPr>
            <w:tcW w:w="202"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54</w:t>
            </w:r>
          </w:p>
        </w:tc>
        <w:tc>
          <w:tcPr>
            <w:tcW w:w="204" w:type="pct"/>
            <w:vMerge w:val="restart"/>
            <w:shd w:val="clear" w:color="auto" w:fill="auto"/>
            <w:vAlign w:val="center"/>
          </w:tcPr>
          <w:p>
            <w:pPr>
              <w:pStyle w:val="675"/>
              <w:jc w:val="center"/>
              <w:rPr>
                <w:rFonts w:ascii="Times New Roman" w:hAnsi="Times New Roman" w:cs="Times New Roman" w:eastAsiaTheme="minorEastAsia"/>
                <w:sz w:val="21"/>
                <w:szCs w:val="21"/>
                <w:lang w:eastAsia="zh-CN"/>
              </w:rPr>
            </w:pPr>
            <w:r>
              <w:rPr>
                <w:rFonts w:ascii="Times New Roman" w:hAnsi="Times New Roman" w:cs="Times New Roman" w:eastAsiaTheme="minorEastAsia"/>
                <w:sz w:val="21"/>
                <w:szCs w:val="21"/>
                <w:lang w:eastAsia="zh-CN"/>
              </w:rPr>
              <w:t>47</w:t>
            </w:r>
          </w:p>
        </w:tc>
        <w:tc>
          <w:tcPr>
            <w:tcW w:w="270" w:type="pct"/>
            <w:vMerge w:val="restart"/>
            <w:shd w:val="clear" w:color="auto" w:fill="auto"/>
            <w:vAlign w:val="center"/>
          </w:tcPr>
          <w:p>
            <w:pPr>
              <w:spacing w:line="240" w:lineRule="auto"/>
              <w:ind w:firstLine="0" w:firstLineChars="0"/>
              <w:jc w:val="center"/>
              <w:rPr>
                <w:sz w:val="21"/>
              </w:rPr>
            </w:pPr>
            <w:r>
              <w:rPr>
                <w:sz w:val="21"/>
              </w:rPr>
              <w:t>2</w:t>
            </w:r>
          </w:p>
        </w:tc>
        <w:tc>
          <w:tcPr>
            <w:tcW w:w="574" w:type="pct"/>
            <w:gridSpan w:val="2"/>
            <w:vMerge w:val="restart"/>
            <w:shd w:val="clear" w:color="auto" w:fill="auto"/>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65</w:t>
            </w: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近期</w:t>
            </w:r>
          </w:p>
        </w:tc>
        <w:tc>
          <w:tcPr>
            <w:tcW w:w="203" w:type="pct"/>
            <w:shd w:val="clear" w:color="auto" w:fill="auto"/>
            <w:vAlign w:val="center"/>
          </w:tcPr>
          <w:p>
            <w:pPr>
              <w:spacing w:line="240" w:lineRule="auto"/>
              <w:ind w:firstLine="0" w:firstLineChars="0"/>
              <w:jc w:val="center"/>
              <w:rPr>
                <w:sz w:val="21"/>
              </w:rPr>
            </w:pPr>
            <w:r>
              <w:rPr>
                <w:rFonts w:hint="eastAsia"/>
                <w:sz w:val="21"/>
              </w:rPr>
              <w:t>39.02</w:t>
            </w:r>
          </w:p>
        </w:tc>
        <w:tc>
          <w:tcPr>
            <w:tcW w:w="204" w:type="pct"/>
            <w:shd w:val="clear" w:color="auto" w:fill="auto"/>
            <w:vAlign w:val="center"/>
          </w:tcPr>
          <w:p>
            <w:pPr>
              <w:spacing w:line="240" w:lineRule="auto"/>
              <w:ind w:firstLine="0" w:firstLineChars="0"/>
              <w:jc w:val="center"/>
              <w:rPr>
                <w:sz w:val="21"/>
              </w:rPr>
            </w:pPr>
            <w:r>
              <w:rPr>
                <w:rFonts w:hint="eastAsia"/>
                <w:sz w:val="21"/>
              </w:rPr>
              <w:t>34.33</w:t>
            </w:r>
          </w:p>
        </w:tc>
        <w:tc>
          <w:tcPr>
            <w:tcW w:w="202" w:type="pct"/>
            <w:shd w:val="clear" w:color="auto" w:fill="auto"/>
            <w:vAlign w:val="center"/>
          </w:tcPr>
          <w:p>
            <w:pPr>
              <w:spacing w:line="240" w:lineRule="auto"/>
              <w:ind w:firstLine="0" w:firstLineChars="0"/>
              <w:jc w:val="center"/>
              <w:rPr>
                <w:sz w:val="21"/>
              </w:rPr>
            </w:pPr>
            <w:r>
              <w:rPr>
                <w:rFonts w:hint="eastAsia"/>
                <w:sz w:val="21"/>
              </w:rPr>
              <w:t>54.14</w:t>
            </w:r>
          </w:p>
        </w:tc>
        <w:tc>
          <w:tcPr>
            <w:tcW w:w="204" w:type="pct"/>
            <w:shd w:val="clear" w:color="auto" w:fill="auto"/>
            <w:vAlign w:val="center"/>
          </w:tcPr>
          <w:p>
            <w:pPr>
              <w:spacing w:line="240" w:lineRule="auto"/>
              <w:ind w:firstLine="0" w:firstLineChars="0"/>
              <w:jc w:val="center"/>
              <w:rPr>
                <w:sz w:val="21"/>
              </w:rPr>
            </w:pPr>
            <w:r>
              <w:rPr>
                <w:rFonts w:hint="eastAsia"/>
                <w:sz w:val="21"/>
              </w:rPr>
              <w:t>47.23</w:t>
            </w:r>
          </w:p>
        </w:tc>
        <w:tc>
          <w:tcPr>
            <w:tcW w:w="203" w:type="pct"/>
            <w:shd w:val="clear" w:color="auto" w:fill="auto"/>
            <w:vAlign w:val="center"/>
          </w:tcPr>
          <w:p>
            <w:pPr>
              <w:spacing w:line="240" w:lineRule="auto"/>
              <w:ind w:firstLine="0" w:firstLineChars="0"/>
              <w:jc w:val="center"/>
              <w:rPr>
                <w:sz w:val="21"/>
              </w:rPr>
            </w:pPr>
            <w:r>
              <w:rPr>
                <w:sz w:val="21"/>
              </w:rPr>
              <w:t>0.14</w:t>
            </w:r>
          </w:p>
        </w:tc>
        <w:tc>
          <w:tcPr>
            <w:tcW w:w="236" w:type="pct"/>
            <w:shd w:val="clear" w:color="auto" w:fill="auto"/>
            <w:vAlign w:val="center"/>
          </w:tcPr>
          <w:p>
            <w:pPr>
              <w:spacing w:line="240" w:lineRule="auto"/>
              <w:ind w:firstLine="0" w:firstLineChars="0"/>
              <w:jc w:val="center"/>
              <w:rPr>
                <w:sz w:val="21"/>
              </w:rPr>
            </w:pPr>
            <w:r>
              <w:rPr>
                <w:sz w:val="21"/>
              </w:rPr>
              <w:t>0.23</w:t>
            </w:r>
          </w:p>
        </w:tc>
        <w:tc>
          <w:tcPr>
            <w:tcW w:w="203" w:type="pct"/>
            <w:shd w:val="clear" w:color="auto" w:fill="auto"/>
            <w:vAlign w:val="center"/>
          </w:tcPr>
          <w:p>
            <w:pPr>
              <w:spacing w:line="240" w:lineRule="auto"/>
              <w:ind w:firstLine="0" w:firstLineChars="0"/>
              <w:jc w:val="center"/>
            </w:pPr>
            <w:r>
              <w:rPr>
                <w:rFonts w:hint="eastAsia"/>
                <w:sz w:val="21"/>
              </w:rPr>
              <w:t>/</w:t>
            </w:r>
          </w:p>
        </w:tc>
        <w:tc>
          <w:tcPr>
            <w:tcW w:w="236" w:type="pct"/>
            <w:shd w:val="clear" w:color="auto" w:fill="auto"/>
            <w:vAlign w:val="center"/>
          </w:tcPr>
          <w:p>
            <w:pPr>
              <w:spacing w:line="240" w:lineRule="auto"/>
              <w:ind w:firstLine="0" w:firstLineChars="0"/>
              <w:jc w:val="cente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中期</w:t>
            </w:r>
          </w:p>
        </w:tc>
        <w:tc>
          <w:tcPr>
            <w:tcW w:w="203" w:type="pct"/>
            <w:shd w:val="clear" w:color="auto" w:fill="auto"/>
            <w:vAlign w:val="center"/>
          </w:tcPr>
          <w:p>
            <w:pPr>
              <w:spacing w:line="240" w:lineRule="auto"/>
              <w:ind w:firstLine="0" w:firstLineChars="0"/>
              <w:jc w:val="center"/>
              <w:rPr>
                <w:sz w:val="21"/>
              </w:rPr>
            </w:pPr>
            <w:r>
              <w:rPr>
                <w:rFonts w:hint="eastAsia"/>
                <w:sz w:val="21"/>
              </w:rPr>
              <w:t>39.88</w:t>
            </w:r>
          </w:p>
        </w:tc>
        <w:tc>
          <w:tcPr>
            <w:tcW w:w="204" w:type="pct"/>
            <w:shd w:val="clear" w:color="auto" w:fill="auto"/>
            <w:vAlign w:val="center"/>
          </w:tcPr>
          <w:p>
            <w:pPr>
              <w:spacing w:line="240" w:lineRule="auto"/>
              <w:ind w:firstLine="0" w:firstLineChars="0"/>
              <w:jc w:val="center"/>
              <w:rPr>
                <w:sz w:val="21"/>
              </w:rPr>
            </w:pPr>
            <w:r>
              <w:rPr>
                <w:rFonts w:hint="eastAsia"/>
                <w:sz w:val="21"/>
              </w:rPr>
              <w:t>35.17</w:t>
            </w:r>
          </w:p>
        </w:tc>
        <w:tc>
          <w:tcPr>
            <w:tcW w:w="202" w:type="pct"/>
            <w:shd w:val="clear" w:color="auto" w:fill="auto"/>
            <w:vAlign w:val="center"/>
          </w:tcPr>
          <w:p>
            <w:pPr>
              <w:spacing w:line="240" w:lineRule="auto"/>
              <w:ind w:firstLine="0" w:firstLineChars="0"/>
              <w:jc w:val="center"/>
              <w:rPr>
                <w:sz w:val="21"/>
              </w:rPr>
            </w:pPr>
            <w:r>
              <w:rPr>
                <w:rFonts w:hint="eastAsia"/>
                <w:sz w:val="21"/>
              </w:rPr>
              <w:t>54.16</w:t>
            </w:r>
          </w:p>
        </w:tc>
        <w:tc>
          <w:tcPr>
            <w:tcW w:w="204" w:type="pct"/>
            <w:shd w:val="clear" w:color="auto" w:fill="auto"/>
            <w:vAlign w:val="center"/>
          </w:tcPr>
          <w:p>
            <w:pPr>
              <w:spacing w:line="240" w:lineRule="auto"/>
              <w:ind w:firstLine="0" w:firstLineChars="0"/>
              <w:jc w:val="center"/>
              <w:rPr>
                <w:sz w:val="21"/>
              </w:rPr>
            </w:pPr>
            <w:r>
              <w:rPr>
                <w:rFonts w:hint="eastAsia"/>
                <w:sz w:val="21"/>
              </w:rPr>
              <w:t>47.28</w:t>
            </w:r>
          </w:p>
        </w:tc>
        <w:tc>
          <w:tcPr>
            <w:tcW w:w="203" w:type="pct"/>
            <w:shd w:val="clear" w:color="auto" w:fill="auto"/>
            <w:vAlign w:val="center"/>
          </w:tcPr>
          <w:p>
            <w:pPr>
              <w:spacing w:line="240" w:lineRule="auto"/>
              <w:ind w:firstLine="0" w:firstLineChars="0"/>
              <w:jc w:val="center"/>
              <w:rPr>
                <w:sz w:val="21"/>
              </w:rPr>
            </w:pPr>
            <w:r>
              <w:rPr>
                <w:sz w:val="21"/>
              </w:rPr>
              <w:t>0.16</w:t>
            </w:r>
          </w:p>
        </w:tc>
        <w:tc>
          <w:tcPr>
            <w:tcW w:w="236" w:type="pct"/>
            <w:shd w:val="clear" w:color="auto" w:fill="auto"/>
            <w:vAlign w:val="center"/>
          </w:tcPr>
          <w:p>
            <w:pPr>
              <w:spacing w:line="240" w:lineRule="auto"/>
              <w:ind w:firstLine="0" w:firstLineChars="0"/>
              <w:jc w:val="center"/>
              <w:rPr>
                <w:sz w:val="21"/>
              </w:rPr>
            </w:pPr>
            <w:r>
              <w:rPr>
                <w:sz w:val="21"/>
              </w:rPr>
              <w:t>0.28</w:t>
            </w:r>
          </w:p>
        </w:tc>
        <w:tc>
          <w:tcPr>
            <w:tcW w:w="203" w:type="pct"/>
            <w:shd w:val="clear" w:color="auto" w:fill="auto"/>
            <w:vAlign w:val="center"/>
          </w:tcPr>
          <w:p>
            <w:pPr>
              <w:spacing w:line="240" w:lineRule="auto"/>
              <w:ind w:firstLine="0" w:firstLineChars="0"/>
              <w:jc w:val="center"/>
            </w:pPr>
            <w:r>
              <w:rPr>
                <w:rFonts w:hint="eastAsia"/>
                <w:sz w:val="21"/>
              </w:rPr>
              <w:t>/</w:t>
            </w:r>
          </w:p>
        </w:tc>
        <w:tc>
          <w:tcPr>
            <w:tcW w:w="236" w:type="pct"/>
            <w:shd w:val="clear" w:color="auto" w:fill="auto"/>
            <w:vAlign w:val="center"/>
          </w:tcPr>
          <w:p>
            <w:pPr>
              <w:spacing w:line="240" w:lineRule="auto"/>
              <w:ind w:firstLine="0" w:firstLineChars="0"/>
              <w:jc w:val="cente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 w:type="pct"/>
            <w:vMerge w:val="continue"/>
            <w:shd w:val="clear" w:color="auto" w:fill="auto"/>
            <w:vAlign w:val="center"/>
          </w:tcPr>
          <w:p>
            <w:pPr>
              <w:spacing w:line="240" w:lineRule="auto"/>
              <w:ind w:firstLine="0" w:firstLineChars="0"/>
              <w:jc w:val="center"/>
              <w:rPr>
                <w:sz w:val="21"/>
                <w:lang w:eastAsia="en-US"/>
              </w:rPr>
            </w:pPr>
          </w:p>
        </w:tc>
        <w:tc>
          <w:tcPr>
            <w:tcW w:w="778"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236" w:type="pct"/>
            <w:vMerge w:val="continue"/>
            <w:shd w:val="clear" w:color="auto" w:fill="auto"/>
            <w:vAlign w:val="center"/>
          </w:tcPr>
          <w:p>
            <w:pPr>
              <w:spacing w:line="240" w:lineRule="auto"/>
              <w:ind w:firstLine="0" w:firstLineChars="0"/>
              <w:jc w:val="center"/>
              <w:rPr>
                <w:sz w:val="21"/>
                <w:lang w:eastAsia="en-US"/>
              </w:rPr>
            </w:pPr>
          </w:p>
        </w:tc>
        <w:tc>
          <w:tcPr>
            <w:tcW w:w="440" w:type="pct"/>
            <w:vMerge w:val="continue"/>
            <w:shd w:val="clear" w:color="auto" w:fill="auto"/>
            <w:vAlign w:val="center"/>
          </w:tcPr>
          <w:p>
            <w:pPr>
              <w:spacing w:line="240" w:lineRule="auto"/>
              <w:ind w:firstLine="0" w:firstLineChars="0"/>
              <w:jc w:val="center"/>
              <w:rPr>
                <w:sz w:val="21"/>
                <w:lang w:eastAsia="en-US"/>
              </w:rPr>
            </w:pPr>
          </w:p>
        </w:tc>
        <w:tc>
          <w:tcPr>
            <w:tcW w:w="202" w:type="pct"/>
            <w:vMerge w:val="continue"/>
            <w:shd w:val="clear" w:color="auto" w:fill="auto"/>
            <w:vAlign w:val="center"/>
          </w:tcPr>
          <w:p>
            <w:pPr>
              <w:spacing w:line="240" w:lineRule="auto"/>
              <w:ind w:firstLine="0" w:firstLineChars="0"/>
              <w:jc w:val="center"/>
              <w:rPr>
                <w:sz w:val="21"/>
                <w:lang w:eastAsia="en-US"/>
              </w:rPr>
            </w:pPr>
          </w:p>
        </w:tc>
        <w:tc>
          <w:tcPr>
            <w:tcW w:w="204" w:type="pct"/>
            <w:vMerge w:val="continue"/>
            <w:shd w:val="clear" w:color="auto" w:fill="auto"/>
            <w:vAlign w:val="center"/>
          </w:tcPr>
          <w:p>
            <w:pPr>
              <w:spacing w:line="240" w:lineRule="auto"/>
              <w:ind w:firstLine="0" w:firstLineChars="0"/>
              <w:jc w:val="center"/>
              <w:rPr>
                <w:sz w:val="21"/>
                <w:lang w:eastAsia="en-US"/>
              </w:rPr>
            </w:pPr>
          </w:p>
        </w:tc>
        <w:tc>
          <w:tcPr>
            <w:tcW w:w="270" w:type="pct"/>
            <w:vMerge w:val="continue"/>
            <w:shd w:val="clear" w:color="auto" w:fill="auto"/>
            <w:vAlign w:val="center"/>
          </w:tcPr>
          <w:p>
            <w:pPr>
              <w:spacing w:line="240" w:lineRule="auto"/>
              <w:ind w:firstLine="0" w:firstLineChars="0"/>
              <w:jc w:val="center"/>
              <w:rPr>
                <w:sz w:val="21"/>
                <w:lang w:eastAsia="en-US"/>
              </w:rPr>
            </w:pPr>
          </w:p>
        </w:tc>
        <w:tc>
          <w:tcPr>
            <w:tcW w:w="574" w:type="pct"/>
            <w:gridSpan w:val="2"/>
            <w:vMerge w:val="continue"/>
            <w:shd w:val="clear" w:color="auto" w:fill="auto"/>
            <w:vAlign w:val="center"/>
          </w:tcPr>
          <w:p>
            <w:pPr>
              <w:pStyle w:val="675"/>
              <w:jc w:val="center"/>
              <w:rPr>
                <w:rFonts w:ascii="Times New Roman" w:hAnsi="Times New Roman" w:cs="Times New Roman"/>
                <w:kern w:val="2"/>
                <w:sz w:val="21"/>
                <w:szCs w:val="21"/>
                <w:lang w:eastAsia="zh-CN"/>
              </w:rPr>
            </w:pPr>
          </w:p>
        </w:tc>
        <w:tc>
          <w:tcPr>
            <w:tcW w:w="235" w:type="pct"/>
            <w:shd w:val="clear" w:color="auto" w:fill="auto"/>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远期</w:t>
            </w:r>
          </w:p>
        </w:tc>
        <w:tc>
          <w:tcPr>
            <w:tcW w:w="203" w:type="pct"/>
            <w:shd w:val="clear" w:color="auto" w:fill="auto"/>
            <w:vAlign w:val="center"/>
          </w:tcPr>
          <w:p>
            <w:pPr>
              <w:spacing w:line="240" w:lineRule="auto"/>
              <w:ind w:firstLine="0" w:firstLineChars="0"/>
              <w:jc w:val="center"/>
              <w:rPr>
                <w:sz w:val="21"/>
              </w:rPr>
            </w:pPr>
            <w:r>
              <w:rPr>
                <w:rFonts w:hint="eastAsia"/>
                <w:sz w:val="21"/>
              </w:rPr>
              <w:t>41.15</w:t>
            </w:r>
          </w:p>
        </w:tc>
        <w:tc>
          <w:tcPr>
            <w:tcW w:w="204" w:type="pct"/>
            <w:shd w:val="clear" w:color="auto" w:fill="auto"/>
            <w:vAlign w:val="center"/>
          </w:tcPr>
          <w:p>
            <w:pPr>
              <w:spacing w:line="240" w:lineRule="auto"/>
              <w:ind w:firstLine="0" w:firstLineChars="0"/>
              <w:jc w:val="center"/>
              <w:rPr>
                <w:sz w:val="21"/>
              </w:rPr>
            </w:pPr>
            <w:r>
              <w:rPr>
                <w:rFonts w:hint="eastAsia"/>
                <w:sz w:val="21"/>
              </w:rPr>
              <w:t>36.41</w:t>
            </w:r>
          </w:p>
        </w:tc>
        <w:tc>
          <w:tcPr>
            <w:tcW w:w="202" w:type="pct"/>
            <w:shd w:val="clear" w:color="auto" w:fill="auto"/>
            <w:vAlign w:val="center"/>
          </w:tcPr>
          <w:p>
            <w:pPr>
              <w:spacing w:line="240" w:lineRule="auto"/>
              <w:ind w:firstLine="0" w:firstLineChars="0"/>
              <w:jc w:val="center"/>
              <w:rPr>
                <w:sz w:val="21"/>
              </w:rPr>
            </w:pPr>
            <w:r>
              <w:rPr>
                <w:rFonts w:hint="eastAsia"/>
                <w:sz w:val="21"/>
              </w:rPr>
              <w:t>54.22</w:t>
            </w:r>
          </w:p>
        </w:tc>
        <w:tc>
          <w:tcPr>
            <w:tcW w:w="204" w:type="pct"/>
            <w:shd w:val="clear" w:color="auto" w:fill="auto"/>
            <w:vAlign w:val="center"/>
          </w:tcPr>
          <w:p>
            <w:pPr>
              <w:spacing w:line="240" w:lineRule="auto"/>
              <w:ind w:firstLine="0" w:firstLineChars="0"/>
              <w:jc w:val="center"/>
              <w:rPr>
                <w:sz w:val="21"/>
              </w:rPr>
            </w:pPr>
            <w:r>
              <w:rPr>
                <w:rFonts w:hint="eastAsia"/>
                <w:sz w:val="21"/>
              </w:rPr>
              <w:t>47.36</w:t>
            </w:r>
          </w:p>
        </w:tc>
        <w:tc>
          <w:tcPr>
            <w:tcW w:w="203" w:type="pct"/>
            <w:shd w:val="clear" w:color="auto" w:fill="auto"/>
            <w:vAlign w:val="center"/>
          </w:tcPr>
          <w:p>
            <w:pPr>
              <w:spacing w:line="240" w:lineRule="auto"/>
              <w:ind w:firstLine="0" w:firstLineChars="0"/>
              <w:jc w:val="center"/>
              <w:rPr>
                <w:sz w:val="21"/>
              </w:rPr>
            </w:pPr>
            <w:r>
              <w:rPr>
                <w:sz w:val="21"/>
              </w:rPr>
              <w:t>0.22</w:t>
            </w:r>
          </w:p>
        </w:tc>
        <w:tc>
          <w:tcPr>
            <w:tcW w:w="236" w:type="pct"/>
            <w:shd w:val="clear" w:color="auto" w:fill="auto"/>
            <w:vAlign w:val="center"/>
          </w:tcPr>
          <w:p>
            <w:pPr>
              <w:spacing w:line="240" w:lineRule="auto"/>
              <w:ind w:firstLine="0" w:firstLineChars="0"/>
              <w:jc w:val="center"/>
              <w:rPr>
                <w:sz w:val="21"/>
              </w:rPr>
            </w:pPr>
            <w:r>
              <w:rPr>
                <w:sz w:val="21"/>
              </w:rPr>
              <w:t>0.36</w:t>
            </w:r>
          </w:p>
        </w:tc>
        <w:tc>
          <w:tcPr>
            <w:tcW w:w="203" w:type="pct"/>
            <w:shd w:val="clear" w:color="auto" w:fill="auto"/>
            <w:vAlign w:val="center"/>
          </w:tcPr>
          <w:p>
            <w:pPr>
              <w:spacing w:line="240" w:lineRule="auto"/>
              <w:ind w:firstLine="0" w:firstLineChars="0"/>
              <w:jc w:val="center"/>
            </w:pPr>
            <w:r>
              <w:rPr>
                <w:rFonts w:hint="eastAsia"/>
                <w:sz w:val="21"/>
              </w:rPr>
              <w:t>/</w:t>
            </w:r>
          </w:p>
        </w:tc>
        <w:tc>
          <w:tcPr>
            <w:tcW w:w="236" w:type="pct"/>
            <w:shd w:val="clear" w:color="auto" w:fill="auto"/>
            <w:vAlign w:val="center"/>
          </w:tcPr>
          <w:p>
            <w:pPr>
              <w:spacing w:line="240" w:lineRule="auto"/>
              <w:ind w:firstLine="0" w:firstLineChars="0"/>
              <w:jc w:val="center"/>
            </w:pPr>
            <w:r>
              <w:rPr>
                <w:rFonts w:hint="eastAsia"/>
                <w:sz w:val="21"/>
              </w:rPr>
              <w:t>/</w:t>
            </w:r>
          </w:p>
        </w:tc>
      </w:tr>
    </w:tbl>
    <w:p>
      <w:pPr>
        <w:adjustRightInd w:val="0"/>
        <w:snapToGrid w:val="0"/>
        <w:ind w:firstLine="0" w:firstLineChars="0"/>
        <w:jc w:val="center"/>
        <w:rPr>
          <w:b/>
          <w:sz w:val="21"/>
        </w:rPr>
      </w:pPr>
      <w:r>
        <w:rPr>
          <w:b/>
          <w:sz w:val="21"/>
        </w:rPr>
        <w:t>表</w:t>
      </w:r>
      <w:r>
        <w:rPr>
          <w:rFonts w:hint="eastAsia"/>
          <w:b/>
          <w:sz w:val="21"/>
        </w:rPr>
        <w:t>5.2-</w:t>
      </w:r>
      <w:r>
        <w:rPr>
          <w:b/>
          <w:sz w:val="21"/>
        </w:rPr>
        <w:t>12</w:t>
      </w:r>
      <w:r>
        <w:rPr>
          <w:rFonts w:hint="eastAsia"/>
          <w:b/>
          <w:sz w:val="21"/>
        </w:rPr>
        <w:t xml:space="preserve"> </w:t>
      </w:r>
      <w:r>
        <w:rPr>
          <w:b/>
          <w:sz w:val="21"/>
        </w:rPr>
        <w:t>各敏感点超标户数统计</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66"/>
        <w:gridCol w:w="2111"/>
        <w:gridCol w:w="2137"/>
        <w:gridCol w:w="1217"/>
        <w:gridCol w:w="1213"/>
        <w:gridCol w:w="1234"/>
        <w:gridCol w:w="1045"/>
        <w:gridCol w:w="1045"/>
        <w:gridCol w:w="999"/>
        <w:gridCol w:w="806"/>
        <w:gridCol w:w="806"/>
        <w:gridCol w:w="819"/>
        <w:gridCol w:w="806"/>
        <w:gridCol w:w="806"/>
        <w:gridCol w:w="663"/>
        <w:gridCol w:w="806"/>
        <w:gridCol w:w="793"/>
        <w:gridCol w:w="827"/>
        <w:gridCol w:w="865"/>
        <w:gridCol w:w="806"/>
        <w:gridCol w:w="7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序号</w:t>
            </w:r>
          </w:p>
        </w:tc>
        <w:tc>
          <w:tcPr>
            <w:tcW w:w="1012" w:type="pct"/>
            <w:gridSpan w:val="2"/>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敏感目标</w:t>
            </w:r>
          </w:p>
        </w:tc>
        <w:tc>
          <w:tcPr>
            <w:tcW w:w="873" w:type="pct"/>
            <w:gridSpan w:val="3"/>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近期昼间</w:t>
            </w:r>
          </w:p>
        </w:tc>
        <w:tc>
          <w:tcPr>
            <w:tcW w:w="736" w:type="pct"/>
            <w:gridSpan w:val="3"/>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近期夜间</w:t>
            </w:r>
          </w:p>
        </w:tc>
        <w:tc>
          <w:tcPr>
            <w:tcW w:w="579" w:type="pct"/>
            <w:gridSpan w:val="3"/>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bCs/>
                <w:sz w:val="21"/>
                <w:szCs w:val="21"/>
                <w:lang w:eastAsia="zh-CN"/>
              </w:rPr>
              <w:t>中期昼间</w:t>
            </w:r>
          </w:p>
        </w:tc>
        <w:tc>
          <w:tcPr>
            <w:tcW w:w="542" w:type="pct"/>
            <w:gridSpan w:val="3"/>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bCs/>
                <w:sz w:val="21"/>
                <w:szCs w:val="21"/>
                <w:lang w:eastAsia="zh-CN"/>
              </w:rPr>
              <w:t>中期夜间</w:t>
            </w:r>
          </w:p>
        </w:tc>
        <w:tc>
          <w:tcPr>
            <w:tcW w:w="578" w:type="pct"/>
            <w:gridSpan w:val="3"/>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bCs/>
                <w:sz w:val="21"/>
                <w:szCs w:val="21"/>
                <w:lang w:eastAsia="zh-CN"/>
              </w:rPr>
              <w:t>远期昼间</w:t>
            </w:r>
          </w:p>
        </w:tc>
        <w:tc>
          <w:tcPr>
            <w:tcW w:w="569" w:type="pct"/>
            <w:gridSpan w:val="3"/>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bCs/>
                <w:sz w:val="21"/>
                <w:szCs w:val="21"/>
                <w:lang w:eastAsia="zh-CN"/>
              </w:rPr>
              <w:t>远期夜间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spacing w:line="240" w:lineRule="auto"/>
              <w:ind w:firstLine="0" w:firstLineChars="0"/>
              <w:jc w:val="center"/>
              <w:rPr>
                <w:kern w:val="0"/>
                <w:sz w:val="21"/>
                <w:szCs w:val="22"/>
                <w:lang w:eastAsia="en-US"/>
              </w:rPr>
            </w:pPr>
          </w:p>
        </w:tc>
        <w:tc>
          <w:tcPr>
            <w:tcW w:w="1012" w:type="pct"/>
            <w:gridSpan w:val="2"/>
            <w:vMerge w:val="continue"/>
            <w:vAlign w:val="center"/>
          </w:tcPr>
          <w:p>
            <w:pPr>
              <w:spacing w:line="240" w:lineRule="auto"/>
              <w:ind w:firstLine="0" w:firstLineChars="0"/>
              <w:jc w:val="center"/>
              <w:rPr>
                <w:kern w:val="0"/>
                <w:sz w:val="21"/>
                <w:szCs w:val="22"/>
                <w:lang w:eastAsia="en-US"/>
              </w:rPr>
            </w:pPr>
          </w:p>
        </w:tc>
        <w:tc>
          <w:tcPr>
            <w:tcW w:w="290"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289"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294"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c>
          <w:tcPr>
            <w:tcW w:w="249"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249"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238"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195"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158"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189"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197"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c>
          <w:tcPr>
            <w:tcW w:w="206"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总数</w:t>
            </w:r>
          </w:p>
        </w:tc>
        <w:tc>
          <w:tcPr>
            <w:tcW w:w="19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4a类</w:t>
            </w:r>
          </w:p>
        </w:tc>
        <w:tc>
          <w:tcPr>
            <w:tcW w:w="171"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2类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w:t>
            </w:r>
          </w:p>
        </w:tc>
        <w:tc>
          <w:tcPr>
            <w:tcW w:w="1012" w:type="pct"/>
            <w:gridSpan w:val="2"/>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北黄土坡村</w:t>
            </w:r>
          </w:p>
        </w:tc>
        <w:tc>
          <w:tcPr>
            <w:tcW w:w="290" w:type="pct"/>
            <w:vAlign w:val="center"/>
          </w:tcPr>
          <w:p>
            <w:pPr>
              <w:spacing w:line="240" w:lineRule="auto"/>
              <w:ind w:firstLine="0" w:firstLineChars="0"/>
              <w:jc w:val="center"/>
              <w:rPr>
                <w:kern w:val="0"/>
                <w:sz w:val="21"/>
                <w:szCs w:val="22"/>
              </w:rPr>
            </w:pPr>
            <w:r>
              <w:rPr>
                <w:rFonts w:hint="eastAsia"/>
                <w:kern w:val="0"/>
                <w:sz w:val="21"/>
                <w:szCs w:val="22"/>
              </w:rPr>
              <w:t>/</w:t>
            </w:r>
          </w:p>
        </w:tc>
        <w:tc>
          <w:tcPr>
            <w:tcW w:w="2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94" w:type="pct"/>
            <w:vAlign w:val="center"/>
          </w:tcPr>
          <w:p>
            <w:pPr>
              <w:spacing w:line="240" w:lineRule="auto"/>
              <w:ind w:firstLine="0" w:firstLineChars="0"/>
              <w:jc w:val="center"/>
              <w:rPr>
                <w:kern w:val="0"/>
                <w:sz w:val="21"/>
                <w:szCs w:val="22"/>
              </w:rPr>
            </w:pPr>
            <w:r>
              <w:rPr>
                <w:rFonts w:hint="eastAsia"/>
                <w:kern w:val="0"/>
                <w:sz w:val="21"/>
                <w:szCs w:val="22"/>
              </w:rPr>
              <w:t>/</w:t>
            </w:r>
          </w:p>
        </w:tc>
        <w:tc>
          <w:tcPr>
            <w:tcW w:w="249" w:type="pct"/>
            <w:vAlign w:val="center"/>
          </w:tcPr>
          <w:p>
            <w:pPr>
              <w:spacing w:line="240" w:lineRule="auto"/>
              <w:ind w:firstLine="0" w:firstLineChars="0"/>
              <w:jc w:val="center"/>
              <w:rPr>
                <w:sz w:val="21"/>
              </w:rPr>
            </w:pPr>
            <w:r>
              <w:rPr>
                <w:sz w:val="21"/>
              </w:rPr>
              <w:t>32</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8</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24</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42</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11</w:t>
            </w:r>
          </w:p>
        </w:tc>
        <w:tc>
          <w:tcPr>
            <w:tcW w:w="158"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31</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7" w:type="pct"/>
            <w:vAlign w:val="center"/>
          </w:tcPr>
          <w:p>
            <w:pPr>
              <w:spacing w:line="240" w:lineRule="auto"/>
              <w:ind w:firstLine="0" w:firstLineChars="0"/>
              <w:jc w:val="center"/>
              <w:rPr>
                <w:kern w:val="0"/>
                <w:sz w:val="21"/>
                <w:szCs w:val="22"/>
              </w:rP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65</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15</w:t>
            </w:r>
          </w:p>
        </w:tc>
        <w:tc>
          <w:tcPr>
            <w:tcW w:w="17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w:t>
            </w:r>
          </w:p>
        </w:tc>
        <w:tc>
          <w:tcPr>
            <w:tcW w:w="503"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龙凤书香苑小区</w:t>
            </w: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1层</w:t>
            </w:r>
          </w:p>
        </w:tc>
        <w:tc>
          <w:tcPr>
            <w:tcW w:w="290" w:type="pct"/>
            <w:vAlign w:val="center"/>
          </w:tcPr>
          <w:p>
            <w:pPr>
              <w:spacing w:line="240" w:lineRule="auto"/>
              <w:ind w:firstLine="0" w:firstLineChars="0"/>
              <w:jc w:val="center"/>
              <w:rPr>
                <w:kern w:val="0"/>
                <w:sz w:val="21"/>
                <w:szCs w:val="22"/>
              </w:rPr>
            </w:pPr>
            <w:r>
              <w:rPr>
                <w:rFonts w:hint="eastAsia"/>
                <w:kern w:val="0"/>
                <w:sz w:val="21"/>
                <w:szCs w:val="22"/>
              </w:rPr>
              <w:t>/</w:t>
            </w:r>
          </w:p>
        </w:tc>
        <w:tc>
          <w:tcPr>
            <w:tcW w:w="2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2层</w:t>
            </w:r>
          </w:p>
        </w:tc>
        <w:tc>
          <w:tcPr>
            <w:tcW w:w="290" w:type="pct"/>
            <w:vAlign w:val="center"/>
          </w:tcPr>
          <w:p>
            <w:pPr>
              <w:spacing w:line="240" w:lineRule="auto"/>
              <w:ind w:firstLine="0" w:firstLineChars="0"/>
              <w:jc w:val="center"/>
              <w:rPr>
                <w:kern w:val="0"/>
                <w:sz w:val="21"/>
                <w:szCs w:val="22"/>
              </w:rPr>
            </w:pPr>
            <w:r>
              <w:rPr>
                <w:rFonts w:hint="eastAsia"/>
                <w:kern w:val="0"/>
                <w:sz w:val="21"/>
                <w:szCs w:val="22"/>
              </w:rPr>
              <w:t>/</w:t>
            </w:r>
          </w:p>
        </w:tc>
        <w:tc>
          <w:tcPr>
            <w:tcW w:w="2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89"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6</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6</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6</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6层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6</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8层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9层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10层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12层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13层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14层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15层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12</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12</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p>
        </w:tc>
        <w:tc>
          <w:tcPr>
            <w:tcW w:w="503"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遵化市第三中学</w:t>
            </w: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0</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spacing w:line="240" w:lineRule="auto"/>
              <w:ind w:firstLine="0" w:firstLineChars="0"/>
              <w:jc w:val="center"/>
              <w:rPr>
                <w:kern w:val="0"/>
                <w:sz w:val="21"/>
                <w:szCs w:val="22"/>
              </w:rPr>
            </w:pPr>
            <w:r>
              <w:rPr>
                <w:rFonts w:hint="eastAsia"/>
                <w:kern w:val="0"/>
                <w:sz w:val="21"/>
                <w:szCs w:val="22"/>
              </w:rPr>
              <w:t>2层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0</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0</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0</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0</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w:t>
            </w:r>
          </w:p>
        </w:tc>
        <w:tc>
          <w:tcPr>
            <w:tcW w:w="503"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智慧城小区</w:t>
            </w: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6层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8层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9层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10层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Merge w:val="continue"/>
            <w:vAlign w:val="center"/>
          </w:tcPr>
          <w:p>
            <w:pPr>
              <w:pStyle w:val="675"/>
              <w:jc w:val="center"/>
              <w:rPr>
                <w:rFonts w:ascii="Times New Roman" w:hAnsi="Times New Roman" w:cs="Times New Roman"/>
                <w:sz w:val="21"/>
                <w:szCs w:val="21"/>
              </w:rPr>
            </w:pPr>
          </w:p>
        </w:tc>
        <w:tc>
          <w:tcPr>
            <w:tcW w:w="503" w:type="pct"/>
            <w:vMerge w:val="continue"/>
            <w:vAlign w:val="center"/>
          </w:tcPr>
          <w:p>
            <w:pPr>
              <w:pStyle w:val="675"/>
              <w:jc w:val="center"/>
              <w:rPr>
                <w:rFonts w:ascii="Times New Roman" w:hAnsi="Times New Roman" w:cs="Times New Roman"/>
                <w:sz w:val="21"/>
                <w:szCs w:val="21"/>
                <w:lang w:eastAsia="zh-CN"/>
              </w:rPr>
            </w:pPr>
          </w:p>
        </w:tc>
        <w:tc>
          <w:tcPr>
            <w:tcW w:w="509"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11层</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sz w:val="21"/>
              </w:rPr>
            </w:pPr>
            <w:r>
              <w:rPr>
                <w:sz w:val="21"/>
              </w:rPr>
              <w:t>7</w:t>
            </w:r>
          </w:p>
        </w:tc>
        <w:tc>
          <w:tcPr>
            <w:tcW w:w="249"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7</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sz w:val="21"/>
              </w:rPr>
            </w:pPr>
            <w:r>
              <w:rPr>
                <w:sz w:val="21"/>
              </w:rPr>
              <w:t>7</w:t>
            </w:r>
          </w:p>
        </w:tc>
        <w:tc>
          <w:tcPr>
            <w:tcW w:w="206"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5</w:t>
            </w:r>
          </w:p>
        </w:tc>
        <w:tc>
          <w:tcPr>
            <w:tcW w:w="1012"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张各庄村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sz w:val="21"/>
              </w:rPr>
              <w:t>6</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6</w:t>
            </w:r>
          </w:p>
        </w:tc>
        <w:tc>
          <w:tcPr>
            <w:tcW w:w="23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6</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6</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6</w:t>
            </w:r>
          </w:p>
        </w:tc>
        <w:tc>
          <w:tcPr>
            <w:tcW w:w="171" w:type="pct"/>
            <w:vAlign w:val="center"/>
          </w:tcPr>
          <w:p>
            <w:pPr>
              <w:pStyle w:val="675"/>
              <w:jc w:val="center"/>
              <w:rPr>
                <w:rFonts w:ascii="Times New Roman" w:hAnsi="Times New Roman" w:cs="Times New Roman"/>
                <w:sz w:val="21"/>
                <w:szCs w:val="21"/>
                <w:lang w:eastAsia="zh-CN"/>
              </w:rPr>
            </w:pPr>
            <w:r>
              <w:rPr>
                <w:rFonts w:hint="eastAsia"/>
                <w:sz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6</w:t>
            </w:r>
          </w:p>
        </w:tc>
        <w:tc>
          <w:tcPr>
            <w:tcW w:w="1012" w:type="pct"/>
            <w:gridSpan w:val="2"/>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西十里铺村</w:t>
            </w:r>
          </w:p>
        </w:tc>
        <w:tc>
          <w:tcPr>
            <w:tcW w:w="290" w:type="pct"/>
            <w:vAlign w:val="center"/>
          </w:tcPr>
          <w:p>
            <w:pPr>
              <w:spacing w:line="240" w:lineRule="auto"/>
              <w:ind w:firstLine="0" w:firstLineChars="0"/>
              <w:jc w:val="center"/>
            </w:pPr>
            <w:r>
              <w:rPr>
                <w:rFonts w:hint="eastAsia"/>
                <w:kern w:val="0"/>
                <w:sz w:val="21"/>
                <w:szCs w:val="22"/>
              </w:rPr>
              <w:t>1/</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kern w:val="0"/>
                <w:sz w:val="21"/>
                <w:szCs w:val="22"/>
              </w:rPr>
            </w:pPr>
            <w:r>
              <w:rPr>
                <w:rFonts w:hint="eastAsia"/>
                <w:kern w:val="0"/>
                <w:sz w:val="21"/>
                <w:szCs w:val="22"/>
              </w:rPr>
              <w:t>1</w:t>
            </w:r>
          </w:p>
        </w:tc>
        <w:tc>
          <w:tcPr>
            <w:tcW w:w="249" w:type="pct"/>
            <w:vAlign w:val="center"/>
          </w:tcPr>
          <w:p>
            <w:pPr>
              <w:spacing w:line="240" w:lineRule="auto"/>
              <w:ind w:firstLine="0" w:firstLineChars="0"/>
              <w:jc w:val="center"/>
              <w:rPr>
                <w:sz w:val="21"/>
              </w:rPr>
            </w:pPr>
            <w:r>
              <w:rPr>
                <w:sz w:val="21"/>
              </w:rPr>
              <w:t>23</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5</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18</w:t>
            </w:r>
          </w:p>
        </w:tc>
        <w:tc>
          <w:tcPr>
            <w:tcW w:w="192" w:type="pct"/>
            <w:vAlign w:val="center"/>
          </w:tcPr>
          <w:p>
            <w:pPr>
              <w:spacing w:line="240" w:lineRule="auto"/>
              <w:ind w:firstLine="0" w:firstLineChars="0"/>
              <w:jc w:val="center"/>
            </w:pPr>
            <w:r>
              <w:rPr>
                <w:rFonts w:hint="eastAsia"/>
                <w:kern w:val="0"/>
                <w:sz w:val="21"/>
                <w:szCs w:val="22"/>
              </w:rPr>
              <w:t>2</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2</w:t>
            </w:r>
          </w:p>
        </w:tc>
        <w:tc>
          <w:tcPr>
            <w:tcW w:w="192" w:type="pct"/>
            <w:vAlign w:val="center"/>
          </w:tcPr>
          <w:p>
            <w:pPr>
              <w:spacing w:line="240" w:lineRule="auto"/>
              <w:ind w:firstLine="0" w:firstLineChars="0"/>
              <w:jc w:val="center"/>
              <w:rPr>
                <w:sz w:val="21"/>
              </w:rPr>
            </w:pPr>
            <w:r>
              <w:rPr>
                <w:sz w:val="21"/>
              </w:rPr>
              <w:t>34</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7</w:t>
            </w:r>
          </w:p>
        </w:tc>
        <w:tc>
          <w:tcPr>
            <w:tcW w:w="158"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27</w:t>
            </w:r>
          </w:p>
        </w:tc>
        <w:tc>
          <w:tcPr>
            <w:tcW w:w="192" w:type="pct"/>
            <w:vAlign w:val="center"/>
          </w:tcPr>
          <w:p>
            <w:pPr>
              <w:spacing w:line="240" w:lineRule="auto"/>
              <w:ind w:firstLine="0" w:firstLineChars="0"/>
              <w:jc w:val="center"/>
            </w:pPr>
            <w:r>
              <w:rPr>
                <w:rFonts w:hint="eastAsia"/>
                <w:kern w:val="0"/>
                <w:sz w:val="21"/>
                <w:szCs w:val="22"/>
              </w:rPr>
              <w:t>7</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kern w:val="0"/>
                <w:sz w:val="21"/>
                <w:szCs w:val="22"/>
              </w:rPr>
            </w:pPr>
            <w:r>
              <w:rPr>
                <w:rFonts w:hint="eastAsia"/>
                <w:kern w:val="0"/>
                <w:sz w:val="21"/>
                <w:szCs w:val="22"/>
              </w:rPr>
              <w:t>7</w:t>
            </w:r>
          </w:p>
        </w:tc>
        <w:tc>
          <w:tcPr>
            <w:tcW w:w="206" w:type="pct"/>
            <w:vAlign w:val="center"/>
          </w:tcPr>
          <w:p>
            <w:pPr>
              <w:spacing w:line="240" w:lineRule="auto"/>
              <w:ind w:firstLine="0" w:firstLineChars="0"/>
              <w:jc w:val="center"/>
              <w:rPr>
                <w:sz w:val="21"/>
              </w:rPr>
            </w:pPr>
            <w:r>
              <w:rPr>
                <w:sz w:val="21"/>
              </w:rPr>
              <w:t>44</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9</w:t>
            </w:r>
          </w:p>
        </w:tc>
        <w:tc>
          <w:tcPr>
            <w:tcW w:w="17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7</w:t>
            </w:r>
          </w:p>
        </w:tc>
        <w:tc>
          <w:tcPr>
            <w:tcW w:w="1012"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后王庄村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sz w:val="21"/>
              </w:rPr>
              <w:t>3</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3</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4</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4</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7</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8</w:t>
            </w:r>
          </w:p>
        </w:tc>
        <w:tc>
          <w:tcPr>
            <w:tcW w:w="1012" w:type="pct"/>
            <w:gridSpan w:val="2"/>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前辅村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2</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2</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3</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9</w:t>
            </w:r>
          </w:p>
        </w:tc>
        <w:tc>
          <w:tcPr>
            <w:tcW w:w="1012" w:type="pct"/>
            <w:gridSpan w:val="2"/>
            <w:vAlign w:val="center"/>
          </w:tcPr>
          <w:p>
            <w:pPr>
              <w:pStyle w:val="675"/>
              <w:jc w:val="center"/>
              <w:rPr>
                <w:rFonts w:ascii="Times New Roman" w:hAnsi="Times New Roman" w:cs="Times New Roman"/>
                <w:sz w:val="21"/>
                <w:szCs w:val="21"/>
              </w:rPr>
            </w:pPr>
            <w:r>
              <w:rPr>
                <w:rFonts w:hint="eastAsia"/>
                <w:sz w:val="21"/>
                <w:szCs w:val="21"/>
                <w:lang w:eastAsia="zh-CN"/>
              </w:rPr>
              <w:t>白方寺村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sz w:val="21"/>
              </w:rPr>
              <w:t>8</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8</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12</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12</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14</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10</w:t>
            </w:r>
          </w:p>
        </w:tc>
        <w:tc>
          <w:tcPr>
            <w:tcW w:w="1012" w:type="pct"/>
            <w:gridSpan w:val="2"/>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学汉坨村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4</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9</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w:t>
            </w:r>
          </w:p>
        </w:tc>
        <w:tc>
          <w:tcPr>
            <w:tcW w:w="17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rPr>
            </w:pPr>
            <w:r>
              <w:rPr>
                <w:rFonts w:ascii="Times New Roman" w:hAnsi="Times New Roman" w:cs="Times New Roman"/>
                <w:spacing w:val="-8"/>
                <w:sz w:val="21"/>
                <w:szCs w:val="21"/>
              </w:rPr>
              <w:t>11</w:t>
            </w:r>
          </w:p>
        </w:tc>
        <w:tc>
          <w:tcPr>
            <w:tcW w:w="1012" w:type="pct"/>
            <w:gridSpan w:val="2"/>
            <w:vAlign w:val="center"/>
          </w:tcPr>
          <w:p>
            <w:pPr>
              <w:pStyle w:val="675"/>
              <w:jc w:val="center"/>
              <w:rPr>
                <w:rFonts w:ascii="Times New Roman" w:hAnsi="Times New Roman" w:cs="Times New Roman"/>
                <w:sz w:val="21"/>
                <w:szCs w:val="21"/>
                <w:lang w:eastAsia="zh-CN"/>
              </w:rPr>
            </w:pPr>
            <w:r>
              <w:rPr>
                <w:rFonts w:hint="eastAsia"/>
                <w:sz w:val="21"/>
                <w:szCs w:val="21"/>
                <w:lang w:eastAsia="zh-CN"/>
              </w:rPr>
              <w:t>骆各庄村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pPr>
            <w:r>
              <w:rPr>
                <w:rFonts w:hint="eastAsia"/>
                <w:kern w:val="0"/>
                <w:sz w:val="21"/>
                <w:szCs w:val="22"/>
              </w:rPr>
              <w:t>/</w:t>
            </w:r>
          </w:p>
        </w:tc>
        <w:tc>
          <w:tcPr>
            <w:tcW w:w="249" w:type="pct"/>
            <w:vAlign w:val="center"/>
          </w:tcPr>
          <w:p>
            <w:pPr>
              <w:spacing w:line="240" w:lineRule="auto"/>
              <w:ind w:firstLine="0" w:firstLineChars="0"/>
              <w:jc w:val="center"/>
              <w:rPr>
                <w:sz w:val="21"/>
              </w:rPr>
            </w:pPr>
            <w:r>
              <w:rPr>
                <w:sz w:val="21"/>
              </w:rPr>
              <w:t>19</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9</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10</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sz w:val="21"/>
              </w:rPr>
              <w:t>32</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11</w:t>
            </w:r>
          </w:p>
        </w:tc>
        <w:tc>
          <w:tcPr>
            <w:tcW w:w="158"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21</w:t>
            </w:r>
          </w:p>
        </w:tc>
        <w:tc>
          <w:tcPr>
            <w:tcW w:w="192" w:type="pct"/>
            <w:vAlign w:val="center"/>
          </w:tcPr>
          <w:p>
            <w:pPr>
              <w:spacing w:line="240" w:lineRule="auto"/>
              <w:ind w:firstLine="0" w:firstLineChars="0"/>
              <w:jc w:val="center"/>
            </w:pPr>
            <w:r>
              <w:rPr>
                <w:rFonts w:hint="eastAsia"/>
                <w:kern w:val="0"/>
                <w:sz w:val="21"/>
                <w:szCs w:val="22"/>
              </w:rPr>
              <w:t>1</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kern w:val="0"/>
                <w:sz w:val="21"/>
                <w:szCs w:val="22"/>
              </w:rPr>
            </w:pPr>
            <w:r>
              <w:rPr>
                <w:rFonts w:hint="eastAsia"/>
                <w:kern w:val="0"/>
                <w:sz w:val="21"/>
                <w:szCs w:val="22"/>
              </w:rPr>
              <w:t>1</w:t>
            </w:r>
          </w:p>
        </w:tc>
        <w:tc>
          <w:tcPr>
            <w:tcW w:w="206" w:type="pct"/>
            <w:vAlign w:val="center"/>
          </w:tcPr>
          <w:p>
            <w:pPr>
              <w:spacing w:line="240" w:lineRule="auto"/>
              <w:ind w:firstLine="0" w:firstLineChars="0"/>
              <w:jc w:val="center"/>
              <w:rPr>
                <w:sz w:val="21"/>
              </w:rPr>
            </w:pPr>
            <w:r>
              <w:rPr>
                <w:sz w:val="21"/>
              </w:rPr>
              <w:t>39</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11</w:t>
            </w:r>
          </w:p>
        </w:tc>
        <w:tc>
          <w:tcPr>
            <w:tcW w:w="17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12</w:t>
            </w:r>
          </w:p>
        </w:tc>
        <w:tc>
          <w:tcPr>
            <w:tcW w:w="1012" w:type="pct"/>
            <w:gridSpan w:val="2"/>
            <w:vAlign w:val="center"/>
          </w:tcPr>
          <w:p>
            <w:pPr>
              <w:pStyle w:val="675"/>
              <w:jc w:val="center"/>
              <w:rPr>
                <w:sz w:val="21"/>
                <w:szCs w:val="21"/>
                <w:lang w:eastAsia="zh-CN"/>
              </w:rPr>
            </w:pPr>
            <w:r>
              <w:rPr>
                <w:rFonts w:hint="eastAsia" w:ascii="Times New Roman" w:hAnsi="Times New Roman" w:cs="Times New Roman"/>
                <w:sz w:val="21"/>
                <w:szCs w:val="21"/>
                <w:lang w:eastAsia="zh-CN"/>
              </w:rPr>
              <w:t>吴家坑村</w:t>
            </w:r>
          </w:p>
        </w:tc>
        <w:tc>
          <w:tcPr>
            <w:tcW w:w="290" w:type="pct"/>
            <w:vAlign w:val="center"/>
          </w:tcPr>
          <w:p>
            <w:pPr>
              <w:spacing w:line="240" w:lineRule="auto"/>
              <w:ind w:firstLine="0" w:firstLineChars="0"/>
              <w:jc w:val="center"/>
            </w:pPr>
            <w:r>
              <w:rPr>
                <w:rFonts w:hint="eastAsia"/>
                <w:kern w:val="0"/>
                <w:sz w:val="21"/>
                <w:szCs w:val="22"/>
              </w:rPr>
              <w:t>12/</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kern w:val="0"/>
                <w:sz w:val="21"/>
                <w:szCs w:val="22"/>
              </w:rPr>
            </w:pPr>
            <w:r>
              <w:rPr>
                <w:rFonts w:hint="eastAsia"/>
                <w:kern w:val="0"/>
                <w:sz w:val="21"/>
                <w:szCs w:val="22"/>
              </w:rPr>
              <w:t>12</w:t>
            </w:r>
          </w:p>
        </w:tc>
        <w:tc>
          <w:tcPr>
            <w:tcW w:w="249" w:type="pct"/>
            <w:vAlign w:val="center"/>
          </w:tcPr>
          <w:p>
            <w:pPr>
              <w:spacing w:line="240" w:lineRule="auto"/>
              <w:ind w:firstLine="0" w:firstLineChars="0"/>
              <w:jc w:val="center"/>
              <w:rPr>
                <w:sz w:val="21"/>
              </w:rPr>
            </w:pPr>
            <w:r>
              <w:rPr>
                <w:sz w:val="21"/>
              </w:rPr>
              <w:t>48</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16</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32</w:t>
            </w:r>
          </w:p>
        </w:tc>
        <w:tc>
          <w:tcPr>
            <w:tcW w:w="192" w:type="pct"/>
            <w:vAlign w:val="center"/>
          </w:tcPr>
          <w:p>
            <w:pPr>
              <w:spacing w:line="240" w:lineRule="auto"/>
              <w:ind w:firstLine="0" w:firstLineChars="0"/>
              <w:jc w:val="center"/>
            </w:pPr>
            <w:r>
              <w:rPr>
                <w:rFonts w:hint="eastAsia"/>
                <w:kern w:val="0"/>
                <w:sz w:val="21"/>
                <w:szCs w:val="22"/>
              </w:rPr>
              <w:t>22</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rPr>
                <w:kern w:val="0"/>
                <w:sz w:val="21"/>
                <w:szCs w:val="22"/>
              </w:rPr>
            </w:pPr>
            <w:r>
              <w:rPr>
                <w:rFonts w:hint="eastAsia"/>
                <w:kern w:val="0"/>
                <w:sz w:val="21"/>
                <w:szCs w:val="22"/>
              </w:rPr>
              <w:t>22</w:t>
            </w:r>
          </w:p>
        </w:tc>
        <w:tc>
          <w:tcPr>
            <w:tcW w:w="192" w:type="pct"/>
            <w:vAlign w:val="center"/>
          </w:tcPr>
          <w:p>
            <w:pPr>
              <w:spacing w:line="240" w:lineRule="auto"/>
              <w:ind w:firstLine="0" w:firstLineChars="0"/>
              <w:jc w:val="center"/>
              <w:rPr>
                <w:sz w:val="21"/>
              </w:rPr>
            </w:pPr>
            <w:r>
              <w:rPr>
                <w:sz w:val="21"/>
              </w:rPr>
              <w:t>71</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22</w:t>
            </w:r>
          </w:p>
        </w:tc>
        <w:tc>
          <w:tcPr>
            <w:tcW w:w="158" w:type="pct"/>
            <w:vAlign w:val="center"/>
          </w:tcPr>
          <w:p>
            <w:pPr>
              <w:spacing w:line="240" w:lineRule="auto"/>
              <w:ind w:firstLine="0" w:firstLineChars="0"/>
              <w:jc w:val="center"/>
              <w:rPr>
                <w:kern w:val="0"/>
                <w:sz w:val="21"/>
                <w:szCs w:val="22"/>
              </w:rPr>
            </w:pPr>
            <w:r>
              <w:rPr>
                <w:rFonts w:hint="eastAsia"/>
                <w:kern w:val="0"/>
                <w:sz w:val="21"/>
                <w:szCs w:val="22"/>
              </w:rPr>
              <w:t>49</w:t>
            </w:r>
          </w:p>
        </w:tc>
        <w:tc>
          <w:tcPr>
            <w:tcW w:w="192" w:type="pct"/>
            <w:vAlign w:val="center"/>
          </w:tcPr>
          <w:p>
            <w:pPr>
              <w:spacing w:line="240" w:lineRule="auto"/>
              <w:ind w:firstLine="0" w:firstLineChars="0"/>
              <w:jc w:val="center"/>
            </w:pPr>
            <w:r>
              <w:rPr>
                <w:rFonts w:hint="eastAsia"/>
                <w:kern w:val="0"/>
                <w:sz w:val="21"/>
                <w:szCs w:val="22"/>
              </w:rPr>
              <w:t>29</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rPr>
                <w:kern w:val="0"/>
                <w:sz w:val="21"/>
                <w:szCs w:val="22"/>
              </w:rPr>
            </w:pPr>
            <w:r>
              <w:rPr>
                <w:rFonts w:hint="eastAsia"/>
                <w:kern w:val="0"/>
                <w:sz w:val="21"/>
                <w:szCs w:val="22"/>
              </w:rPr>
              <w:t>29</w:t>
            </w:r>
          </w:p>
        </w:tc>
        <w:tc>
          <w:tcPr>
            <w:tcW w:w="206" w:type="pct"/>
            <w:vAlign w:val="center"/>
          </w:tcPr>
          <w:p>
            <w:pPr>
              <w:spacing w:line="240" w:lineRule="auto"/>
              <w:ind w:firstLine="0" w:firstLineChars="0"/>
              <w:jc w:val="center"/>
              <w:rPr>
                <w:sz w:val="21"/>
              </w:rPr>
            </w:pPr>
            <w:r>
              <w:rPr>
                <w:sz w:val="21"/>
              </w:rPr>
              <w:t>87</w:t>
            </w:r>
          </w:p>
        </w:tc>
        <w:tc>
          <w:tcPr>
            <w:tcW w:w="192" w:type="pct"/>
            <w:vAlign w:val="center"/>
          </w:tcPr>
          <w:p>
            <w:pPr>
              <w:spacing w:line="240" w:lineRule="auto"/>
              <w:ind w:firstLine="0" w:firstLineChars="0"/>
              <w:jc w:val="center"/>
              <w:rPr>
                <w:kern w:val="0"/>
                <w:sz w:val="21"/>
                <w:szCs w:val="22"/>
              </w:rPr>
            </w:pPr>
            <w:r>
              <w:rPr>
                <w:rFonts w:hint="eastAsia"/>
                <w:kern w:val="0"/>
                <w:sz w:val="21"/>
                <w:szCs w:val="22"/>
              </w:rPr>
              <w:t>27</w:t>
            </w:r>
          </w:p>
        </w:tc>
        <w:tc>
          <w:tcPr>
            <w:tcW w:w="171" w:type="pct"/>
            <w:vAlign w:val="center"/>
          </w:tcPr>
          <w:p>
            <w:pPr>
              <w:spacing w:line="240" w:lineRule="auto"/>
              <w:ind w:firstLine="0" w:firstLineChars="0"/>
              <w:jc w:val="center"/>
              <w:rPr>
                <w:kern w:val="0"/>
                <w:sz w:val="21"/>
                <w:szCs w:val="22"/>
              </w:rPr>
            </w:pPr>
            <w:r>
              <w:rPr>
                <w:rFonts w:hint="eastAsia"/>
                <w:kern w:val="0"/>
                <w:sz w:val="21"/>
                <w:szCs w:val="22"/>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13</w:t>
            </w:r>
          </w:p>
        </w:tc>
        <w:tc>
          <w:tcPr>
            <w:tcW w:w="1012"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圪塔坨村</w:t>
            </w:r>
          </w:p>
        </w:tc>
        <w:tc>
          <w:tcPr>
            <w:tcW w:w="290" w:type="pct"/>
            <w:vAlign w:val="center"/>
          </w:tcPr>
          <w:p>
            <w:pPr>
              <w:spacing w:line="240" w:lineRule="auto"/>
              <w:ind w:firstLine="0" w:firstLineChars="0"/>
              <w:jc w:val="center"/>
            </w:pPr>
            <w:r>
              <w:rPr>
                <w:rFonts w:hint="eastAsia"/>
                <w:kern w:val="0"/>
                <w:sz w:val="21"/>
                <w:szCs w:val="22"/>
              </w:rPr>
              <w:t>/</w:t>
            </w:r>
          </w:p>
        </w:tc>
        <w:tc>
          <w:tcPr>
            <w:tcW w:w="289" w:type="pct"/>
            <w:vAlign w:val="center"/>
          </w:tcPr>
          <w:p>
            <w:pPr>
              <w:spacing w:line="240" w:lineRule="auto"/>
              <w:ind w:firstLine="0" w:firstLineChars="0"/>
              <w:jc w:val="center"/>
            </w:pPr>
            <w:r>
              <w:rPr>
                <w:rFonts w:hint="eastAsia"/>
                <w:kern w:val="0"/>
                <w:sz w:val="21"/>
                <w:szCs w:val="22"/>
              </w:rPr>
              <w:t>/</w:t>
            </w:r>
          </w:p>
        </w:tc>
        <w:tc>
          <w:tcPr>
            <w:tcW w:w="294" w:type="pct"/>
            <w:vAlign w:val="center"/>
          </w:tcPr>
          <w:p>
            <w:pPr>
              <w:spacing w:line="240" w:lineRule="auto"/>
              <w:ind w:firstLine="0" w:firstLineChars="0"/>
              <w:jc w:val="center"/>
              <w:rPr>
                <w:kern w:val="0"/>
                <w:sz w:val="21"/>
                <w:szCs w:val="22"/>
              </w:rPr>
            </w:pPr>
            <w:r>
              <w:rPr>
                <w:rFonts w:hint="eastAsia"/>
                <w:kern w:val="0"/>
                <w:sz w:val="21"/>
                <w:szCs w:val="22"/>
              </w:rPr>
              <w:t>/</w:t>
            </w:r>
          </w:p>
        </w:tc>
        <w:tc>
          <w:tcPr>
            <w:tcW w:w="249" w:type="pct"/>
            <w:vAlign w:val="center"/>
          </w:tcPr>
          <w:p>
            <w:pPr>
              <w:spacing w:line="240" w:lineRule="auto"/>
              <w:ind w:firstLine="0" w:firstLineChars="0"/>
              <w:jc w:val="center"/>
              <w:rPr>
                <w:sz w:val="21"/>
              </w:rPr>
            </w:pPr>
            <w:r>
              <w:rPr>
                <w:rFonts w:hint="eastAsia"/>
                <w:kern w:val="0"/>
                <w:sz w:val="21"/>
                <w:szCs w:val="22"/>
              </w:rPr>
              <w:t>/</w:t>
            </w:r>
          </w:p>
        </w:tc>
        <w:tc>
          <w:tcPr>
            <w:tcW w:w="249" w:type="pct"/>
            <w:vAlign w:val="center"/>
          </w:tcPr>
          <w:p>
            <w:pPr>
              <w:spacing w:line="240" w:lineRule="auto"/>
              <w:ind w:firstLine="0" w:firstLineChars="0"/>
              <w:jc w:val="center"/>
              <w:rPr>
                <w:kern w:val="0"/>
                <w:sz w:val="21"/>
                <w:szCs w:val="22"/>
              </w:rPr>
            </w:pPr>
            <w:r>
              <w:rPr>
                <w:rFonts w:hint="eastAsia"/>
                <w:kern w:val="0"/>
                <w:sz w:val="21"/>
                <w:szCs w:val="22"/>
              </w:rPr>
              <w:t>/</w:t>
            </w:r>
          </w:p>
        </w:tc>
        <w:tc>
          <w:tcPr>
            <w:tcW w:w="238" w:type="pct"/>
            <w:vAlign w:val="center"/>
          </w:tcPr>
          <w:p>
            <w:pPr>
              <w:spacing w:line="240" w:lineRule="auto"/>
              <w:ind w:firstLine="0" w:firstLineChars="0"/>
              <w:jc w:val="center"/>
              <w:rPr>
                <w:kern w:val="0"/>
                <w:sz w:val="21"/>
                <w:szCs w:val="22"/>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95"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rPr>
                <w:sz w:val="21"/>
              </w:rP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58" w:type="pct"/>
            <w:vAlign w:val="center"/>
          </w:tcPr>
          <w:p>
            <w:pPr>
              <w:spacing w:line="240" w:lineRule="auto"/>
              <w:ind w:firstLine="0" w:firstLineChars="0"/>
              <w:jc w:val="center"/>
            </w:pPr>
            <w:r>
              <w:rPr>
                <w:rFonts w:hint="eastAsia"/>
                <w:kern w:val="0"/>
                <w:sz w:val="21"/>
                <w:szCs w:val="22"/>
              </w:rPr>
              <w:t>/</w:t>
            </w:r>
          </w:p>
        </w:tc>
        <w:tc>
          <w:tcPr>
            <w:tcW w:w="192" w:type="pct"/>
            <w:vAlign w:val="center"/>
          </w:tcPr>
          <w:p>
            <w:pPr>
              <w:spacing w:line="240" w:lineRule="auto"/>
              <w:ind w:firstLine="0" w:firstLineChars="0"/>
              <w:jc w:val="center"/>
            </w:pPr>
            <w:r>
              <w:rPr>
                <w:rFonts w:hint="eastAsia"/>
                <w:kern w:val="0"/>
                <w:sz w:val="21"/>
                <w:szCs w:val="22"/>
              </w:rPr>
              <w:t>/</w:t>
            </w:r>
          </w:p>
        </w:tc>
        <w:tc>
          <w:tcPr>
            <w:tcW w:w="189" w:type="pct"/>
            <w:vAlign w:val="center"/>
          </w:tcPr>
          <w:p>
            <w:pPr>
              <w:spacing w:line="240" w:lineRule="auto"/>
              <w:ind w:firstLine="0" w:firstLineChars="0"/>
              <w:jc w:val="center"/>
            </w:pPr>
            <w:r>
              <w:rPr>
                <w:rFonts w:hint="eastAsia"/>
                <w:kern w:val="0"/>
                <w:sz w:val="21"/>
                <w:szCs w:val="22"/>
              </w:rPr>
              <w:t>/</w:t>
            </w:r>
          </w:p>
        </w:tc>
        <w:tc>
          <w:tcPr>
            <w:tcW w:w="197" w:type="pct"/>
            <w:vAlign w:val="center"/>
          </w:tcPr>
          <w:p>
            <w:pPr>
              <w:spacing w:line="240" w:lineRule="auto"/>
              <w:ind w:firstLine="0" w:firstLineChars="0"/>
              <w:jc w:val="center"/>
            </w:pPr>
            <w:r>
              <w:rPr>
                <w:rFonts w:hint="eastAsia"/>
                <w:kern w:val="0"/>
                <w:sz w:val="21"/>
                <w:szCs w:val="22"/>
              </w:rPr>
              <w:t>/</w:t>
            </w:r>
          </w:p>
        </w:tc>
        <w:tc>
          <w:tcPr>
            <w:tcW w:w="206" w:type="pct"/>
            <w:vAlign w:val="center"/>
          </w:tcPr>
          <w:p>
            <w:pPr>
              <w:spacing w:line="240" w:lineRule="auto"/>
              <w:ind w:firstLine="0" w:firstLineChars="0"/>
              <w:jc w:val="center"/>
              <w:rPr>
                <w:sz w:val="21"/>
              </w:rPr>
            </w:pPr>
            <w:r>
              <w:rPr>
                <w:sz w:val="21"/>
              </w:rPr>
              <w:t>0</w:t>
            </w:r>
          </w:p>
        </w:tc>
        <w:tc>
          <w:tcPr>
            <w:tcW w:w="192" w:type="pct"/>
            <w:vAlign w:val="center"/>
          </w:tcPr>
          <w:p>
            <w:pPr>
              <w:spacing w:line="240" w:lineRule="auto"/>
              <w:ind w:firstLine="0" w:firstLineChars="0"/>
              <w:jc w:val="center"/>
            </w:pPr>
            <w:r>
              <w:rPr>
                <w:rFonts w:hint="eastAsia"/>
                <w:kern w:val="0"/>
                <w:sz w:val="21"/>
                <w:szCs w:val="22"/>
              </w:rPr>
              <w:t>/</w:t>
            </w:r>
          </w:p>
        </w:tc>
        <w:tc>
          <w:tcPr>
            <w:tcW w:w="171" w:type="pct"/>
            <w:vAlign w:val="center"/>
          </w:tcPr>
          <w:p>
            <w:pPr>
              <w:spacing w:line="240" w:lineRule="auto"/>
              <w:ind w:firstLine="0" w:firstLineChars="0"/>
              <w:jc w:val="center"/>
            </w:pPr>
            <w:r>
              <w:rPr>
                <w:rFonts w:hint="eastAsia"/>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122" w:type="pct"/>
            <w:gridSpan w:val="3"/>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合计</w:t>
            </w:r>
          </w:p>
        </w:tc>
        <w:tc>
          <w:tcPr>
            <w:tcW w:w="290" w:type="pct"/>
            <w:vAlign w:val="center"/>
          </w:tcPr>
          <w:p>
            <w:pPr>
              <w:spacing w:line="240" w:lineRule="auto"/>
              <w:ind w:firstLine="0" w:firstLineChars="0"/>
              <w:jc w:val="center"/>
              <w:rPr>
                <w:sz w:val="21"/>
              </w:rPr>
            </w:pPr>
            <w:r>
              <w:rPr>
                <w:sz w:val="21"/>
              </w:rPr>
              <w:t>13</w:t>
            </w:r>
          </w:p>
        </w:tc>
        <w:tc>
          <w:tcPr>
            <w:tcW w:w="289" w:type="pct"/>
            <w:vAlign w:val="center"/>
          </w:tcPr>
          <w:p>
            <w:pPr>
              <w:spacing w:line="240" w:lineRule="auto"/>
              <w:ind w:firstLine="0" w:firstLineChars="0"/>
              <w:jc w:val="center"/>
              <w:rPr>
                <w:sz w:val="21"/>
              </w:rPr>
            </w:pPr>
            <w:r>
              <w:rPr>
                <w:rFonts w:hint="eastAsia"/>
                <w:sz w:val="21"/>
              </w:rPr>
              <w:t>/</w:t>
            </w:r>
          </w:p>
        </w:tc>
        <w:tc>
          <w:tcPr>
            <w:tcW w:w="294" w:type="pct"/>
            <w:vAlign w:val="center"/>
          </w:tcPr>
          <w:p>
            <w:pPr>
              <w:spacing w:line="240" w:lineRule="auto"/>
              <w:ind w:firstLine="0" w:firstLineChars="0"/>
              <w:jc w:val="center"/>
              <w:rPr>
                <w:sz w:val="21"/>
              </w:rPr>
            </w:pPr>
            <w:r>
              <w:rPr>
                <w:sz w:val="21"/>
              </w:rPr>
              <w:t>13</w:t>
            </w:r>
          </w:p>
        </w:tc>
        <w:tc>
          <w:tcPr>
            <w:tcW w:w="249" w:type="pct"/>
            <w:vAlign w:val="center"/>
          </w:tcPr>
          <w:p>
            <w:pPr>
              <w:spacing w:line="240" w:lineRule="auto"/>
              <w:ind w:firstLine="0" w:firstLineChars="0"/>
              <w:jc w:val="center"/>
              <w:rPr>
                <w:sz w:val="21"/>
              </w:rPr>
            </w:pPr>
            <w:r>
              <w:rPr>
                <w:sz w:val="21"/>
              </w:rPr>
              <w:t>341</w:t>
            </w:r>
          </w:p>
        </w:tc>
        <w:tc>
          <w:tcPr>
            <w:tcW w:w="249" w:type="pct"/>
            <w:vAlign w:val="center"/>
          </w:tcPr>
          <w:p>
            <w:pPr>
              <w:spacing w:line="240" w:lineRule="auto"/>
              <w:ind w:firstLine="0" w:firstLineChars="0"/>
              <w:jc w:val="center"/>
              <w:rPr>
                <w:sz w:val="21"/>
              </w:rPr>
            </w:pPr>
            <w:r>
              <w:rPr>
                <w:sz w:val="21"/>
              </w:rPr>
              <w:t>168</w:t>
            </w:r>
          </w:p>
        </w:tc>
        <w:tc>
          <w:tcPr>
            <w:tcW w:w="238" w:type="pct"/>
            <w:vAlign w:val="center"/>
          </w:tcPr>
          <w:p>
            <w:pPr>
              <w:spacing w:line="240" w:lineRule="auto"/>
              <w:ind w:firstLine="0" w:firstLineChars="0"/>
              <w:jc w:val="center"/>
              <w:rPr>
                <w:sz w:val="21"/>
              </w:rPr>
            </w:pPr>
            <w:r>
              <w:rPr>
                <w:sz w:val="21"/>
              </w:rPr>
              <w:t>173</w:t>
            </w:r>
          </w:p>
        </w:tc>
        <w:tc>
          <w:tcPr>
            <w:tcW w:w="192" w:type="pct"/>
            <w:vAlign w:val="center"/>
          </w:tcPr>
          <w:p>
            <w:pPr>
              <w:spacing w:line="240" w:lineRule="auto"/>
              <w:ind w:firstLine="0" w:firstLineChars="0"/>
              <w:jc w:val="center"/>
              <w:rPr>
                <w:sz w:val="21"/>
              </w:rPr>
            </w:pPr>
            <w:r>
              <w:rPr>
                <w:sz w:val="21"/>
              </w:rPr>
              <w:t>24</w:t>
            </w:r>
          </w:p>
        </w:tc>
        <w:tc>
          <w:tcPr>
            <w:tcW w:w="192" w:type="pct"/>
            <w:vAlign w:val="center"/>
          </w:tcPr>
          <w:p>
            <w:pPr>
              <w:spacing w:line="240" w:lineRule="auto"/>
              <w:ind w:firstLine="0" w:firstLineChars="0"/>
              <w:jc w:val="center"/>
              <w:rPr>
                <w:sz w:val="21"/>
              </w:rPr>
            </w:pPr>
            <w:r>
              <w:rPr>
                <w:rFonts w:hint="eastAsia"/>
                <w:sz w:val="21"/>
              </w:rPr>
              <w:t>/</w:t>
            </w:r>
          </w:p>
        </w:tc>
        <w:tc>
          <w:tcPr>
            <w:tcW w:w="195" w:type="pct"/>
            <w:vAlign w:val="center"/>
          </w:tcPr>
          <w:p>
            <w:pPr>
              <w:spacing w:line="240" w:lineRule="auto"/>
              <w:ind w:firstLine="0" w:firstLineChars="0"/>
              <w:jc w:val="center"/>
              <w:rPr>
                <w:sz w:val="21"/>
              </w:rPr>
            </w:pPr>
            <w:r>
              <w:rPr>
                <w:sz w:val="21"/>
              </w:rPr>
              <w:t>24</w:t>
            </w:r>
          </w:p>
        </w:tc>
        <w:tc>
          <w:tcPr>
            <w:tcW w:w="192" w:type="pct"/>
            <w:vAlign w:val="center"/>
          </w:tcPr>
          <w:p>
            <w:pPr>
              <w:spacing w:line="240" w:lineRule="auto"/>
              <w:ind w:firstLine="0" w:firstLineChars="0"/>
              <w:jc w:val="center"/>
              <w:rPr>
                <w:sz w:val="21"/>
              </w:rPr>
            </w:pPr>
            <w:r>
              <w:rPr>
                <w:sz w:val="21"/>
              </w:rPr>
              <w:t>440</w:t>
            </w:r>
          </w:p>
        </w:tc>
        <w:tc>
          <w:tcPr>
            <w:tcW w:w="192" w:type="pct"/>
            <w:vAlign w:val="center"/>
          </w:tcPr>
          <w:p>
            <w:pPr>
              <w:spacing w:line="240" w:lineRule="auto"/>
              <w:ind w:firstLine="0" w:firstLineChars="0"/>
              <w:jc w:val="center"/>
              <w:rPr>
                <w:sz w:val="21"/>
              </w:rPr>
            </w:pPr>
            <w:r>
              <w:rPr>
                <w:sz w:val="21"/>
              </w:rPr>
              <w:t>212</w:t>
            </w:r>
          </w:p>
        </w:tc>
        <w:tc>
          <w:tcPr>
            <w:tcW w:w="158" w:type="pct"/>
            <w:vAlign w:val="center"/>
          </w:tcPr>
          <w:p>
            <w:pPr>
              <w:spacing w:line="240" w:lineRule="auto"/>
              <w:ind w:firstLine="0" w:firstLineChars="0"/>
              <w:jc w:val="center"/>
              <w:rPr>
                <w:sz w:val="21"/>
              </w:rPr>
            </w:pPr>
            <w:r>
              <w:rPr>
                <w:sz w:val="21"/>
              </w:rPr>
              <w:t>228</w:t>
            </w:r>
          </w:p>
        </w:tc>
        <w:tc>
          <w:tcPr>
            <w:tcW w:w="192" w:type="pct"/>
            <w:vAlign w:val="center"/>
          </w:tcPr>
          <w:p>
            <w:pPr>
              <w:spacing w:line="240" w:lineRule="auto"/>
              <w:ind w:firstLine="0" w:firstLineChars="0"/>
              <w:jc w:val="center"/>
              <w:rPr>
                <w:sz w:val="21"/>
              </w:rPr>
            </w:pPr>
            <w:r>
              <w:rPr>
                <w:sz w:val="21"/>
              </w:rPr>
              <w:t>37</w:t>
            </w:r>
          </w:p>
        </w:tc>
        <w:tc>
          <w:tcPr>
            <w:tcW w:w="189" w:type="pct"/>
            <w:vAlign w:val="center"/>
          </w:tcPr>
          <w:p>
            <w:pPr>
              <w:spacing w:line="240" w:lineRule="auto"/>
              <w:ind w:firstLine="0" w:firstLineChars="0"/>
              <w:jc w:val="center"/>
              <w:rPr>
                <w:sz w:val="21"/>
              </w:rPr>
            </w:pPr>
            <w:r>
              <w:rPr>
                <w:rFonts w:hint="eastAsia"/>
                <w:sz w:val="21"/>
              </w:rPr>
              <w:t>/</w:t>
            </w:r>
          </w:p>
        </w:tc>
        <w:tc>
          <w:tcPr>
            <w:tcW w:w="197" w:type="pct"/>
            <w:vAlign w:val="center"/>
          </w:tcPr>
          <w:p>
            <w:pPr>
              <w:spacing w:line="240" w:lineRule="auto"/>
              <w:ind w:firstLine="0" w:firstLineChars="0"/>
              <w:jc w:val="center"/>
              <w:rPr>
                <w:sz w:val="21"/>
              </w:rPr>
            </w:pPr>
            <w:r>
              <w:rPr>
                <w:sz w:val="21"/>
              </w:rPr>
              <w:t>37</w:t>
            </w:r>
          </w:p>
        </w:tc>
        <w:tc>
          <w:tcPr>
            <w:tcW w:w="206" w:type="pct"/>
            <w:vAlign w:val="center"/>
          </w:tcPr>
          <w:p>
            <w:pPr>
              <w:spacing w:line="240" w:lineRule="auto"/>
              <w:ind w:firstLine="0" w:firstLineChars="0"/>
              <w:jc w:val="center"/>
              <w:rPr>
                <w:sz w:val="21"/>
              </w:rPr>
            </w:pPr>
            <w:r>
              <w:rPr>
                <w:sz w:val="21"/>
              </w:rPr>
              <w:t>531</w:t>
            </w:r>
          </w:p>
        </w:tc>
        <w:tc>
          <w:tcPr>
            <w:tcW w:w="192" w:type="pct"/>
            <w:vAlign w:val="center"/>
          </w:tcPr>
          <w:p>
            <w:pPr>
              <w:spacing w:line="240" w:lineRule="auto"/>
              <w:ind w:firstLine="0" w:firstLineChars="0"/>
              <w:jc w:val="center"/>
              <w:rPr>
                <w:sz w:val="21"/>
              </w:rPr>
            </w:pPr>
            <w:r>
              <w:rPr>
                <w:sz w:val="21"/>
              </w:rPr>
              <w:t>235</w:t>
            </w:r>
          </w:p>
        </w:tc>
        <w:tc>
          <w:tcPr>
            <w:tcW w:w="171" w:type="pct"/>
            <w:vAlign w:val="center"/>
          </w:tcPr>
          <w:p>
            <w:pPr>
              <w:spacing w:line="240" w:lineRule="auto"/>
              <w:ind w:firstLine="0" w:firstLineChars="0"/>
              <w:jc w:val="center"/>
              <w:rPr>
                <w:sz w:val="21"/>
              </w:rPr>
            </w:pPr>
            <w:r>
              <w:rPr>
                <w:sz w:val="21"/>
              </w:rPr>
              <w:t>296</w:t>
            </w:r>
          </w:p>
        </w:tc>
      </w:tr>
    </w:tbl>
    <w:p>
      <w:pPr>
        <w:ind w:firstLine="0" w:firstLineChars="0"/>
        <w:rPr>
          <w:b/>
          <w:sz w:val="21"/>
          <w:highlight w:val="yellow"/>
        </w:rPr>
      </w:pPr>
    </w:p>
    <w:p>
      <w:pPr>
        <w:adjustRightInd w:val="0"/>
        <w:snapToGrid w:val="0"/>
        <w:ind w:firstLine="0" w:firstLineChars="0"/>
        <w:rPr>
          <w:b/>
          <w:sz w:val="21"/>
          <w:highlight w:val="yellow"/>
        </w:rPr>
        <w:sectPr>
          <w:footerReference r:id="rId26" w:type="default"/>
          <w:pgSz w:w="23814" w:h="16839" w:orient="landscape"/>
          <w:pgMar w:top="1418" w:right="1418" w:bottom="1474" w:left="1418" w:header="964" w:footer="964" w:gutter="0"/>
          <w:cols w:space="720" w:num="1"/>
          <w:docGrid w:linePitch="326" w:charSpace="0"/>
        </w:sectPr>
      </w:pPr>
    </w:p>
    <w:p>
      <w:pPr>
        <w:pStyle w:val="204"/>
        <w:spacing w:line="480" w:lineRule="exact"/>
        <w:ind w:firstLine="0" w:firstLineChars="0"/>
        <w:outlineLvl w:val="2"/>
        <w:rPr>
          <w:b/>
          <w:sz w:val="28"/>
          <w:szCs w:val="28"/>
        </w:rPr>
      </w:pPr>
      <w:r>
        <w:rPr>
          <w:rFonts w:hint="eastAsia"/>
          <w:b/>
          <w:sz w:val="28"/>
          <w:szCs w:val="28"/>
        </w:rPr>
        <w:t>5.2.3运营期水环境影响分析</w:t>
      </w:r>
    </w:p>
    <w:p>
      <w:pPr>
        <w:ind w:firstLine="480"/>
      </w:pPr>
      <w:r>
        <w:t>（</w:t>
      </w:r>
      <w:r>
        <w:rPr>
          <w:rFonts w:eastAsia="Times New Roman"/>
        </w:rPr>
        <w:t>1</w:t>
      </w:r>
      <w:r>
        <w:t>）路桥面径流对水环境的影响</w:t>
      </w:r>
    </w:p>
    <w:p>
      <w:pPr>
        <w:ind w:firstLine="480"/>
      </w:pPr>
      <w:r>
        <w:t>在公路建成投入营运后，汽车运行过程中可能会有燃油滴落到路面及桥面，经过运行车辆轮胎的挤压，随轮胎带走一部分，其余部分只有在大雨季节随径流进入边沟，流入水体，污染物主要是</w:t>
      </w:r>
      <w:r>
        <w:rPr>
          <w:rFonts w:eastAsia="Times New Roman"/>
        </w:rPr>
        <w:t>COD</w:t>
      </w:r>
      <w:r>
        <w:t>、</w:t>
      </w:r>
      <w:r>
        <w:rPr>
          <w:rFonts w:hint="eastAsia"/>
        </w:rPr>
        <w:t>氨氮、</w:t>
      </w:r>
      <w:r>
        <w:t>石油类、</w:t>
      </w:r>
      <w:r>
        <w:rPr>
          <w:rFonts w:eastAsia="Times New Roman"/>
        </w:rPr>
        <w:t>SS</w:t>
      </w:r>
      <w:r>
        <w:t>等。影响路面径流污染物浓度的因素众多，包括降雨量、降雨时间、与车流量有关的排放污染物浓度，两场降雨之间的时间间隔、路面宽度等，因此具有一定程度的不确定性。类比其他项目资料，降雨初期到形成桥面径流的</w:t>
      </w:r>
      <w:r>
        <w:rPr>
          <w:rFonts w:eastAsia="Times New Roman"/>
        </w:rPr>
        <w:t>30min</w:t>
      </w:r>
      <w:r>
        <w:t>内，雨水中的悬浮物和油类物质的浓度比较高，</w:t>
      </w:r>
      <w:r>
        <w:rPr>
          <w:rFonts w:eastAsia="Times New Roman"/>
        </w:rPr>
        <w:t>30min</w:t>
      </w:r>
      <w:r>
        <w:t>后，其浓度随降雨历时的延长下降较快，雨水中生化需氧量随降雨历时的延长下降速度稍慢，</w:t>
      </w:r>
      <w:r>
        <w:rPr>
          <w:rFonts w:eastAsia="Times New Roman"/>
        </w:rPr>
        <w:t>pH</w:t>
      </w:r>
      <w:r>
        <w:t>值相对较稳定，降雨历时</w:t>
      </w:r>
      <w:r>
        <w:rPr>
          <w:rFonts w:eastAsia="Times New Roman"/>
        </w:rPr>
        <w:t>40min</w:t>
      </w:r>
      <w:r>
        <w:t>后，路（桥）面基本被冲洗干净。</w:t>
      </w:r>
    </w:p>
    <w:p>
      <w:pPr>
        <w:ind w:firstLine="480"/>
      </w:pPr>
      <w:r>
        <w:t>因此，降雨对周围环境造成影响的主要是降雨初期</w:t>
      </w:r>
      <w:r>
        <w:rPr>
          <w:rFonts w:eastAsia="Times New Roman"/>
        </w:rPr>
        <w:t>1h</w:t>
      </w:r>
      <w:r>
        <w:t>内形成的路面径流。若污染物直接进入河流、渠道等水体，会增加水体中</w:t>
      </w:r>
      <w:r>
        <w:rPr>
          <w:rFonts w:eastAsia="Times New Roman"/>
        </w:rPr>
        <w:t>COD</w:t>
      </w:r>
      <w:r>
        <w:t>、</w:t>
      </w:r>
      <w:r>
        <w:rPr>
          <w:rFonts w:hint="eastAsia"/>
        </w:rPr>
        <w:t>氨氮、</w:t>
      </w:r>
      <w:r>
        <w:rPr>
          <w:rFonts w:eastAsia="Times New Roman"/>
        </w:rPr>
        <w:t>S</w:t>
      </w:r>
      <w:r>
        <w:rPr>
          <w:rFonts w:hint="eastAsia"/>
        </w:rPr>
        <w:t>S</w:t>
      </w:r>
      <w:r>
        <w:t>等污染物浓度。在实际降雨过程中，径流通过路面横坡自然散排、漫流到排水沟或边沟中，或通过边坡急流槽集中排入排水沟的过程伴随着雨水稀释、泥沙对污染物的吸附、泥沙沉降等各种作用，路、桥面径流中污染物的浓度已大大降低。因此，拟建公路路（桥）面径流对周边水环境的影响较小。</w:t>
      </w:r>
    </w:p>
    <w:p>
      <w:pPr>
        <w:ind w:firstLine="480"/>
        <w:rPr>
          <w:szCs w:val="24"/>
        </w:rPr>
      </w:pPr>
      <w:r>
        <w:rPr>
          <w:szCs w:val="24"/>
        </w:rPr>
        <w:t>（2）沿线设施排水对水环境的影响</w:t>
      </w:r>
    </w:p>
    <w:p>
      <w:pPr>
        <w:ind w:firstLine="480"/>
        <w:rPr>
          <w:szCs w:val="24"/>
        </w:rPr>
      </w:pPr>
      <w:r>
        <w:rPr>
          <w:szCs w:val="24"/>
        </w:rPr>
        <w:t>本工程沿线不新建加油站、服务区及收费站等</w:t>
      </w:r>
      <w:r>
        <w:rPr>
          <w:rFonts w:hint="eastAsia"/>
          <w:szCs w:val="24"/>
        </w:rPr>
        <w:t>，无生活废水产生及排放</w:t>
      </w:r>
      <w:r>
        <w:rPr>
          <w:szCs w:val="24"/>
        </w:rPr>
        <w:t>。</w:t>
      </w:r>
    </w:p>
    <w:p>
      <w:pPr>
        <w:ind w:firstLine="480"/>
        <w:rPr>
          <w:szCs w:val="24"/>
        </w:rPr>
      </w:pPr>
      <w:r>
        <w:rPr>
          <w:szCs w:val="24"/>
        </w:rPr>
        <w:t>（3）交通事故对水环境的影响</w:t>
      </w:r>
    </w:p>
    <w:p>
      <w:pPr>
        <w:ind w:firstLine="480"/>
        <w:rPr>
          <w:szCs w:val="24"/>
        </w:rPr>
      </w:pPr>
      <w:r>
        <w:rPr>
          <w:szCs w:val="24"/>
        </w:rPr>
        <w:t>公路营运期可能会在路面或桥面上发生交通事故，对于运输危险化学品的车辆，发生事故后泄漏的化学品如果直接排入水体，或事故车辆翻入水中都将对水环境造成很大影响。</w:t>
      </w:r>
    </w:p>
    <w:p>
      <w:pPr>
        <w:ind w:firstLine="480"/>
        <w:rPr>
          <w:szCs w:val="24"/>
        </w:rPr>
      </w:pPr>
      <w:r>
        <w:rPr>
          <w:szCs w:val="24"/>
        </w:rPr>
        <w:t>本项目</w:t>
      </w:r>
      <w:r>
        <w:rPr>
          <w:rFonts w:hint="eastAsia"/>
          <w:szCs w:val="24"/>
        </w:rPr>
        <w:t>所建设的桥梁分别</w:t>
      </w:r>
      <w:r>
        <w:rPr>
          <w:szCs w:val="24"/>
        </w:rPr>
        <w:t>跨越</w:t>
      </w:r>
      <w:r>
        <w:rPr>
          <w:rFonts w:hint="eastAsia"/>
          <w:szCs w:val="24"/>
        </w:rPr>
        <w:t>的</w:t>
      </w:r>
      <w:r>
        <w:rPr>
          <w:rFonts w:hint="eastAsia" w:ascii="Arial" w:hAnsi="Arial" w:cs="Arial"/>
        </w:rPr>
        <w:t>清水河、沙河、黎河</w:t>
      </w:r>
      <w:r>
        <w:rPr>
          <w:rFonts w:hint="eastAsia"/>
          <w:szCs w:val="24"/>
        </w:rPr>
        <w:t>，而且本线路部分桩段紧邻</w:t>
      </w:r>
      <w:r>
        <w:rPr>
          <w:rFonts w:hAnsi="宋体"/>
        </w:rPr>
        <w:t>冷咀头河</w:t>
      </w:r>
      <w:r>
        <w:rPr>
          <w:rFonts w:hint="eastAsia"/>
          <w:szCs w:val="24"/>
        </w:rPr>
        <w:t>设置，若在河道附近发生</w:t>
      </w:r>
      <w:r>
        <w:rPr>
          <w:szCs w:val="24"/>
        </w:rPr>
        <w:t>交通事故</w:t>
      </w:r>
      <w:r>
        <w:rPr>
          <w:rFonts w:hint="eastAsia"/>
          <w:szCs w:val="24"/>
        </w:rPr>
        <w:t>导致危险化学品的泄露，会对</w:t>
      </w:r>
      <w:r>
        <w:rPr>
          <w:rFonts w:hint="eastAsia" w:ascii="Arial" w:hAnsi="Arial" w:cs="Arial"/>
        </w:rPr>
        <w:t>清水河、沙河、黎河、</w:t>
      </w:r>
      <w:r>
        <w:rPr>
          <w:rFonts w:hAnsi="宋体"/>
        </w:rPr>
        <w:t>冷咀头河</w:t>
      </w:r>
      <w:r>
        <w:rPr>
          <w:rFonts w:hint="eastAsia"/>
          <w:szCs w:val="24"/>
        </w:rPr>
        <w:t>产生很大影响。</w:t>
      </w:r>
      <w:r>
        <w:rPr>
          <w:szCs w:val="24"/>
        </w:rPr>
        <w:t>为保护</w:t>
      </w:r>
      <w:r>
        <w:rPr>
          <w:rFonts w:hint="eastAsia" w:ascii="Arial" w:hAnsi="Arial" w:cs="Arial"/>
        </w:rPr>
        <w:t>清水河、沙河、黎河、</w:t>
      </w:r>
      <w:r>
        <w:rPr>
          <w:rFonts w:hAnsi="宋体"/>
        </w:rPr>
        <w:t>冷咀头河</w:t>
      </w:r>
      <w:r>
        <w:rPr>
          <w:szCs w:val="24"/>
        </w:rPr>
        <w:t>不被污染，本项目新建</w:t>
      </w:r>
      <w:r>
        <w:rPr>
          <w:rFonts w:hint="eastAsia"/>
          <w:szCs w:val="24"/>
        </w:rPr>
        <w:t>临近河流</w:t>
      </w:r>
      <w:r>
        <w:rPr>
          <w:szCs w:val="24"/>
        </w:rPr>
        <w:t>路段设置防渗边沟</w:t>
      </w:r>
      <w:r>
        <w:rPr>
          <w:rFonts w:hint="eastAsia"/>
          <w:szCs w:val="24"/>
        </w:rPr>
        <w:t>、防撞护栏</w:t>
      </w:r>
      <w:r>
        <w:rPr>
          <w:szCs w:val="24"/>
        </w:rPr>
        <w:t>，出入口设置</w:t>
      </w:r>
      <w:r>
        <w:rPr>
          <w:rFonts w:hint="eastAsia"/>
          <w:szCs w:val="24"/>
        </w:rPr>
        <w:t>慢行的警示标志</w:t>
      </w:r>
      <w:r>
        <w:rPr>
          <w:szCs w:val="24"/>
        </w:rPr>
        <w:t>；</w:t>
      </w:r>
      <w:r>
        <w:rPr>
          <w:rFonts w:hint="eastAsia"/>
          <w:szCs w:val="24"/>
        </w:rPr>
        <w:t>桥梁</w:t>
      </w:r>
      <w:r>
        <w:rPr>
          <w:szCs w:val="24"/>
        </w:rPr>
        <w:t>设置桥面径流收集系统，设置防渗事故池；</w:t>
      </w:r>
      <w:r>
        <w:rPr>
          <w:rFonts w:hint="eastAsia"/>
          <w:szCs w:val="24"/>
        </w:rPr>
        <w:t>临近</w:t>
      </w:r>
      <w:r>
        <w:rPr>
          <w:rFonts w:hAnsi="宋体"/>
        </w:rPr>
        <w:t>冷咀头河</w:t>
      </w:r>
      <w:r>
        <w:rPr>
          <w:rFonts w:hint="eastAsia"/>
          <w:szCs w:val="24"/>
        </w:rPr>
        <w:t>主河道区段</w:t>
      </w:r>
      <w:r>
        <w:rPr>
          <w:szCs w:val="24"/>
        </w:rPr>
        <w:t>内设置视频监控、限速监控及紧急报警电话标牌。</w:t>
      </w:r>
    </w:p>
    <w:p>
      <w:pPr>
        <w:ind w:firstLine="480"/>
        <w:rPr>
          <w:szCs w:val="24"/>
        </w:rPr>
      </w:pPr>
      <w:r>
        <w:rPr>
          <w:szCs w:val="24"/>
        </w:rPr>
        <w:t>通过制定风险事故应急救援措施，防止水体被污染，偶发的交通事故对水环境的影响得到控制，因此，对水环境的影响较小</w:t>
      </w:r>
      <w:r>
        <w:rPr>
          <w:rFonts w:hint="eastAsia"/>
          <w:szCs w:val="24"/>
        </w:rPr>
        <w:t>。</w:t>
      </w:r>
    </w:p>
    <w:p>
      <w:pPr>
        <w:pStyle w:val="204"/>
        <w:spacing w:line="480" w:lineRule="exact"/>
        <w:ind w:firstLine="0" w:firstLineChars="0"/>
        <w:outlineLvl w:val="2"/>
        <w:rPr>
          <w:b/>
          <w:sz w:val="28"/>
          <w:szCs w:val="28"/>
        </w:rPr>
      </w:pPr>
      <w:r>
        <w:rPr>
          <w:rFonts w:hint="eastAsia"/>
          <w:b/>
          <w:sz w:val="28"/>
          <w:szCs w:val="28"/>
        </w:rPr>
        <w:t>5.2.4运营期环境空气影响分析</w:t>
      </w:r>
    </w:p>
    <w:p>
      <w:pPr>
        <w:ind w:firstLine="480"/>
        <w:rPr>
          <w:szCs w:val="24"/>
        </w:rPr>
      </w:pPr>
      <w:r>
        <w:rPr>
          <w:szCs w:val="24"/>
        </w:rPr>
        <w:t>本项目营运期主要空气污染源是各种机动车辆排放的尾气、扬尘，主要大气污染物是</w:t>
      </w:r>
      <w:r>
        <w:rPr>
          <w:rFonts w:eastAsia="Times New Roman"/>
          <w:szCs w:val="24"/>
        </w:rPr>
        <w:t>NO</w:t>
      </w:r>
      <w:r>
        <w:rPr>
          <w:rFonts w:hint="eastAsia"/>
          <w:szCs w:val="24"/>
        </w:rPr>
        <w:t>x</w:t>
      </w:r>
      <w:r>
        <w:rPr>
          <w:szCs w:val="24"/>
        </w:rPr>
        <w:t>、</w:t>
      </w:r>
      <w:r>
        <w:rPr>
          <w:rFonts w:eastAsia="Times New Roman"/>
          <w:szCs w:val="24"/>
        </w:rPr>
        <w:t>CO</w:t>
      </w:r>
      <w:r>
        <w:rPr>
          <w:szCs w:val="24"/>
        </w:rPr>
        <w:t>、</w:t>
      </w:r>
      <w:r>
        <w:rPr>
          <w:rFonts w:eastAsia="Times New Roman"/>
          <w:szCs w:val="24"/>
        </w:rPr>
        <w:t>TSP</w:t>
      </w:r>
      <w:r>
        <w:rPr>
          <w:szCs w:val="24"/>
        </w:rPr>
        <w:t>、</w:t>
      </w:r>
      <w:r>
        <w:rPr>
          <w:rFonts w:hint="eastAsia"/>
          <w:szCs w:val="24"/>
        </w:rPr>
        <w:t>THC</w:t>
      </w:r>
      <w:r>
        <w:rPr>
          <w:szCs w:val="24"/>
        </w:rPr>
        <w:t>等</w:t>
      </w:r>
      <w:r>
        <w:rPr>
          <w:rFonts w:hint="eastAsia"/>
          <w:szCs w:val="24"/>
        </w:rPr>
        <w:t>。</w:t>
      </w:r>
    </w:p>
    <w:p>
      <w:pPr>
        <w:ind w:firstLine="480"/>
        <w:rPr>
          <w:szCs w:val="24"/>
        </w:rPr>
      </w:pPr>
      <w:r>
        <w:rPr>
          <w:szCs w:val="24"/>
        </w:rPr>
        <w:t>汽车尾气排放量的大小与交通量的大小、车辆的类型以及汽车运行的工况有关。</w:t>
      </w:r>
      <w:r>
        <w:rPr>
          <w:rFonts w:hint="eastAsia"/>
          <w:szCs w:val="24"/>
        </w:rPr>
        <w:t>通过采用</w:t>
      </w:r>
      <w:r>
        <w:rPr>
          <w:szCs w:val="24"/>
        </w:rPr>
        <w:t>使用清洁能源；环保、交通部门加强合作，执行汽车尾气车检制度，尾气超标排放的车辆必须安装尾气净化装置，控制尾气超标车辆上路，汽车尾气对环境的影响范围和程度十分有限， CO、NOx、THC均不存在超标现象。</w:t>
      </w:r>
    </w:p>
    <w:p>
      <w:pPr>
        <w:ind w:firstLine="480"/>
        <w:rPr>
          <w:szCs w:val="24"/>
        </w:rPr>
      </w:pPr>
      <w:r>
        <w:rPr>
          <w:szCs w:val="24"/>
        </w:rPr>
        <w:t>道路上行驶车辆的轮胎接触路面而使路面积尘扬起，以及运送散装含尘物料的车辆，由于散落、风吹等原因，从而产生扬尘污染。因此，公路营运期间应加强对道路的清扫、养护，使道路平整、清洁，以减轻道路扬尘污染</w:t>
      </w:r>
      <w:r>
        <w:rPr>
          <w:rFonts w:hint="eastAsia"/>
          <w:szCs w:val="24"/>
        </w:rPr>
        <w:t>。</w:t>
      </w:r>
    </w:p>
    <w:p>
      <w:pPr>
        <w:ind w:firstLine="480"/>
        <w:rPr>
          <w:szCs w:val="24"/>
        </w:rPr>
      </w:pPr>
      <w:r>
        <w:rPr>
          <w:szCs w:val="24"/>
        </w:rPr>
        <w:t>因此，本项目营运期汽车尾气对大气环境影响较小。</w:t>
      </w:r>
    </w:p>
    <w:p>
      <w:pPr>
        <w:pStyle w:val="204"/>
        <w:spacing w:line="480" w:lineRule="exact"/>
        <w:ind w:firstLine="0" w:firstLineChars="0"/>
        <w:outlineLvl w:val="2"/>
        <w:rPr>
          <w:b/>
          <w:sz w:val="28"/>
          <w:szCs w:val="28"/>
        </w:rPr>
      </w:pPr>
      <w:r>
        <w:rPr>
          <w:rFonts w:hint="eastAsia"/>
          <w:b/>
          <w:sz w:val="28"/>
          <w:szCs w:val="28"/>
        </w:rPr>
        <w:t>5.2.5运营期固体废物影响分析</w:t>
      </w:r>
    </w:p>
    <w:p>
      <w:pPr>
        <w:ind w:firstLine="480"/>
      </w:pPr>
      <w:r>
        <w:t>工程营运期公路上行驶车辆洒落的固体废物，如纸屑、果皮、塑料用具等废弃物会对沿线周边环境产生不利影响，由专职的公路环卫工人定期清理。</w:t>
      </w:r>
    </w:p>
    <w:p>
      <w:pPr>
        <w:ind w:firstLine="480"/>
      </w:pPr>
      <w:r>
        <w:t>综上所述，项目采取切实可行的措施，本项目运营期的固体废物不会对周围环境产生影响</w:t>
      </w:r>
      <w:r>
        <w:rPr>
          <w:rFonts w:hint="eastAsia"/>
        </w:rPr>
        <w:t>。</w:t>
      </w:r>
    </w:p>
    <w:p>
      <w:pPr>
        <w:pStyle w:val="5"/>
        <w:spacing w:beforeLines="0" w:afterLines="0"/>
      </w:pPr>
      <w:bookmarkStart w:id="101" w:name="_Toc141284075"/>
      <w:r>
        <w:rPr>
          <w:rFonts w:hint="eastAsia"/>
        </w:rPr>
        <w:t>5</w:t>
      </w:r>
      <w:r>
        <w:t>.</w:t>
      </w:r>
      <w:r>
        <w:rPr>
          <w:rFonts w:hint="eastAsia"/>
        </w:rPr>
        <w:t>3对</w:t>
      </w:r>
      <w:r>
        <w:rPr>
          <w:rFonts w:hint="eastAsia"/>
          <w:kern w:val="24"/>
        </w:rPr>
        <w:t>遵化市堡子店水源地</w:t>
      </w:r>
      <w:r>
        <w:rPr>
          <w:rFonts w:hint="eastAsia"/>
        </w:rPr>
        <w:t>的影响分析</w:t>
      </w:r>
      <w:bookmarkEnd w:id="101"/>
    </w:p>
    <w:p>
      <w:pPr>
        <w:pStyle w:val="204"/>
        <w:spacing w:line="480" w:lineRule="exact"/>
        <w:ind w:firstLine="0" w:firstLineChars="0"/>
        <w:outlineLvl w:val="2"/>
        <w:rPr>
          <w:b/>
          <w:sz w:val="28"/>
          <w:szCs w:val="28"/>
        </w:rPr>
      </w:pPr>
      <w:r>
        <w:rPr>
          <w:rFonts w:hint="eastAsia"/>
          <w:b/>
          <w:sz w:val="28"/>
          <w:szCs w:val="28"/>
        </w:rPr>
        <w:t>5.3.1穿越遵化市堡子店水源地区段划分情况</w:t>
      </w:r>
    </w:p>
    <w:p>
      <w:pPr>
        <w:pStyle w:val="18"/>
        <w:spacing w:after="0"/>
        <w:ind w:firstLine="480"/>
        <w:rPr>
          <w:rFonts w:cs="宋体"/>
        </w:rPr>
      </w:pPr>
      <w:r>
        <w:rPr>
          <w:rFonts w:hint="eastAsia" w:cs="宋体"/>
        </w:rPr>
        <w:t>本项目线路工程在K4+000~K13+940区段穿越遵化市堡子店水源地，其中</w:t>
      </w:r>
      <w:r>
        <w:rPr>
          <w:rFonts w:cs="宋体"/>
        </w:rPr>
        <w:t>K4+000~K</w:t>
      </w:r>
      <w:r>
        <w:rPr>
          <w:rFonts w:hint="eastAsia" w:cs="宋体"/>
        </w:rPr>
        <w:t>7</w:t>
      </w:r>
      <w:r>
        <w:rPr>
          <w:rFonts w:cs="宋体"/>
        </w:rPr>
        <w:t>+</w:t>
      </w:r>
      <w:r>
        <w:rPr>
          <w:rFonts w:hint="eastAsia" w:cs="宋体"/>
        </w:rPr>
        <w:t>750、</w:t>
      </w:r>
      <w:r>
        <w:rPr>
          <w:rFonts w:cs="宋体"/>
        </w:rPr>
        <w:t>K</w:t>
      </w:r>
      <w:r>
        <w:rPr>
          <w:rFonts w:hint="eastAsia" w:cs="宋体"/>
        </w:rPr>
        <w:t>12</w:t>
      </w:r>
      <w:r>
        <w:rPr>
          <w:rFonts w:cs="宋体"/>
        </w:rPr>
        <w:t>+</w:t>
      </w:r>
      <w:r>
        <w:rPr>
          <w:rFonts w:hint="eastAsia" w:cs="宋体"/>
        </w:rPr>
        <w:t>705</w:t>
      </w:r>
      <w:r>
        <w:rPr>
          <w:rFonts w:cs="宋体"/>
        </w:rPr>
        <w:t>~K</w:t>
      </w:r>
      <w:r>
        <w:rPr>
          <w:rFonts w:hint="eastAsia" w:cs="宋体"/>
        </w:rPr>
        <w:t>13</w:t>
      </w:r>
      <w:r>
        <w:rPr>
          <w:rFonts w:cs="宋体"/>
        </w:rPr>
        <w:t>+</w:t>
      </w:r>
      <w:r>
        <w:rPr>
          <w:rFonts w:hint="eastAsia" w:cs="宋体"/>
        </w:rPr>
        <w:t>940区段穿越水源地的准保护区，</w:t>
      </w:r>
      <w:r>
        <w:rPr>
          <w:rFonts w:cs="宋体"/>
        </w:rPr>
        <w:t>K</w:t>
      </w:r>
      <w:r>
        <w:rPr>
          <w:rFonts w:hint="eastAsia" w:cs="宋体"/>
        </w:rPr>
        <w:t>7</w:t>
      </w:r>
      <w:r>
        <w:rPr>
          <w:rFonts w:cs="宋体"/>
        </w:rPr>
        <w:t>+</w:t>
      </w:r>
      <w:r>
        <w:rPr>
          <w:rFonts w:hint="eastAsia" w:cs="宋体"/>
        </w:rPr>
        <w:t>750</w:t>
      </w:r>
      <w:r>
        <w:rPr>
          <w:rFonts w:cs="宋体"/>
        </w:rPr>
        <w:t>~K</w:t>
      </w:r>
      <w:r>
        <w:rPr>
          <w:rFonts w:hint="eastAsia" w:cs="宋体"/>
        </w:rPr>
        <w:t>12</w:t>
      </w:r>
      <w:r>
        <w:rPr>
          <w:rFonts w:cs="宋体"/>
        </w:rPr>
        <w:t>+</w:t>
      </w:r>
      <w:r>
        <w:rPr>
          <w:rFonts w:hint="eastAsia" w:cs="宋体"/>
        </w:rPr>
        <w:t>705区段穿越水源地二级保护区，本项目施工期及运行期需要加强该区段的防护措施，避免对区域地下水环境产生影响。</w:t>
      </w:r>
    </w:p>
    <w:p>
      <w:pPr>
        <w:pStyle w:val="18"/>
        <w:spacing w:after="0" w:line="240" w:lineRule="auto"/>
        <w:ind w:firstLine="0" w:firstLineChars="0"/>
        <w:rPr>
          <w:rFonts w:cs="宋体"/>
        </w:rPr>
      </w:pPr>
      <w:r>
        <w:rPr>
          <w:rFonts w:hint="eastAsia" w:cs="宋体"/>
        </w:rPr>
        <w:drawing>
          <wp:inline distT="0" distB="0" distL="0" distR="0">
            <wp:extent cx="5723890" cy="4135755"/>
            <wp:effectExtent l="19050" t="0" r="0" b="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noChangeArrowheads="1"/>
                    </pic:cNvPicPr>
                  </pic:nvPicPr>
                  <pic:blipFill>
                    <a:blip r:embed="rId94" cstate="print"/>
                    <a:srcRect/>
                    <a:stretch>
                      <a:fillRect/>
                    </a:stretch>
                  </pic:blipFill>
                  <pic:spPr>
                    <a:xfrm>
                      <a:off x="0" y="0"/>
                      <a:ext cx="5723890" cy="4136242"/>
                    </a:xfrm>
                    <a:prstGeom prst="rect">
                      <a:avLst/>
                    </a:prstGeom>
                    <a:noFill/>
                    <a:ln w="9525">
                      <a:noFill/>
                      <a:miter lim="800000"/>
                      <a:headEnd/>
                      <a:tailEnd/>
                    </a:ln>
                  </pic:spPr>
                </pic:pic>
              </a:graphicData>
            </a:graphic>
          </wp:inline>
        </w:drawing>
      </w:r>
    </w:p>
    <w:p>
      <w:pPr>
        <w:adjustRightInd w:val="0"/>
        <w:snapToGrid w:val="0"/>
        <w:ind w:firstLine="0" w:firstLineChars="0"/>
        <w:jc w:val="center"/>
        <w:rPr>
          <w:b/>
          <w:sz w:val="21"/>
        </w:rPr>
      </w:pPr>
      <w:r>
        <w:rPr>
          <w:rFonts w:hint="eastAsia"/>
          <w:b/>
          <w:sz w:val="21"/>
        </w:rPr>
        <w:t>图5.3-1</w:t>
      </w:r>
      <w:r>
        <w:rPr>
          <w:b/>
          <w:sz w:val="21"/>
        </w:rPr>
        <w:tab/>
      </w:r>
      <w:r>
        <w:rPr>
          <w:rFonts w:hint="eastAsia"/>
          <w:b/>
          <w:sz w:val="21"/>
        </w:rPr>
        <w:t xml:space="preserve"> 项目与遵化市堡子店水源地位置关系图</w:t>
      </w:r>
    </w:p>
    <w:p>
      <w:pPr>
        <w:pStyle w:val="204"/>
        <w:spacing w:line="480" w:lineRule="exact"/>
        <w:ind w:firstLine="0" w:firstLineChars="0"/>
        <w:outlineLvl w:val="2"/>
        <w:rPr>
          <w:b/>
          <w:sz w:val="28"/>
          <w:szCs w:val="28"/>
        </w:rPr>
      </w:pPr>
      <w:r>
        <w:rPr>
          <w:rFonts w:hint="eastAsia"/>
          <w:b/>
          <w:sz w:val="28"/>
          <w:szCs w:val="28"/>
        </w:rPr>
        <w:t>5.3.2对水源地影响分析</w:t>
      </w:r>
    </w:p>
    <w:p>
      <w:pPr>
        <w:pStyle w:val="18"/>
        <w:spacing w:after="0"/>
        <w:ind w:firstLine="480"/>
        <w:rPr>
          <w:rFonts w:cs="宋体"/>
        </w:rPr>
      </w:pPr>
      <w:r>
        <w:rPr>
          <w:rFonts w:cs="宋体"/>
        </w:rPr>
        <w:t>根据《河北省遵化市堡子店水源地保护区调整技术报告》提供的水源地情况</w:t>
      </w:r>
      <w:r>
        <w:rPr>
          <w:rFonts w:hint="eastAsia" w:cs="宋体"/>
        </w:rPr>
        <w:t>，遵化市堡子店水源地供水井埋深为</w:t>
      </w:r>
      <w:r>
        <w:rPr>
          <w:rFonts w:cs="宋体"/>
        </w:rPr>
        <w:t>149~225m</w:t>
      </w:r>
      <w:r>
        <w:rPr>
          <w:rFonts w:hint="eastAsia" w:cs="宋体"/>
        </w:rPr>
        <w:t>，取水层位为</w:t>
      </w:r>
      <w:r>
        <w:rPr>
          <w:rFonts w:cs="宋体"/>
        </w:rPr>
        <w:t>60~201m</w:t>
      </w:r>
      <w:r>
        <w:rPr>
          <w:rFonts w:hint="eastAsia" w:cs="宋体"/>
        </w:rPr>
        <w:t>，本项目施工过程桥梁桩基础一般深度为8</w:t>
      </w:r>
      <w:r>
        <w:rPr>
          <w:rFonts w:cs="宋体"/>
        </w:rPr>
        <w:t>m</w:t>
      </w:r>
      <w:r>
        <w:rPr>
          <w:rFonts w:hint="eastAsia" w:cs="宋体"/>
        </w:rPr>
        <w:t>左右，路基基础扰动深度一般在</w:t>
      </w:r>
      <w:r>
        <w:rPr>
          <w:rFonts w:cs="宋体"/>
        </w:rPr>
        <w:t xml:space="preserve">1.0m </w:t>
      </w:r>
      <w:r>
        <w:rPr>
          <w:rFonts w:hint="eastAsia" w:cs="宋体"/>
        </w:rPr>
        <w:t>以内，项目建设不会破坏区域供水含水层。</w:t>
      </w:r>
    </w:p>
    <w:p>
      <w:pPr>
        <w:pStyle w:val="18"/>
        <w:spacing w:after="0"/>
        <w:ind w:firstLine="480"/>
        <w:rPr>
          <w:rFonts w:cs="宋体"/>
        </w:rPr>
      </w:pPr>
      <w:r>
        <w:rPr>
          <w:rFonts w:hint="eastAsia" w:cs="宋体"/>
        </w:rPr>
        <w:t>施工期本工程对</w:t>
      </w:r>
      <w:r>
        <w:rPr>
          <w:rFonts w:cs="宋体"/>
        </w:rPr>
        <w:t>遵化市堡子店水源地保护区</w:t>
      </w:r>
      <w:r>
        <w:rPr>
          <w:rFonts w:hint="eastAsia" w:cs="宋体"/>
        </w:rPr>
        <w:t>的影响主要表现在两个方面：①施工期施工营地的生活污水、施工机械油污排放对地下水水质的影响；②桥梁桩基施工对地下水流场的影响。</w:t>
      </w:r>
    </w:p>
    <w:p>
      <w:pPr>
        <w:pStyle w:val="18"/>
        <w:spacing w:after="0"/>
        <w:ind w:firstLine="480"/>
        <w:rPr>
          <w:rFonts w:cs="宋体"/>
        </w:rPr>
      </w:pPr>
      <w:r>
        <w:rPr>
          <w:rFonts w:hint="eastAsia" w:cs="宋体"/>
        </w:rPr>
        <w:t>本项目施工生活区租赁学汉坨村民房，该村庄位于</w:t>
      </w:r>
      <w:r>
        <w:rPr>
          <w:rFonts w:cs="宋体"/>
        </w:rPr>
        <w:t>遵化市堡子店水源地保护区</w:t>
      </w:r>
      <w:r>
        <w:rPr>
          <w:rFonts w:hint="eastAsia" w:cs="宋体"/>
        </w:rPr>
        <w:t>外，生活污水不会对水源地水质产生影响。由于在地表与水源地主要含水层间存在稳定、连续的隔水层，地表施工中的零星污水不会进入主要水层的地下水系统。一般桥梁桩基的深度在8</w:t>
      </w:r>
      <w:r>
        <w:rPr>
          <w:rFonts w:cs="宋体"/>
        </w:rPr>
        <w:t xml:space="preserve">m </w:t>
      </w:r>
      <w:r>
        <w:rPr>
          <w:rFonts w:hint="eastAsia" w:cs="宋体"/>
        </w:rPr>
        <w:t>以内，基本位于主要含水层的上部，达不到主要含水层的埋藏深度，且施工中除一般泥沙外也没有危险污染物，故施工中基本不会影响到地下水环境。</w:t>
      </w:r>
    </w:p>
    <w:p>
      <w:pPr>
        <w:pStyle w:val="18"/>
        <w:spacing w:after="0"/>
        <w:ind w:firstLine="480"/>
        <w:rPr>
          <w:rFonts w:cs="宋体"/>
        </w:rPr>
      </w:pPr>
      <w:r>
        <w:rPr>
          <w:rFonts w:hint="eastAsia" w:cs="宋体"/>
        </w:rPr>
        <w:t>运营期水源地内没有任何排污设施，正常运输状态下，不会影响到地下水环境。未避免车辆事故产生污水及污染物的下渗对区域地下水水源地产生影响，本环评建议运行期在穿越遵化市堡子店饮用水水源地路段设置禁止</w:t>
      </w:r>
      <w:r>
        <w:rPr>
          <w:rFonts w:cs="宋体"/>
        </w:rPr>
        <w:t>运输危险化学品、剧毒化学品</w:t>
      </w:r>
      <w:r>
        <w:rPr>
          <w:rFonts w:hint="eastAsia" w:cs="宋体"/>
        </w:rPr>
        <w:t>上路标识牌，同时在公路两侧设置防撞护栏及道路两侧设置收集导排措施，在道路两侧设置事故池，收集道路事故废水，避免发生事故侧翻，发生装载物、车辆动力油等污染物的下渗对区域地下水水质影响。</w:t>
      </w:r>
    </w:p>
    <w:p>
      <w:pPr>
        <w:pStyle w:val="18"/>
        <w:spacing w:after="0"/>
        <w:ind w:firstLine="480"/>
        <w:rPr>
          <w:rFonts w:cs="宋体"/>
        </w:rPr>
      </w:pPr>
      <w:r>
        <w:rPr>
          <w:rFonts w:hint="eastAsia" w:cs="宋体"/>
        </w:rPr>
        <w:t>唐山市生态环境局遵化市分局以</w:t>
      </w:r>
      <w:r>
        <w:rPr>
          <w:rFonts w:cs="宋体"/>
        </w:rPr>
        <w:t>“</w:t>
      </w:r>
      <w:r>
        <w:rPr>
          <w:rFonts w:hint="eastAsia" w:cs="宋体"/>
        </w:rPr>
        <w:t>关于国道112遵化城区段改建工程环保情况的复函</w:t>
      </w:r>
      <w:r>
        <w:rPr>
          <w:rFonts w:cs="宋体"/>
        </w:rPr>
        <w:t>”</w:t>
      </w:r>
      <w:r>
        <w:rPr>
          <w:rFonts w:hint="eastAsia" w:cs="宋体"/>
        </w:rPr>
        <w:t>，同意工程穿越</w:t>
      </w:r>
      <w:r>
        <w:rPr>
          <w:rFonts w:cs="宋体"/>
        </w:rPr>
        <w:t>遵化市堡子店水源地</w:t>
      </w:r>
      <w:r>
        <w:rPr>
          <w:rFonts w:hint="eastAsia" w:cs="宋体"/>
        </w:rPr>
        <w:t>路线路径。</w:t>
      </w:r>
    </w:p>
    <w:p>
      <w:pPr>
        <w:ind w:firstLine="480"/>
        <w:rPr>
          <w:highlight w:val="yellow"/>
        </w:rPr>
      </w:pPr>
    </w:p>
    <w:p>
      <w:pPr>
        <w:ind w:firstLine="480"/>
        <w:rPr>
          <w:highlight w:val="yellow"/>
        </w:rPr>
        <w:sectPr>
          <w:footerReference r:id="rId27" w:type="default"/>
          <w:pgSz w:w="11906" w:h="16838"/>
          <w:pgMar w:top="1418" w:right="1418" w:bottom="1418" w:left="1474" w:header="964" w:footer="964" w:gutter="0"/>
          <w:cols w:space="720" w:num="1"/>
          <w:docGrid w:linePitch="326" w:charSpace="0"/>
        </w:sectPr>
      </w:pPr>
    </w:p>
    <w:p>
      <w:pPr>
        <w:pStyle w:val="4"/>
        <w:spacing w:beforeLines="0" w:afterLines="0"/>
      </w:pPr>
      <w:bookmarkStart w:id="102" w:name="_Toc141284076"/>
      <w:r>
        <w:rPr>
          <w:rFonts w:hint="eastAsia"/>
        </w:rPr>
        <w:t>6环境风险评价</w:t>
      </w:r>
      <w:bookmarkEnd w:id="102"/>
    </w:p>
    <w:p>
      <w:pPr>
        <w:pStyle w:val="5"/>
        <w:spacing w:beforeLines="0" w:afterLines="0"/>
      </w:pPr>
      <w:bookmarkStart w:id="103" w:name="_Toc141284077"/>
      <w:r>
        <w:rPr>
          <w:rFonts w:hint="eastAsia"/>
        </w:rPr>
        <w:t>6</w:t>
      </w:r>
      <w:r>
        <w:t>.1</w:t>
      </w:r>
      <w:r>
        <w:rPr>
          <w:rFonts w:hint="eastAsia"/>
        </w:rPr>
        <w:t>环境风险因素调查</w:t>
      </w:r>
      <w:bookmarkEnd w:id="103"/>
    </w:p>
    <w:p>
      <w:pPr>
        <w:ind w:firstLine="480"/>
        <w:rPr>
          <w:highlight w:val="yellow"/>
        </w:rPr>
      </w:pPr>
      <w:r>
        <w:t>本工程投入使用后，其本身不会对外环境产生任何风险影响，风险主要体现在道路上行驶的车辆发生事故后可能对人群及周围环境产生影响，重点是危险品运输车辆发生事故后，危险品泄漏将会对人群健康产生危害。</w:t>
      </w:r>
    </w:p>
    <w:p>
      <w:pPr>
        <w:ind w:firstLine="480"/>
        <w:rPr>
          <w:bCs/>
        </w:rPr>
      </w:pPr>
      <w:r>
        <w:t>由于公路运输危险品品种较多，其危险的程度不一，因而交通事故的严重及危险程度也相差很大，故应对可能发生的危险品运输交通事故要进行具体分析。从发生事故的机率来讲，交通事故中一般事故占多数，重大事故次之，特大事故最少。就危险品运输车辆的交通事故而言，运送易爆、易燃品有毒、有害引发的交通事故，引起火灾爆炸，导致部分有毒、有害化学品污染环境。或者有毒、有害的危险品运输车辆冲入路边河道中或在大桥出现翻车，致使事故车掉入河中，从而使运送的固态危险品如氰化钾等有毒危险品及液体危险品如农药、汽油、硫酸等的泄漏而污染河流水质等。</w:t>
      </w:r>
    </w:p>
    <w:p>
      <w:pPr>
        <w:pStyle w:val="5"/>
        <w:spacing w:beforeLines="0" w:afterLines="0"/>
      </w:pPr>
      <w:bookmarkStart w:id="104" w:name="_Toc141284078"/>
      <w:r>
        <w:rPr>
          <w:rFonts w:hint="eastAsia"/>
        </w:rPr>
        <w:t>6</w:t>
      </w:r>
      <w:r>
        <w:t>.</w:t>
      </w:r>
      <w:r>
        <w:rPr>
          <w:rFonts w:hint="eastAsia"/>
        </w:rPr>
        <w:t>2危险品运输风险分析</w:t>
      </w:r>
      <w:bookmarkEnd w:id="104"/>
    </w:p>
    <w:p>
      <w:pPr>
        <w:pStyle w:val="204"/>
        <w:spacing w:line="480" w:lineRule="exact"/>
        <w:ind w:firstLine="0" w:firstLineChars="0"/>
        <w:outlineLvl w:val="2"/>
        <w:rPr>
          <w:b/>
          <w:sz w:val="28"/>
          <w:szCs w:val="28"/>
        </w:rPr>
      </w:pPr>
      <w:r>
        <w:rPr>
          <w:rFonts w:hint="eastAsia"/>
          <w:b/>
          <w:sz w:val="28"/>
          <w:szCs w:val="28"/>
        </w:rPr>
        <w:t>6</w:t>
      </w:r>
      <w:r>
        <w:rPr>
          <w:b/>
          <w:sz w:val="28"/>
          <w:szCs w:val="28"/>
        </w:rPr>
        <w:t>.</w:t>
      </w:r>
      <w:r>
        <w:rPr>
          <w:rFonts w:hint="eastAsia"/>
          <w:b/>
          <w:sz w:val="28"/>
          <w:szCs w:val="28"/>
        </w:rPr>
        <w:t>2</w:t>
      </w:r>
      <w:r>
        <w:rPr>
          <w:b/>
          <w:sz w:val="28"/>
          <w:szCs w:val="28"/>
        </w:rPr>
        <w:t>.</w:t>
      </w:r>
      <w:r>
        <w:rPr>
          <w:rFonts w:hint="eastAsia"/>
          <w:b/>
          <w:sz w:val="28"/>
          <w:szCs w:val="28"/>
        </w:rPr>
        <w:t>1危险品运输敏感路段筛选</w:t>
      </w:r>
    </w:p>
    <w:p>
      <w:pPr>
        <w:ind w:firstLine="480"/>
        <w:rPr>
          <w:bCs/>
        </w:rPr>
      </w:pPr>
      <w:r>
        <w:rPr>
          <w:rFonts w:hint="eastAsia"/>
        </w:rPr>
        <w:t>根据工可设计情况可知，</w:t>
      </w:r>
      <w:r>
        <w:t>沿线</w:t>
      </w:r>
      <w:r>
        <w:rPr>
          <w:rFonts w:hint="eastAsia"/>
        </w:rPr>
        <w:t>在K8+780~K10+000路段邻近</w:t>
      </w:r>
      <w:r>
        <w:rPr>
          <w:rFonts w:hAnsi="宋体"/>
        </w:rPr>
        <w:t>冷咀头河</w:t>
      </w:r>
      <w:r>
        <w:rPr>
          <w:rFonts w:hint="eastAsia"/>
        </w:rPr>
        <w:t>区段，需要考虑交通事故对</w:t>
      </w:r>
      <w:r>
        <w:rPr>
          <w:rFonts w:hAnsi="宋体"/>
        </w:rPr>
        <w:t>冷咀头河</w:t>
      </w:r>
      <w:r>
        <w:rPr>
          <w:rFonts w:hint="eastAsia"/>
        </w:rPr>
        <w:t>的影响</w:t>
      </w:r>
      <w:r>
        <w:t>。</w:t>
      </w:r>
      <w:r>
        <w:rPr>
          <w:rFonts w:hint="eastAsia"/>
        </w:rPr>
        <w:t>本项目设计多处桥梁，利旧路段在K0+310、K3+500、K4+700出均跨越清水河支流，新建路段在K10+147、K10+305、K11+325、K16+850分别用于跨越</w:t>
      </w:r>
      <w:r>
        <w:rPr>
          <w:rFonts w:hAnsi="宋体"/>
        </w:rPr>
        <w:t>清水河、沙河</w:t>
      </w:r>
      <w:r>
        <w:rPr>
          <w:rFonts w:hint="eastAsia"/>
        </w:rPr>
        <w:t>、黎河，应考虑到风险范围内。</w:t>
      </w:r>
    </w:p>
    <w:p>
      <w:pPr>
        <w:ind w:firstLine="480"/>
        <w:rPr>
          <w:bCs/>
        </w:rPr>
      </w:pPr>
      <w:r>
        <w:rPr>
          <w:bCs/>
        </w:rPr>
        <w:t>本项目</w:t>
      </w:r>
      <w:r>
        <w:rPr>
          <w:rFonts w:hint="eastAsia"/>
          <w:bCs/>
        </w:rPr>
        <w:t>紧邻</w:t>
      </w:r>
      <w:r>
        <w:rPr>
          <w:rFonts w:hAnsi="宋体"/>
        </w:rPr>
        <w:t>冷咀头河</w:t>
      </w:r>
      <w:r>
        <w:rPr>
          <w:rFonts w:hint="eastAsia"/>
          <w:bCs/>
        </w:rPr>
        <w:t>区段的具体分布情况</w:t>
      </w:r>
      <w:r>
        <w:rPr>
          <w:bCs/>
        </w:rPr>
        <w:t>见表</w:t>
      </w:r>
      <w:r>
        <w:rPr>
          <w:rFonts w:hint="eastAsia"/>
          <w:bCs/>
        </w:rPr>
        <w:t>6.2</w:t>
      </w:r>
      <w:r>
        <w:rPr>
          <w:bCs/>
        </w:rPr>
        <w:t>-1</w:t>
      </w:r>
      <w:r>
        <w:rPr>
          <w:rFonts w:hint="eastAsia"/>
          <w:bCs/>
        </w:rPr>
        <w:t>。</w:t>
      </w:r>
    </w:p>
    <w:p>
      <w:pPr>
        <w:adjustRightInd w:val="0"/>
        <w:snapToGrid w:val="0"/>
        <w:ind w:firstLine="0" w:firstLineChars="0"/>
        <w:jc w:val="center"/>
        <w:rPr>
          <w:b/>
          <w:sz w:val="21"/>
        </w:rPr>
      </w:pPr>
      <w:r>
        <w:rPr>
          <w:rFonts w:hint="eastAsia"/>
          <w:b/>
          <w:sz w:val="21"/>
        </w:rPr>
        <w:t>表6.2-1 本项目临近</w:t>
      </w:r>
      <w:r>
        <w:rPr>
          <w:b/>
          <w:sz w:val="21"/>
        </w:rPr>
        <w:t>冷咀头河</w:t>
      </w:r>
      <w:r>
        <w:rPr>
          <w:rFonts w:hint="eastAsia"/>
          <w:b/>
          <w:sz w:val="21"/>
        </w:rPr>
        <w:t>区段具体分布情况表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6"/>
        <w:gridCol w:w="3036"/>
        <w:gridCol w:w="29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99" w:type="pct"/>
            <w:vAlign w:val="center"/>
          </w:tcPr>
          <w:p>
            <w:pPr>
              <w:pStyle w:val="18"/>
              <w:spacing w:after="0" w:line="240" w:lineRule="auto"/>
              <w:ind w:firstLine="0" w:firstLineChars="0"/>
              <w:jc w:val="center"/>
              <w:rPr>
                <w:kern w:val="2"/>
                <w:sz w:val="21"/>
              </w:rPr>
            </w:pPr>
            <w:r>
              <w:rPr>
                <w:rStyle w:val="592"/>
                <w:rFonts w:ascii="Times New Roman" w:eastAsia="宋体" w:cs="Times New Roman"/>
                <w:spacing w:val="0"/>
                <w:kern w:val="2"/>
                <w:sz w:val="21"/>
                <w:szCs w:val="21"/>
                <w:lang w:val="zh-TW"/>
              </w:rPr>
              <w:t>桩段</w:t>
            </w:r>
          </w:p>
        </w:tc>
        <w:tc>
          <w:tcPr>
            <w:tcW w:w="1682" w:type="pct"/>
            <w:vAlign w:val="center"/>
          </w:tcPr>
          <w:p>
            <w:pPr>
              <w:pStyle w:val="18"/>
              <w:spacing w:after="0" w:line="240" w:lineRule="auto"/>
              <w:ind w:firstLine="0" w:firstLineChars="0"/>
              <w:jc w:val="center"/>
              <w:rPr>
                <w:kern w:val="2"/>
                <w:sz w:val="21"/>
              </w:rPr>
            </w:pPr>
            <w:r>
              <w:rPr>
                <w:rStyle w:val="592"/>
                <w:rFonts w:ascii="Times New Roman" w:eastAsia="宋体" w:cs="Times New Roman"/>
                <w:spacing w:val="0"/>
                <w:kern w:val="2"/>
                <w:sz w:val="21"/>
                <w:szCs w:val="21"/>
                <w:lang w:val="zh-TW"/>
              </w:rPr>
              <w:t>长度（m）</w:t>
            </w:r>
          </w:p>
        </w:tc>
        <w:tc>
          <w:tcPr>
            <w:tcW w:w="1619" w:type="pct"/>
            <w:vAlign w:val="center"/>
          </w:tcPr>
          <w:p>
            <w:pPr>
              <w:pStyle w:val="18"/>
              <w:spacing w:after="0" w:line="240" w:lineRule="auto"/>
              <w:ind w:firstLine="0" w:firstLineChars="0"/>
              <w:jc w:val="center"/>
              <w:rPr>
                <w:kern w:val="2"/>
                <w:sz w:val="21"/>
              </w:rPr>
            </w:pPr>
            <w:r>
              <w:rPr>
                <w:rStyle w:val="593"/>
                <w:rFonts w:ascii="Times New Roman" w:eastAsia="宋体" w:cs="Times New Roman"/>
                <w:b w:val="0"/>
                <w:spacing w:val="0"/>
                <w:kern w:val="2"/>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99" w:type="pct"/>
            <w:vAlign w:val="center"/>
          </w:tcPr>
          <w:p>
            <w:pPr>
              <w:pStyle w:val="18"/>
              <w:spacing w:after="0" w:line="240" w:lineRule="auto"/>
              <w:ind w:firstLine="0" w:firstLineChars="0"/>
              <w:jc w:val="center"/>
              <w:rPr>
                <w:kern w:val="2"/>
                <w:sz w:val="21"/>
              </w:rPr>
            </w:pPr>
            <w:r>
              <w:rPr>
                <w:rFonts w:hint="eastAsia"/>
              </w:rPr>
              <w:t>K8+780~K10+000</w:t>
            </w:r>
          </w:p>
        </w:tc>
        <w:tc>
          <w:tcPr>
            <w:tcW w:w="1682" w:type="pct"/>
            <w:vAlign w:val="center"/>
          </w:tcPr>
          <w:p>
            <w:pPr>
              <w:pStyle w:val="18"/>
              <w:spacing w:after="0" w:line="240" w:lineRule="auto"/>
              <w:ind w:firstLine="0" w:firstLineChars="0"/>
              <w:jc w:val="center"/>
              <w:rPr>
                <w:kern w:val="2"/>
                <w:sz w:val="21"/>
              </w:rPr>
            </w:pPr>
            <w:r>
              <w:rPr>
                <w:rFonts w:hint="eastAsia"/>
                <w:kern w:val="2"/>
                <w:sz w:val="21"/>
              </w:rPr>
              <w:t>1220</w:t>
            </w:r>
          </w:p>
        </w:tc>
        <w:tc>
          <w:tcPr>
            <w:tcW w:w="1619" w:type="pct"/>
            <w:vAlign w:val="center"/>
          </w:tcPr>
          <w:p>
            <w:pPr>
              <w:pStyle w:val="18"/>
              <w:spacing w:after="0" w:line="240" w:lineRule="auto"/>
              <w:ind w:firstLine="0" w:firstLineChars="0"/>
              <w:jc w:val="center"/>
              <w:rPr>
                <w:kern w:val="2"/>
                <w:sz w:val="21"/>
              </w:rPr>
            </w:pPr>
            <w:r>
              <w:rPr>
                <w:rFonts w:hint="eastAsia"/>
                <w:kern w:val="2"/>
                <w:sz w:val="21"/>
              </w:rPr>
              <w:t>邻近</w:t>
            </w:r>
            <w:r>
              <w:rPr>
                <w:kern w:val="2"/>
                <w:sz w:val="21"/>
              </w:rPr>
              <w:t>冷咀头河东岸</w:t>
            </w:r>
          </w:p>
        </w:tc>
      </w:tr>
    </w:tbl>
    <w:p>
      <w:pPr>
        <w:ind w:firstLine="480"/>
        <w:rPr>
          <w:bCs/>
        </w:rPr>
      </w:pPr>
      <w:r>
        <w:rPr>
          <w:rFonts w:hint="eastAsia"/>
          <w:bCs/>
        </w:rPr>
        <w:t>本项目桥梁设置情况见表6.2-2。</w:t>
      </w:r>
    </w:p>
    <w:p>
      <w:pPr>
        <w:adjustRightInd w:val="0"/>
        <w:snapToGrid w:val="0"/>
        <w:ind w:firstLine="0" w:firstLineChars="0"/>
        <w:jc w:val="center"/>
        <w:rPr>
          <w:b/>
          <w:sz w:val="21"/>
        </w:rPr>
      </w:pPr>
      <w:r>
        <w:rPr>
          <w:rFonts w:hint="eastAsia"/>
          <w:b/>
          <w:sz w:val="21"/>
        </w:rPr>
        <w:t>表6.2-2本项目桥梁设置情况一览表</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1924"/>
        <w:gridCol w:w="2867"/>
        <w:gridCol w:w="2022"/>
        <w:gridCol w:w="2193"/>
        <w:gridCol w:w="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中心桩号</w:t>
            </w:r>
          </w:p>
        </w:tc>
        <w:tc>
          <w:tcPr>
            <w:tcW w:w="1587"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桥名</w:t>
            </w:r>
          </w:p>
        </w:tc>
        <w:tc>
          <w:tcPr>
            <w:tcW w:w="111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桥长（</w:t>
            </w:r>
            <w:r>
              <w:rPr>
                <w:rStyle w:val="688"/>
                <w:rFonts w:ascii="Times New Roman" w:hAnsi="Times New Roman" w:eastAsia="宋体" w:cs="Times New Roman"/>
                <w:color w:val="auto"/>
                <w:sz w:val="21"/>
                <w:szCs w:val="21"/>
                <w:shd w:val="clear" w:color="auto" w:fill="FFFFFF"/>
                <w:lang w:val="zh-TW"/>
              </w:rPr>
              <w:t>m)</w:t>
            </w:r>
          </w:p>
        </w:tc>
        <w:tc>
          <w:tcPr>
            <w:tcW w:w="1214"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Style w:val="689"/>
                <w:rFonts w:ascii="Times New Roman" w:hAnsi="Times New Roman" w:eastAsia="宋体"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cs="Times New Roman"/>
                <w:sz w:val="21"/>
                <w:szCs w:val="21"/>
              </w:rPr>
              <w:t>K0+310</w:t>
            </w:r>
          </w:p>
        </w:tc>
        <w:tc>
          <w:tcPr>
            <w:tcW w:w="1587"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11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8"/>
                <w:rFonts w:ascii="Times New Roman" w:hAnsi="Times New Roman" w:eastAsia="宋体" w:cs="Times New Roman"/>
                <w:color w:val="auto"/>
                <w:sz w:val="21"/>
                <w:szCs w:val="21"/>
              </w:rPr>
              <w:t>18</w:t>
            </w:r>
          </w:p>
        </w:tc>
        <w:tc>
          <w:tcPr>
            <w:tcW w:w="1214" w:type="pct"/>
            <w:shd w:val="clear" w:color="auto" w:fill="FFFFFF"/>
            <w:vAlign w:val="center"/>
          </w:tcPr>
          <w:p>
            <w:pPr>
              <w:pStyle w:val="685"/>
              <w:shd w:val="clear" w:color="auto" w:fill="auto"/>
              <w:spacing w:line="240" w:lineRule="auto"/>
              <w:ind w:firstLine="0"/>
              <w:jc w:val="center"/>
              <w:rPr>
                <w:rFonts w:ascii="Times New Roman" w:hAnsi="Times New Roman" w:cs="Times New Roman" w:eastAsiaTheme="minorEastAsia"/>
                <w:sz w:val="21"/>
                <w:szCs w:val="21"/>
              </w:rPr>
            </w:pPr>
            <w:r>
              <w:rPr>
                <w:rStyle w:val="689"/>
                <w:rFonts w:ascii="Times New Roman" w:cs="Times New Roman" w:eastAsiaTheme="minorEastAsia"/>
                <w:color w:val="auto"/>
              </w:rPr>
              <w:t>小桥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cs="Times New Roman"/>
                <w:sz w:val="21"/>
                <w:szCs w:val="21"/>
              </w:rPr>
              <w:t>K3+500</w:t>
            </w:r>
          </w:p>
        </w:tc>
        <w:tc>
          <w:tcPr>
            <w:tcW w:w="1587"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11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8"/>
                <w:rFonts w:ascii="Times New Roman" w:hAnsi="Times New Roman" w:eastAsia="宋体" w:cs="Times New Roman"/>
                <w:color w:val="auto"/>
                <w:sz w:val="21"/>
                <w:szCs w:val="21"/>
              </w:rPr>
              <w:t>17</w:t>
            </w:r>
          </w:p>
        </w:tc>
        <w:tc>
          <w:tcPr>
            <w:tcW w:w="1214"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9"/>
                <w:rFonts w:ascii="Times New Roman" w:cs="Times New Roman" w:eastAsiaTheme="minorEastAsia"/>
                <w:color w:val="auto"/>
              </w:rPr>
              <w:t>小桥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cs="Times New Roman"/>
                <w:sz w:val="21"/>
                <w:szCs w:val="21"/>
              </w:rPr>
              <w:t>K4+700</w:t>
            </w:r>
          </w:p>
        </w:tc>
        <w:tc>
          <w:tcPr>
            <w:tcW w:w="1587"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11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8"/>
                <w:rFonts w:ascii="Times New Roman" w:hAnsi="Times New Roman" w:eastAsia="宋体" w:cs="Times New Roman"/>
                <w:color w:val="auto"/>
                <w:sz w:val="21"/>
                <w:szCs w:val="21"/>
              </w:rPr>
              <w:t>83</w:t>
            </w:r>
          </w:p>
        </w:tc>
        <w:tc>
          <w:tcPr>
            <w:tcW w:w="1214"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9"/>
                <w:rFonts w:ascii="Times New Roman" w:hAnsi="Times New Roman" w:eastAsia="宋体" w:cs="Times New Roman"/>
                <w:color w:val="auto"/>
              </w:rPr>
              <w:t>中桥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K10+147</w:t>
            </w:r>
          </w:p>
        </w:tc>
        <w:tc>
          <w:tcPr>
            <w:tcW w:w="15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武庄子村中桥</w:t>
            </w:r>
          </w:p>
        </w:tc>
        <w:tc>
          <w:tcPr>
            <w:tcW w:w="1119"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ascii="Times New Roman" w:hAnsi="Times New Roman" w:eastAsia="宋体" w:cs="Times New Roman"/>
                <w:color w:val="auto"/>
                <w:sz w:val="21"/>
                <w:szCs w:val="21"/>
              </w:rPr>
              <w:t>65</w:t>
            </w:r>
          </w:p>
        </w:tc>
        <w:tc>
          <w:tcPr>
            <w:tcW w:w="1214"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9"/>
                <w:rFonts w:ascii="Times New Roman" w:hAnsi="Times New Roman" w:eastAsia="宋体" w:cs="Times New Roman"/>
                <w:color w:val="auto"/>
              </w:rPr>
              <w:t>中桥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K10+305</w:t>
            </w:r>
          </w:p>
        </w:tc>
        <w:tc>
          <w:tcPr>
            <w:tcW w:w="15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清水河大桥</w:t>
            </w:r>
          </w:p>
        </w:tc>
        <w:tc>
          <w:tcPr>
            <w:tcW w:w="1119"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ascii="Times New Roman" w:hAnsi="Times New Roman" w:eastAsia="宋体" w:cs="Times New Roman"/>
                <w:color w:val="auto"/>
                <w:sz w:val="21"/>
                <w:szCs w:val="21"/>
              </w:rPr>
              <w:t>125</w:t>
            </w:r>
          </w:p>
        </w:tc>
        <w:tc>
          <w:tcPr>
            <w:tcW w:w="1214" w:type="pct"/>
            <w:vMerge w:val="restar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eastAsia="宋体" w:cs="Times New Roman"/>
                <w:sz w:val="21"/>
                <w:szCs w:val="21"/>
              </w:rPr>
              <w:t>大桥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cs="Times New Roman"/>
                <w:sz w:val="21"/>
                <w:szCs w:val="21"/>
              </w:rPr>
            </w:pPr>
            <w:r>
              <w:rPr>
                <w:rFonts w:ascii="Times New Roman" w:hAnsi="Times New Roman" w:cs="Times New Roman"/>
                <w:sz w:val="21"/>
                <w:szCs w:val="21"/>
              </w:rPr>
              <w:t>K11+325</w:t>
            </w:r>
          </w:p>
        </w:tc>
        <w:tc>
          <w:tcPr>
            <w:tcW w:w="15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沙河大桥</w:t>
            </w:r>
          </w:p>
        </w:tc>
        <w:tc>
          <w:tcPr>
            <w:tcW w:w="1119"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ascii="Times New Roman" w:hAnsi="Times New Roman" w:eastAsia="宋体" w:cs="Times New Roman"/>
                <w:color w:val="auto"/>
                <w:sz w:val="21"/>
                <w:szCs w:val="21"/>
              </w:rPr>
              <w:t>145</w:t>
            </w:r>
          </w:p>
        </w:tc>
        <w:tc>
          <w:tcPr>
            <w:tcW w:w="1214" w:type="pct"/>
            <w:vMerge w:val="continue"/>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gridAfter w:val="1"/>
          <w:wAfter w:w="15" w:type="pct"/>
          <w:trHeight w:val="397" w:hRule="atLeast"/>
        </w:trPr>
        <w:tc>
          <w:tcPr>
            <w:tcW w:w="1065"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cs="Times New Roman"/>
                <w:sz w:val="21"/>
                <w:szCs w:val="21"/>
              </w:rPr>
              <w:t>K16+850</w:t>
            </w:r>
          </w:p>
        </w:tc>
        <w:tc>
          <w:tcPr>
            <w:tcW w:w="1587"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r>
              <w:rPr>
                <w:rFonts w:ascii="Times New Roman" w:hAnsi="Times New Roman" w:eastAsia="宋体" w:cs="Times New Roman"/>
                <w:sz w:val="21"/>
                <w:szCs w:val="21"/>
                <w:shd w:val="clear" w:color="auto" w:fill="FFFFFF"/>
                <w:lang w:val="zh-TW"/>
              </w:rPr>
              <w:t>黎河大桥</w:t>
            </w:r>
          </w:p>
        </w:tc>
        <w:tc>
          <w:tcPr>
            <w:tcW w:w="1119" w:type="pct"/>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Style w:val="688"/>
                <w:rFonts w:ascii="Times New Roman" w:hAnsi="Times New Roman" w:eastAsia="宋体" w:cs="Times New Roman"/>
                <w:color w:val="auto"/>
                <w:sz w:val="21"/>
                <w:szCs w:val="21"/>
              </w:rPr>
              <w:t>247</w:t>
            </w:r>
          </w:p>
        </w:tc>
        <w:tc>
          <w:tcPr>
            <w:tcW w:w="1214" w:type="pct"/>
            <w:vMerge w:val="continue"/>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shd w:val="clear" w:color="auto" w:fill="FFFFFF"/>
                <w:lang w:val="zh-T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trPr>
        <w:tc>
          <w:tcPr>
            <w:tcW w:w="1065"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ascii="Times New Roman" w:hAnsi="Times New Roman" w:eastAsia="宋体" w:cs="Times New Roman"/>
                <w:color w:val="auto"/>
                <w:sz w:val="21"/>
                <w:szCs w:val="21"/>
              </w:rPr>
              <w:t>合计</w:t>
            </w:r>
          </w:p>
        </w:tc>
        <w:tc>
          <w:tcPr>
            <w:tcW w:w="1587" w:type="pct"/>
            <w:shd w:val="clear" w:color="auto" w:fill="FFFFFF"/>
            <w:vAlign w:val="center"/>
          </w:tcPr>
          <w:p>
            <w:pPr>
              <w:pStyle w:val="685"/>
              <w:shd w:val="clear" w:color="auto" w:fill="auto"/>
              <w:spacing w:line="240" w:lineRule="auto"/>
              <w:ind w:firstLine="0"/>
              <w:jc w:val="center"/>
              <w:rPr>
                <w:rStyle w:val="689"/>
                <w:rFonts w:ascii="Times New Roman" w:hAnsi="Times New Roman" w:eastAsia="宋体" w:cs="Times New Roman"/>
                <w:color w:val="auto"/>
              </w:rPr>
            </w:pPr>
            <w:r>
              <w:rPr>
                <w:rStyle w:val="689"/>
                <w:rFonts w:ascii="Times New Roman" w:hAnsi="Times New Roman" w:eastAsia="宋体" w:cs="Times New Roman"/>
                <w:color w:val="auto"/>
              </w:rPr>
              <w:t>/</w:t>
            </w:r>
          </w:p>
        </w:tc>
        <w:tc>
          <w:tcPr>
            <w:tcW w:w="1119" w:type="pct"/>
            <w:shd w:val="clear" w:color="auto" w:fill="FFFFFF"/>
            <w:vAlign w:val="center"/>
          </w:tcPr>
          <w:p>
            <w:pPr>
              <w:pStyle w:val="685"/>
              <w:shd w:val="clear" w:color="auto" w:fill="auto"/>
              <w:spacing w:line="240" w:lineRule="auto"/>
              <w:ind w:firstLine="0"/>
              <w:jc w:val="center"/>
              <w:rPr>
                <w:rStyle w:val="688"/>
                <w:rFonts w:ascii="Times New Roman" w:hAnsi="Times New Roman" w:eastAsia="宋体" w:cs="Times New Roman"/>
                <w:color w:val="auto"/>
                <w:sz w:val="21"/>
                <w:szCs w:val="21"/>
              </w:rPr>
            </w:pPr>
            <w:r>
              <w:rPr>
                <w:rStyle w:val="688"/>
                <w:rFonts w:hint="eastAsia" w:ascii="Times New Roman" w:hAnsi="Times New Roman" w:eastAsia="宋体" w:cs="Times New Roman"/>
                <w:color w:val="auto"/>
                <w:sz w:val="21"/>
                <w:szCs w:val="21"/>
              </w:rPr>
              <w:t>700</w:t>
            </w:r>
          </w:p>
        </w:tc>
        <w:tc>
          <w:tcPr>
            <w:tcW w:w="1229" w:type="pct"/>
            <w:gridSpan w:val="2"/>
            <w:shd w:val="clear" w:color="auto" w:fill="FFFFFF"/>
            <w:vAlign w:val="center"/>
          </w:tcPr>
          <w:p>
            <w:pPr>
              <w:pStyle w:val="685"/>
              <w:shd w:val="clear" w:color="auto" w:fill="auto"/>
              <w:spacing w:line="240" w:lineRule="auto"/>
              <w:ind w:firstLine="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r>
    </w:tbl>
    <w:p>
      <w:pPr>
        <w:pStyle w:val="204"/>
        <w:spacing w:line="480" w:lineRule="exact"/>
        <w:ind w:firstLine="0" w:firstLineChars="0"/>
        <w:outlineLvl w:val="2"/>
        <w:rPr>
          <w:b/>
          <w:sz w:val="28"/>
          <w:szCs w:val="28"/>
        </w:rPr>
      </w:pPr>
      <w:r>
        <w:rPr>
          <w:rFonts w:hint="eastAsia"/>
          <w:b/>
          <w:sz w:val="28"/>
          <w:szCs w:val="28"/>
        </w:rPr>
        <w:t>6.2</w:t>
      </w:r>
      <w:r>
        <w:rPr>
          <w:b/>
          <w:sz w:val="28"/>
          <w:szCs w:val="28"/>
        </w:rPr>
        <w:t>.</w:t>
      </w:r>
      <w:r>
        <w:rPr>
          <w:rFonts w:hint="eastAsia"/>
          <w:b/>
          <w:sz w:val="28"/>
          <w:szCs w:val="28"/>
        </w:rPr>
        <w:t>2危险化学品运输交通事故概率计算</w:t>
      </w:r>
    </w:p>
    <w:p>
      <w:pPr>
        <w:ind w:firstLine="480"/>
        <w:rPr>
          <w:bCs/>
        </w:rPr>
      </w:pPr>
      <w:r>
        <w:rPr>
          <w:bCs/>
        </w:rPr>
        <w:t>本评价对公路跨桥梁在运输过程中的事故概率按以下经验公式来计算：</w:t>
      </w:r>
    </w:p>
    <w:p>
      <w:pPr>
        <w:spacing w:before="72" w:beforeLines="30" w:line="240" w:lineRule="auto"/>
        <w:ind w:firstLine="0" w:firstLineChars="0"/>
        <w:jc w:val="center"/>
        <w:rPr>
          <w:bCs/>
        </w:rPr>
      </w:pPr>
      <m:oMathPara>
        <m:oMath>
          <m:r>
            <m:rPr>
              <m:sty m:val="p"/>
            </m:rPr>
            <w:rPr>
              <w:rFonts w:ascii="Cambria Math"/>
            </w:rPr>
            <m:t>P=</m:t>
          </m:r>
          <m:nary>
            <m:naryPr>
              <m:chr m:val="∑"/>
              <m:limLoc m:val="undOvr"/>
              <m:ctrlPr>
                <w:rPr>
                  <w:rFonts w:ascii="Cambria Math" w:hAnsi="Cambria Math"/>
                  <w:bCs/>
                </w:rPr>
              </m:ctrlPr>
            </m:naryPr>
            <m:sub>
              <m:r>
                <m:rPr>
                  <m:sty m:val="p"/>
                </m:rPr>
                <w:rPr>
                  <w:rFonts w:ascii="Cambria Math"/>
                </w:rPr>
                <m:t>i=1</m:t>
              </m:r>
              <m:ctrlPr>
                <w:rPr>
                  <w:rFonts w:ascii="Cambria Math" w:hAnsi="Cambria Math"/>
                  <w:bCs/>
                </w:rPr>
              </m:ctrlPr>
            </m:sub>
            <m:sup>
              <m:r>
                <m:rPr>
                  <m:sty m:val="p"/>
                </m:rPr>
                <w:rPr>
                  <w:rFonts w:ascii="Cambria Math"/>
                </w:rPr>
                <m:t>n</m:t>
              </m:r>
              <m:ctrlPr>
                <w:rPr>
                  <w:rFonts w:ascii="Cambria Math" w:hAnsi="Cambria Math"/>
                  <w:bCs/>
                </w:rPr>
              </m:ctrlPr>
            </m:sup>
            <m:e>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i</m:t>
                  </m:r>
                  <m:ctrlPr>
                    <w:rPr>
                      <w:rFonts w:ascii="Cambria Math" w:hAnsi="Cambria Math"/>
                      <w:bCs/>
                    </w:rPr>
                  </m:ctrlPr>
                </m:sub>
              </m:sSub>
              <m:ctrlPr>
                <w:rPr>
                  <w:rFonts w:ascii="Cambria Math" w:hAnsi="Cambria Math"/>
                  <w:bCs/>
                </w:rPr>
              </m:ctrlPr>
            </m:e>
          </m:nary>
          <m:r>
            <m:rPr>
              <m:sty m:val="p"/>
            </m:rPr>
            <w:rPr>
              <w:rFonts w:ascii="Cambria Math"/>
            </w:rPr>
            <m:t>=</m:t>
          </m:r>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1</m:t>
              </m:r>
              <m:ctrlPr>
                <w:rPr>
                  <w:rFonts w:ascii="Cambria Math" w:hAnsi="Cambria Math"/>
                  <w:bCs/>
                </w:rPr>
              </m:ctrlPr>
            </m:sub>
          </m:sSub>
          <m:r>
            <m:rPr>
              <m:sty m:val="p"/>
            </m:rPr>
            <w:rPr>
              <w:rFonts w:ascii="Cambria Math" w:hAnsi="Cambria Math"/>
            </w:rPr>
            <m:t>×</m:t>
          </m:r>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2</m:t>
              </m:r>
              <m:ctrlPr>
                <w:rPr>
                  <w:rFonts w:ascii="Cambria Math" w:hAnsi="Cambria Math"/>
                  <w:bCs/>
                </w:rPr>
              </m:ctrlPr>
            </m:sub>
          </m:sSub>
          <m:r>
            <m:rPr>
              <m:sty m:val="p"/>
            </m:rPr>
            <w:rPr>
              <w:rFonts w:ascii="Cambria Math" w:hAnsi="Cambria Math"/>
            </w:rPr>
            <m:t>×</m:t>
          </m:r>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3</m:t>
              </m:r>
              <m:ctrlPr>
                <w:rPr>
                  <w:rFonts w:ascii="Cambria Math" w:hAnsi="Cambria Math"/>
                  <w:bCs/>
                </w:rPr>
              </m:ctrlPr>
            </m:sub>
          </m:sSub>
          <m:r>
            <m:rPr>
              <m:sty m:val="p"/>
            </m:rPr>
            <w:rPr>
              <w:rFonts w:ascii="Cambria Math" w:hAnsi="Cambria Math"/>
            </w:rPr>
            <m:t>×</m:t>
          </m:r>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4</m:t>
              </m:r>
              <m:ctrlPr>
                <w:rPr>
                  <w:rFonts w:ascii="Cambria Math" w:hAnsi="Cambria Math"/>
                  <w:bCs/>
                </w:rPr>
              </m:ctrlPr>
            </m:sub>
          </m:sSub>
          <m:r>
            <m:rPr>
              <m:sty m:val="p"/>
            </m:rPr>
            <w:rPr>
              <w:rFonts w:ascii="Cambria Math" w:hAnsi="Cambria Math"/>
            </w:rPr>
            <m:t>×</m:t>
          </m:r>
          <m:sSub>
            <m:sSubPr>
              <m:ctrlPr>
                <w:rPr>
                  <w:rFonts w:ascii="Cambria Math" w:hAnsi="Cambria Math"/>
                  <w:bCs/>
                </w:rPr>
              </m:ctrlPr>
            </m:sSubPr>
            <m:e>
              <m:r>
                <m:rPr>
                  <m:sty m:val="p"/>
                </m:rPr>
                <w:rPr>
                  <w:rFonts w:ascii="Cambria Math"/>
                </w:rPr>
                <m:t>Q</m:t>
              </m:r>
              <m:ctrlPr>
                <w:rPr>
                  <w:rFonts w:ascii="Cambria Math" w:hAnsi="Cambria Math"/>
                  <w:bCs/>
                </w:rPr>
              </m:ctrlPr>
            </m:e>
            <m:sub>
              <m:r>
                <m:rPr>
                  <m:sty m:val="p"/>
                </m:rPr>
                <w:rPr>
                  <w:rFonts w:ascii="Cambria Math"/>
                </w:rPr>
                <m:t>5</m:t>
              </m:r>
              <m:ctrlPr>
                <w:rPr>
                  <w:rFonts w:ascii="Cambria Math" w:hAnsi="Cambria Math"/>
                  <w:bCs/>
                </w:rPr>
              </m:ctrlPr>
            </m:sub>
          </m:sSub>
        </m:oMath>
      </m:oMathPara>
    </w:p>
    <w:p>
      <w:pPr>
        <w:ind w:firstLine="480"/>
        <w:rPr>
          <w:bCs/>
        </w:rPr>
      </w:pPr>
      <w:r>
        <w:rPr>
          <w:bCs/>
        </w:rPr>
        <w:t>式中：</w:t>
      </w:r>
    </w:p>
    <w:p>
      <w:pPr>
        <w:ind w:firstLine="960" w:firstLineChars="400"/>
        <w:rPr>
          <w:bCs/>
        </w:rPr>
      </w:pPr>
      <w:r>
        <w:rPr>
          <w:bCs/>
        </w:rPr>
        <w:t>P—预测年跨桥路段发生化学品事故风险的概率，次/年；</w:t>
      </w:r>
    </w:p>
    <w:p>
      <w:pPr>
        <w:ind w:firstLine="960" w:firstLineChars="400"/>
        <w:rPr>
          <w:bCs/>
        </w:rPr>
      </w:pPr>
      <w:r>
        <w:rPr>
          <w:bCs/>
        </w:rPr>
        <w:t>Q</w:t>
      </w:r>
      <w:r>
        <w:rPr>
          <w:bCs/>
          <w:vertAlign w:val="subscript"/>
        </w:rPr>
        <w:t>1</w:t>
      </w:r>
      <w:r>
        <w:rPr>
          <w:bCs/>
        </w:rPr>
        <w:t>—该路段目前车辆交通事故概率（次/年），根据该地区的调研资料，事故概率取为12；</w:t>
      </w:r>
    </w:p>
    <w:p>
      <w:pPr>
        <w:ind w:firstLine="960" w:firstLineChars="400"/>
        <w:rPr>
          <w:bCs/>
        </w:rPr>
      </w:pPr>
      <w:r>
        <w:rPr>
          <w:bCs/>
        </w:rPr>
        <w:t>Q</w:t>
      </w:r>
      <w:r>
        <w:rPr>
          <w:bCs/>
          <w:vertAlign w:val="subscript"/>
        </w:rPr>
        <w:t>2</w:t>
      </w:r>
      <w:r>
        <w:rPr>
          <w:bCs/>
        </w:rPr>
        <w:t>—危险品车辆占货车比例（%），根据该项目工可调查分析，运输石油类、化学工业品车辆占整个货运车辆的3%；</w:t>
      </w:r>
    </w:p>
    <w:p>
      <w:pPr>
        <w:ind w:firstLine="960" w:firstLineChars="400"/>
        <w:rPr>
          <w:bCs/>
        </w:rPr>
      </w:pPr>
      <w:r>
        <w:rPr>
          <w:bCs/>
        </w:rPr>
        <w:t>Q</w:t>
      </w:r>
      <w:r>
        <w:rPr>
          <w:bCs/>
          <w:vertAlign w:val="subscript"/>
        </w:rPr>
        <w:t>3</w:t>
      </w:r>
      <w:r>
        <w:rPr>
          <w:bCs/>
        </w:rPr>
        <w:t>—货车占交通量的比例（%），根据该项目工可调查，项目货车比例为</w:t>
      </w:r>
      <w:r>
        <w:rPr>
          <w:rFonts w:hint="eastAsia"/>
          <w:bCs/>
        </w:rPr>
        <w:t>按58.51</w:t>
      </w:r>
      <w:r>
        <w:rPr>
          <w:bCs/>
        </w:rPr>
        <w:t>%</w:t>
      </w:r>
      <w:r>
        <w:rPr>
          <w:rFonts w:hint="eastAsia"/>
          <w:bCs/>
        </w:rPr>
        <w:t>计</w:t>
      </w:r>
      <w:r>
        <w:rPr>
          <w:bCs/>
        </w:rPr>
        <w:t>；</w:t>
      </w:r>
    </w:p>
    <w:p>
      <w:pPr>
        <w:ind w:firstLine="960" w:firstLineChars="400"/>
        <w:rPr>
          <w:bCs/>
        </w:rPr>
      </w:pPr>
      <w:r>
        <w:rPr>
          <w:bCs/>
        </w:rPr>
        <w:t>Q</w:t>
      </w:r>
      <w:r>
        <w:rPr>
          <w:bCs/>
          <w:vertAlign w:val="subscript"/>
        </w:rPr>
        <w:t>4</w:t>
      </w:r>
      <w:r>
        <w:rPr>
          <w:bCs/>
        </w:rPr>
        <w:t>—桥梁路段长度占全路段长度的比例，单位%；</w:t>
      </w:r>
    </w:p>
    <w:p>
      <w:pPr>
        <w:ind w:firstLine="960" w:firstLineChars="400"/>
        <w:rPr>
          <w:bCs/>
        </w:rPr>
      </w:pPr>
      <w:r>
        <w:rPr>
          <w:bCs/>
        </w:rPr>
        <w:t>Q</w:t>
      </w:r>
      <w:r>
        <w:rPr>
          <w:bCs/>
          <w:vertAlign w:val="subscript"/>
        </w:rPr>
        <w:t>5</w:t>
      </w:r>
      <w:r>
        <w:rPr>
          <w:bCs/>
        </w:rPr>
        <w:t>—车辆相撞翻车等重大事故占一般事故的比率（%），根据其它地区的类比资料，取12%。</w:t>
      </w:r>
    </w:p>
    <w:p>
      <w:pPr>
        <w:adjustRightInd w:val="0"/>
        <w:snapToGrid w:val="0"/>
        <w:ind w:firstLine="0" w:firstLineChars="0"/>
        <w:jc w:val="center"/>
        <w:rPr>
          <w:b/>
          <w:sz w:val="21"/>
        </w:rPr>
      </w:pPr>
      <w:r>
        <w:rPr>
          <w:b/>
          <w:sz w:val="21"/>
        </w:rPr>
        <w:t>表</w:t>
      </w:r>
      <w:r>
        <w:rPr>
          <w:rFonts w:hint="eastAsia"/>
          <w:b/>
          <w:sz w:val="21"/>
        </w:rPr>
        <w:t>6.2-3</w:t>
      </w:r>
      <w:r>
        <w:rPr>
          <w:b/>
          <w:sz w:val="21"/>
        </w:rPr>
        <w:tab/>
      </w:r>
      <w:r>
        <w:rPr>
          <w:b/>
          <w:sz w:val="21"/>
        </w:rPr>
        <w:t>沿线敏感路段发生化学品事故概率预测</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996"/>
        <w:gridCol w:w="2996"/>
        <w:gridCol w:w="30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0" w:type="pct"/>
            <w:vAlign w:val="center"/>
          </w:tcPr>
          <w:p>
            <w:pPr>
              <w:pStyle w:val="675"/>
              <w:jc w:val="center"/>
              <w:rPr>
                <w:rFonts w:ascii="Times New Roman" w:hAnsi="Times New Roman" w:eastAsia="Times New Roman" w:cs="Times New Roman"/>
                <w:sz w:val="21"/>
                <w:szCs w:val="21"/>
              </w:rPr>
            </w:pPr>
            <w:r>
              <w:rPr>
                <w:rFonts w:hint="eastAsia"/>
                <w:bCs/>
                <w:sz w:val="21"/>
                <w:szCs w:val="21"/>
                <w:lang w:eastAsia="zh-CN"/>
              </w:rPr>
              <w:t>危险区段</w:t>
            </w:r>
            <w:r>
              <w:rPr>
                <w:bCs/>
                <w:sz w:val="21"/>
                <w:szCs w:val="21"/>
              </w:rPr>
              <w:t>总长</w:t>
            </w:r>
            <w:r>
              <w:rPr>
                <w:rFonts w:ascii="Times New Roman" w:hAnsi="Times New Roman" w:eastAsia="Times New Roman" w:cs="Times New Roman"/>
                <w:bCs/>
                <w:sz w:val="21"/>
                <w:szCs w:val="21"/>
              </w:rPr>
              <w:t>(m)</w:t>
            </w:r>
          </w:p>
        </w:tc>
        <w:tc>
          <w:tcPr>
            <w:tcW w:w="1660" w:type="pct"/>
            <w:vAlign w:val="center"/>
          </w:tcPr>
          <w:p>
            <w:pPr>
              <w:pStyle w:val="675"/>
              <w:jc w:val="center"/>
              <w:rPr>
                <w:sz w:val="21"/>
                <w:szCs w:val="21"/>
              </w:rPr>
            </w:pPr>
            <w:r>
              <w:rPr>
                <w:bCs/>
                <w:sz w:val="21"/>
                <w:szCs w:val="21"/>
              </w:rPr>
              <w:t>占全线的比例（</w:t>
            </w:r>
            <w:r>
              <w:rPr>
                <w:rFonts w:ascii="Times New Roman" w:hAnsi="Times New Roman" w:eastAsia="Times New Roman" w:cs="Times New Roman"/>
                <w:bCs/>
                <w:sz w:val="21"/>
                <w:szCs w:val="21"/>
              </w:rPr>
              <w:t>%</w:t>
            </w:r>
            <w:r>
              <w:rPr>
                <w:bCs/>
                <w:sz w:val="21"/>
                <w:szCs w:val="21"/>
              </w:rPr>
              <w:t>）</w:t>
            </w:r>
          </w:p>
        </w:tc>
        <w:tc>
          <w:tcPr>
            <w:tcW w:w="1681" w:type="pct"/>
            <w:vAlign w:val="center"/>
          </w:tcPr>
          <w:p>
            <w:pPr>
              <w:pStyle w:val="675"/>
              <w:jc w:val="center"/>
              <w:rPr>
                <w:sz w:val="21"/>
                <w:szCs w:val="21"/>
                <w:lang w:eastAsia="zh-CN"/>
              </w:rPr>
            </w:pPr>
            <w:r>
              <w:rPr>
                <w:bCs/>
                <w:sz w:val="21"/>
                <w:szCs w:val="21"/>
                <w:lang w:eastAsia="zh-CN"/>
              </w:rPr>
              <w:t>风险事故概率（次</w:t>
            </w:r>
            <w:r>
              <w:rPr>
                <w:rFonts w:ascii="Times New Roman" w:hAnsi="Times New Roman" w:eastAsia="Times New Roman" w:cs="Times New Roman"/>
                <w:bCs/>
                <w:sz w:val="21"/>
                <w:szCs w:val="21"/>
                <w:lang w:eastAsia="zh-CN"/>
              </w:rPr>
              <w:t>/</w:t>
            </w:r>
            <w:r>
              <w:rPr>
                <w:bCs/>
                <w:sz w:val="21"/>
                <w:szCs w:val="21"/>
                <w:lang w:eastAsia="zh-CN"/>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660" w:type="pct"/>
            <w:vAlign w:val="center"/>
          </w:tcPr>
          <w:p>
            <w:pPr>
              <w:pStyle w:val="675"/>
              <w:jc w:val="center"/>
              <w:rPr>
                <w:rFonts w:ascii="Times New Roman" w:hAnsi="Times New Roman" w:eastAsia="Times New Roman" w:cs="Times New Roman"/>
                <w:sz w:val="21"/>
                <w:szCs w:val="21"/>
                <w:lang w:eastAsia="zh-CN"/>
              </w:rPr>
            </w:pPr>
            <w:r>
              <w:rPr>
                <w:rFonts w:hint="eastAsia" w:ascii="Times New Roman"/>
                <w:sz w:val="21"/>
                <w:lang w:eastAsia="zh-CN"/>
              </w:rPr>
              <w:t>1920</w:t>
            </w:r>
          </w:p>
        </w:tc>
        <w:tc>
          <w:tcPr>
            <w:tcW w:w="1660" w:type="pct"/>
            <w:vAlign w:val="center"/>
          </w:tcPr>
          <w:p>
            <w:pPr>
              <w:pStyle w:val="675"/>
              <w:jc w:val="center"/>
              <w:rPr>
                <w:rFonts w:ascii="Times New Roman" w:hAnsi="Times New Roman" w:eastAsia="Times New Roman" w:cs="Times New Roman"/>
                <w:sz w:val="21"/>
                <w:szCs w:val="21"/>
                <w:lang w:eastAsia="zh-CN"/>
              </w:rPr>
            </w:pPr>
            <w:r>
              <w:rPr>
                <w:rFonts w:hint="eastAsia" w:ascii="Times New Roman"/>
                <w:sz w:val="21"/>
                <w:lang w:eastAsia="zh-CN"/>
              </w:rPr>
              <w:t>10.67</w:t>
            </w:r>
          </w:p>
        </w:tc>
        <w:tc>
          <w:tcPr>
            <w:tcW w:w="1681" w:type="pct"/>
            <w:vAlign w:val="center"/>
          </w:tcPr>
          <w:p>
            <w:pPr>
              <w:pStyle w:val="675"/>
              <w:jc w:val="center"/>
              <w:rPr>
                <w:rFonts w:ascii="Times New Roman" w:hAnsi="Times New Roman" w:eastAsia="Times New Roman" w:cs="Times New Roman"/>
                <w:sz w:val="21"/>
                <w:szCs w:val="21"/>
                <w:lang w:eastAsia="zh-CN"/>
              </w:rPr>
            </w:pPr>
            <w:r>
              <w:rPr>
                <w:rFonts w:ascii="Times New Roman"/>
                <w:sz w:val="21"/>
              </w:rPr>
              <w:t>0.00</w:t>
            </w:r>
            <w:r>
              <w:rPr>
                <w:rFonts w:hint="eastAsia" w:ascii="Times New Roman"/>
                <w:sz w:val="21"/>
                <w:lang w:eastAsia="zh-CN"/>
              </w:rPr>
              <w:t>27</w:t>
            </w:r>
          </w:p>
        </w:tc>
      </w:tr>
    </w:tbl>
    <w:p>
      <w:pPr>
        <w:ind w:firstLine="480"/>
        <w:rPr>
          <w:bCs/>
        </w:rPr>
      </w:pPr>
      <w:r>
        <w:rPr>
          <w:bCs/>
        </w:rPr>
        <w:t>计算结果表明，敏感路段营运期运输危险品车辆发生翻车等重在交通事故造成水体污染的可能性较小。然而，诸如此类事故一旦发生，其影响相当严重，应引起高度重视，要求公路管理部门做好应急计划，通过加强运输车辆管理，将污染影响降到最低</w:t>
      </w:r>
      <w:r>
        <w:rPr>
          <w:rFonts w:hint="eastAsia"/>
          <w:bCs/>
        </w:rPr>
        <w:t>。</w:t>
      </w:r>
    </w:p>
    <w:p>
      <w:pPr>
        <w:pStyle w:val="5"/>
        <w:spacing w:beforeLines="0" w:afterLines="0"/>
      </w:pPr>
      <w:bookmarkStart w:id="105" w:name="_Toc141284079"/>
      <w:r>
        <w:rPr>
          <w:rFonts w:hint="eastAsia"/>
        </w:rPr>
        <w:t>6</w:t>
      </w:r>
      <w:r>
        <w:t>.</w:t>
      </w:r>
      <w:r>
        <w:rPr>
          <w:rFonts w:hint="eastAsia"/>
        </w:rPr>
        <w:t>3危险品运输预防措施及应急预案</w:t>
      </w:r>
      <w:bookmarkEnd w:id="105"/>
    </w:p>
    <w:p>
      <w:pPr>
        <w:pStyle w:val="204"/>
        <w:spacing w:line="480" w:lineRule="exact"/>
        <w:ind w:firstLine="0" w:firstLineChars="0"/>
        <w:outlineLvl w:val="2"/>
        <w:rPr>
          <w:b/>
          <w:sz w:val="28"/>
          <w:szCs w:val="28"/>
        </w:rPr>
      </w:pPr>
      <w:r>
        <w:rPr>
          <w:rFonts w:hint="eastAsia"/>
          <w:b/>
          <w:sz w:val="28"/>
          <w:szCs w:val="28"/>
        </w:rPr>
        <w:t>6.3</w:t>
      </w:r>
      <w:r>
        <w:rPr>
          <w:b/>
          <w:sz w:val="28"/>
          <w:szCs w:val="28"/>
        </w:rPr>
        <w:t>.</w:t>
      </w:r>
      <w:r>
        <w:rPr>
          <w:rFonts w:hint="eastAsia"/>
          <w:b/>
          <w:sz w:val="28"/>
          <w:szCs w:val="28"/>
        </w:rPr>
        <w:t>1管理措施</w:t>
      </w:r>
    </w:p>
    <w:p>
      <w:pPr>
        <w:ind w:firstLine="480"/>
        <w:rPr>
          <w:bCs/>
        </w:rPr>
      </w:pPr>
      <w:r>
        <w:rPr>
          <w:bCs/>
        </w:rPr>
        <w:t>危险化学品运输风险分析表明，拟建公路营运期间将不可避免运输有毒、有害的化学药品，为了防止危险化学品运输事故的发生，首先应做好其运输管理，确保安全运输。</w:t>
      </w:r>
    </w:p>
    <w:p>
      <w:pPr>
        <w:ind w:firstLine="480"/>
        <w:rPr>
          <w:bCs/>
        </w:rPr>
      </w:pPr>
      <w:r>
        <w:rPr>
          <w:bCs/>
        </w:rPr>
        <w:t>（1）严格执行国家相关法规。目前，我国关于危险化学品运输的法规主要有：《中华人民共和国道路交通管理条例》（国务院，2004.5.1）、《危险化学品安全管理条例》（国务院，1987.2）、《汽车危险货物运输规则》（JT3130-88）、《中华人民共和国民用爆炸物品管理条例》、《中华人民共和国放射性同位素与放射性装置管理条例》。</w:t>
      </w:r>
    </w:p>
    <w:p>
      <w:pPr>
        <w:ind w:firstLine="480"/>
        <w:rPr>
          <w:bCs/>
        </w:rPr>
      </w:pPr>
      <w:r>
        <w:rPr>
          <w:bCs/>
        </w:rPr>
        <w:t>（2）化学药品运输应实行</w:t>
      </w:r>
      <w:r>
        <w:rPr>
          <w:rFonts w:hint="eastAsia"/>
          <w:bCs/>
        </w:rPr>
        <w:t>“</w:t>
      </w:r>
      <w:r>
        <w:rPr>
          <w:bCs/>
        </w:rPr>
        <w:t>准运证</w:t>
      </w:r>
      <w:r>
        <w:rPr>
          <w:rFonts w:hint="eastAsia"/>
          <w:bCs/>
        </w:rPr>
        <w:t>”</w:t>
      </w:r>
      <w:r>
        <w:rPr>
          <w:bCs/>
        </w:rPr>
        <w:t>、</w:t>
      </w:r>
      <w:r>
        <w:rPr>
          <w:rFonts w:hint="eastAsia"/>
          <w:bCs/>
        </w:rPr>
        <w:t>“</w:t>
      </w:r>
      <w:r>
        <w:rPr>
          <w:bCs/>
        </w:rPr>
        <w:t>驾驶员证</w:t>
      </w:r>
      <w:r>
        <w:rPr>
          <w:rFonts w:hint="eastAsia"/>
          <w:bCs/>
        </w:rPr>
        <w:t>”</w:t>
      </w:r>
      <w:r>
        <w:rPr>
          <w:bCs/>
        </w:rPr>
        <w:t>、</w:t>
      </w:r>
      <w:r>
        <w:rPr>
          <w:rFonts w:hint="eastAsia"/>
          <w:bCs/>
        </w:rPr>
        <w:t>“</w:t>
      </w:r>
      <w:r>
        <w:rPr>
          <w:bCs/>
        </w:rPr>
        <w:t>押运员</w:t>
      </w:r>
      <w:r>
        <w:rPr>
          <w:rFonts w:hint="eastAsia"/>
          <w:bCs/>
        </w:rPr>
        <w:t>”</w:t>
      </w:r>
      <w:r>
        <w:rPr>
          <w:bCs/>
        </w:rPr>
        <w:t>制度，所有从事危险化学品货物运输的车辆要使用统一的专用标志，定期定点检测，对有关人员进行专业培训、考试。</w:t>
      </w:r>
    </w:p>
    <w:p>
      <w:pPr>
        <w:ind w:firstLine="480"/>
        <w:rPr>
          <w:bCs/>
        </w:rPr>
      </w:pPr>
      <w:r>
        <w:rPr>
          <w:bCs/>
        </w:rPr>
        <w:t>（3）由公安交通管理部门、公安消防部门对危险化学品货物运输车辆指定行使区域路线，运输危险化学品货物的车辆必须按指定车场停放。</w:t>
      </w:r>
    </w:p>
    <w:p>
      <w:pPr>
        <w:ind w:firstLine="480"/>
        <w:rPr>
          <w:bCs/>
        </w:rPr>
      </w:pPr>
      <w:r>
        <w:rPr>
          <w:bCs/>
        </w:rPr>
        <w:t>（4）公路管理部门加强对驾驶员安全教育，严禁酒后驾车、疲劳驾车和强行超车；在危险化学品运输过程中，司乘人员严禁吸烟，停车时不准靠近明火或高温场所，中途不得随意停车</w:t>
      </w:r>
      <w:r>
        <w:rPr>
          <w:rFonts w:hint="eastAsia"/>
          <w:bCs/>
        </w:rPr>
        <w:t>。</w:t>
      </w:r>
    </w:p>
    <w:p>
      <w:pPr>
        <w:ind w:firstLine="480"/>
        <w:rPr>
          <w:bCs/>
        </w:rPr>
      </w:pPr>
      <w:r>
        <w:rPr>
          <w:bCs/>
        </w:rPr>
        <w:t>（5）公路管理部门应对运输危险化学品车辆实行申报管理制度，车主需填写申报表，主要内容有：危险货物执照、货物品种等级和编号、收发货人名称、装卸地点、货物特性等。把好危险化学品上路检查关。在公路入口，还应检查直接从事道路危险化学品货物的运输人员是否持有《道路危险化学品货物操作证》等</w:t>
      </w:r>
      <w:r>
        <w:rPr>
          <w:rFonts w:hint="eastAsia"/>
          <w:bCs/>
        </w:rPr>
        <w:t>“</w:t>
      </w:r>
      <w:r>
        <w:rPr>
          <w:bCs/>
        </w:rPr>
        <w:t>三证</w:t>
      </w:r>
      <w:r>
        <w:rPr>
          <w:rFonts w:hint="eastAsia"/>
          <w:bCs/>
        </w:rPr>
        <w:t>”</w:t>
      </w:r>
      <w:r>
        <w:rPr>
          <w:bCs/>
        </w:rPr>
        <w:t>，运输车辆及设备必须符合规定的条件并配有相关证明。禁止不符合安全运输规定的车辆上路行驶。</w:t>
      </w:r>
    </w:p>
    <w:p>
      <w:pPr>
        <w:ind w:firstLine="480"/>
        <w:rPr>
          <w:bCs/>
        </w:rPr>
      </w:pPr>
      <w:r>
        <w:rPr>
          <w:bCs/>
        </w:rPr>
        <w:t>（6）公路管理部门一般应安排危险化学品运输车辆在交通量较少的时段通行。加强公路动态监控，发现异常及时处理。</w:t>
      </w:r>
    </w:p>
    <w:p>
      <w:pPr>
        <w:ind w:firstLine="480"/>
        <w:rPr>
          <w:bCs/>
        </w:rPr>
      </w:pPr>
      <w:r>
        <w:rPr>
          <w:bCs/>
        </w:rPr>
        <w:t>（7）加强公路的交通管理，当遇到强暴雨和大风、大雪、大雾时，因能见度低应对行车速度加以限制，或者禁止通行，等天气好转再放行</w:t>
      </w:r>
      <w:r>
        <w:rPr>
          <w:rFonts w:hint="eastAsia"/>
          <w:bCs/>
        </w:rPr>
        <w:t>。</w:t>
      </w:r>
    </w:p>
    <w:p>
      <w:pPr>
        <w:pStyle w:val="204"/>
        <w:spacing w:line="480" w:lineRule="exact"/>
        <w:ind w:firstLine="0" w:firstLineChars="0"/>
        <w:outlineLvl w:val="2"/>
        <w:rPr>
          <w:b/>
          <w:sz w:val="28"/>
          <w:szCs w:val="28"/>
        </w:rPr>
      </w:pPr>
      <w:r>
        <w:rPr>
          <w:rFonts w:hint="eastAsia"/>
          <w:b/>
          <w:sz w:val="28"/>
          <w:szCs w:val="28"/>
        </w:rPr>
        <w:t>6.3</w:t>
      </w:r>
      <w:r>
        <w:rPr>
          <w:b/>
          <w:sz w:val="28"/>
          <w:szCs w:val="28"/>
        </w:rPr>
        <w:t>.</w:t>
      </w:r>
      <w:r>
        <w:rPr>
          <w:rFonts w:hint="eastAsia"/>
          <w:b/>
          <w:sz w:val="28"/>
          <w:szCs w:val="28"/>
        </w:rPr>
        <w:t>2环境风险事故防范措施</w:t>
      </w:r>
    </w:p>
    <w:p>
      <w:pPr>
        <w:ind w:firstLine="480"/>
        <w:rPr>
          <w:bCs/>
        </w:rPr>
      </w:pPr>
      <w:r>
        <w:rPr>
          <w:bCs/>
        </w:rPr>
        <w:t>本项目公路管理部门在项目营运期成立事故应急领导小组，在发生危险品运输事故后应立即报告有关部门，并与地方消防、公安和环保部门一起，及时妥善处理好事故。除此之外，还应采取以下风险防范措施：</w:t>
      </w:r>
    </w:p>
    <w:p>
      <w:pPr>
        <w:ind w:firstLine="480"/>
        <w:rPr>
          <w:bCs/>
        </w:rPr>
      </w:pPr>
      <w:r>
        <w:rPr>
          <w:bCs/>
        </w:rPr>
        <w:t>（1）在</w:t>
      </w:r>
      <w:r>
        <w:rPr>
          <w:rFonts w:hint="eastAsia"/>
          <w:bCs/>
        </w:rPr>
        <w:t>本项目沿线途径临近冷咀头河区段及桥梁区段需</w:t>
      </w:r>
      <w:r>
        <w:rPr>
          <w:bCs/>
        </w:rPr>
        <w:t>设置驶入警示牌及驶离告知牌，提示司机谨慎驾驶。</w:t>
      </w:r>
    </w:p>
    <w:p>
      <w:pPr>
        <w:ind w:firstLine="480"/>
        <w:rPr>
          <w:bCs/>
        </w:rPr>
      </w:pPr>
      <w:r>
        <w:rPr>
          <w:bCs/>
        </w:rPr>
        <w:t>（2）安装限速监控。</w:t>
      </w:r>
      <w:r>
        <w:rPr>
          <w:rFonts w:hint="eastAsia"/>
          <w:bCs/>
        </w:rPr>
        <w:t>在途径临近冷咀头河区段及桥梁区段安装限速监控</w:t>
      </w:r>
      <w:r>
        <w:rPr>
          <w:bCs/>
        </w:rPr>
        <w:t>。</w:t>
      </w:r>
    </w:p>
    <w:p>
      <w:pPr>
        <w:ind w:firstLine="480"/>
        <w:rPr>
          <w:bCs/>
        </w:rPr>
      </w:pPr>
      <w:r>
        <w:rPr>
          <w:bCs/>
        </w:rPr>
        <w:t>（3）</w:t>
      </w:r>
      <w:r>
        <w:rPr>
          <w:rFonts w:hint="eastAsia"/>
          <w:bCs/>
        </w:rPr>
        <w:t>沿线途径</w:t>
      </w:r>
      <w:r>
        <w:rPr>
          <w:rFonts w:hAnsi="宋体"/>
        </w:rPr>
        <w:t>冷咀头河</w:t>
      </w:r>
      <w:r>
        <w:rPr>
          <w:rFonts w:hint="eastAsia"/>
          <w:bCs/>
        </w:rPr>
        <w:t>区段临近河道一侧及桥梁区段两侧设置</w:t>
      </w:r>
      <w:r>
        <w:rPr>
          <w:bCs/>
        </w:rPr>
        <w:t>防渗边沟及</w:t>
      </w:r>
      <w:r>
        <w:rPr>
          <w:rFonts w:hint="eastAsia"/>
          <w:bCs/>
        </w:rPr>
        <w:t>防撞护栏，同时在清水河大桥、沙河大桥、黎河大桥</w:t>
      </w:r>
      <w:r>
        <w:rPr>
          <w:bCs/>
        </w:rPr>
        <w:t>跨越</w:t>
      </w:r>
      <w:r>
        <w:rPr>
          <w:rFonts w:hint="eastAsia"/>
          <w:bCs/>
        </w:rPr>
        <w:t>河道</w:t>
      </w:r>
      <w:r>
        <w:rPr>
          <w:bCs/>
        </w:rPr>
        <w:t>常水位主河槽的部分加装防落网。</w:t>
      </w:r>
    </w:p>
    <w:p>
      <w:pPr>
        <w:ind w:firstLine="480"/>
        <w:rPr>
          <w:bCs/>
        </w:rPr>
      </w:pPr>
      <w:r>
        <w:rPr>
          <w:rFonts w:hint="eastAsia"/>
          <w:bCs/>
        </w:rPr>
        <w:t>根据</w:t>
      </w:r>
      <w:r>
        <w:rPr>
          <w:bCs/>
        </w:rPr>
        <w:t>设计单位提供资料可知</w:t>
      </w:r>
      <w:r>
        <w:rPr>
          <w:rFonts w:hint="eastAsia"/>
          <w:bCs/>
        </w:rPr>
        <w:t>，</w:t>
      </w:r>
      <w:r>
        <w:rPr>
          <w:rFonts w:hint="eastAsia"/>
          <w:szCs w:val="24"/>
        </w:rPr>
        <w:t>本项目在</w:t>
      </w:r>
      <w:r>
        <w:rPr>
          <w:rFonts w:hint="eastAsia"/>
        </w:rPr>
        <w:t>K8+780~K10+000路段邻近</w:t>
      </w:r>
      <w:r>
        <w:rPr>
          <w:rFonts w:hAnsi="宋体"/>
        </w:rPr>
        <w:t>冷咀头河</w:t>
      </w:r>
      <w:r>
        <w:rPr>
          <w:rFonts w:hint="eastAsia"/>
        </w:rPr>
        <w:t>区段</w:t>
      </w:r>
      <w:r>
        <w:t>，</w:t>
      </w:r>
      <w:r>
        <w:rPr>
          <w:rFonts w:hint="eastAsia"/>
        </w:rPr>
        <w:t>建议在</w:t>
      </w:r>
      <w:r>
        <w:rPr>
          <w:rFonts w:hint="eastAsia"/>
          <w:bCs/>
        </w:rPr>
        <w:t>临近河道一侧及桥梁区段两侧设置</w:t>
      </w:r>
      <w:r>
        <w:rPr>
          <w:bCs/>
        </w:rPr>
        <w:t>防渗边沟及</w:t>
      </w:r>
      <w:r>
        <w:rPr>
          <w:rFonts w:hint="eastAsia"/>
          <w:bCs/>
        </w:rPr>
        <w:t>防撞护栏。同时</w:t>
      </w:r>
      <w:r>
        <w:rPr>
          <w:rFonts w:hint="eastAsia"/>
        </w:rPr>
        <w:t>建议在该区段</w:t>
      </w:r>
      <w:r>
        <w:t>防撞护栏侧设置围堰，防止地表径流直接流入</w:t>
      </w:r>
      <w:r>
        <w:rPr>
          <w:rFonts w:hint="eastAsia"/>
        </w:rPr>
        <w:t>地表水体</w:t>
      </w:r>
      <w:r>
        <w:t>。</w:t>
      </w:r>
    </w:p>
    <w:p>
      <w:pPr>
        <w:ind w:firstLine="480"/>
        <w:rPr>
          <w:bCs/>
          <w:highlight w:val="yellow"/>
        </w:rPr>
      </w:pPr>
      <w:r>
        <w:rPr>
          <w:bCs/>
        </w:rPr>
        <w:t>（4）</w:t>
      </w:r>
      <w:r>
        <w:rPr>
          <w:rFonts w:hint="eastAsia"/>
          <w:bCs/>
        </w:rPr>
        <w:t>在清水河大桥、沙河大桥、黎河大桥</w:t>
      </w:r>
      <w:r>
        <w:rPr>
          <w:bCs/>
        </w:rPr>
        <w:t>纵坡设置桥面径流收集系统（包括桥面两侧收集槽、PVC导流管等），在桥梁</w:t>
      </w:r>
      <w:r>
        <w:rPr>
          <w:rFonts w:hint="eastAsia"/>
          <w:bCs/>
        </w:rPr>
        <w:t>两头分别</w:t>
      </w:r>
      <w:r>
        <w:rPr>
          <w:bCs/>
        </w:rPr>
        <w:t>设置1座防渗事故池</w:t>
      </w:r>
      <w:r>
        <w:rPr>
          <w:rFonts w:hint="eastAsia"/>
          <w:bCs/>
        </w:rPr>
        <w:t>（共6座）</w:t>
      </w:r>
      <w:r>
        <w:rPr>
          <w:bCs/>
        </w:rPr>
        <w:t>，</w:t>
      </w:r>
      <w:r>
        <w:rPr>
          <w:rFonts w:hint="eastAsia"/>
          <w:bCs/>
        </w:rPr>
        <w:t>在公路穿越水源地</w:t>
      </w:r>
      <w:r>
        <w:rPr>
          <w:rFonts w:hint="eastAsia"/>
        </w:rPr>
        <w:t>二级保护区段设置</w:t>
      </w:r>
      <w:r>
        <w:t>10</w:t>
      </w:r>
      <w:r>
        <w:rPr>
          <w:rFonts w:hint="eastAsia"/>
        </w:rPr>
        <w:t>座</w:t>
      </w:r>
      <w:r>
        <w:rPr>
          <w:bCs/>
        </w:rPr>
        <w:t>防渗事故池</w:t>
      </w:r>
      <w:r>
        <w:rPr>
          <w:rFonts w:hint="eastAsia"/>
          <w:bCs/>
        </w:rPr>
        <w:t>，分别位于K</w:t>
      </w:r>
      <w:r>
        <w:rPr>
          <w:bCs/>
        </w:rPr>
        <w:t>7+700</w:t>
      </w:r>
      <w:r>
        <w:rPr>
          <w:rFonts w:hint="eastAsia"/>
          <w:bCs/>
        </w:rPr>
        <w:t>、K</w:t>
      </w:r>
      <w:r>
        <w:rPr>
          <w:bCs/>
        </w:rPr>
        <w:t>8+700</w:t>
      </w:r>
      <w:r>
        <w:rPr>
          <w:rFonts w:hint="eastAsia"/>
          <w:bCs/>
        </w:rPr>
        <w:t>、K</w:t>
      </w:r>
      <w:r>
        <w:rPr>
          <w:bCs/>
        </w:rPr>
        <w:t>9+700</w:t>
      </w:r>
      <w:r>
        <w:rPr>
          <w:rFonts w:hint="eastAsia"/>
          <w:bCs/>
        </w:rPr>
        <w:t>、K</w:t>
      </w:r>
      <w:r>
        <w:rPr>
          <w:bCs/>
        </w:rPr>
        <w:t>10+700</w:t>
      </w:r>
      <w:r>
        <w:rPr>
          <w:rFonts w:hint="eastAsia"/>
          <w:bCs/>
        </w:rPr>
        <w:t>、K</w:t>
      </w:r>
      <w:r>
        <w:rPr>
          <w:bCs/>
        </w:rPr>
        <w:t>11+700</w:t>
      </w:r>
      <w:r>
        <w:rPr>
          <w:rFonts w:hint="eastAsia"/>
          <w:bCs/>
        </w:rPr>
        <w:t>等区域各设置2座，</w:t>
      </w:r>
      <w:r>
        <w:rPr>
          <w:bCs/>
        </w:rPr>
        <w:t>事故池内设置排水泵，事故池内沉砂单元、隔油单元及临时贮存池，桥面径流经收集系统进入事故池。未发生危险化学品泄漏事故时，管理人员应经常检查事故池，特别是雨后将事故池内积水排出，保持事故池有效容积</w:t>
      </w:r>
      <w:r>
        <w:rPr>
          <w:rFonts w:hint="eastAsia"/>
          <w:bCs/>
        </w:rPr>
        <w:t>。</w:t>
      </w:r>
    </w:p>
    <w:p>
      <w:pPr>
        <w:pStyle w:val="2"/>
        <w:ind w:firstLine="480"/>
      </w:pPr>
      <w:r>
        <w:rPr>
          <w:rFonts w:hint="eastAsia"/>
        </w:rPr>
        <w:t>事故池的计算及设计要求如下：</w:t>
      </w:r>
    </w:p>
    <w:p>
      <w:pPr>
        <w:ind w:firstLine="480"/>
      </w:pPr>
      <w:r>
        <w:rPr>
          <w:rFonts w:hint="eastAsia"/>
        </w:rPr>
        <w:t>目前，生态环境主管部门尚未发布公路建设项目防渗沉淀池设置具体规定及容积计算要求，待发布相关规定后，建设运营单位应根据规定对本次评价确定的措施进行整改和完善。参考《小勐养至磨憨公路桥面雨水径流收集系统设计的思考》（尹勤思，李国锋，交通环保，</w:t>
      </w:r>
      <w:r>
        <w:t>2011.2</w:t>
      </w:r>
      <w:r>
        <w:rPr>
          <w:rFonts w:hint="eastAsia"/>
        </w:rPr>
        <w:t>），沉淀池容积按初期雨水径流量与危化品储罐体积之和确定。</w:t>
      </w:r>
    </w:p>
    <w:p>
      <w:pPr>
        <w:ind w:firstLine="480"/>
      </w:pPr>
      <w:r>
        <w:rPr>
          <w:rFonts w:hint="eastAsia"/>
        </w:rPr>
        <w:t>本项目防渗沉淀池容积考虑初期雨水径流量、危化品储罐体积、消防废水量及事故后洗消废水。考虑到在桥面发生普通火灾交通事故的概率较低，油品等易燃液体发生火灾后一般使用干粉进行灭火，且已考虑降雨径流量，因此不再计算消防废水量。本项目沉淀池容积设置考虑了初期雨水径流量、危化品储罐体积及事故后洗消废水，同时提出了渠道及沉淀池视频监控覆盖要求，提出了公路运营管理部门及时清理沉淀池保持有效容积要求。公路运营管理部门落实以上措施后，在发生运输车辆危化品泄漏事故时可及时发现并采取措施进行处置，可实现对泄漏危化品的有效收集。</w:t>
      </w:r>
    </w:p>
    <w:p>
      <w:pPr>
        <w:ind w:firstLine="480"/>
      </w:pPr>
      <w:r>
        <w:rPr>
          <w:rFonts w:hint="eastAsia"/>
        </w:rPr>
        <w:t>根据设计单位提供的桥梁纵断，跨清水河、沙河、黎河桥梁均为中间高两端低，自桥中心向两端排水。穿越水源地二级保护区路段存在路面高低起伏变化及包含清水河、沙河穿越，本项目分段进行事故油池设置。项目穿越考虑到桥梁两端沉淀池不易连通，容积不可叠加，因此取不利情况，以桥梁单侧发生危化品车辆泄漏事故为情形进行沉淀池容积计算，即桥梁每端事故池容积</w:t>
      </w:r>
      <w:r>
        <w:t xml:space="preserve">=1/2 </w:t>
      </w:r>
      <w:r>
        <w:rPr>
          <w:rFonts w:hint="eastAsia"/>
        </w:rPr>
        <w:t>桥面径流</w:t>
      </w:r>
      <w:r>
        <w:t>+</w:t>
      </w:r>
      <w:r>
        <w:rPr>
          <w:rFonts w:hint="eastAsia"/>
        </w:rPr>
        <w:t>危化品车辆储罐体积</w:t>
      </w:r>
      <w:r>
        <w:t>+</w:t>
      </w:r>
      <w:r>
        <w:rPr>
          <w:rFonts w:hint="eastAsia"/>
        </w:rPr>
        <w:t>桥面洗消废水量。</w:t>
      </w:r>
    </w:p>
    <w:p>
      <w:pPr>
        <w:ind w:firstLine="480"/>
      </w:pPr>
      <w:r>
        <w:rPr>
          <w:rFonts w:hint="eastAsia"/>
        </w:rPr>
        <w:t>沉淀池容积计算：</w:t>
      </w:r>
    </w:p>
    <w:p>
      <w:pPr>
        <w:ind w:firstLine="480"/>
      </w:pPr>
      <w:r>
        <w:rPr>
          <w:rFonts w:hint="eastAsia"/>
        </w:rPr>
        <w:t>初期雨水体积</w:t>
      </w:r>
      <w:r>
        <w:t>V</w:t>
      </w:r>
      <w:r>
        <w:rPr>
          <w:vertAlign w:val="subscript"/>
        </w:rPr>
        <w:t>1</w:t>
      </w:r>
      <w:r>
        <w:rPr>
          <w:rFonts w:hint="eastAsia"/>
        </w:rPr>
        <w:t>，参考相关文献资料，路面径流的污染物在降雨后</w:t>
      </w:r>
      <w:r>
        <w:t>30min</w:t>
      </w:r>
      <w:r>
        <w:rPr>
          <w:rFonts w:hint="eastAsia"/>
        </w:rPr>
        <w:t>内污染物浓度相对较高，降雨</w:t>
      </w:r>
      <w:r>
        <w:t>30min</w:t>
      </w:r>
      <w:r>
        <w:rPr>
          <w:rFonts w:hint="eastAsia"/>
        </w:rPr>
        <w:t>后产生的路面径流水中的污染物含量相对较低。本项目初期雨水体积</w:t>
      </w:r>
      <w:r>
        <w:t>V</w:t>
      </w:r>
      <w:r>
        <w:rPr>
          <w:vertAlign w:val="subscript"/>
        </w:rPr>
        <w:t>1</w:t>
      </w:r>
      <w:r>
        <w:rPr>
          <w:rFonts w:hint="eastAsia"/>
        </w:rPr>
        <w:t>取暴雨强度下的径流，收集时段为</w:t>
      </w:r>
      <w:r>
        <w:t>30min</w:t>
      </w:r>
      <w:r>
        <w:rPr>
          <w:rFonts w:hint="eastAsia"/>
        </w:rPr>
        <w:t>降雨径流量。</w:t>
      </w:r>
    </w:p>
    <w:p>
      <w:pPr>
        <w:ind w:firstLine="480"/>
        <w:rPr>
          <w:bCs/>
        </w:rPr>
      </w:pPr>
      <w:r>
        <w:rPr>
          <w:rFonts w:hint="eastAsia"/>
          <w:bCs/>
        </w:rPr>
        <w:t>根据暴雨强度公式进行计算：</w:t>
      </w:r>
    </w:p>
    <w:p>
      <w:pPr>
        <w:spacing w:line="240" w:lineRule="auto"/>
        <w:ind w:firstLine="480"/>
        <w:rPr>
          <w:bCs/>
        </w:rPr>
      </w:pPr>
      <m:oMathPara>
        <m:oMath>
          <m:r>
            <w:rPr>
              <w:rFonts w:ascii="Cambria Math" w:hAnsi="Cambria Math"/>
            </w:rPr>
            <m:t>q=</m:t>
          </m:r>
          <m:f>
            <m:fPr>
              <m:ctrlPr>
                <w:rPr>
                  <w:rFonts w:ascii="Cambria Math" w:hAnsi="Cambria Math"/>
                  <w:bCs/>
                  <w:i/>
                </w:rPr>
              </m:ctrlPr>
            </m:fPr>
            <m:num>
              <m:r>
                <w:rPr>
                  <w:rFonts w:ascii="Cambria Math" w:hAnsi="Cambria Math"/>
                </w:rPr>
                <m:t>1689(1+0.898lgP)</m:t>
              </m:r>
              <m:ctrlPr>
                <w:rPr>
                  <w:rFonts w:ascii="Cambria Math" w:hAnsi="Cambria Math"/>
                  <w:bCs/>
                  <w:i/>
                </w:rPr>
              </m:ctrlPr>
            </m:num>
            <m:den>
              <m:sSup>
                <m:sSupPr>
                  <m:ctrlPr>
                    <w:rPr>
                      <w:rFonts w:ascii="Cambria Math" w:hAnsi="Cambria Math"/>
                      <w:bCs/>
                      <w:i/>
                    </w:rPr>
                  </m:ctrlPr>
                </m:sSupPr>
                <m:e>
                  <m:r>
                    <w:rPr>
                      <w:rFonts w:ascii="Cambria Math" w:hAnsi="Cambria Math"/>
                    </w:rPr>
                    <m:t>(t+7)</m:t>
                  </m:r>
                  <m:ctrlPr>
                    <w:rPr>
                      <w:rFonts w:ascii="Cambria Math" w:hAnsi="Cambria Math"/>
                      <w:bCs/>
                      <w:i/>
                    </w:rPr>
                  </m:ctrlPr>
                </m:e>
                <m:sup>
                  <m:r>
                    <w:rPr>
                      <w:rFonts w:ascii="Cambria Math" w:hAnsi="Cambria Math"/>
                    </w:rPr>
                    <m:t>0.729</m:t>
                  </m:r>
                  <m:ctrlPr>
                    <w:rPr>
                      <w:rFonts w:ascii="Cambria Math" w:hAnsi="Cambria Math"/>
                      <w:bCs/>
                      <w:i/>
                    </w:rPr>
                  </m:ctrlPr>
                </m:sup>
              </m:sSup>
              <m:ctrlPr>
                <w:rPr>
                  <w:rFonts w:ascii="Cambria Math" w:hAnsi="Cambria Math"/>
                  <w:bCs/>
                  <w:i/>
                </w:rPr>
              </m:ctrlPr>
            </m:den>
          </m:f>
        </m:oMath>
      </m:oMathPara>
    </w:p>
    <w:p>
      <w:pPr>
        <w:ind w:firstLine="480"/>
        <w:rPr>
          <w:bCs/>
        </w:rPr>
      </w:pPr>
      <w:r>
        <w:rPr>
          <w:rFonts w:hint="eastAsia"/>
          <w:bCs/>
        </w:rPr>
        <w:t>式中：q—降雨强度，L</w:t>
      </w:r>
      <w:r>
        <w:rPr>
          <w:bCs/>
        </w:rPr>
        <w:t>/S</w:t>
      </w:r>
      <w:r>
        <w:rPr>
          <w:rFonts w:hint="eastAsia" w:ascii="宋体" w:hAnsi="宋体"/>
          <w:bCs/>
        </w:rPr>
        <w:t>·</w:t>
      </w:r>
      <w:r>
        <w:rPr>
          <w:rFonts w:hint="eastAsia"/>
          <w:bCs/>
        </w:rPr>
        <w:t>hm</w:t>
      </w:r>
      <w:r>
        <w:rPr>
          <w:bCs/>
          <w:vertAlign w:val="superscript"/>
        </w:rPr>
        <w:t>2</w:t>
      </w:r>
      <w:r>
        <w:rPr>
          <w:rFonts w:hint="eastAsia"/>
          <w:bCs/>
        </w:rPr>
        <w:t>；</w:t>
      </w:r>
    </w:p>
    <w:p>
      <w:pPr>
        <w:pStyle w:val="2"/>
        <w:ind w:firstLine="480"/>
        <w:rPr>
          <w:bCs/>
        </w:rPr>
      </w:pPr>
      <w:r>
        <w:rPr>
          <w:rFonts w:hint="eastAsia"/>
        </w:rPr>
        <w:t xml:space="preserve"> </w:t>
      </w:r>
      <w:r>
        <w:t xml:space="preserve">     P</w:t>
      </w:r>
      <w:r>
        <w:rPr>
          <w:rFonts w:hint="eastAsia"/>
          <w:bCs/>
        </w:rPr>
        <w:t>—重现期，取值3；</w:t>
      </w:r>
    </w:p>
    <w:p>
      <w:pPr>
        <w:ind w:firstLine="480"/>
        <w:rPr>
          <w:bCs/>
        </w:rPr>
      </w:pPr>
      <w:r>
        <w:rPr>
          <w:rFonts w:hint="eastAsia"/>
          <w:bCs/>
        </w:rPr>
        <w:t xml:space="preserve"> </w:t>
      </w:r>
      <w:r>
        <w:rPr>
          <w:bCs/>
        </w:rPr>
        <w:t xml:space="preserve">     </w:t>
      </w:r>
      <w:r>
        <w:rPr>
          <w:rFonts w:hint="eastAsia"/>
          <w:bCs/>
        </w:rPr>
        <w:t>t—降雨历时，取值</w:t>
      </w:r>
      <w:r>
        <w:rPr>
          <w:bCs/>
        </w:rPr>
        <w:t>30</w:t>
      </w:r>
      <w:r>
        <w:rPr>
          <w:rFonts w:hint="eastAsia"/>
          <w:bCs/>
        </w:rPr>
        <w:t>min；</w:t>
      </w:r>
    </w:p>
    <w:p>
      <w:pPr>
        <w:adjustRightInd w:val="0"/>
        <w:snapToGrid w:val="0"/>
        <w:ind w:firstLine="0" w:firstLineChars="0"/>
        <w:jc w:val="center"/>
        <w:rPr>
          <w:b/>
          <w:sz w:val="21"/>
        </w:rPr>
      </w:pPr>
      <w:r>
        <w:rPr>
          <w:b/>
          <w:sz w:val="21"/>
        </w:rPr>
        <w:t>表</w:t>
      </w:r>
      <w:r>
        <w:rPr>
          <w:rFonts w:hint="eastAsia"/>
          <w:b/>
          <w:sz w:val="21"/>
        </w:rPr>
        <w:t>6.2-</w:t>
      </w:r>
      <w:r>
        <w:rPr>
          <w:b/>
          <w:sz w:val="21"/>
        </w:rPr>
        <w:t>4</w:t>
      </w:r>
      <w:r>
        <w:rPr>
          <w:b/>
          <w:sz w:val="21"/>
        </w:rPr>
        <w:tab/>
      </w:r>
      <w:r>
        <w:rPr>
          <w:rFonts w:hint="eastAsia"/>
          <w:b/>
          <w:sz w:val="21"/>
        </w:rPr>
        <w:t>参数选择及计算结果</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8"/>
        <w:gridCol w:w="1094"/>
        <w:gridCol w:w="1132"/>
        <w:gridCol w:w="1132"/>
        <w:gridCol w:w="1132"/>
        <w:gridCol w:w="1132"/>
        <w:gridCol w:w="1132"/>
        <w:gridCol w:w="11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1"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bCs/>
                <w:sz w:val="21"/>
                <w:szCs w:val="21"/>
                <w:lang w:eastAsia="zh-CN"/>
              </w:rPr>
              <w:t>路段</w:t>
            </w:r>
          </w:p>
        </w:tc>
        <w:tc>
          <w:tcPr>
            <w:tcW w:w="60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重现期</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P/年</w:t>
            </w: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降雨历时t/min</w:t>
            </w:r>
          </w:p>
        </w:tc>
        <w:tc>
          <w:tcPr>
            <w:tcW w:w="627"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汇水面积/m</w:t>
            </w:r>
            <w:r>
              <w:rPr>
                <w:rFonts w:ascii="Times New Roman" w:hAnsi="Times New Roman" w:cs="Times New Roman"/>
                <w:bCs/>
                <w:sz w:val="21"/>
                <w:szCs w:val="21"/>
                <w:vertAlign w:val="superscript"/>
                <w:lang w:eastAsia="zh-CN"/>
              </w:rPr>
              <w:t>2</w:t>
            </w:r>
          </w:p>
        </w:tc>
        <w:tc>
          <w:tcPr>
            <w:tcW w:w="627"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径流系数</w:t>
            </w:r>
          </w:p>
        </w:tc>
        <w:tc>
          <w:tcPr>
            <w:tcW w:w="627"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暴雨强度</w:t>
            </w:r>
            <w:r>
              <w:rPr>
                <w:rFonts w:ascii="Times New Roman" w:hAnsi="Times New Roman" w:cs="Times New Roman"/>
                <w:bCs/>
                <w:sz w:val="21"/>
                <w:szCs w:val="21"/>
              </w:rPr>
              <w:t>L/S·</w:t>
            </w:r>
            <w:r>
              <w:rPr>
                <w:rFonts w:ascii="Times New Roman" w:hAnsi="Times New Roman" w:cs="Times New Roman"/>
                <w:bCs/>
                <w:sz w:val="21"/>
                <w:szCs w:val="21"/>
                <w:lang w:eastAsia="zh-CN"/>
              </w:rPr>
              <w:t>hm</w:t>
            </w:r>
            <w:r>
              <w:rPr>
                <w:rFonts w:ascii="Times New Roman" w:hAnsi="Times New Roman" w:cs="Times New Roman"/>
                <w:bCs/>
                <w:sz w:val="21"/>
                <w:szCs w:val="21"/>
                <w:vertAlign w:val="superscript"/>
              </w:rPr>
              <w:t>2</w:t>
            </w:r>
          </w:p>
        </w:tc>
        <w:tc>
          <w:tcPr>
            <w:tcW w:w="627"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雨水流量m</w:t>
            </w:r>
            <w:r>
              <w:rPr>
                <w:rFonts w:ascii="Times New Roman" w:hAnsi="Times New Roman" w:cs="Times New Roman"/>
                <w:bCs/>
                <w:sz w:val="21"/>
                <w:szCs w:val="21"/>
                <w:vertAlign w:val="superscript"/>
                <w:lang w:eastAsia="zh-CN"/>
              </w:rPr>
              <w:t>3</w:t>
            </w:r>
            <w:r>
              <w:rPr>
                <w:rFonts w:ascii="Times New Roman" w:hAnsi="Times New Roman" w:cs="Times New Roman"/>
                <w:bCs/>
                <w:sz w:val="21"/>
                <w:szCs w:val="21"/>
                <w:lang w:eastAsia="zh-CN"/>
              </w:rPr>
              <w:t>/h</w:t>
            </w:r>
          </w:p>
        </w:tc>
        <w:tc>
          <w:tcPr>
            <w:tcW w:w="627"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30min雨水流量/m</w:t>
            </w:r>
            <w:r>
              <w:rPr>
                <w:rFonts w:ascii="Times New Roman" w:hAnsi="Times New Roman" w:cs="Times New Roman"/>
                <w:bCs/>
                <w:sz w:val="21"/>
                <w:szCs w:val="21"/>
                <w:vertAlign w:val="superscript"/>
                <w:lang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1" w:type="pct"/>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清水河大桥</w:t>
            </w:r>
          </w:p>
        </w:tc>
        <w:tc>
          <w:tcPr>
            <w:tcW w:w="606" w:type="pct"/>
            <w:vMerge w:val="restar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w:t>
            </w:r>
          </w:p>
        </w:tc>
        <w:tc>
          <w:tcPr>
            <w:tcW w:w="627" w:type="pct"/>
            <w:vMerge w:val="restart"/>
            <w:vAlign w:val="center"/>
          </w:tcPr>
          <w:p>
            <w:pPr>
              <w:pStyle w:val="67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3</w:t>
            </w:r>
            <w:r>
              <w:rPr>
                <w:rFonts w:ascii="Times New Roman" w:hAnsi="Times New Roman" w:cs="Times New Roman" w:eastAsiaTheme="minorEastAsia"/>
                <w:sz w:val="21"/>
                <w:szCs w:val="21"/>
                <w:lang w:eastAsia="zh-CN"/>
              </w:rPr>
              <w:t>0</w:t>
            </w: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3188</w:t>
            </w:r>
          </w:p>
        </w:tc>
        <w:tc>
          <w:tcPr>
            <w:tcW w:w="627"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0</w:t>
            </w:r>
            <w:r>
              <w:rPr>
                <w:rFonts w:ascii="Times New Roman" w:hAnsi="Times New Roman" w:cs="Times New Roman"/>
                <w:sz w:val="21"/>
                <w:szCs w:val="21"/>
                <w:lang w:eastAsia="zh-CN"/>
              </w:rPr>
              <w:t>.9</w:t>
            </w:r>
          </w:p>
        </w:tc>
        <w:tc>
          <w:tcPr>
            <w:tcW w:w="627"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73.49</w:t>
            </w: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179.20</w:t>
            </w:r>
          </w:p>
        </w:tc>
        <w:tc>
          <w:tcPr>
            <w:tcW w:w="627"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8</w:t>
            </w:r>
            <w:r>
              <w:rPr>
                <w:rFonts w:ascii="Times New Roman" w:hAnsi="Times New Roman" w:cs="Times New Roman"/>
                <w:sz w:val="21"/>
                <w:szCs w:val="21"/>
                <w:lang w:eastAsia="zh-CN"/>
              </w:rPr>
              <w:t>9.60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沙河大桥</w:t>
            </w:r>
          </w:p>
        </w:tc>
        <w:tc>
          <w:tcPr>
            <w:tcW w:w="606" w:type="pct"/>
            <w:vMerge w:val="continue"/>
            <w:vAlign w:val="center"/>
          </w:tcPr>
          <w:p>
            <w:pPr>
              <w:pStyle w:val="675"/>
              <w:jc w:val="center"/>
              <w:rPr>
                <w:rFonts w:ascii="Times New Roman" w:hAnsi="Times New Roman" w:cs="Times New Roman"/>
                <w:sz w:val="21"/>
                <w:szCs w:val="21"/>
                <w:lang w:eastAsia="zh-CN"/>
              </w:rPr>
            </w:pPr>
          </w:p>
        </w:tc>
        <w:tc>
          <w:tcPr>
            <w:tcW w:w="627" w:type="pct"/>
            <w:vMerge w:val="continue"/>
            <w:vAlign w:val="center"/>
          </w:tcPr>
          <w:p>
            <w:pPr>
              <w:pStyle w:val="675"/>
              <w:jc w:val="center"/>
              <w:rPr>
                <w:rFonts w:ascii="Times New Roman" w:hAnsi="Times New Roman" w:cs="Times New Roman"/>
                <w:sz w:val="21"/>
                <w:szCs w:val="21"/>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3698</w:t>
            </w:r>
          </w:p>
        </w:tc>
        <w:tc>
          <w:tcPr>
            <w:tcW w:w="627" w:type="pct"/>
            <w:vMerge w:val="continue"/>
            <w:vAlign w:val="center"/>
          </w:tcPr>
          <w:p>
            <w:pPr>
              <w:pStyle w:val="675"/>
              <w:jc w:val="center"/>
              <w:rPr>
                <w:rFonts w:ascii="Times New Roman" w:hAnsi="Times New Roman" w:cs="Times New Roman"/>
                <w:sz w:val="21"/>
                <w:szCs w:val="21"/>
              </w:rPr>
            </w:pPr>
          </w:p>
        </w:tc>
        <w:tc>
          <w:tcPr>
            <w:tcW w:w="627" w:type="pct"/>
            <w:vMerge w:val="continue"/>
            <w:vAlign w:val="center"/>
          </w:tcPr>
          <w:p>
            <w:pPr>
              <w:pStyle w:val="675"/>
              <w:jc w:val="center"/>
              <w:rPr>
                <w:rFonts w:ascii="Times New Roman" w:hAnsi="Times New Roman" w:cs="Times New Roman"/>
                <w:sz w:val="21"/>
                <w:szCs w:val="21"/>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207.86</w:t>
            </w:r>
          </w:p>
        </w:tc>
        <w:tc>
          <w:tcPr>
            <w:tcW w:w="627"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03.93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黎河大桥</w:t>
            </w:r>
          </w:p>
        </w:tc>
        <w:tc>
          <w:tcPr>
            <w:tcW w:w="606" w:type="pct"/>
            <w:vMerge w:val="continue"/>
            <w:vAlign w:val="center"/>
          </w:tcPr>
          <w:p>
            <w:pPr>
              <w:pStyle w:val="675"/>
              <w:jc w:val="center"/>
              <w:rPr>
                <w:rFonts w:ascii="Times New Roman" w:hAnsi="Times New Roman" w:cs="Times New Roman"/>
                <w:sz w:val="21"/>
                <w:szCs w:val="21"/>
                <w:lang w:eastAsia="zh-CN"/>
              </w:rPr>
            </w:pPr>
          </w:p>
        </w:tc>
        <w:tc>
          <w:tcPr>
            <w:tcW w:w="627" w:type="pct"/>
            <w:vMerge w:val="continue"/>
            <w:vAlign w:val="center"/>
          </w:tcPr>
          <w:p>
            <w:pPr>
              <w:pStyle w:val="675"/>
              <w:jc w:val="center"/>
              <w:rPr>
                <w:rFonts w:ascii="Times New Roman" w:hAnsi="Times New Roman" w:cs="Times New Roman"/>
                <w:sz w:val="21"/>
                <w:szCs w:val="21"/>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6298</w:t>
            </w:r>
          </w:p>
        </w:tc>
        <w:tc>
          <w:tcPr>
            <w:tcW w:w="627" w:type="pct"/>
            <w:vMerge w:val="continue"/>
            <w:vAlign w:val="center"/>
          </w:tcPr>
          <w:p>
            <w:pPr>
              <w:pStyle w:val="675"/>
              <w:jc w:val="center"/>
              <w:rPr>
                <w:rFonts w:ascii="Times New Roman" w:hAnsi="Times New Roman" w:cs="Times New Roman"/>
                <w:sz w:val="21"/>
                <w:szCs w:val="21"/>
              </w:rPr>
            </w:pPr>
          </w:p>
        </w:tc>
        <w:tc>
          <w:tcPr>
            <w:tcW w:w="627" w:type="pct"/>
            <w:vMerge w:val="continue"/>
            <w:vAlign w:val="center"/>
          </w:tcPr>
          <w:p>
            <w:pPr>
              <w:pStyle w:val="675"/>
              <w:jc w:val="center"/>
              <w:rPr>
                <w:rFonts w:ascii="Times New Roman" w:hAnsi="Times New Roman" w:cs="Times New Roman"/>
                <w:sz w:val="21"/>
                <w:szCs w:val="21"/>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354.02</w:t>
            </w:r>
          </w:p>
        </w:tc>
        <w:tc>
          <w:tcPr>
            <w:tcW w:w="627"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77.01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1"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水源地二级保护区</w:t>
            </w:r>
          </w:p>
        </w:tc>
        <w:tc>
          <w:tcPr>
            <w:tcW w:w="606" w:type="pct"/>
            <w:vMerge w:val="continue"/>
            <w:vAlign w:val="center"/>
          </w:tcPr>
          <w:p>
            <w:pPr>
              <w:pStyle w:val="675"/>
              <w:jc w:val="center"/>
              <w:rPr>
                <w:rFonts w:ascii="Times New Roman" w:hAnsi="Times New Roman" w:cs="Times New Roman"/>
                <w:sz w:val="21"/>
                <w:szCs w:val="21"/>
                <w:lang w:eastAsia="zh-CN"/>
              </w:rPr>
            </w:pPr>
          </w:p>
        </w:tc>
        <w:tc>
          <w:tcPr>
            <w:tcW w:w="627" w:type="pct"/>
            <w:vMerge w:val="continue"/>
            <w:vAlign w:val="center"/>
          </w:tcPr>
          <w:p>
            <w:pPr>
              <w:pStyle w:val="675"/>
              <w:jc w:val="center"/>
              <w:rPr>
                <w:rFonts w:ascii="Times New Roman" w:hAnsi="Times New Roman" w:cs="Times New Roman"/>
                <w:sz w:val="21"/>
                <w:szCs w:val="21"/>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120614</w:t>
            </w:r>
          </w:p>
        </w:tc>
        <w:tc>
          <w:tcPr>
            <w:tcW w:w="627" w:type="pct"/>
            <w:vMerge w:val="continue"/>
            <w:vAlign w:val="center"/>
          </w:tcPr>
          <w:p>
            <w:pPr>
              <w:pStyle w:val="675"/>
              <w:jc w:val="center"/>
              <w:rPr>
                <w:rFonts w:ascii="Times New Roman" w:hAnsi="Times New Roman" w:cs="Times New Roman"/>
                <w:sz w:val="21"/>
                <w:szCs w:val="21"/>
                <w:lang w:eastAsia="zh-CN"/>
              </w:rPr>
            </w:pPr>
          </w:p>
        </w:tc>
        <w:tc>
          <w:tcPr>
            <w:tcW w:w="627" w:type="pct"/>
            <w:vMerge w:val="continue"/>
            <w:vAlign w:val="center"/>
          </w:tcPr>
          <w:p>
            <w:pPr>
              <w:pStyle w:val="675"/>
              <w:jc w:val="center"/>
              <w:rPr>
                <w:rFonts w:ascii="Times New Roman" w:hAnsi="Times New Roman" w:cs="Times New Roman"/>
                <w:sz w:val="21"/>
                <w:szCs w:val="21"/>
                <w:lang w:eastAsia="zh-CN"/>
              </w:rPr>
            </w:pP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13392.2</w:t>
            </w:r>
          </w:p>
        </w:tc>
        <w:tc>
          <w:tcPr>
            <w:tcW w:w="627"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6696.1</w:t>
            </w:r>
          </w:p>
        </w:tc>
      </w:tr>
    </w:tbl>
    <w:p>
      <w:pPr>
        <w:ind w:firstLine="480"/>
      </w:pPr>
      <w:r>
        <w:rPr>
          <w:rFonts w:hint="eastAsia"/>
        </w:rPr>
        <w:t>危化品储罐体积</w:t>
      </w:r>
      <w:r>
        <w:t>V</w:t>
      </w:r>
      <w:r>
        <w:rPr>
          <w:vertAlign w:val="subscript"/>
        </w:rPr>
        <w:t>2</w:t>
      </w:r>
      <w:r>
        <w:rPr>
          <w:rFonts w:hint="eastAsia"/>
        </w:rPr>
        <w:t>：目前，国内常见的运输液态危险物品的车辆包括运输油品的槽罐车和化工液体运输车，其容积在</w:t>
      </w:r>
      <w:r>
        <w:t>2-50m</w:t>
      </w:r>
      <w:r>
        <w:rPr>
          <w:vertAlign w:val="superscript"/>
        </w:rPr>
        <w:t>3</w:t>
      </w:r>
      <w:r>
        <w:rPr>
          <w:rFonts w:hint="eastAsia"/>
        </w:rPr>
        <w:t>之间。根据《道路危险货物运输管理规定》，运输爆炸、强腐蚀性危险货物的罐式专用车辆的罐体容积不得超过</w:t>
      </w:r>
      <w:r>
        <w:t>20m</w:t>
      </w:r>
      <w:r>
        <w:rPr>
          <w:vertAlign w:val="superscript"/>
        </w:rPr>
        <w:t>3</w:t>
      </w:r>
      <w:r>
        <w:rPr>
          <w:rFonts w:hint="eastAsia"/>
        </w:rPr>
        <w:t>，运输剧毒危险货物的罐式专用车辆的罐体容积不得超过</w:t>
      </w:r>
      <w:r>
        <w:t>10m</w:t>
      </w:r>
      <w:r>
        <w:rPr>
          <w:vertAlign w:val="superscript"/>
        </w:rPr>
        <w:t>3</w:t>
      </w:r>
      <w:r>
        <w:rPr>
          <w:rFonts w:hint="eastAsia"/>
        </w:rPr>
        <w:t>，但罐式集装箱除外；运输剧毒、爆炸、强腐蚀性危险货物的非罐式专用车辆，核定载质量不得超过</w:t>
      </w:r>
      <w:r>
        <w:t>10t</w:t>
      </w:r>
      <w:r>
        <w:rPr>
          <w:rFonts w:hint="eastAsia"/>
        </w:rPr>
        <w:t>。当危险化学品车辆在跨清水河、沙河、黎河大桥发生泄漏时，危险化学品液体进入桥面径流收集系统集中收集至事故池，不进入水体。本项目危险化学品液体槽罐车体积取不利情况，</w:t>
      </w:r>
      <w:r>
        <w:t>V</w:t>
      </w:r>
      <w:r>
        <w:rPr>
          <w:vertAlign w:val="subscript"/>
        </w:rPr>
        <w:t>2</w:t>
      </w:r>
      <w:r>
        <w:t>=50m</w:t>
      </w:r>
      <w:r>
        <w:rPr>
          <w:vertAlign w:val="superscript"/>
        </w:rPr>
        <w:t>3</w:t>
      </w:r>
      <w:r>
        <w:rPr>
          <w:rFonts w:hint="eastAsia"/>
        </w:rPr>
        <w:t>。</w:t>
      </w:r>
    </w:p>
    <w:p>
      <w:pPr>
        <w:ind w:firstLine="480"/>
      </w:pPr>
      <w:r>
        <w:rPr>
          <w:rFonts w:hint="eastAsia"/>
        </w:rPr>
        <w:t>事故后洗消废水</w:t>
      </w:r>
      <w:r>
        <w:t>V</w:t>
      </w:r>
      <w:r>
        <w:rPr>
          <w:vertAlign w:val="subscript"/>
        </w:rPr>
        <w:t>3</w:t>
      </w:r>
      <w:r>
        <w:rPr>
          <w:rFonts w:hint="eastAsia"/>
        </w:rPr>
        <w:t>：地面洗消水取冲洒道路和场地用水定额</w:t>
      </w:r>
      <w:r>
        <w:t>1L/m</w:t>
      </w:r>
      <w:r>
        <w:rPr>
          <w:vertAlign w:val="superscript"/>
        </w:rPr>
        <w:t>2</w:t>
      </w:r>
      <w:r>
        <w:rPr>
          <w:rFonts w:hint="eastAsia"/>
        </w:rPr>
        <w:t>·次，按照冲洗</w:t>
      </w:r>
      <w:r>
        <w:t>5</w:t>
      </w:r>
      <w:r>
        <w:rPr>
          <w:rFonts w:hint="eastAsia"/>
        </w:rPr>
        <w:t>次计算，洗消桥面长度取</w:t>
      </w:r>
      <w:r>
        <w:t>50m</w:t>
      </w:r>
      <w:r>
        <w:rPr>
          <w:rFonts w:hint="eastAsia"/>
        </w:rPr>
        <w:t>，清水河、沙河、黎河大桥洗消废水量为6</w:t>
      </w:r>
      <w:r>
        <w:t>.375m</w:t>
      </w:r>
      <w:r>
        <w:rPr>
          <w:vertAlign w:val="superscript"/>
        </w:rPr>
        <w:t>3</w:t>
      </w:r>
      <w:r>
        <w:rPr>
          <w:rFonts w:hint="eastAsia"/>
        </w:rPr>
        <w:t>。</w:t>
      </w:r>
    </w:p>
    <w:p>
      <w:pPr>
        <w:ind w:firstLine="480"/>
      </w:pPr>
      <w:r>
        <w:rPr>
          <w:rFonts w:hint="eastAsia"/>
        </w:rPr>
        <w:t>因此，每端防渗沉淀池容积为</w:t>
      </w:r>
      <w:r>
        <w:t>V=V</w:t>
      </w:r>
      <w:r>
        <w:rPr>
          <w:vertAlign w:val="subscript"/>
        </w:rPr>
        <w:t>1</w:t>
      </w:r>
      <w:r>
        <w:rPr>
          <w:rFonts w:hint="eastAsia"/>
        </w:rPr>
        <w:t>÷</w:t>
      </w:r>
      <w:r>
        <w:t>2+V</w:t>
      </w:r>
      <w:r>
        <w:rPr>
          <w:vertAlign w:val="subscript"/>
        </w:rPr>
        <w:t>2</w:t>
      </w:r>
      <w:r>
        <w:t>+V</w:t>
      </w:r>
      <w:r>
        <w:rPr>
          <w:vertAlign w:val="subscript"/>
        </w:rPr>
        <w:t>3</w:t>
      </w:r>
      <w:r>
        <w:rPr>
          <w:rFonts w:hint="eastAsia"/>
        </w:rPr>
        <w:t>，沉淀池设计要求见下表。</w:t>
      </w:r>
    </w:p>
    <w:p>
      <w:pPr>
        <w:adjustRightInd w:val="0"/>
        <w:snapToGrid w:val="0"/>
        <w:ind w:firstLine="0" w:firstLineChars="0"/>
        <w:jc w:val="center"/>
        <w:rPr>
          <w:b/>
          <w:sz w:val="21"/>
        </w:rPr>
      </w:pPr>
      <w:r>
        <w:rPr>
          <w:b/>
          <w:sz w:val="21"/>
        </w:rPr>
        <w:t>表</w:t>
      </w:r>
      <w:r>
        <w:rPr>
          <w:rFonts w:hint="eastAsia"/>
          <w:b/>
          <w:sz w:val="21"/>
        </w:rPr>
        <w:t>6.2-</w:t>
      </w:r>
      <w:r>
        <w:rPr>
          <w:b/>
          <w:sz w:val="21"/>
        </w:rPr>
        <w:t>5</w:t>
      </w:r>
      <w:r>
        <w:rPr>
          <w:b/>
          <w:sz w:val="21"/>
        </w:rPr>
        <w:tab/>
      </w:r>
      <w:r>
        <w:rPr>
          <w:rFonts w:hint="eastAsia"/>
          <w:b/>
          <w:sz w:val="21"/>
        </w:rPr>
        <w:t>事故池设计要求</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46"/>
        <w:gridCol w:w="2536"/>
        <w:gridCol w:w="53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5"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bCs/>
                <w:sz w:val="21"/>
                <w:szCs w:val="21"/>
                <w:lang w:eastAsia="zh-CN"/>
              </w:rPr>
              <w:t>路段</w:t>
            </w:r>
          </w:p>
        </w:tc>
        <w:tc>
          <w:tcPr>
            <w:tcW w:w="1405"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防渗事故池容积</w:t>
            </w:r>
          </w:p>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（向上取整，</w:t>
            </w:r>
            <w:r>
              <w:rPr>
                <w:rFonts w:ascii="Times New Roman" w:hAnsi="Times New Roman" w:cs="Times New Roman"/>
                <w:bCs/>
                <w:sz w:val="21"/>
                <w:szCs w:val="21"/>
                <w:lang w:eastAsia="zh-CN"/>
              </w:rPr>
              <w:t>m</w:t>
            </w:r>
            <w:r>
              <w:rPr>
                <w:rFonts w:ascii="Times New Roman" w:hAnsi="Times New Roman" w:cs="Times New Roman"/>
                <w:bCs/>
                <w:sz w:val="21"/>
                <w:szCs w:val="21"/>
                <w:vertAlign w:val="superscript"/>
                <w:lang w:eastAsia="zh-CN"/>
              </w:rPr>
              <w:t>2</w:t>
            </w:r>
            <w:r>
              <w:rPr>
                <w:rFonts w:hint="eastAsia" w:ascii="Times New Roman" w:hAnsi="Times New Roman" w:cs="Times New Roman"/>
                <w:bCs/>
                <w:sz w:val="21"/>
                <w:szCs w:val="21"/>
                <w:lang w:eastAsia="zh-CN"/>
              </w:rPr>
              <w:t>）</w:t>
            </w:r>
          </w:p>
        </w:tc>
        <w:tc>
          <w:tcPr>
            <w:tcW w:w="2960"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防渗事故池设计要求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5" w:type="pct"/>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清水河大桥</w:t>
            </w:r>
          </w:p>
        </w:tc>
        <w:tc>
          <w:tcPr>
            <w:tcW w:w="140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kern w:val="2"/>
                <w:sz w:val="21"/>
                <w:szCs w:val="21"/>
              </w:rPr>
              <w:t>V=89.6÷2+50+6.375=102</w:t>
            </w:r>
          </w:p>
        </w:tc>
        <w:tc>
          <w:tcPr>
            <w:tcW w:w="2960" w:type="pct"/>
            <w:vMerge w:val="restart"/>
            <w:vAlign w:val="center"/>
          </w:tcPr>
          <w:p>
            <w:pPr>
              <w:pStyle w:val="675"/>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事故池池顶标高应高于所在地表</w:t>
            </w:r>
            <w:r>
              <w:rPr>
                <w:rFonts w:ascii="Times New Roman" w:hAnsi="Times New Roman" w:cs="Times New Roman"/>
                <w:bCs/>
                <w:sz w:val="21"/>
                <w:szCs w:val="21"/>
                <w:lang w:eastAsia="zh-CN"/>
              </w:rPr>
              <w:t>1m</w:t>
            </w:r>
            <w:r>
              <w:rPr>
                <w:rFonts w:hint="eastAsia" w:ascii="Times New Roman" w:hAnsi="Times New Roman" w:cs="Times New Roman"/>
                <w:bCs/>
                <w:sz w:val="21"/>
                <w:szCs w:val="21"/>
                <w:lang w:eastAsia="zh-CN"/>
              </w:rPr>
              <w:t>以上；池底及四壁采用抗渗混凝土构筑，厚度不小于</w:t>
            </w:r>
            <w:r>
              <w:rPr>
                <w:rFonts w:ascii="Times New Roman" w:hAnsi="Times New Roman" w:cs="Times New Roman"/>
                <w:bCs/>
                <w:sz w:val="21"/>
                <w:szCs w:val="21"/>
                <w:lang w:eastAsia="zh-CN"/>
              </w:rPr>
              <w:t>15cm</w:t>
            </w:r>
            <w:r>
              <w:rPr>
                <w:rFonts w:hint="eastAsia" w:ascii="Times New Roman" w:hAnsi="Times New Roman" w:cs="Times New Roman"/>
                <w:bCs/>
                <w:sz w:val="21"/>
                <w:szCs w:val="21"/>
                <w:lang w:eastAsia="zh-CN"/>
              </w:rPr>
              <w:t>，并采用环氧树脂进行防腐处理，环氧树脂层厚度不小于</w:t>
            </w:r>
            <w:r>
              <w:rPr>
                <w:rFonts w:ascii="Times New Roman" w:hAnsi="Times New Roman" w:cs="Times New Roman"/>
                <w:bCs/>
                <w:sz w:val="21"/>
                <w:szCs w:val="21"/>
                <w:lang w:eastAsia="zh-CN"/>
              </w:rPr>
              <w:t>3mm</w:t>
            </w:r>
            <w:r>
              <w:rPr>
                <w:rFonts w:hint="eastAsia" w:ascii="Times New Roman" w:hAnsi="Times New Roman" w:cs="Times New Roman"/>
                <w:bCs/>
                <w:sz w:val="21"/>
                <w:szCs w:val="21"/>
                <w:lang w:eastAsia="zh-CN"/>
              </w:rPr>
              <w:t>，确保防渗层渗透</w:t>
            </w:r>
          </w:p>
          <w:p>
            <w:pPr>
              <w:pStyle w:val="675"/>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系数小于</w:t>
            </w:r>
            <w:r>
              <w:rPr>
                <w:rFonts w:ascii="Times New Roman" w:hAnsi="Times New Roman" w:cs="Times New Roman"/>
                <w:bCs/>
                <w:sz w:val="21"/>
                <w:szCs w:val="21"/>
                <w:lang w:eastAsia="zh-CN"/>
              </w:rPr>
              <w:t>1</w:t>
            </w:r>
            <w:r>
              <w:rPr>
                <w:rFonts w:hint="eastAsia" w:ascii="Times New Roman" w:hAnsi="Times New Roman" w:cs="Times New Roman"/>
                <w:bCs/>
                <w:sz w:val="21"/>
                <w:szCs w:val="21"/>
                <w:lang w:eastAsia="zh-CN"/>
              </w:rPr>
              <w:t>×</w:t>
            </w:r>
            <w:r>
              <w:rPr>
                <w:rFonts w:ascii="Times New Roman" w:hAnsi="Times New Roman" w:cs="Times New Roman"/>
                <w:bCs/>
                <w:sz w:val="21"/>
                <w:szCs w:val="21"/>
                <w:lang w:eastAsia="zh-CN"/>
              </w:rPr>
              <w:t>10</w:t>
            </w:r>
            <w:r>
              <w:rPr>
                <w:rFonts w:ascii="Times New Roman" w:hAnsi="Times New Roman" w:cs="Times New Roman"/>
                <w:bCs/>
                <w:sz w:val="21"/>
                <w:szCs w:val="21"/>
                <w:vertAlign w:val="superscript"/>
                <w:lang w:eastAsia="zh-CN"/>
              </w:rPr>
              <w:t>-10</w:t>
            </w:r>
            <w:r>
              <w:rPr>
                <w:rFonts w:ascii="Times New Roman" w:hAnsi="Times New Roman" w:cs="Times New Roman"/>
                <w:bCs/>
                <w:sz w:val="21"/>
                <w:szCs w:val="21"/>
                <w:lang w:eastAsia="zh-CN"/>
              </w:rPr>
              <w:t>cm/s</w:t>
            </w:r>
            <w:r>
              <w:rPr>
                <w:rFonts w:hint="eastAsia" w:ascii="Times New Roman" w:hAnsi="Times New Roman" w:cs="Times New Roman"/>
                <w:bCs/>
                <w:sz w:val="21"/>
                <w:szCs w:val="21"/>
                <w:lang w:eastAsia="zh-CN"/>
              </w:rPr>
              <w:t>；事故池内设置排水泵，事故池由沉砂单元、隔油单元及临时贮存池单元组成，具备沉砂及隔油作用；事故池四周设置围栏及警示标志，防止发生溺水事故；</w:t>
            </w:r>
          </w:p>
          <w:p>
            <w:pPr>
              <w:pStyle w:val="675"/>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设置入池台阶或斜坡，方便清理。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沙河大桥</w:t>
            </w:r>
          </w:p>
        </w:tc>
        <w:tc>
          <w:tcPr>
            <w:tcW w:w="140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kern w:val="2"/>
                <w:sz w:val="21"/>
                <w:szCs w:val="21"/>
              </w:rPr>
              <w:t>V=103.93÷2+50+6.375=109</w:t>
            </w:r>
          </w:p>
        </w:tc>
        <w:tc>
          <w:tcPr>
            <w:tcW w:w="2960" w:type="pct"/>
            <w:vMerge w:val="continue"/>
            <w:vAlign w:val="center"/>
          </w:tcPr>
          <w:p>
            <w:pPr>
              <w:pStyle w:val="675"/>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黎河大桥</w:t>
            </w:r>
          </w:p>
        </w:tc>
        <w:tc>
          <w:tcPr>
            <w:tcW w:w="1405"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kern w:val="2"/>
                <w:sz w:val="21"/>
                <w:szCs w:val="21"/>
              </w:rPr>
              <w:t>V=177.01÷2+50+6.375=145</w:t>
            </w:r>
          </w:p>
        </w:tc>
        <w:tc>
          <w:tcPr>
            <w:tcW w:w="2960" w:type="pct"/>
            <w:vMerge w:val="continue"/>
            <w:vAlign w:val="center"/>
          </w:tcPr>
          <w:p>
            <w:pPr>
              <w:pStyle w:val="675"/>
              <w:rPr>
                <w:rFonts w:ascii="Times New Roman" w:hAnsi="Times New Roman"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35"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二级水源地保护区</w:t>
            </w:r>
          </w:p>
        </w:tc>
        <w:tc>
          <w:tcPr>
            <w:tcW w:w="1405" w:type="pct"/>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V=6696.1÷10+50+6.375=726</w:t>
            </w:r>
          </w:p>
        </w:tc>
        <w:tc>
          <w:tcPr>
            <w:tcW w:w="2960" w:type="pct"/>
            <w:vMerge w:val="continue"/>
            <w:vAlign w:val="center"/>
          </w:tcPr>
          <w:p>
            <w:pPr>
              <w:pStyle w:val="675"/>
              <w:rPr>
                <w:rFonts w:ascii="Times New Roman" w:hAnsi="Times New Roman" w:cs="Times New Roman"/>
                <w:sz w:val="21"/>
                <w:szCs w:val="21"/>
              </w:rPr>
            </w:pPr>
          </w:p>
        </w:tc>
      </w:tr>
    </w:tbl>
    <w:p>
      <w:pPr>
        <w:ind w:firstLine="480"/>
        <w:rPr>
          <w:bCs/>
        </w:rPr>
      </w:pPr>
      <w:r>
        <w:rPr>
          <w:bCs/>
        </w:rPr>
        <w:t>（5）公路管理部门应设置专门机构和人员负责检查限速监控、防渗事故池、水泵等设施，保证设备正常运行；经常清理（特别是雨季）事故池内淤泥杂物，抽排事故池积水，保证事故池有效容积。</w:t>
      </w:r>
    </w:p>
    <w:p>
      <w:pPr>
        <w:ind w:firstLine="480"/>
        <w:rPr>
          <w:bCs/>
        </w:rPr>
      </w:pPr>
      <w:r>
        <w:rPr>
          <w:bCs/>
        </w:rPr>
        <w:t>（6）在</w:t>
      </w:r>
      <w:r>
        <w:rPr>
          <w:rFonts w:hint="eastAsia"/>
          <w:bCs/>
        </w:rPr>
        <w:t>临近</w:t>
      </w:r>
      <w:r>
        <w:rPr>
          <w:rFonts w:hAnsi="宋体"/>
        </w:rPr>
        <w:t>冷咀头河</w:t>
      </w:r>
      <w:r>
        <w:rPr>
          <w:rFonts w:hint="eastAsia"/>
          <w:bCs/>
        </w:rPr>
        <w:t>区段及桥梁区段</w:t>
      </w:r>
      <w:r>
        <w:rPr>
          <w:bCs/>
        </w:rPr>
        <w:t>设置紧急报警电话标牌，注明相应公路管理部门、公安消防、环保部门的电话号码，一旦发生事故，驾驶员及工作人员等可汇报公路管理部门、公安、环保等有关部门及时处理。</w:t>
      </w:r>
    </w:p>
    <w:p>
      <w:pPr>
        <w:ind w:firstLine="480"/>
        <w:rPr>
          <w:bCs/>
        </w:rPr>
      </w:pPr>
      <w:r>
        <w:rPr>
          <w:bCs/>
        </w:rPr>
        <w:t>（7）当公路管理部门接到汇报发生危险品运输事故且危险品可能进入沿线水体时，应向当地公安、环保等部门及时通报，确保及时派出环境专业人员和监测人员到场工作，对水体进行监测和分析，并视情况采取必要的公告、化学处理等措施，同时对掉入水体的容器进行打捞。</w:t>
      </w:r>
    </w:p>
    <w:p>
      <w:pPr>
        <w:pStyle w:val="204"/>
        <w:spacing w:line="480" w:lineRule="exact"/>
        <w:ind w:firstLine="0" w:firstLineChars="0"/>
        <w:outlineLvl w:val="2"/>
        <w:rPr>
          <w:b/>
          <w:sz w:val="28"/>
          <w:szCs w:val="28"/>
        </w:rPr>
      </w:pPr>
      <w:r>
        <w:rPr>
          <w:rFonts w:hint="eastAsia"/>
          <w:b/>
          <w:sz w:val="28"/>
          <w:szCs w:val="28"/>
        </w:rPr>
        <w:t>6.3</w:t>
      </w:r>
      <w:r>
        <w:rPr>
          <w:b/>
          <w:sz w:val="28"/>
          <w:szCs w:val="28"/>
        </w:rPr>
        <w:t>.</w:t>
      </w:r>
      <w:r>
        <w:rPr>
          <w:rFonts w:hint="eastAsia"/>
          <w:b/>
          <w:sz w:val="28"/>
          <w:szCs w:val="28"/>
        </w:rPr>
        <w:t>3环境风险事故应急救援预案</w:t>
      </w:r>
    </w:p>
    <w:p>
      <w:pPr>
        <w:ind w:firstLine="480"/>
        <w:rPr>
          <w:bCs/>
        </w:rPr>
      </w:pPr>
      <w:r>
        <w:rPr>
          <w:bCs/>
        </w:rPr>
        <w:t>根据国务院《国家突发公共事件总体应急预案》确定的全国突发公共事件应急预案体系的划分原则，本项目应定位为突发公共事件地方应急预案和突发公共事件部门应急预案。本项目的应急预案应结合地市公共事故应急预案。</w:t>
      </w:r>
    </w:p>
    <w:p>
      <w:pPr>
        <w:ind w:firstLine="480"/>
        <w:rPr>
          <w:bCs/>
        </w:rPr>
      </w:pPr>
      <w:r>
        <w:rPr>
          <w:bCs/>
        </w:rPr>
        <w:t>1、应急救援组织机构及其职责各救援单位在事故救援指挥中心领导下，职责分工如下：</w:t>
      </w:r>
    </w:p>
    <w:p>
      <w:pPr>
        <w:ind w:firstLine="480"/>
        <w:rPr>
          <w:bCs/>
        </w:rPr>
      </w:pPr>
      <w:r>
        <w:rPr>
          <w:bCs/>
        </w:rPr>
        <w:t>（1）消防部门负责迅速控制危害源，启动防污染应急系统，扑灭火灾，提出危化品清理方案，并处理；</w:t>
      </w:r>
    </w:p>
    <w:p>
      <w:pPr>
        <w:ind w:firstLine="480"/>
        <w:rPr>
          <w:bCs/>
        </w:rPr>
      </w:pPr>
      <w:r>
        <w:rPr>
          <w:bCs/>
        </w:rPr>
        <w:t>（2）交巡警部门负责保障救援车辆的交通畅通，实施事故现场交通管制，同时勘察现场，查明事故原因；</w:t>
      </w:r>
    </w:p>
    <w:p>
      <w:pPr>
        <w:ind w:firstLine="480"/>
        <w:rPr>
          <w:bCs/>
        </w:rPr>
      </w:pPr>
      <w:r>
        <w:rPr>
          <w:bCs/>
        </w:rPr>
        <w:t>（3）医院负责抢救伤员，同时确定化学危化品对人员危害的程度，提供</w:t>
      </w:r>
      <w:r>
        <w:rPr>
          <w:rFonts w:hint="eastAsia"/>
          <w:bCs/>
        </w:rPr>
        <w:t>有</w:t>
      </w:r>
      <w:r>
        <w:rPr>
          <w:bCs/>
        </w:rPr>
        <w:t>效的抢救方案；</w:t>
      </w:r>
    </w:p>
    <w:p>
      <w:pPr>
        <w:ind w:firstLine="480"/>
        <w:rPr>
          <w:bCs/>
        </w:rPr>
      </w:pPr>
      <w:r>
        <w:rPr>
          <w:bCs/>
        </w:rPr>
        <w:t>（4）路政人员负责被损坏路产的核查统计工作；</w:t>
      </w:r>
    </w:p>
    <w:p>
      <w:pPr>
        <w:ind w:firstLine="480"/>
        <w:rPr>
          <w:bCs/>
        </w:rPr>
      </w:pPr>
      <w:r>
        <w:rPr>
          <w:bCs/>
        </w:rPr>
        <w:t>（5）环保部门负责测定事故的危害区域、化学危化品物品性质及危害程度；</w:t>
      </w:r>
    </w:p>
    <w:p>
      <w:pPr>
        <w:ind w:firstLine="480"/>
        <w:rPr>
          <w:bCs/>
        </w:rPr>
      </w:pPr>
      <w:r>
        <w:rPr>
          <w:bCs/>
        </w:rPr>
        <w:t>（6）排障大队负责事故车辆的清障工作；</w:t>
      </w:r>
    </w:p>
    <w:p>
      <w:pPr>
        <w:ind w:firstLine="480"/>
        <w:rPr>
          <w:bCs/>
        </w:rPr>
      </w:pPr>
      <w:r>
        <w:rPr>
          <w:bCs/>
        </w:rPr>
        <w:t>（7）路桥养护部门负责后期的事故现场清理工作；</w:t>
      </w:r>
    </w:p>
    <w:p>
      <w:pPr>
        <w:ind w:firstLine="480"/>
        <w:rPr>
          <w:bCs/>
        </w:rPr>
      </w:pPr>
      <w:r>
        <w:rPr>
          <w:bCs/>
        </w:rPr>
        <w:t>（8）每个救援单位都具有抢救伤员的义务。事故现场的各项救援工作由事故救援指挥中心负责统一指挥。</w:t>
      </w:r>
    </w:p>
    <w:p>
      <w:pPr>
        <w:ind w:firstLine="480"/>
        <w:rPr>
          <w:bCs/>
        </w:rPr>
      </w:pPr>
      <w:r>
        <w:rPr>
          <w:bCs/>
        </w:rPr>
        <w:t>2、应急程序报告程序发生事故时，按照下列程序报告：</w:t>
      </w:r>
    </w:p>
    <w:p>
      <w:pPr>
        <w:ind w:firstLine="480"/>
        <w:rPr>
          <w:bCs/>
        </w:rPr>
      </w:pPr>
      <w:r>
        <w:rPr>
          <w:bCs/>
        </w:rPr>
        <w:t>（1）应立即拨打</w:t>
      </w:r>
      <w:r>
        <w:rPr>
          <w:rFonts w:hint="eastAsia"/>
          <w:bCs/>
        </w:rPr>
        <w:t>“</w:t>
      </w:r>
      <w:r>
        <w:rPr>
          <w:bCs/>
        </w:rPr>
        <w:t>110</w:t>
      </w:r>
      <w:r>
        <w:rPr>
          <w:rFonts w:hint="eastAsia"/>
          <w:bCs/>
        </w:rPr>
        <w:t>”</w:t>
      </w:r>
      <w:r>
        <w:rPr>
          <w:bCs/>
        </w:rPr>
        <w:t>报警电话，报告事故发生的时间、地点和简要情况，并随时报告事故的后续情况；</w:t>
      </w:r>
    </w:p>
    <w:p>
      <w:pPr>
        <w:ind w:firstLine="480"/>
        <w:rPr>
          <w:bCs/>
        </w:rPr>
      </w:pPr>
      <w:r>
        <w:rPr>
          <w:bCs/>
        </w:rPr>
        <w:t>（2）在拨打</w:t>
      </w:r>
      <w:r>
        <w:rPr>
          <w:rFonts w:hint="eastAsia"/>
          <w:bCs/>
        </w:rPr>
        <w:t>“</w:t>
      </w:r>
      <w:r>
        <w:rPr>
          <w:bCs/>
        </w:rPr>
        <w:t>110</w:t>
      </w:r>
      <w:r>
        <w:rPr>
          <w:rFonts w:hint="eastAsia"/>
          <w:bCs/>
        </w:rPr>
        <w:t>”</w:t>
      </w:r>
      <w:r>
        <w:rPr>
          <w:bCs/>
        </w:rPr>
        <w:t>报警电话报警的同时，要将事故情况报事故发生地县、区人民政府及其相关部门；</w:t>
      </w:r>
    </w:p>
    <w:p>
      <w:pPr>
        <w:ind w:firstLine="480"/>
        <w:rPr>
          <w:bCs/>
        </w:rPr>
      </w:pPr>
      <w:r>
        <w:rPr>
          <w:bCs/>
        </w:rPr>
        <w:t>（3）接警单位立即把风险事故报告所在地应急救援指挥中心；</w:t>
      </w:r>
    </w:p>
    <w:p>
      <w:pPr>
        <w:ind w:firstLine="480"/>
        <w:rPr>
          <w:bCs/>
        </w:rPr>
      </w:pPr>
      <w:r>
        <w:rPr>
          <w:bCs/>
        </w:rPr>
        <w:t>（4）接到事故报告的部门要视情况在要求时间内报上一级主管部门；</w:t>
      </w:r>
    </w:p>
    <w:p>
      <w:pPr>
        <w:ind w:firstLine="480"/>
        <w:rPr>
          <w:bCs/>
        </w:rPr>
      </w:pPr>
      <w:r>
        <w:rPr>
          <w:bCs/>
        </w:rPr>
        <w:t>（5）应急救援指挥中心按程序向政府报告；</w:t>
      </w:r>
    </w:p>
    <w:p>
      <w:pPr>
        <w:ind w:firstLine="480"/>
        <w:rPr>
          <w:bCs/>
        </w:rPr>
      </w:pPr>
      <w:r>
        <w:rPr>
          <w:bCs/>
        </w:rPr>
        <w:t>（6）应急救援指挥中心根据事故情况适时上报。</w:t>
      </w:r>
    </w:p>
    <w:p>
      <w:pPr>
        <w:ind w:firstLine="480"/>
        <w:rPr>
          <w:bCs/>
        </w:rPr>
      </w:pPr>
      <w:r>
        <w:rPr>
          <w:bCs/>
        </w:rPr>
        <w:t>3、应急救援程序：主要是事故报告与报警、事故救援等。应急救援程序见下图</w:t>
      </w:r>
      <w:r>
        <w:rPr>
          <w:rFonts w:hint="eastAsia"/>
          <w:bCs/>
        </w:rPr>
        <w:t>。</w:t>
      </w:r>
    </w:p>
    <w:p>
      <w:pPr>
        <w:pStyle w:val="2"/>
        <w:ind w:firstLine="480"/>
      </w:pPr>
    </w:p>
    <w:p>
      <w:pPr>
        <w:spacing w:before="72" w:beforeLines="30" w:line="240" w:lineRule="auto"/>
        <w:ind w:firstLine="0" w:firstLineChars="0"/>
        <w:jc w:val="center"/>
        <w:rPr>
          <w:highlight w:val="yellow"/>
        </w:rPr>
      </w:pPr>
      <w:r>
        <w:object>
          <v:shape id="_x0000_i1029" o:spt="75" type="#_x0000_t75" style="height:172.5pt;width:288pt;" o:ole="t" filled="f" o:preferrelative="t" stroked="f" coordsize="21600,21600">
            <v:path/>
            <v:fill on="f" focussize="0,0"/>
            <v:stroke on="f" joinstyle="miter"/>
            <v:imagedata r:id="rId96" o:title=""/>
            <o:lock v:ext="edit" aspectratio="t"/>
            <w10:wrap type="none"/>
            <w10:anchorlock/>
          </v:shape>
          <o:OLEObject Type="Embed" ProgID="Visio.Drawing.11" ShapeID="_x0000_i1029" DrawAspect="Content" ObjectID="_1468075729" r:id="rId95">
            <o:LockedField>false</o:LockedField>
          </o:OLEObject>
        </w:object>
      </w:r>
    </w:p>
    <w:p>
      <w:pPr>
        <w:adjustRightInd w:val="0"/>
        <w:snapToGrid w:val="0"/>
        <w:ind w:firstLine="0" w:firstLineChars="0"/>
        <w:jc w:val="center"/>
        <w:rPr>
          <w:b/>
          <w:sz w:val="21"/>
        </w:rPr>
      </w:pPr>
      <w:r>
        <w:rPr>
          <w:rFonts w:hint="eastAsia"/>
          <w:b/>
          <w:sz w:val="21"/>
        </w:rPr>
        <w:t>图6.2-1</w:t>
      </w:r>
      <w:r>
        <w:rPr>
          <w:b/>
          <w:sz w:val="21"/>
        </w:rPr>
        <w:tab/>
      </w:r>
      <w:r>
        <w:rPr>
          <w:rFonts w:hint="eastAsia"/>
          <w:b/>
          <w:sz w:val="21"/>
        </w:rPr>
        <w:t xml:space="preserve"> 危险品运输事故应急救援行动流程图</w:t>
      </w:r>
    </w:p>
    <w:p>
      <w:pPr>
        <w:ind w:firstLine="480"/>
        <w:rPr>
          <w:bCs/>
        </w:rPr>
      </w:pPr>
      <w:r>
        <w:rPr>
          <w:bCs/>
        </w:rPr>
        <w:t>4、应急预案</w:t>
      </w:r>
    </w:p>
    <w:p>
      <w:pPr>
        <w:ind w:firstLine="480"/>
        <w:rPr>
          <w:bCs/>
        </w:rPr>
      </w:pPr>
      <w:r>
        <w:rPr>
          <w:rFonts w:hint="eastAsia"/>
          <w:bCs/>
        </w:rPr>
        <w:t>本项目</w:t>
      </w:r>
      <w:r>
        <w:rPr>
          <w:bCs/>
        </w:rPr>
        <w:t>公路营运后公路管理部门应成立</w:t>
      </w:r>
      <w:r>
        <w:rPr>
          <w:rFonts w:hint="eastAsia"/>
          <w:bCs/>
        </w:rPr>
        <w:t>“国道G112遵化城区段改建工程</w:t>
      </w:r>
      <w:r>
        <w:rPr>
          <w:bCs/>
        </w:rPr>
        <w:t>应急救援预案指挥领导小组</w:t>
      </w:r>
      <w:r>
        <w:rPr>
          <w:rFonts w:hint="eastAsia"/>
          <w:bCs/>
        </w:rPr>
        <w:t>”</w:t>
      </w:r>
      <w:r>
        <w:rPr>
          <w:bCs/>
        </w:rPr>
        <w:t>，制定《国道G112遵化城区段改建工程危险化学品运输发生水污染事故应急救援预案》，主要内容包括：</w:t>
      </w:r>
    </w:p>
    <w:p>
      <w:pPr>
        <w:ind w:firstLine="480"/>
        <w:rPr>
          <w:bCs/>
        </w:rPr>
      </w:pPr>
      <w:r>
        <w:rPr>
          <w:bCs/>
        </w:rPr>
        <w:t>（1）成立应急领导小组，由</w:t>
      </w:r>
      <w:r>
        <w:rPr>
          <w:rFonts w:hint="eastAsia"/>
          <w:bCs/>
        </w:rPr>
        <w:t>遵化市交通运输局</w:t>
      </w:r>
      <w:r>
        <w:rPr>
          <w:bCs/>
        </w:rPr>
        <w:t>的领导担任组长，路政、排障等领导为组员，另外联系当地相关部门，如公安、环保、消防、卫生等，成为领导小组的成员。</w:t>
      </w:r>
      <w:r>
        <w:rPr>
          <w:rFonts w:hint="eastAsia"/>
          <w:bCs/>
        </w:rPr>
        <w:t>遵化市交通运输局</w:t>
      </w:r>
      <w:r>
        <w:rPr>
          <w:bCs/>
        </w:rPr>
        <w:t>应根据应急预案，统一应急行动，明确应急责任人和有关部门的职责，确保在最短的时间将事故控制，以减少对环境的破坏；</w:t>
      </w:r>
    </w:p>
    <w:p>
      <w:pPr>
        <w:ind w:firstLine="480"/>
        <w:rPr>
          <w:bCs/>
        </w:rPr>
      </w:pPr>
      <w:r>
        <w:rPr>
          <w:bCs/>
        </w:rPr>
        <w:t>（2）一旦在</w:t>
      </w:r>
      <w:r>
        <w:rPr>
          <w:rFonts w:hint="eastAsia"/>
          <w:bCs/>
        </w:rPr>
        <w:t>沿线途径临近</w:t>
      </w:r>
      <w:r>
        <w:rPr>
          <w:rFonts w:hAnsi="宋体"/>
        </w:rPr>
        <w:t>冷咀头河</w:t>
      </w:r>
      <w:r>
        <w:rPr>
          <w:rFonts w:hint="eastAsia"/>
          <w:bCs/>
        </w:rPr>
        <w:t>区段及桥梁区段</w:t>
      </w:r>
      <w:r>
        <w:rPr>
          <w:bCs/>
        </w:rPr>
        <w:t>附近发生运输危险品的事故，由应急电话拨打至应急中心，应急中心值班人员了解情况后立即通知应急指挥人，由应急指挥人立即通知事故处理小组的相关人员迅速前往现场，采取进一步的应急措施，防止污染和危险的扩散。</w:t>
      </w:r>
    </w:p>
    <w:p>
      <w:pPr>
        <w:ind w:firstLine="480"/>
        <w:rPr>
          <w:bCs/>
        </w:rPr>
      </w:pPr>
      <w:r>
        <w:rPr>
          <w:bCs/>
        </w:rPr>
        <w:t>（3）事件发生地设区的市级或者县级人民政府环境保护主管部门应当按照重大（II级）或者特别重大（I级）突发环境事件的报告程序上报，对初步认定为重大（II级）或者特别重大（I级）突发环境事件的，事件发生地设区的市级或者县级人民政府环境保护主管部门应当在两小时</w:t>
      </w:r>
      <w:r>
        <w:rPr>
          <w:rFonts w:hint="eastAsia"/>
          <w:bCs/>
        </w:rPr>
        <w:t>内</w:t>
      </w:r>
      <w:r>
        <w:rPr>
          <w:bCs/>
        </w:rPr>
        <w:t>向本级人民政府和省级人民政府环境保护主管部门报告，同时上报环境保护部。省级人民政府环境保护主管部门接到报告后，应当进行核实并在一小时内报告环境保护部。</w:t>
      </w:r>
    </w:p>
    <w:p>
      <w:pPr>
        <w:ind w:firstLine="480"/>
        <w:rPr>
          <w:bCs/>
        </w:rPr>
      </w:pPr>
      <w:r>
        <w:rPr>
          <w:bCs/>
        </w:rPr>
        <w:t>（4）应急培训计划：对相关应急人员应进行事故事故应急培训，使其具有相应的环保知识和应急事故处理的能力；定期进行相应的演练工作，主要是事故一旦发生后的应急救援工作。</w:t>
      </w:r>
    </w:p>
    <w:p>
      <w:pPr>
        <w:ind w:firstLine="480"/>
        <w:rPr>
          <w:bCs/>
        </w:rPr>
      </w:pPr>
      <w:r>
        <w:rPr>
          <w:bCs/>
        </w:rPr>
        <w:t>（5）</w:t>
      </w:r>
      <w:r>
        <w:rPr>
          <w:rFonts w:hint="eastAsia"/>
          <w:bCs/>
        </w:rPr>
        <w:t>遵化市交通运输局</w:t>
      </w:r>
      <w:r>
        <w:rPr>
          <w:bCs/>
        </w:rPr>
        <w:t>必须配备一些必要的应急救援设备和仪器，以便进行自救。主要包括应急防护处理车辆、吸油毡、固液物质清扫设备、回收设备等，但更多的器材和药物将有相关单位和部门提供。</w:t>
      </w:r>
    </w:p>
    <w:p>
      <w:pPr>
        <w:ind w:firstLine="480"/>
        <w:rPr>
          <w:bCs/>
        </w:rPr>
      </w:pPr>
      <w:r>
        <w:rPr>
          <w:bCs/>
        </w:rPr>
        <w:t>（6）应急环境监测、抢险、救援及控制措施；由地方环境监测站对事故现场周围水质进行监测，对事故性质、参数与后果进行评估，为指挥部门提供决策依据。</w:t>
      </w:r>
    </w:p>
    <w:p>
      <w:pPr>
        <w:ind w:firstLine="480"/>
        <w:rPr>
          <w:bCs/>
        </w:rPr>
      </w:pPr>
      <w:r>
        <w:rPr>
          <w:bCs/>
        </w:rPr>
        <w:t>（7）人员紧急撤离、疏散、应急剂量控制、撤离组织计划。在事故现场，由领导小组领导，其他各个协调管理机构对现场进行处理，主要进行协调和沟通工作，并负责工作的汇报。</w:t>
      </w:r>
    </w:p>
    <w:p>
      <w:pPr>
        <w:ind w:firstLine="480"/>
        <w:rPr>
          <w:bCs/>
        </w:rPr>
      </w:pPr>
      <w:r>
        <w:rPr>
          <w:bCs/>
        </w:rPr>
        <w:t>（8）事故应急救援关闭程序与恢复措施。现场处理完毕后，由地方环境监测站跟踪监测水质状况，并进行总结</w:t>
      </w:r>
      <w:r>
        <w:rPr>
          <w:rFonts w:hint="eastAsia"/>
          <w:bCs/>
        </w:rPr>
        <w:t>、</w:t>
      </w:r>
      <w:r>
        <w:rPr>
          <w:bCs/>
        </w:rPr>
        <w:t>汇报。</w:t>
      </w:r>
    </w:p>
    <w:p>
      <w:pPr>
        <w:ind w:firstLine="480"/>
        <w:rPr>
          <w:bCs/>
        </w:rPr>
      </w:pPr>
      <w:r>
        <w:rPr>
          <w:bCs/>
        </w:rPr>
        <w:t>（9）公众教育和信息。对发生的危险品污染事故，通过媒体对公众进行公示，起到教育和警示作用</w:t>
      </w:r>
      <w:r>
        <w:rPr>
          <w:rFonts w:hint="eastAsia"/>
          <w:bCs/>
        </w:rPr>
        <w:t>。</w:t>
      </w:r>
    </w:p>
    <w:p>
      <w:pPr>
        <w:ind w:firstLine="480"/>
        <w:rPr>
          <w:rFonts w:ascii="宋体" w:hAnsi="宋体" w:cs="宋体"/>
          <w:kern w:val="0"/>
          <w:szCs w:val="24"/>
          <w:highlight w:val="yellow"/>
        </w:rPr>
      </w:pPr>
    </w:p>
    <w:p>
      <w:pPr>
        <w:ind w:firstLine="480"/>
        <w:rPr>
          <w:szCs w:val="24"/>
          <w:highlight w:val="yellow"/>
        </w:rPr>
        <w:sectPr>
          <w:pgSz w:w="11906" w:h="16838"/>
          <w:pgMar w:top="1418" w:right="1418" w:bottom="1418" w:left="1474" w:header="964" w:footer="964" w:gutter="0"/>
          <w:cols w:space="720" w:num="1"/>
          <w:docGrid w:linePitch="326" w:charSpace="0"/>
        </w:sectPr>
      </w:pPr>
    </w:p>
    <w:p>
      <w:pPr>
        <w:pStyle w:val="4"/>
        <w:spacing w:beforeLines="0" w:afterLines="0"/>
      </w:pPr>
      <w:bookmarkStart w:id="106" w:name="_Toc141284080"/>
      <w:r>
        <w:rPr>
          <w:rFonts w:hint="eastAsia"/>
        </w:rPr>
        <w:t>7环境保护措施可行性论证</w:t>
      </w:r>
      <w:bookmarkEnd w:id="106"/>
    </w:p>
    <w:p>
      <w:pPr>
        <w:pStyle w:val="5"/>
        <w:spacing w:beforeLines="0" w:afterLines="0"/>
      </w:pPr>
      <w:bookmarkStart w:id="107" w:name="_Toc141284081"/>
      <w:r>
        <w:rPr>
          <w:rFonts w:hint="eastAsia"/>
        </w:rPr>
        <w:t>7</w:t>
      </w:r>
      <w:r>
        <w:t>.1</w:t>
      </w:r>
      <w:r>
        <w:rPr>
          <w:rFonts w:hint="eastAsia"/>
        </w:rPr>
        <w:t>一般区域生态环境保护措施</w:t>
      </w:r>
      <w:bookmarkEnd w:id="107"/>
    </w:p>
    <w:p>
      <w:pPr>
        <w:pStyle w:val="6"/>
        <w:spacing w:before="120" w:after="120"/>
      </w:pPr>
      <w:r>
        <w:rPr>
          <w:rFonts w:hint="eastAsia"/>
        </w:rPr>
        <w:t>7</w:t>
      </w:r>
      <w:r>
        <w:t>.</w:t>
      </w:r>
      <w:r>
        <w:rPr>
          <w:rFonts w:hint="eastAsia"/>
        </w:rPr>
        <w:t>1</w:t>
      </w:r>
      <w:r>
        <w:t>.</w:t>
      </w:r>
      <w:r>
        <w:rPr>
          <w:rFonts w:hint="eastAsia"/>
        </w:rPr>
        <w:t>1施工期生态环境保护措施</w:t>
      </w:r>
    </w:p>
    <w:p>
      <w:pPr>
        <w:pStyle w:val="190"/>
        <w:spacing w:beforeLines="0" w:afterLines="0"/>
      </w:pPr>
      <w:r>
        <w:rPr>
          <w:rFonts w:hint="eastAsia"/>
        </w:rPr>
        <w:t>7</w:t>
      </w:r>
      <w:r>
        <w:t>.</w:t>
      </w:r>
      <w:r>
        <w:rPr>
          <w:rFonts w:hint="eastAsia"/>
        </w:rPr>
        <w:t>1</w:t>
      </w:r>
      <w:r>
        <w:t>.</w:t>
      </w:r>
      <w:r>
        <w:rPr>
          <w:rFonts w:hint="eastAsia"/>
        </w:rPr>
        <w:t>1</w:t>
      </w:r>
      <w:r>
        <w:t>.1</w:t>
      </w:r>
      <w:r>
        <w:rPr>
          <w:rFonts w:hint="eastAsia"/>
        </w:rPr>
        <w:t>生态保护与恢复原则</w:t>
      </w:r>
    </w:p>
    <w:p>
      <w:pPr>
        <w:ind w:firstLine="480"/>
      </w:pPr>
      <w:r>
        <w:t>生态影响防护与生态保护措施应遵循</w:t>
      </w:r>
      <w:r>
        <w:rPr>
          <w:rFonts w:hint="eastAsia"/>
        </w:rPr>
        <w:t>“</w:t>
      </w:r>
      <w:r>
        <w:t>避免、减缓、补偿</w:t>
      </w:r>
      <w:r>
        <w:rPr>
          <w:rFonts w:hint="eastAsia"/>
        </w:rPr>
        <w:t>”</w:t>
      </w:r>
      <w:r>
        <w:t>的原则，能避免则需避免，不能避免的再考虑减缓措施，减缓措施之后，再进行生态补偿。本报告即按此原则提出相应的生态影响减缓与生态保护措施</w:t>
      </w:r>
      <w:r>
        <w:rPr>
          <w:rFonts w:hint="eastAsia"/>
        </w:rPr>
        <w:t>。</w:t>
      </w:r>
    </w:p>
    <w:p>
      <w:pPr>
        <w:pStyle w:val="190"/>
        <w:spacing w:beforeLines="0" w:afterLines="0"/>
      </w:pPr>
      <w:r>
        <w:rPr>
          <w:rFonts w:hint="eastAsia"/>
        </w:rPr>
        <w:t>7</w:t>
      </w:r>
      <w:r>
        <w:t>.</w:t>
      </w:r>
      <w:r>
        <w:rPr>
          <w:rFonts w:hint="eastAsia"/>
        </w:rPr>
        <w:t>1</w:t>
      </w:r>
      <w:r>
        <w:t>.</w:t>
      </w:r>
      <w:r>
        <w:rPr>
          <w:rFonts w:hint="eastAsia"/>
        </w:rPr>
        <w:t>1</w:t>
      </w:r>
      <w:r>
        <w:t>.</w:t>
      </w:r>
      <w:r>
        <w:rPr>
          <w:rFonts w:hint="eastAsia"/>
        </w:rPr>
        <w:t>2动植物保护措施</w:t>
      </w:r>
    </w:p>
    <w:p>
      <w:pPr>
        <w:ind w:firstLine="480"/>
      </w:pPr>
      <w:r>
        <w:t>经调查，工程所在区域无珍稀濒危的重点保护动植物，动物以麻雀、鼠类以及人工饲养的家禽、家畜</w:t>
      </w:r>
      <w:r>
        <w:rPr>
          <w:rFonts w:hint="eastAsia"/>
        </w:rPr>
        <w:t>（以牛为主）</w:t>
      </w:r>
      <w:r>
        <w:t>等动物为主，公路建设对其影响较小。植物以农作物和人工种植的树木为主，公路建设将对其造成一定影响，可通过如下措施减轻对动植物的影响。</w:t>
      </w:r>
    </w:p>
    <w:p>
      <w:pPr>
        <w:ind w:firstLine="480"/>
      </w:pPr>
      <w:r>
        <w:rPr>
          <w:rFonts w:hint="eastAsia"/>
        </w:rPr>
        <w:t>（1）</w:t>
      </w:r>
      <w:r>
        <w:t>植被和陆生植物保护措施</w:t>
      </w:r>
    </w:p>
    <w:p>
      <w:pPr>
        <w:ind w:firstLine="480"/>
      </w:pPr>
      <w:r>
        <w:rPr>
          <w:rFonts w:hint="eastAsia"/>
        </w:rPr>
        <w:t>①</w:t>
      </w:r>
      <w:r>
        <w:t>避免措施根据工程特点，建议以下植被生态影响以及生物多样性损失的避免措施：施工区的施工车辆应集中安置，尽量避免随处而放或零散放置；施工人员的生活垃圾应进行统一处理后，集中</w:t>
      </w:r>
      <w:r>
        <w:rPr>
          <w:rFonts w:hint="eastAsia"/>
        </w:rPr>
        <w:t>交环卫部门统一处理，</w:t>
      </w:r>
      <w:r>
        <w:t>杜绝随意乱丢乱扔，</w:t>
      </w:r>
      <w:r>
        <w:rPr>
          <w:rFonts w:hint="eastAsia"/>
        </w:rPr>
        <w:t>破坏</w:t>
      </w:r>
      <w:r>
        <w:rPr>
          <w:rFonts w:hint="eastAsia"/>
          <w:bCs/>
          <w:szCs w:val="24"/>
        </w:rPr>
        <w:t>学汉坨村</w:t>
      </w:r>
      <w:r>
        <w:rPr>
          <w:rFonts w:hint="eastAsia"/>
        </w:rPr>
        <w:t>及周边</w:t>
      </w:r>
      <w:r>
        <w:t>植被和农作物。</w:t>
      </w:r>
    </w:p>
    <w:p>
      <w:pPr>
        <w:ind w:firstLine="480"/>
      </w:pPr>
      <w:r>
        <w:t>耕地附近施工时，施工活动要保证在征地范围内进行，对路界以外的植被应不破坏或尽量减少破坏。临时占地要尽量缩小范围。</w:t>
      </w:r>
    </w:p>
    <w:p>
      <w:pPr>
        <w:ind w:firstLine="480"/>
      </w:pPr>
      <w:r>
        <w:rPr>
          <w:rFonts w:hint="eastAsia"/>
        </w:rPr>
        <w:t>②</w:t>
      </w:r>
      <w:r>
        <w:t>减缓措施在无法避免的情况下，尽量减少对耕地的占用，施工范围不应超过用地红线。</w:t>
      </w:r>
    </w:p>
    <w:p>
      <w:pPr>
        <w:ind w:firstLine="480"/>
      </w:pPr>
      <w:r>
        <w:t>对于胸径小于10cm的材树</w:t>
      </w:r>
      <w:r>
        <w:rPr>
          <w:rFonts w:hint="eastAsia"/>
        </w:rPr>
        <w:t>（以杨树为主）</w:t>
      </w:r>
      <w:r>
        <w:t>和幼果树，可在适宜季节进行移植，由此减少因工程建设产生的影响。</w:t>
      </w:r>
    </w:p>
    <w:p>
      <w:pPr>
        <w:ind w:firstLine="480"/>
      </w:pPr>
      <w:r>
        <w:t>填筑路基时，对于前期保留的乔木、灌木应做到保留和防护，禁止碾压破坏。挖方边坡施工作业时，保护好保留的坡口线以外的植被。边坡成形后应结合绿</w:t>
      </w:r>
      <w:r>
        <w:rPr>
          <w:rFonts w:hint="eastAsia"/>
        </w:rPr>
        <w:t>化</w:t>
      </w:r>
      <w:r>
        <w:t>景观设计，迅速开展全线边坡绿化生态恢复工作。</w:t>
      </w:r>
    </w:p>
    <w:p>
      <w:pPr>
        <w:ind w:firstLine="480"/>
      </w:pPr>
      <w:r>
        <w:rPr>
          <w:rFonts w:hint="eastAsia"/>
        </w:rPr>
        <w:t>③</w:t>
      </w:r>
      <w:r>
        <w:t>恢复和补偿措施</w:t>
      </w:r>
    </w:p>
    <w:p>
      <w:pPr>
        <w:ind w:firstLine="480"/>
      </w:pPr>
      <w:r>
        <w:t>施工结束后及时选择</w:t>
      </w:r>
      <w:r>
        <w:rPr>
          <w:rFonts w:hint="eastAsia"/>
        </w:rPr>
        <w:t>适宜当地的杨树、灌木、草本等植被进行</w:t>
      </w:r>
      <w:r>
        <w:t>恢复绿化。通过完成拟建公路边坡以及公路征地范围内可绿化面积的植树种草工作，以达到恢复植被、保护路基，补偿公路因</w:t>
      </w:r>
      <w:r>
        <w:rPr>
          <w:rFonts w:hint="eastAsia"/>
        </w:rPr>
        <w:t>占地</w:t>
      </w:r>
      <w:r>
        <w:t>而造成的植被生物量的损失。</w:t>
      </w:r>
    </w:p>
    <w:p>
      <w:pPr>
        <w:ind w:firstLine="480"/>
      </w:pPr>
      <w:r>
        <w:rPr>
          <w:rFonts w:hint="eastAsia"/>
        </w:rPr>
        <w:t>（2）</w:t>
      </w:r>
      <w:r>
        <w:t>动物保护措施</w:t>
      </w:r>
    </w:p>
    <w:p>
      <w:pPr>
        <w:ind w:firstLine="480"/>
      </w:pPr>
      <w:r>
        <w:rPr>
          <w:rFonts w:hint="eastAsia"/>
        </w:rPr>
        <w:t>①</w:t>
      </w:r>
      <w:r>
        <w:t>避免措施提高施工人员的保护意识，严禁捕猎野生动物。</w:t>
      </w:r>
    </w:p>
    <w:p>
      <w:pPr>
        <w:ind w:firstLine="480"/>
      </w:pPr>
      <w:r>
        <w:rPr>
          <w:rFonts w:hint="eastAsia"/>
        </w:rPr>
        <w:t>②</w:t>
      </w:r>
      <w:r>
        <w:t>减缓措施施工期间加强施工生产生活区的防护工作，加强施工人员的各类卫生管理，严格管理施工废水、废气、生活污水和生活垃圾的排放，减少水体污染，最大限度保护野生动物生境。</w:t>
      </w:r>
    </w:p>
    <w:p>
      <w:pPr>
        <w:ind w:firstLine="480"/>
      </w:pPr>
      <w:r>
        <w:rPr>
          <w:rFonts w:hint="eastAsia"/>
        </w:rPr>
        <w:t>③</w:t>
      </w:r>
      <w:r>
        <w:t>恢复与补偿措施工程完工后尽快做好生态环境的恢复工作，尽量减少生境破坏对动物的不利影响，尽快恢复原生境。</w:t>
      </w:r>
    </w:p>
    <w:p>
      <w:pPr>
        <w:pStyle w:val="190"/>
        <w:spacing w:beforeLines="0" w:afterLines="0"/>
      </w:pPr>
      <w:r>
        <w:rPr>
          <w:rFonts w:hint="eastAsia"/>
        </w:rPr>
        <w:t>7</w:t>
      </w:r>
      <w:r>
        <w:t>.</w:t>
      </w:r>
      <w:r>
        <w:rPr>
          <w:rFonts w:hint="eastAsia"/>
        </w:rPr>
        <w:t>1</w:t>
      </w:r>
      <w:r>
        <w:t>.</w:t>
      </w:r>
      <w:r>
        <w:rPr>
          <w:rFonts w:hint="eastAsia"/>
        </w:rPr>
        <w:t>1</w:t>
      </w:r>
      <w:r>
        <w:t>.</w:t>
      </w:r>
      <w:r>
        <w:rPr>
          <w:rFonts w:hint="eastAsia"/>
        </w:rPr>
        <w:t>3土地保护措施</w:t>
      </w:r>
    </w:p>
    <w:p>
      <w:pPr>
        <w:ind w:firstLine="480"/>
      </w:pPr>
      <w:r>
        <w:t>（</w:t>
      </w:r>
      <w:r>
        <w:rPr>
          <w:rFonts w:eastAsia="Times New Roman"/>
        </w:rPr>
        <w:t>1</w:t>
      </w:r>
      <w:r>
        <w:t>）减少土地占用</w:t>
      </w:r>
    </w:p>
    <w:p>
      <w:pPr>
        <w:ind w:firstLine="480"/>
      </w:pPr>
      <w:r>
        <w:rPr>
          <w:rFonts w:hint="eastAsia" w:ascii="宋体" w:hAnsi="宋体" w:cs="宋体"/>
        </w:rPr>
        <w:t>①</w:t>
      </w:r>
      <w:r>
        <w:t>本项目施工时应合理安排施工进度，缩短临时占地使用时间；</w:t>
      </w:r>
    </w:p>
    <w:p>
      <w:pPr>
        <w:ind w:firstLine="480"/>
      </w:pPr>
      <w:r>
        <w:rPr>
          <w:rFonts w:hint="eastAsia" w:ascii="宋体" w:hAnsi="宋体" w:cs="宋体"/>
        </w:rPr>
        <w:t>②</w:t>
      </w:r>
      <w:r>
        <w:t>工程设计上降低路基高度，优化路基横断面形式，减小土地占用；</w:t>
      </w:r>
    </w:p>
    <w:p>
      <w:pPr>
        <w:ind w:firstLine="480"/>
      </w:pPr>
      <w:r>
        <w:rPr>
          <w:rFonts w:hint="eastAsia" w:ascii="宋体" w:hAnsi="宋体" w:cs="宋体"/>
        </w:rPr>
        <w:t>③</w:t>
      </w:r>
      <w:r>
        <w:t>严格划定作业边界，严禁超界占用和破坏沿线的耕地；</w:t>
      </w:r>
    </w:p>
    <w:p>
      <w:pPr>
        <w:ind w:firstLine="480"/>
      </w:pPr>
      <w:r>
        <w:rPr>
          <w:rFonts w:hint="eastAsia" w:ascii="宋体" w:hAnsi="宋体" w:cs="宋体"/>
        </w:rPr>
        <w:t>④</w:t>
      </w:r>
      <w:r>
        <w:t>项目新建</w:t>
      </w:r>
      <w:r>
        <w:rPr>
          <w:rFonts w:hint="eastAsia"/>
        </w:rPr>
        <w:t>及改建</w:t>
      </w:r>
      <w:r>
        <w:t>路线较短，占地面积较小，建议在后续设计中，尽量减少占地面积，降低对沿线土地的影响</w:t>
      </w:r>
    </w:p>
    <w:p>
      <w:pPr>
        <w:ind w:firstLine="480"/>
      </w:pPr>
      <w:r>
        <w:t>（</w:t>
      </w:r>
      <w:r>
        <w:rPr>
          <w:rFonts w:eastAsia="Times New Roman"/>
        </w:rPr>
        <w:t>2</w:t>
      </w:r>
      <w:r>
        <w:t>）土地恢复补偿措施</w:t>
      </w:r>
    </w:p>
    <w:p>
      <w:pPr>
        <w:ind w:firstLine="480"/>
        <w:rPr>
          <w:highlight w:val="yellow"/>
        </w:rPr>
      </w:pPr>
      <w:r>
        <w:rPr>
          <w:rFonts w:hint="eastAsia" w:ascii="宋体" w:hAnsi="宋体" w:cs="宋体"/>
        </w:rPr>
        <w:t>①</w:t>
      </w:r>
      <w:r>
        <w:t>根据《中华人民共和国土地管理法》的规定，国家保护耕地，严格控制耕地转为非耕地。国家实行占用耕地补偿制度。非农业建设经批准占用耕地的，按照</w:t>
      </w:r>
      <w:r>
        <w:rPr>
          <w:rFonts w:hint="eastAsia"/>
        </w:rPr>
        <w:t>“</w:t>
      </w:r>
      <w:r>
        <w:t>占多少，垦多少</w:t>
      </w:r>
      <w:r>
        <w:rPr>
          <w:rFonts w:hint="eastAsia"/>
        </w:rPr>
        <w:t>”</w:t>
      </w:r>
      <w:r>
        <w:t>的原则，由占用耕地的单位负责开垦与所占用耕地的数量和质量相当的耕地；没有条件开垦或者开垦的耕地不符合要求的，应当按照省、自治区、直辖市的规定缴纳耕地开垦费，专款用于开垦新的耕地。因此，本工程应严格按照相关法律规定，对永久占用的耕地按照</w:t>
      </w:r>
      <w:r>
        <w:rPr>
          <w:rFonts w:hint="eastAsia"/>
        </w:rPr>
        <w:t>“</w:t>
      </w:r>
      <w:r>
        <w:t>占一补一</w:t>
      </w:r>
      <w:r>
        <w:rPr>
          <w:rFonts w:hint="eastAsia"/>
        </w:rPr>
        <w:t>”</w:t>
      </w:r>
      <w:r>
        <w:t>的原则，提出补划方案，以保证耕地面积总量不减少。</w:t>
      </w:r>
    </w:p>
    <w:p>
      <w:pPr>
        <w:ind w:firstLine="480"/>
      </w:pPr>
      <w:r>
        <w:rPr>
          <w:rFonts w:hint="eastAsia" w:ascii="宋体" w:hAnsi="宋体" w:cs="宋体"/>
        </w:rPr>
        <w:t>②每一处</w:t>
      </w:r>
      <w:r>
        <w:rPr>
          <w:rFonts w:hint="eastAsia"/>
        </w:rPr>
        <w:t>取土场</w:t>
      </w:r>
      <w:r>
        <w:t>在工程完成后应尽快进行复耕，做到边使用，边平整，边绿化，边复耕。并应注意</w:t>
      </w:r>
      <w:r>
        <w:rPr>
          <w:rFonts w:hint="eastAsia"/>
        </w:rPr>
        <w:t>取土场</w:t>
      </w:r>
      <w:r>
        <w:t>表层土壤的保护，剥离的表土可用作后期复耕或绿化，为防止堆放期间发生水蚀，采取撒播草籽方式对其堆土表面进行防护。</w:t>
      </w:r>
    </w:p>
    <w:p>
      <w:pPr>
        <w:ind w:firstLine="480"/>
      </w:pPr>
      <w:r>
        <w:t>（</w:t>
      </w:r>
      <w:r>
        <w:rPr>
          <w:rFonts w:eastAsia="Times New Roman"/>
        </w:rPr>
        <w:t>3</w:t>
      </w:r>
      <w:r>
        <w:t>）复垦与表土收集措施</w:t>
      </w:r>
    </w:p>
    <w:p>
      <w:pPr>
        <w:ind w:firstLine="480"/>
      </w:pPr>
      <w:r>
        <w:t>路基段清表的表土应收集并选择合适位置堆放，并采取水土流失防治措施，以便施工结束后对</w:t>
      </w:r>
      <w:r>
        <w:rPr>
          <w:rFonts w:hint="eastAsia"/>
        </w:rPr>
        <w:t>道路边坡</w:t>
      </w:r>
      <w:r>
        <w:t>土地进行复垦</w:t>
      </w:r>
      <w:r>
        <w:rPr>
          <w:rFonts w:hint="eastAsia"/>
        </w:rPr>
        <w:t>用土</w:t>
      </w:r>
      <w:r>
        <w:t>。</w:t>
      </w:r>
    </w:p>
    <w:p>
      <w:pPr>
        <w:ind w:firstLine="480"/>
      </w:pPr>
      <w:r>
        <w:t>（</w:t>
      </w:r>
      <w:r>
        <w:rPr>
          <w:rFonts w:eastAsia="Times New Roman"/>
        </w:rPr>
        <w:t>4</w:t>
      </w:r>
      <w:r>
        <w:t>）</w:t>
      </w:r>
      <w:r>
        <w:rPr>
          <w:rFonts w:hint="eastAsia"/>
        </w:rPr>
        <w:t>清水河、沙河</w:t>
      </w:r>
      <w:r>
        <w:rPr>
          <w:rFonts w:hint="eastAsia"/>
          <w:szCs w:val="24"/>
        </w:rPr>
        <w:t>、黎河、</w:t>
      </w:r>
      <w:r>
        <w:rPr>
          <w:szCs w:val="24"/>
        </w:rPr>
        <w:t>冷咀头河的保护</w:t>
      </w:r>
      <w:r>
        <w:t>措施</w:t>
      </w:r>
    </w:p>
    <w:p>
      <w:pPr>
        <w:ind w:firstLine="480"/>
      </w:pPr>
      <w:r>
        <w:t>公路施工过程中要处理好与</w:t>
      </w:r>
      <w:r>
        <w:rPr>
          <w:rFonts w:hint="eastAsia"/>
        </w:rPr>
        <w:t>河道</w:t>
      </w:r>
      <w:r>
        <w:t>的关系，尽可能减少对</w:t>
      </w:r>
      <w:r>
        <w:rPr>
          <w:rFonts w:hint="eastAsia"/>
        </w:rPr>
        <w:t>河</w:t>
      </w:r>
      <w:r>
        <w:t>道的破坏。桥涵建设可能对</w:t>
      </w:r>
      <w:r>
        <w:rPr>
          <w:rFonts w:hint="eastAsia"/>
        </w:rPr>
        <w:t>河道</w:t>
      </w:r>
      <w:r>
        <w:t>产生破坏，必须作好防护措施。</w:t>
      </w:r>
    </w:p>
    <w:p>
      <w:pPr>
        <w:ind w:firstLine="480"/>
      </w:pPr>
      <w:r>
        <w:t>按照设计报告中的要求，本项目桥涵工程的设计均能保证当地</w:t>
      </w:r>
      <w:r>
        <w:rPr>
          <w:rFonts w:hint="eastAsia"/>
        </w:rPr>
        <w:t>河道行洪</w:t>
      </w:r>
      <w:r>
        <w:t>的通畅，基本根据沿线各乡镇要求，并与沿线实地勘察、充分调查、分析和研究的基础上，对拟在该镇范围内公路沿线设置的桥涵及通道构筑物进行双方协商，</w:t>
      </w:r>
      <w:r>
        <w:rPr>
          <w:rFonts w:hint="eastAsia"/>
        </w:rPr>
        <w:t>征求当地水务局意见</w:t>
      </w:r>
      <w:r>
        <w:t>；施工单位必需根据要求，保证</w:t>
      </w:r>
      <w:r>
        <w:rPr>
          <w:rFonts w:hint="eastAsia"/>
        </w:rPr>
        <w:t>河道</w:t>
      </w:r>
      <w:r>
        <w:t>的正常使用。公路经过坡地时要增设护坡堤，防止水土流失造成的滑坡，使工程对农业生产的影响降到最低</w:t>
      </w:r>
      <w:r>
        <w:rPr>
          <w:rFonts w:hint="eastAsia"/>
        </w:rPr>
        <w:t>。</w:t>
      </w:r>
    </w:p>
    <w:p>
      <w:pPr>
        <w:pStyle w:val="190"/>
        <w:spacing w:beforeLines="0" w:afterLines="0"/>
      </w:pPr>
      <w:r>
        <w:rPr>
          <w:rFonts w:hint="eastAsia"/>
        </w:rPr>
        <w:t>7</w:t>
      </w:r>
      <w:r>
        <w:t>.</w:t>
      </w:r>
      <w:r>
        <w:rPr>
          <w:rFonts w:hint="eastAsia"/>
        </w:rPr>
        <w:t>1</w:t>
      </w:r>
      <w:r>
        <w:t>.</w:t>
      </w:r>
      <w:r>
        <w:rPr>
          <w:rFonts w:hint="eastAsia"/>
        </w:rPr>
        <w:t>1</w:t>
      </w:r>
      <w:r>
        <w:t>.</w:t>
      </w:r>
      <w:r>
        <w:rPr>
          <w:rFonts w:hint="eastAsia"/>
        </w:rPr>
        <w:t>4施工生活区生态保护措施</w:t>
      </w:r>
    </w:p>
    <w:p>
      <w:pPr>
        <w:ind w:firstLine="480"/>
      </w:pPr>
      <w:r>
        <w:t>本工程</w:t>
      </w:r>
      <w:r>
        <w:rPr>
          <w:rFonts w:hint="eastAsia"/>
        </w:rPr>
        <w:t>生活区布置在学汉坨村，租赁现有住户房屋，不新增临时占地，不会对周边环境产生影响</w:t>
      </w:r>
      <w:r>
        <w:t>。</w:t>
      </w:r>
    </w:p>
    <w:p>
      <w:pPr>
        <w:pStyle w:val="6"/>
        <w:spacing w:before="120" w:after="120"/>
      </w:pPr>
      <w:r>
        <w:rPr>
          <w:rFonts w:hint="eastAsia"/>
        </w:rPr>
        <w:t>7</w:t>
      </w:r>
      <w:r>
        <w:t>.</w:t>
      </w:r>
      <w:r>
        <w:rPr>
          <w:rFonts w:hint="eastAsia"/>
        </w:rPr>
        <w:t>1</w:t>
      </w:r>
      <w:r>
        <w:t>.</w:t>
      </w:r>
      <w:r>
        <w:rPr>
          <w:rFonts w:hint="eastAsia"/>
        </w:rPr>
        <w:t>2运营期生态环境保护措施</w:t>
      </w:r>
    </w:p>
    <w:p>
      <w:pPr>
        <w:pStyle w:val="190"/>
        <w:spacing w:beforeLines="0" w:afterLines="0"/>
      </w:pPr>
      <w:r>
        <w:rPr>
          <w:rFonts w:hint="eastAsia"/>
        </w:rPr>
        <w:t>7</w:t>
      </w:r>
      <w:r>
        <w:t>.</w:t>
      </w:r>
      <w:r>
        <w:rPr>
          <w:rFonts w:hint="eastAsia"/>
        </w:rPr>
        <w:t>1</w:t>
      </w:r>
      <w:r>
        <w:t>.</w:t>
      </w:r>
      <w:r>
        <w:rPr>
          <w:rFonts w:hint="eastAsia"/>
        </w:rPr>
        <w:t>2</w:t>
      </w:r>
      <w:r>
        <w:t>.</w:t>
      </w:r>
      <w:r>
        <w:rPr>
          <w:rFonts w:hint="eastAsia"/>
        </w:rPr>
        <w:t>1公路绿化及景观建议</w:t>
      </w:r>
    </w:p>
    <w:p>
      <w:pPr>
        <w:ind w:firstLine="480"/>
      </w:pPr>
      <w:r>
        <w:t>公路用地范围内全面绿化栽植，可起到保护路基、防止土壤侵蚀、美化路容景观的作用，同时可补偿因公路征地损失的绿地，起到调节沿线带状地区的生态环境作用。建议绿地系统建设，尤其是道路两侧的绿地应乔、灌、草相结合。在</w:t>
      </w:r>
      <w:r>
        <w:rPr>
          <w:rFonts w:hint="eastAsia"/>
        </w:rPr>
        <w:t>“</w:t>
      </w:r>
      <w:r>
        <w:t>适地适树、适地适草</w:t>
      </w:r>
      <w:r>
        <w:rPr>
          <w:rFonts w:hint="eastAsia"/>
        </w:rPr>
        <w:t>”</w:t>
      </w:r>
      <w:r>
        <w:t>的原则下，树种、草种的选择应对各地区的地形、土壤和气候条件经过详细的调查以当地优良乡土树种为主，适当引进新的优良树种草种，保证绿化栽植的成活率。</w:t>
      </w:r>
    </w:p>
    <w:p>
      <w:pPr>
        <w:ind w:firstLine="480"/>
      </w:pPr>
      <w:r>
        <w:t>由于道路存在严重的汽车尾气污染，道路绿地系统应尽量选择抗污染性能好的植物。</w:t>
      </w:r>
    </w:p>
    <w:p>
      <w:pPr>
        <w:ind w:firstLine="496"/>
      </w:pPr>
      <w:r>
        <w:rPr>
          <w:spacing w:val="4"/>
        </w:rPr>
        <w:t>此外，在公路绿化建设过程中除考虑选择当地适生速成树种外，在布局上</w:t>
      </w:r>
      <w:r>
        <w:t>还应考虑多种树种的交错分布，提高道路两侧植物种类的多样性</w:t>
      </w:r>
      <w:r>
        <w:rPr>
          <w:rFonts w:hint="eastAsia"/>
        </w:rPr>
        <w:t>，同时提高降噪效果，减少对周边敏感点的影响。</w:t>
      </w:r>
    </w:p>
    <w:p>
      <w:pPr>
        <w:pStyle w:val="5"/>
        <w:spacing w:beforeLines="0" w:afterLines="0"/>
      </w:pPr>
      <w:bookmarkStart w:id="108" w:name="_Toc141284082"/>
      <w:r>
        <w:rPr>
          <w:rFonts w:hint="eastAsia"/>
        </w:rPr>
        <w:t>7</w:t>
      </w:r>
      <w:r>
        <w:t>.</w:t>
      </w:r>
      <w:r>
        <w:rPr>
          <w:rFonts w:hint="eastAsia"/>
        </w:rPr>
        <w:t>2声环境保护措施</w:t>
      </w:r>
      <w:bookmarkEnd w:id="108"/>
    </w:p>
    <w:p>
      <w:pPr>
        <w:pStyle w:val="6"/>
        <w:spacing w:before="120" w:after="120"/>
      </w:pPr>
      <w:r>
        <w:rPr>
          <w:rFonts w:hint="eastAsia"/>
        </w:rPr>
        <w:t>7</w:t>
      </w:r>
      <w:r>
        <w:t>.</w:t>
      </w:r>
      <w:r>
        <w:rPr>
          <w:rFonts w:hint="eastAsia"/>
        </w:rPr>
        <w:t>2</w:t>
      </w:r>
      <w:r>
        <w:t>.</w:t>
      </w:r>
      <w:r>
        <w:rPr>
          <w:rFonts w:hint="eastAsia"/>
        </w:rPr>
        <w:t>1施工期声环境保护措施</w:t>
      </w:r>
    </w:p>
    <w:p>
      <w:pPr>
        <w:ind w:firstLine="480"/>
      </w:pPr>
      <w:r>
        <w:t>本项目</w:t>
      </w:r>
      <w:r>
        <w:rPr>
          <w:rFonts w:hint="eastAsia"/>
        </w:rPr>
        <w:t>新建路段</w:t>
      </w:r>
      <w:r>
        <w:t>评价范围内声环境敏感点</w:t>
      </w:r>
      <w:r>
        <w:rPr>
          <w:rFonts w:hint="eastAsia"/>
        </w:rPr>
        <w:t>主要为</w:t>
      </w:r>
      <w:r>
        <w:t>村庄。根据预测昼间施工机械噪声在距施工场地</w:t>
      </w:r>
      <w:r>
        <w:rPr>
          <w:rFonts w:eastAsia="Times New Roman"/>
        </w:rPr>
        <w:t>65m</w:t>
      </w:r>
      <w:r>
        <w:t>处可达到标准限值，夜间在</w:t>
      </w:r>
      <w:r>
        <w:rPr>
          <w:rFonts w:eastAsia="Times New Roman"/>
        </w:rPr>
        <w:t>280m</w:t>
      </w:r>
      <w:r>
        <w:t>处可达到标准限值。公路施工噪声是社会发展过程中的短期污染行为。但是作为建设施工单位为保护沿线居民的正常生活和休息，应合理地安排施工进度和时间，文明施工、环保施工，并采取必要的噪声控制措施，降低施工噪声对环境的影响。</w:t>
      </w:r>
    </w:p>
    <w:p>
      <w:pPr>
        <w:ind w:firstLine="480"/>
        <w:rPr>
          <w:highlight w:val="yellow"/>
        </w:rPr>
      </w:pPr>
      <w:r>
        <w:t>（</w:t>
      </w:r>
      <w:r>
        <w:rPr>
          <w:rFonts w:eastAsia="Times New Roman"/>
        </w:rPr>
        <w:t>1</w:t>
      </w:r>
      <w:r>
        <w:t>）合理布局施工现场施工单位应布置好施工现场，合理安排施工机械，如将施工现场的固定振动源相对集中，以减少影响的范围；振动较大的固定机械设备应加装减振机座，对可固定的机械设备如空压机、发电机安置在施工场地临时房间内，房屋内设隔音板或隔音罩，降低噪声等，从而达到降低噪声的目的。</w:t>
      </w:r>
    </w:p>
    <w:p>
      <w:pPr>
        <w:ind w:firstLine="480"/>
        <w:rPr>
          <w:highlight w:val="yellow"/>
        </w:rPr>
      </w:pPr>
      <w:r>
        <w:t>（</w:t>
      </w:r>
      <w:r>
        <w:rPr>
          <w:rFonts w:eastAsia="Times New Roman"/>
        </w:rPr>
        <w:t>2</w:t>
      </w:r>
      <w:r>
        <w:t>）合理安排施工时间在保证进度的前提下，施工单位合理安排各类机械的施工时间，减少高噪声设备同时施工的情况。如噪声源强高的作业可放在昼间（</w:t>
      </w:r>
      <w:r>
        <w:rPr>
          <w:rFonts w:eastAsia="Times New Roman"/>
        </w:rPr>
        <w:t>06:00~22:00</w:t>
      </w:r>
      <w:r>
        <w:t>）进行或对各种施工机械操作时间作适当调整，沿线村庄、学校附近禁止夜间施工。必须连续施工作业的工点，施工单位应视具体情况及时与当地环保部门取得联系，按规定申领夜间施工证，同时发布公告最大限度地争取民众支持。施工经过敏感点时，要与</w:t>
      </w:r>
      <w:r>
        <w:rPr>
          <w:rFonts w:hint="eastAsia"/>
        </w:rPr>
        <w:t>当地居民</w:t>
      </w:r>
      <w:r>
        <w:t>进行沟通，协商大型机械施工作业时间，尽量避免施工噪声对</w:t>
      </w:r>
      <w:r>
        <w:rPr>
          <w:rFonts w:hint="eastAsia"/>
        </w:rPr>
        <w:t>居民声环境</w:t>
      </w:r>
      <w:r>
        <w:t>的影响。</w:t>
      </w:r>
    </w:p>
    <w:p>
      <w:pPr>
        <w:ind w:firstLine="480"/>
      </w:pPr>
      <w:r>
        <w:t>（</w:t>
      </w:r>
      <w:r>
        <w:rPr>
          <w:rFonts w:eastAsia="Times New Roman"/>
        </w:rPr>
        <w:t>3</w:t>
      </w:r>
      <w:r>
        <w:t>）合理选择施工机械设备施工单位应选用低噪音、振动的各类施工机械设备，并带有消声和隔音的附属设备；避免多台高噪音的机械设备在同一工场和同一时间使用。施工单位应加强对排放高强度噪音的施工机械设备的管理，应在靠近敏感点一侧设置</w:t>
      </w:r>
      <w:r>
        <w:rPr>
          <w:rFonts w:hint="eastAsia"/>
        </w:rPr>
        <w:t>围挡</w:t>
      </w:r>
      <w:r>
        <w:t>，降低噪声的影响范围和强度。桥梁的施工构件尽量采用工厂化、标准化，应尽量避免现场施工。同时应加强各类施工设备的维护和保养，保持其良好的运转，以便从根本上降低噪声源强</w:t>
      </w:r>
      <w:r>
        <w:rPr>
          <w:rFonts w:hint="eastAsia"/>
        </w:rPr>
        <w:t>。</w:t>
      </w:r>
    </w:p>
    <w:p>
      <w:pPr>
        <w:ind w:firstLine="480"/>
      </w:pPr>
      <w:r>
        <w:t>（</w:t>
      </w:r>
      <w:r>
        <w:rPr>
          <w:rFonts w:eastAsia="Times New Roman"/>
        </w:rPr>
        <w:t>4</w:t>
      </w:r>
      <w:r>
        <w:t>）做好宣传工作，倡导科学管理和文明施工由于技术条件、施工现场客观环境限制，即使采用了相应的控制对策和措施，施工噪声、振动仍可能对周围环境产生一定的影响，为此要向沿线受影响的居民和有关单位做好宣传工作，以提高人们对不利影响的心理承受力；加强施工现场的科学管理，做好施工人员的环境保护意识的教育；大力倡导文明施工的自觉性，尽量降低人为因素造成施工噪声的加重。</w:t>
      </w:r>
    </w:p>
    <w:p>
      <w:pPr>
        <w:ind w:firstLine="480"/>
      </w:pPr>
      <w:r>
        <w:t>（</w:t>
      </w:r>
      <w:r>
        <w:rPr>
          <w:rFonts w:eastAsia="Times New Roman"/>
        </w:rPr>
        <w:t>5</w:t>
      </w:r>
      <w:r>
        <w:t>）加强环境管理，接受环保部门环境监督为了有效地控制施工噪声对环境的影响，除落实有关的控制措施外，还必须加强环境管理；根据国家和地方的有关法律、法令、条例、规定，施工单位应主动接受环保部门的监督管理和检查。建设单位应责成施工单位在施工现场张贴布告和投诉电话，建设单位在接到投诉后应及时与当地环保部门取得联系，以便及时处理各种环境纠纷。</w:t>
      </w:r>
    </w:p>
    <w:p>
      <w:pPr>
        <w:ind w:firstLine="480"/>
      </w:pPr>
      <w:r>
        <w:t>（</w:t>
      </w:r>
      <w:r>
        <w:rPr>
          <w:rFonts w:eastAsia="Times New Roman"/>
        </w:rPr>
        <w:t>6</w:t>
      </w:r>
      <w:r>
        <w:t>）施工单位需贯彻各项施工管理制度</w:t>
      </w:r>
    </w:p>
    <w:p>
      <w:pPr>
        <w:ind w:firstLine="480"/>
      </w:pPr>
      <w:r>
        <w:t>施工单位要确保施工噪声满足《建筑施工场界环境噪声排放标准》</w:t>
      </w:r>
      <w:r>
        <w:rPr>
          <w:rFonts w:eastAsia="Times New Roman"/>
        </w:rPr>
        <w:t>(GB12523-2011)</w:t>
      </w:r>
      <w:r>
        <w:t>，认真贯彻《中华人民共和国噪声污染防治法》等有关国家和地方的规定。推土机、挖土机等强噪声源设备的操作人员应配备耳塞，加强防护。</w:t>
      </w:r>
    </w:p>
    <w:p>
      <w:pPr>
        <w:pStyle w:val="6"/>
        <w:spacing w:before="120" w:after="120"/>
      </w:pPr>
      <w:r>
        <w:rPr>
          <w:rFonts w:hint="eastAsia"/>
        </w:rPr>
        <w:t>7</w:t>
      </w:r>
      <w:r>
        <w:t>.</w:t>
      </w:r>
      <w:r>
        <w:rPr>
          <w:rFonts w:hint="eastAsia"/>
        </w:rPr>
        <w:t>2</w:t>
      </w:r>
      <w:r>
        <w:t>.</w:t>
      </w:r>
      <w:r>
        <w:rPr>
          <w:rFonts w:hint="eastAsia"/>
        </w:rPr>
        <w:t>2营运期声环境保护措施</w:t>
      </w:r>
    </w:p>
    <w:p>
      <w:pPr>
        <w:pStyle w:val="190"/>
        <w:spacing w:beforeLines="0" w:afterLines="0"/>
      </w:pPr>
      <w:r>
        <w:rPr>
          <w:rFonts w:hint="eastAsia"/>
        </w:rPr>
        <w:t>7</w:t>
      </w:r>
      <w:r>
        <w:t>.</w:t>
      </w:r>
      <w:r>
        <w:rPr>
          <w:rFonts w:hint="eastAsia"/>
        </w:rPr>
        <w:t>2</w:t>
      </w:r>
      <w:r>
        <w:t>.</w:t>
      </w:r>
      <w:r>
        <w:rPr>
          <w:rFonts w:hint="eastAsia"/>
        </w:rPr>
        <w:t>2</w:t>
      </w:r>
      <w:r>
        <w:t>.</w:t>
      </w:r>
      <w:r>
        <w:rPr>
          <w:rFonts w:hint="eastAsia"/>
        </w:rPr>
        <w:t>1城镇规划噪声污染防护控制建议</w:t>
      </w:r>
    </w:p>
    <w:p>
      <w:pPr>
        <w:ind w:firstLine="480"/>
      </w:pPr>
      <w:r>
        <w:t>（</w:t>
      </w:r>
      <w:r>
        <w:rPr>
          <w:rFonts w:eastAsia="Times New Roman"/>
        </w:rPr>
        <w:t>1</w:t>
      </w:r>
      <w:r>
        <w:t>）按照《公路安全保护条例》规定，本项目</w:t>
      </w:r>
      <w:r>
        <w:rPr>
          <w:rFonts w:hint="eastAsia"/>
        </w:rPr>
        <w:t>省道</w:t>
      </w:r>
      <w:r>
        <w:t>建筑控制区的范围为项目用地外缘起向外距离不少于</w:t>
      </w:r>
      <w:r>
        <w:rPr>
          <w:rFonts w:hint="eastAsia"/>
        </w:rPr>
        <w:t>15m</w:t>
      </w:r>
      <w:r>
        <w:t>，在公路建筑控制区内，除公路保护需要外，禁止修建建筑物和地面构筑物。</w:t>
      </w:r>
    </w:p>
    <w:p>
      <w:pPr>
        <w:ind w:firstLine="480"/>
      </w:pPr>
      <w:r>
        <w:t>（</w:t>
      </w:r>
      <w:r>
        <w:rPr>
          <w:rFonts w:eastAsia="Times New Roman"/>
        </w:rPr>
        <w:t>2</w:t>
      </w:r>
      <w:r>
        <w:t>）除按以上要求禁止在</w:t>
      </w:r>
      <w:r>
        <w:rPr>
          <w:rFonts w:hint="eastAsia"/>
        </w:rPr>
        <w:t>公路</w:t>
      </w:r>
      <w:r>
        <w:t>建筑控制区范围内修建建筑物外，沿线乡镇建设如果向本项目靠近，应在进行规划时参考本环境影响报告书公路两侧噪声预测范围表，根据</w:t>
      </w:r>
      <w:r>
        <w:rPr>
          <w:rFonts w:eastAsia="Times New Roman"/>
        </w:rPr>
        <w:t>4a</w:t>
      </w:r>
      <w:r>
        <w:t>类声功能区域的划分距离确定一定的防护距离。</w:t>
      </w:r>
    </w:p>
    <w:p>
      <w:pPr>
        <w:ind w:firstLine="480"/>
      </w:pPr>
      <w:r>
        <w:t>（</w:t>
      </w:r>
      <w:r>
        <w:rPr>
          <w:rFonts w:eastAsia="Times New Roman"/>
        </w:rPr>
        <w:t>3</w:t>
      </w:r>
      <w:r>
        <w:t>）建议在距离公路</w:t>
      </w:r>
      <w:r>
        <w:rPr>
          <w:rFonts w:eastAsia="Times New Roman"/>
        </w:rPr>
        <w:t>200</w:t>
      </w:r>
      <w:r>
        <w:t>米以内尽量布置物流仓储、工厂、绿化等声环境和振动不敏感的建筑；疗养区、高级宾馆、医院、学校等特别需要安静的敏感目标对声环境的要求较高，应尽量远离公路布设，与公路距离不宜小于</w:t>
      </w:r>
      <w:r>
        <w:rPr>
          <w:rFonts w:eastAsia="Times New Roman"/>
        </w:rPr>
        <w:t>20</w:t>
      </w:r>
      <w:r>
        <w:rPr>
          <w:rFonts w:hint="eastAsia"/>
        </w:rPr>
        <w:t>0米。</w:t>
      </w:r>
    </w:p>
    <w:p>
      <w:pPr>
        <w:pStyle w:val="190"/>
        <w:spacing w:beforeLines="0" w:afterLines="0"/>
      </w:pPr>
      <w:r>
        <w:rPr>
          <w:rFonts w:hint="eastAsia"/>
        </w:rPr>
        <w:t>7</w:t>
      </w:r>
      <w:r>
        <w:t>.</w:t>
      </w:r>
      <w:r>
        <w:rPr>
          <w:rFonts w:hint="eastAsia"/>
        </w:rPr>
        <w:t>2</w:t>
      </w:r>
      <w:r>
        <w:t>.</w:t>
      </w:r>
      <w:r>
        <w:rPr>
          <w:rFonts w:hint="eastAsia"/>
        </w:rPr>
        <w:t>2</w:t>
      </w:r>
      <w:r>
        <w:t>.</w:t>
      </w:r>
      <w:r>
        <w:rPr>
          <w:rFonts w:hint="eastAsia"/>
        </w:rPr>
        <w:t>2工程降噪措施及技术经济论证</w:t>
      </w:r>
    </w:p>
    <w:p>
      <w:pPr>
        <w:ind w:firstLine="480"/>
      </w:pPr>
      <w:r>
        <w:t>（</w:t>
      </w:r>
      <w:r>
        <w:rPr>
          <w:rFonts w:eastAsia="Times New Roman"/>
        </w:rPr>
        <w:t>1</w:t>
      </w:r>
      <w:r>
        <w:t>）噪声防护措施配置原则根据《地面交通噪声污染防治技术政策》（环发</w:t>
      </w:r>
      <w:r>
        <w:rPr>
          <w:rFonts w:eastAsia="Times New Roman"/>
        </w:rPr>
        <w:t>[2010]7</w:t>
      </w:r>
      <w:r>
        <w:t>号）文件，敏感点噪声防护应遵循以下原则：</w:t>
      </w:r>
    </w:p>
    <w:p>
      <w:pPr>
        <w:ind w:firstLine="480"/>
      </w:pPr>
      <w:r>
        <w:rPr>
          <w:rFonts w:hint="eastAsia" w:ascii="宋体" w:hAnsi="宋体" w:cs="宋体"/>
        </w:rPr>
        <w:t>①</w:t>
      </w:r>
      <w:r>
        <w:t>建筑设计单位应依据《民用建筑隔声设计规范》等有关规范文件，考虑周边环境特点，对噪声敏感建筑物进行隔声设计，使室内声环境质量符合规范要求。</w:t>
      </w:r>
    </w:p>
    <w:p>
      <w:pPr>
        <w:ind w:firstLine="480"/>
      </w:pPr>
      <w:r>
        <w:rPr>
          <w:rFonts w:hint="eastAsia" w:ascii="宋体" w:hAnsi="宋体" w:cs="宋体"/>
        </w:rPr>
        <w:t>②</w:t>
      </w:r>
      <w:r>
        <w:t>邻近道路的噪声敏感建筑物，</w:t>
      </w:r>
      <w:r>
        <w:rPr>
          <w:rFonts w:hint="eastAsia"/>
        </w:rPr>
        <w:t>根据现场勘查，</w:t>
      </w:r>
      <w:r>
        <w:t>设计时宜合理安排房间的使用功能（如居民住宅在面向道路或轨道一侧设计作为厨房、卫生间等非居住用房），以减少交通噪声干扰。</w:t>
      </w:r>
    </w:p>
    <w:p>
      <w:pPr>
        <w:ind w:firstLine="480"/>
      </w:pPr>
      <w:r>
        <w:rPr>
          <w:rFonts w:hint="eastAsia" w:ascii="宋体" w:hAnsi="宋体" w:cs="宋体"/>
        </w:rPr>
        <w:t>③</w:t>
      </w:r>
      <w:r>
        <w:t>地面交通设施的建设或运行造成噪声敏感建筑物室外环境噪声超标，如采取室外达标的技术手段不可行，应考虑对噪声敏感建筑物采取被动防护措施（如隔声门窗、通风消声窗等），对室内声环境质量进行合理保护。</w:t>
      </w:r>
    </w:p>
    <w:p>
      <w:pPr>
        <w:ind w:firstLine="480"/>
      </w:pPr>
      <w:r>
        <w:rPr>
          <w:rFonts w:hint="eastAsia" w:ascii="宋体" w:hAnsi="宋体" w:cs="宋体"/>
        </w:rPr>
        <w:t>④</w:t>
      </w:r>
      <w:r>
        <w:t>对噪声敏感建筑物采取被动防护措施，应使室内声环境质量达到有关标准要求，同时宜合理考虑当地气候特点对通风的要求。</w:t>
      </w:r>
    </w:p>
    <w:p>
      <w:pPr>
        <w:ind w:firstLine="480"/>
        <w:rPr>
          <w:highlight w:val="yellow"/>
        </w:rPr>
      </w:pPr>
      <w:r>
        <w:t>目前常用的工程降噪措施主要有声屏障、通风隔声窗、房屋使用功能置换、栽植绿化降噪林带等，本报告从不同方面对常见的防治措施进行了分析比较，详见表</w:t>
      </w:r>
      <w:r>
        <w:rPr>
          <w:rFonts w:hint="eastAsia"/>
        </w:rPr>
        <w:t>7.2-1</w:t>
      </w:r>
      <w:r>
        <w:t>。</w:t>
      </w:r>
    </w:p>
    <w:p>
      <w:pPr>
        <w:adjustRightInd w:val="0"/>
        <w:snapToGrid w:val="0"/>
        <w:ind w:firstLine="0" w:firstLineChars="0"/>
        <w:jc w:val="center"/>
        <w:rPr>
          <w:b/>
          <w:sz w:val="21"/>
        </w:rPr>
      </w:pPr>
      <w:r>
        <w:rPr>
          <w:b/>
          <w:sz w:val="21"/>
        </w:rPr>
        <w:t>表</w:t>
      </w:r>
      <w:r>
        <w:rPr>
          <w:rFonts w:hint="eastAsia"/>
          <w:b/>
          <w:sz w:val="21"/>
        </w:rPr>
        <w:t>7.2-1</w:t>
      </w:r>
      <w:r>
        <w:rPr>
          <w:b/>
          <w:sz w:val="21"/>
        </w:rPr>
        <w:tab/>
      </w:r>
      <w:r>
        <w:rPr>
          <w:b/>
          <w:sz w:val="21"/>
        </w:rPr>
        <w:t>常见噪声防治措施比较一览表</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35"/>
        <w:gridCol w:w="1677"/>
        <w:gridCol w:w="1801"/>
        <w:gridCol w:w="2198"/>
        <w:gridCol w:w="22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jc w:val="center"/>
        </w:trPr>
        <w:tc>
          <w:tcPr>
            <w:tcW w:w="629" w:type="pct"/>
            <w:vAlign w:val="center"/>
          </w:tcPr>
          <w:p>
            <w:pPr>
              <w:pStyle w:val="675"/>
              <w:jc w:val="center"/>
              <w:rPr>
                <w:kern w:val="21"/>
                <w:sz w:val="21"/>
                <w:szCs w:val="21"/>
              </w:rPr>
            </w:pPr>
            <w:r>
              <w:rPr>
                <w:bCs/>
                <w:kern w:val="21"/>
                <w:sz w:val="21"/>
                <w:szCs w:val="21"/>
              </w:rPr>
              <w:t>防治措施</w:t>
            </w:r>
          </w:p>
        </w:tc>
        <w:tc>
          <w:tcPr>
            <w:tcW w:w="929" w:type="pct"/>
            <w:vAlign w:val="center"/>
          </w:tcPr>
          <w:p>
            <w:pPr>
              <w:pStyle w:val="675"/>
              <w:jc w:val="center"/>
              <w:rPr>
                <w:kern w:val="21"/>
                <w:sz w:val="21"/>
                <w:szCs w:val="21"/>
              </w:rPr>
            </w:pPr>
            <w:r>
              <w:rPr>
                <w:bCs/>
                <w:kern w:val="21"/>
                <w:sz w:val="21"/>
                <w:szCs w:val="21"/>
              </w:rPr>
              <w:t>优点</w:t>
            </w:r>
          </w:p>
        </w:tc>
        <w:tc>
          <w:tcPr>
            <w:tcW w:w="998" w:type="pct"/>
            <w:vAlign w:val="center"/>
          </w:tcPr>
          <w:p>
            <w:pPr>
              <w:pStyle w:val="675"/>
              <w:jc w:val="center"/>
              <w:rPr>
                <w:kern w:val="21"/>
                <w:sz w:val="21"/>
                <w:szCs w:val="21"/>
              </w:rPr>
            </w:pPr>
            <w:r>
              <w:rPr>
                <w:bCs/>
                <w:kern w:val="21"/>
                <w:sz w:val="21"/>
                <w:szCs w:val="21"/>
              </w:rPr>
              <w:t>缺点</w:t>
            </w:r>
          </w:p>
        </w:tc>
        <w:tc>
          <w:tcPr>
            <w:tcW w:w="1218" w:type="pct"/>
            <w:vAlign w:val="center"/>
          </w:tcPr>
          <w:p>
            <w:pPr>
              <w:pStyle w:val="675"/>
              <w:jc w:val="center"/>
              <w:rPr>
                <w:kern w:val="21"/>
                <w:sz w:val="21"/>
                <w:szCs w:val="21"/>
              </w:rPr>
            </w:pPr>
            <w:r>
              <w:rPr>
                <w:bCs/>
                <w:kern w:val="21"/>
                <w:sz w:val="21"/>
                <w:szCs w:val="21"/>
              </w:rPr>
              <w:t>防治效果</w:t>
            </w:r>
          </w:p>
        </w:tc>
        <w:tc>
          <w:tcPr>
            <w:tcW w:w="1226" w:type="pct"/>
            <w:vAlign w:val="center"/>
          </w:tcPr>
          <w:p>
            <w:pPr>
              <w:pStyle w:val="675"/>
              <w:jc w:val="center"/>
              <w:rPr>
                <w:kern w:val="21"/>
                <w:sz w:val="21"/>
                <w:szCs w:val="21"/>
              </w:rPr>
            </w:pPr>
            <w:r>
              <w:rPr>
                <w:bCs/>
                <w:kern w:val="21"/>
                <w:sz w:val="21"/>
                <w:szCs w:val="21"/>
              </w:rPr>
              <w:t>对本项目适用性分析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29" w:type="pct"/>
            <w:vAlign w:val="center"/>
          </w:tcPr>
          <w:p>
            <w:pPr>
              <w:pStyle w:val="675"/>
              <w:jc w:val="center"/>
              <w:rPr>
                <w:kern w:val="21"/>
                <w:sz w:val="21"/>
                <w:szCs w:val="21"/>
              </w:rPr>
            </w:pPr>
            <w:r>
              <w:rPr>
                <w:kern w:val="21"/>
                <w:sz w:val="21"/>
                <w:szCs w:val="21"/>
              </w:rPr>
              <w:t>声屏障</w:t>
            </w:r>
          </w:p>
        </w:tc>
        <w:tc>
          <w:tcPr>
            <w:tcW w:w="929" w:type="pct"/>
            <w:vAlign w:val="center"/>
          </w:tcPr>
          <w:p>
            <w:pPr>
              <w:pStyle w:val="675"/>
              <w:jc w:val="center"/>
              <w:rPr>
                <w:kern w:val="21"/>
                <w:sz w:val="21"/>
                <w:szCs w:val="21"/>
                <w:lang w:eastAsia="zh-CN"/>
              </w:rPr>
            </w:pPr>
            <w:r>
              <w:rPr>
                <w:kern w:val="21"/>
                <w:sz w:val="21"/>
                <w:szCs w:val="21"/>
                <w:lang w:eastAsia="zh-CN"/>
              </w:rPr>
              <w:t>节约土地、简单、实用、一次性投资小、易在公路建设中实施</w:t>
            </w:r>
          </w:p>
        </w:tc>
        <w:tc>
          <w:tcPr>
            <w:tcW w:w="998" w:type="pct"/>
            <w:vAlign w:val="center"/>
          </w:tcPr>
          <w:p>
            <w:pPr>
              <w:pStyle w:val="675"/>
              <w:jc w:val="center"/>
              <w:rPr>
                <w:kern w:val="21"/>
                <w:sz w:val="21"/>
                <w:szCs w:val="21"/>
                <w:lang w:eastAsia="zh-CN"/>
              </w:rPr>
            </w:pPr>
            <w:r>
              <w:rPr>
                <w:kern w:val="21"/>
                <w:sz w:val="21"/>
                <w:szCs w:val="21"/>
                <w:lang w:eastAsia="zh-CN"/>
              </w:rPr>
              <w:t>声屏障后</w:t>
            </w:r>
            <w:r>
              <w:rPr>
                <w:rFonts w:ascii="Times New Roman" w:hAnsi="Times New Roman" w:eastAsia="Times New Roman" w:cs="Times New Roman"/>
                <w:kern w:val="21"/>
                <w:sz w:val="21"/>
                <w:szCs w:val="21"/>
                <w:lang w:eastAsia="zh-CN"/>
              </w:rPr>
              <w:t>60m</w:t>
            </w:r>
            <w:r>
              <w:rPr>
                <w:kern w:val="21"/>
                <w:sz w:val="21"/>
                <w:szCs w:val="21"/>
                <w:lang w:eastAsia="zh-CN"/>
              </w:rPr>
              <w:t>内的敏感点降噪效果好；某些形式声屏障可能对景观造成影响</w:t>
            </w:r>
          </w:p>
        </w:tc>
        <w:tc>
          <w:tcPr>
            <w:tcW w:w="1218" w:type="pct"/>
            <w:vAlign w:val="center"/>
          </w:tcPr>
          <w:p>
            <w:pPr>
              <w:pStyle w:val="675"/>
              <w:jc w:val="center"/>
              <w:rPr>
                <w:kern w:val="21"/>
                <w:sz w:val="21"/>
                <w:szCs w:val="21"/>
              </w:rPr>
            </w:pPr>
            <w:r>
              <w:rPr>
                <w:kern w:val="21"/>
                <w:sz w:val="21"/>
                <w:szCs w:val="21"/>
              </w:rPr>
              <w:t>一般可降低噪声</w:t>
            </w:r>
            <w:r>
              <w:rPr>
                <w:rFonts w:ascii="Times New Roman"/>
                <w:kern w:val="21"/>
                <w:sz w:val="21"/>
                <w:szCs w:val="21"/>
              </w:rPr>
              <w:t>5~10dB</w:t>
            </w:r>
          </w:p>
        </w:tc>
        <w:tc>
          <w:tcPr>
            <w:tcW w:w="1226" w:type="pct"/>
            <w:vAlign w:val="center"/>
          </w:tcPr>
          <w:p>
            <w:pPr>
              <w:pStyle w:val="675"/>
              <w:jc w:val="center"/>
              <w:rPr>
                <w:kern w:val="21"/>
                <w:sz w:val="21"/>
                <w:szCs w:val="21"/>
                <w:lang w:eastAsia="zh-CN"/>
              </w:rPr>
            </w:pPr>
            <w:r>
              <w:rPr>
                <w:kern w:val="21"/>
                <w:sz w:val="21"/>
                <w:szCs w:val="21"/>
                <w:lang w:eastAsia="zh-CN"/>
              </w:rPr>
              <w:t>常用于城市高架桥和高速公路上，本项目</w:t>
            </w:r>
            <w:r>
              <w:rPr>
                <w:rFonts w:hint="eastAsia"/>
                <w:sz w:val="21"/>
                <w:szCs w:val="21"/>
                <w:lang w:eastAsia="zh-CN"/>
              </w:rPr>
              <w:t>两侧分布居民比较多，居民出行需要依靠此线路</w:t>
            </w:r>
            <w:r>
              <w:rPr>
                <w:rFonts w:hint="eastAsia"/>
                <w:kern w:val="21"/>
                <w:sz w:val="21"/>
                <w:szCs w:val="21"/>
                <w:lang w:eastAsia="zh-CN"/>
              </w:rPr>
              <w:t>不适合</w:t>
            </w:r>
            <w:r>
              <w:rPr>
                <w:kern w:val="21"/>
                <w:sz w:val="21"/>
                <w:szCs w:val="21"/>
                <w:lang w:eastAsia="zh-CN"/>
              </w:rPr>
              <w:t>设置声屏障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29" w:type="pct"/>
            <w:vAlign w:val="center"/>
          </w:tcPr>
          <w:p>
            <w:pPr>
              <w:pStyle w:val="675"/>
              <w:jc w:val="center"/>
              <w:rPr>
                <w:kern w:val="21"/>
                <w:sz w:val="21"/>
                <w:szCs w:val="21"/>
              </w:rPr>
            </w:pPr>
            <w:r>
              <w:rPr>
                <w:kern w:val="21"/>
                <w:sz w:val="21"/>
                <w:szCs w:val="21"/>
              </w:rPr>
              <w:t>通风隔声窗</w:t>
            </w:r>
          </w:p>
        </w:tc>
        <w:tc>
          <w:tcPr>
            <w:tcW w:w="929" w:type="pct"/>
            <w:vAlign w:val="center"/>
          </w:tcPr>
          <w:p>
            <w:pPr>
              <w:pStyle w:val="675"/>
              <w:jc w:val="center"/>
              <w:rPr>
                <w:kern w:val="21"/>
                <w:sz w:val="21"/>
                <w:szCs w:val="21"/>
                <w:lang w:eastAsia="zh-CN"/>
              </w:rPr>
            </w:pPr>
            <w:r>
              <w:rPr>
                <w:kern w:val="21"/>
                <w:sz w:val="21"/>
                <w:szCs w:val="21"/>
                <w:lang w:eastAsia="zh-CN"/>
              </w:rPr>
              <w:t>分布分散受影响较严重的村庄</w:t>
            </w:r>
          </w:p>
        </w:tc>
        <w:tc>
          <w:tcPr>
            <w:tcW w:w="998" w:type="pct"/>
            <w:vAlign w:val="center"/>
          </w:tcPr>
          <w:p>
            <w:pPr>
              <w:pStyle w:val="675"/>
              <w:jc w:val="center"/>
              <w:rPr>
                <w:kern w:val="21"/>
                <w:sz w:val="21"/>
                <w:szCs w:val="21"/>
                <w:lang w:eastAsia="zh-CN"/>
              </w:rPr>
            </w:pPr>
            <w:r>
              <w:rPr>
                <w:kern w:val="21"/>
                <w:sz w:val="21"/>
                <w:szCs w:val="21"/>
                <w:lang w:eastAsia="zh-CN"/>
              </w:rPr>
              <w:t>成本较高</w:t>
            </w:r>
            <w:r>
              <w:rPr>
                <w:rFonts w:hint="eastAsia"/>
                <w:kern w:val="21"/>
                <w:sz w:val="21"/>
                <w:szCs w:val="21"/>
                <w:lang w:eastAsia="zh-CN"/>
              </w:rPr>
              <w:t>，</w:t>
            </w:r>
            <w:r>
              <w:rPr>
                <w:kern w:val="21"/>
                <w:sz w:val="21"/>
                <w:szCs w:val="21"/>
                <w:lang w:eastAsia="zh-CN"/>
              </w:rPr>
              <w:t>房屋结构好</w:t>
            </w:r>
          </w:p>
        </w:tc>
        <w:tc>
          <w:tcPr>
            <w:tcW w:w="1218" w:type="pct"/>
            <w:vAlign w:val="center"/>
          </w:tcPr>
          <w:p>
            <w:pPr>
              <w:pStyle w:val="675"/>
              <w:jc w:val="center"/>
              <w:rPr>
                <w:rFonts w:ascii="Times New Roman" w:hAnsi="Times New Roman" w:eastAsia="Times New Roman" w:cs="Times New Roman"/>
                <w:kern w:val="21"/>
                <w:sz w:val="21"/>
                <w:szCs w:val="21"/>
              </w:rPr>
            </w:pPr>
            <w:r>
              <w:rPr>
                <w:kern w:val="21"/>
                <w:sz w:val="21"/>
                <w:szCs w:val="21"/>
              </w:rPr>
              <w:t>技术成熟，隔声效果可达</w:t>
            </w:r>
            <w:r>
              <w:rPr>
                <w:rFonts w:ascii="Times New Roman" w:hAnsi="Times New Roman" w:eastAsia="Times New Roman" w:cs="Times New Roman"/>
                <w:kern w:val="21"/>
                <w:sz w:val="21"/>
                <w:szCs w:val="21"/>
              </w:rPr>
              <w:t>25dB(A)</w:t>
            </w:r>
          </w:p>
        </w:tc>
        <w:tc>
          <w:tcPr>
            <w:tcW w:w="1226" w:type="pct"/>
            <w:vAlign w:val="center"/>
          </w:tcPr>
          <w:p>
            <w:pPr>
              <w:pStyle w:val="675"/>
              <w:jc w:val="center"/>
              <w:rPr>
                <w:kern w:val="21"/>
                <w:sz w:val="21"/>
                <w:szCs w:val="21"/>
                <w:lang w:eastAsia="zh-CN"/>
              </w:rPr>
            </w:pPr>
            <w:r>
              <w:rPr>
                <w:kern w:val="21"/>
                <w:sz w:val="21"/>
                <w:szCs w:val="21"/>
                <w:lang w:eastAsia="zh-CN"/>
              </w:rPr>
              <w:t>本项目沿线多数敏感点房屋结构较好，适合采用通风隔声窗降噪。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29" w:type="pct"/>
            <w:vAlign w:val="center"/>
          </w:tcPr>
          <w:p>
            <w:pPr>
              <w:pStyle w:val="675"/>
              <w:jc w:val="center"/>
              <w:rPr>
                <w:kern w:val="21"/>
                <w:sz w:val="21"/>
                <w:szCs w:val="21"/>
              </w:rPr>
            </w:pPr>
            <w:r>
              <w:rPr>
                <w:kern w:val="21"/>
                <w:sz w:val="21"/>
                <w:szCs w:val="21"/>
              </w:rPr>
              <w:t>房屋使用</w:t>
            </w:r>
          </w:p>
        </w:tc>
        <w:tc>
          <w:tcPr>
            <w:tcW w:w="929" w:type="pct"/>
            <w:vAlign w:val="center"/>
          </w:tcPr>
          <w:p>
            <w:pPr>
              <w:pStyle w:val="675"/>
              <w:jc w:val="center"/>
              <w:rPr>
                <w:kern w:val="21"/>
                <w:sz w:val="21"/>
                <w:szCs w:val="21"/>
                <w:lang w:eastAsia="zh-CN"/>
              </w:rPr>
            </w:pPr>
            <w:r>
              <w:rPr>
                <w:kern w:val="21"/>
                <w:sz w:val="21"/>
                <w:szCs w:val="21"/>
                <w:lang w:eastAsia="zh-CN"/>
              </w:rPr>
              <w:t>降噪彻底、可以完全消除噪声影响</w:t>
            </w:r>
          </w:p>
        </w:tc>
        <w:tc>
          <w:tcPr>
            <w:tcW w:w="998" w:type="pct"/>
            <w:vAlign w:val="center"/>
          </w:tcPr>
          <w:p>
            <w:pPr>
              <w:pStyle w:val="675"/>
              <w:jc w:val="center"/>
              <w:rPr>
                <w:kern w:val="21"/>
                <w:sz w:val="21"/>
                <w:szCs w:val="21"/>
                <w:lang w:eastAsia="zh-CN"/>
              </w:rPr>
            </w:pPr>
            <w:r>
              <w:rPr>
                <w:kern w:val="21"/>
                <w:sz w:val="21"/>
                <w:szCs w:val="21"/>
                <w:lang w:eastAsia="zh-CN"/>
              </w:rPr>
              <w:t>和路段情况有关，适用性受到</w:t>
            </w:r>
          </w:p>
        </w:tc>
        <w:tc>
          <w:tcPr>
            <w:tcW w:w="1218" w:type="pct"/>
            <w:vAlign w:val="center"/>
          </w:tcPr>
          <w:p>
            <w:pPr>
              <w:pStyle w:val="675"/>
              <w:jc w:val="center"/>
              <w:rPr>
                <w:kern w:val="21"/>
                <w:sz w:val="21"/>
                <w:szCs w:val="21"/>
              </w:rPr>
            </w:pPr>
            <w:r>
              <w:rPr>
                <w:kern w:val="21"/>
                <w:sz w:val="21"/>
                <w:szCs w:val="21"/>
              </w:rPr>
              <w:t>可以消除噪声影响</w:t>
            </w:r>
          </w:p>
        </w:tc>
        <w:tc>
          <w:tcPr>
            <w:tcW w:w="1226" w:type="pct"/>
            <w:vAlign w:val="center"/>
          </w:tcPr>
          <w:p>
            <w:pPr>
              <w:pStyle w:val="675"/>
              <w:jc w:val="center"/>
              <w:rPr>
                <w:kern w:val="21"/>
                <w:sz w:val="21"/>
                <w:szCs w:val="21"/>
                <w:lang w:eastAsia="zh-CN"/>
              </w:rPr>
            </w:pPr>
            <w:r>
              <w:rPr>
                <w:kern w:val="21"/>
                <w:sz w:val="21"/>
                <w:szCs w:val="21"/>
                <w:lang w:eastAsia="zh-CN"/>
              </w:rPr>
              <w:t>本项目沿线村庄敏感点</w:t>
            </w:r>
            <w:r>
              <w:rPr>
                <w:rFonts w:hint="eastAsia"/>
                <w:kern w:val="21"/>
                <w:sz w:val="21"/>
                <w:szCs w:val="21"/>
                <w:lang w:eastAsia="zh-CN"/>
              </w:rPr>
              <w:t>较多，但商户很少</w:t>
            </w:r>
            <w:r>
              <w:rPr>
                <w:kern w:val="21"/>
                <w:sz w:val="21"/>
                <w:szCs w:val="21"/>
                <w:lang w:eastAsia="zh-CN"/>
              </w:rPr>
              <w:t>，可有条件采</w:t>
            </w:r>
            <w:r>
              <w:rPr>
                <w:rFonts w:hint="eastAsia"/>
                <w:kern w:val="21"/>
                <w:sz w:val="21"/>
                <w:szCs w:val="21"/>
                <w:lang w:eastAsia="zh-CN"/>
              </w:rPr>
              <w:t>用本措施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29" w:type="pct"/>
            <w:vAlign w:val="center"/>
          </w:tcPr>
          <w:p>
            <w:pPr>
              <w:pStyle w:val="675"/>
              <w:jc w:val="center"/>
              <w:rPr>
                <w:rFonts w:ascii="Times New Roman" w:hAnsi="Times New Roman" w:cs="Times New Roman"/>
                <w:kern w:val="21"/>
                <w:sz w:val="21"/>
                <w:szCs w:val="21"/>
                <w:lang w:eastAsia="zh-CN"/>
              </w:rPr>
            </w:pPr>
            <w:r>
              <w:rPr>
                <w:rFonts w:ascii="Times New Roman" w:cs="Times New Roman"/>
                <w:kern w:val="21"/>
                <w:sz w:val="21"/>
                <w:szCs w:val="21"/>
                <w:lang w:eastAsia="zh-CN"/>
              </w:rPr>
              <w:t>栽植绿化降噪林带</w:t>
            </w:r>
          </w:p>
        </w:tc>
        <w:tc>
          <w:tcPr>
            <w:tcW w:w="929" w:type="pct"/>
            <w:vAlign w:val="center"/>
          </w:tcPr>
          <w:p>
            <w:pPr>
              <w:pStyle w:val="675"/>
              <w:jc w:val="center"/>
              <w:rPr>
                <w:rFonts w:ascii="Times New Roman" w:hAnsi="Times New Roman" w:cs="Times New Roman"/>
                <w:kern w:val="21"/>
                <w:sz w:val="21"/>
                <w:szCs w:val="21"/>
                <w:lang w:eastAsia="zh-CN"/>
              </w:rPr>
            </w:pPr>
            <w:r>
              <w:rPr>
                <w:rFonts w:ascii="Times New Roman" w:cs="Times New Roman"/>
                <w:kern w:val="21"/>
                <w:sz w:val="21"/>
                <w:szCs w:val="21"/>
                <w:lang w:eastAsia="zh-CN"/>
              </w:rPr>
              <w:t>防噪、防尘、水土保持、改善生态环境和美化环境等综合功能对人的心理作用良好</w:t>
            </w:r>
          </w:p>
        </w:tc>
        <w:tc>
          <w:tcPr>
            <w:tcW w:w="998" w:type="pct"/>
            <w:vAlign w:val="center"/>
          </w:tcPr>
          <w:p>
            <w:pPr>
              <w:pStyle w:val="675"/>
              <w:jc w:val="center"/>
              <w:rPr>
                <w:rFonts w:ascii="Times New Roman" w:hAnsi="Times New Roman" w:cs="Times New Roman"/>
                <w:kern w:val="21"/>
                <w:sz w:val="21"/>
                <w:szCs w:val="21"/>
                <w:lang w:eastAsia="zh-CN"/>
              </w:rPr>
            </w:pPr>
            <w:r>
              <w:rPr>
                <w:rFonts w:ascii="Times New Roman" w:cs="Times New Roman"/>
                <w:kern w:val="21"/>
                <w:sz w:val="21"/>
                <w:szCs w:val="21"/>
                <w:lang w:eastAsia="zh-CN"/>
              </w:rPr>
              <w:t>占地面积大，受季节影响明显</w:t>
            </w:r>
          </w:p>
        </w:tc>
        <w:tc>
          <w:tcPr>
            <w:tcW w:w="1218" w:type="pct"/>
            <w:vAlign w:val="center"/>
          </w:tcPr>
          <w:p>
            <w:pPr>
              <w:pStyle w:val="675"/>
              <w:jc w:val="center"/>
              <w:rPr>
                <w:rFonts w:ascii="Times New Roman" w:hAnsi="Times New Roman" w:cs="Times New Roman"/>
                <w:kern w:val="21"/>
                <w:sz w:val="21"/>
                <w:szCs w:val="21"/>
                <w:lang w:eastAsia="zh-CN"/>
              </w:rPr>
            </w:pPr>
            <w:r>
              <w:rPr>
                <w:rFonts w:ascii="Times New Roman" w:cs="Times New Roman"/>
                <w:kern w:val="21"/>
                <w:sz w:val="21"/>
                <w:szCs w:val="21"/>
                <w:lang w:eastAsia="zh-CN"/>
              </w:rPr>
              <w:t>密植林带</w:t>
            </w:r>
            <w:r>
              <w:rPr>
                <w:rFonts w:ascii="Times New Roman" w:hAnsi="Times New Roman" w:cs="Times New Roman"/>
                <w:kern w:val="21"/>
                <w:sz w:val="21"/>
                <w:szCs w:val="21"/>
                <w:lang w:eastAsia="zh-CN"/>
              </w:rPr>
              <w:t>10m</w:t>
            </w:r>
            <w:r>
              <w:rPr>
                <w:rFonts w:ascii="Times New Roman" w:cs="Times New Roman"/>
                <w:kern w:val="21"/>
                <w:sz w:val="21"/>
                <w:szCs w:val="21"/>
                <w:lang w:eastAsia="zh-CN"/>
              </w:rPr>
              <w:t>时可降噪</w:t>
            </w:r>
            <w:r>
              <w:rPr>
                <w:rFonts w:ascii="Times New Roman" w:hAnsi="Times New Roman" w:cs="Times New Roman"/>
                <w:kern w:val="21"/>
                <w:sz w:val="21"/>
                <w:szCs w:val="21"/>
                <w:lang w:eastAsia="zh-CN"/>
              </w:rPr>
              <w:t>1dB</w:t>
            </w:r>
            <w:r>
              <w:rPr>
                <w:rFonts w:ascii="Times New Roman" w:cs="Times New Roman"/>
                <w:kern w:val="21"/>
                <w:sz w:val="21"/>
                <w:szCs w:val="21"/>
                <w:lang w:eastAsia="zh-CN"/>
              </w:rPr>
              <w:t>，加宽林带宽度最多可降低噪声</w:t>
            </w:r>
            <w:r>
              <w:rPr>
                <w:rFonts w:ascii="Times New Roman" w:hAnsi="Times New Roman" w:cs="Times New Roman"/>
                <w:kern w:val="21"/>
                <w:sz w:val="21"/>
                <w:szCs w:val="21"/>
                <w:lang w:eastAsia="zh-CN"/>
              </w:rPr>
              <w:t>10dB</w:t>
            </w:r>
          </w:p>
        </w:tc>
        <w:tc>
          <w:tcPr>
            <w:tcW w:w="1226" w:type="pct"/>
            <w:vAlign w:val="center"/>
          </w:tcPr>
          <w:p>
            <w:pPr>
              <w:pStyle w:val="675"/>
              <w:jc w:val="center"/>
              <w:rPr>
                <w:rFonts w:ascii="Times New Roman" w:hAnsi="Times New Roman" w:cs="Times New Roman"/>
                <w:kern w:val="21"/>
                <w:sz w:val="21"/>
                <w:szCs w:val="21"/>
                <w:lang w:eastAsia="zh-CN"/>
              </w:rPr>
            </w:pPr>
            <w:r>
              <w:rPr>
                <w:rFonts w:ascii="Times New Roman" w:cs="Times New Roman"/>
                <w:kern w:val="21"/>
                <w:sz w:val="21"/>
                <w:szCs w:val="21"/>
                <w:lang w:eastAsia="zh-CN"/>
              </w:rPr>
              <w:t>本工程</w:t>
            </w:r>
            <w:r>
              <w:rPr>
                <w:rFonts w:hint="eastAsia" w:ascii="Times New Roman" w:cs="Times New Roman"/>
                <w:kern w:val="21"/>
                <w:sz w:val="21"/>
                <w:szCs w:val="21"/>
                <w:lang w:eastAsia="zh-CN"/>
              </w:rPr>
              <w:t>利旧</w:t>
            </w:r>
            <w:r>
              <w:rPr>
                <w:rFonts w:ascii="Times New Roman" w:cs="Times New Roman"/>
                <w:kern w:val="21"/>
                <w:sz w:val="21"/>
                <w:szCs w:val="21"/>
                <w:lang w:eastAsia="zh-CN"/>
              </w:rPr>
              <w:t>道路距离村庄均较近，用地紧张；新建路段土地比较富裕，可种植绿化带。</w:t>
            </w:r>
          </w:p>
        </w:tc>
      </w:tr>
    </w:tbl>
    <w:p>
      <w:pPr>
        <w:ind w:firstLine="480"/>
      </w:pPr>
      <w:r>
        <w:t>结合本工程环境敏感点现状及工程特点，对本工程降噪措施分析如下：本项目</w:t>
      </w:r>
      <w:r>
        <w:rPr>
          <w:rFonts w:hint="eastAsia"/>
        </w:rPr>
        <w:t>为省道</w:t>
      </w:r>
      <w:r>
        <w:t>，根据沿线敏感点特征、道路特点、所需降噪效果以及各级降噪措施适用条件等因素采取不同的噪声防治措施。声屏障适用于有一定高度的路堤、桥梁、距离公路较近的房屋分布较集中的敏感点</w:t>
      </w:r>
      <w:r>
        <w:rPr>
          <w:rFonts w:hint="eastAsia"/>
        </w:rPr>
        <w:t>，本项目道路两侧分布居民比较多，居民出行需要依靠此线路，不适合建设封闭式道路，不太适合使用声屏障</w:t>
      </w:r>
      <w:r>
        <w:t>；为了保护该敏感点处的声环境，采用通风隔声窗进行处理。</w:t>
      </w:r>
    </w:p>
    <w:p>
      <w:pPr>
        <w:ind w:firstLine="480"/>
      </w:pPr>
      <w:r>
        <w:t>通风隔声窗是一种用隔断附吸收声音的塑钢或铝合金型材加上特有结构降低声音传输过程的装置。它包括两个窗框，中挺和安装在窗框和中挺之间的内、外层玻璃窗。通风隔声窗降噪效果在</w:t>
      </w:r>
      <w:r>
        <w:rPr>
          <w:rFonts w:eastAsia="Times New Roman"/>
          <w:szCs w:val="24"/>
        </w:rPr>
        <w:t>25~29dB</w:t>
      </w:r>
      <w:r>
        <w:t>，其通风量大于开窗时的</w:t>
      </w:r>
      <w:r>
        <w:rPr>
          <w:rFonts w:eastAsia="Times New Roman"/>
        </w:rPr>
        <w:t>60%</w:t>
      </w:r>
      <w:r>
        <w:t>，经测试表明其降噪效果及通风效果良好。在临街一排设置通风隔声窗可有效减缓道路交通噪声对道路两侧居民的影响。</w:t>
      </w:r>
    </w:p>
    <w:p>
      <w:pPr>
        <w:ind w:firstLine="480"/>
      </w:pPr>
      <w:r>
        <w:t>通风隔声窗隔声性能见表</w:t>
      </w:r>
      <w:r>
        <w:rPr>
          <w:rFonts w:hint="eastAsia"/>
        </w:rPr>
        <w:t>7.2-2</w:t>
      </w:r>
      <w:r>
        <w:t>。</w:t>
      </w:r>
    </w:p>
    <w:p>
      <w:pPr>
        <w:adjustRightInd w:val="0"/>
        <w:snapToGrid w:val="0"/>
        <w:ind w:firstLine="0" w:firstLineChars="0"/>
        <w:jc w:val="center"/>
        <w:rPr>
          <w:b/>
          <w:sz w:val="21"/>
        </w:rPr>
      </w:pPr>
      <w:r>
        <w:rPr>
          <w:b/>
          <w:sz w:val="21"/>
        </w:rPr>
        <w:t>表</w:t>
      </w:r>
      <w:r>
        <w:rPr>
          <w:rFonts w:hint="eastAsia"/>
          <w:b/>
          <w:sz w:val="21"/>
        </w:rPr>
        <w:t>7.2-2</w:t>
      </w:r>
      <w:r>
        <w:rPr>
          <w:b/>
          <w:sz w:val="21"/>
        </w:rPr>
        <w:tab/>
      </w:r>
      <w:r>
        <w:rPr>
          <w:rFonts w:hint="eastAsia"/>
          <w:b/>
          <w:sz w:val="21"/>
        </w:rPr>
        <w:t>隔声窗隔声效果</w:t>
      </w:r>
      <w:r>
        <w:rPr>
          <w:b/>
          <w:sz w:val="21"/>
        </w:rPr>
        <w:t>比较一览表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09"/>
        <w:gridCol w:w="1135"/>
        <w:gridCol w:w="1420"/>
        <w:gridCol w:w="1500"/>
        <w:gridCol w:w="1350"/>
        <w:gridCol w:w="1350"/>
        <w:gridCol w:w="15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809" w:type="pct"/>
            <w:gridSpan w:val="3"/>
            <w:vAlign w:val="center"/>
          </w:tcPr>
          <w:p>
            <w:pPr>
              <w:pStyle w:val="675"/>
              <w:jc w:val="center"/>
              <w:rPr>
                <w:sz w:val="21"/>
                <w:szCs w:val="21"/>
                <w:lang w:eastAsia="zh-CN"/>
              </w:rPr>
            </w:pPr>
            <w:r>
              <w:rPr>
                <w:bCs/>
                <w:sz w:val="21"/>
                <w:szCs w:val="21"/>
                <w:lang w:eastAsia="zh-CN"/>
              </w:rPr>
              <w:t>型式</w:t>
            </w:r>
          </w:p>
        </w:tc>
        <w:tc>
          <w:tcPr>
            <w:tcW w:w="831" w:type="pct"/>
            <w:vAlign w:val="center"/>
          </w:tcPr>
          <w:p>
            <w:pPr>
              <w:pStyle w:val="675"/>
              <w:jc w:val="center"/>
              <w:rPr>
                <w:sz w:val="21"/>
                <w:szCs w:val="21"/>
                <w:lang w:eastAsia="zh-CN"/>
              </w:rPr>
            </w:pPr>
            <w:r>
              <w:rPr>
                <w:rFonts w:ascii="Times New Roman" w:hAnsi="Times New Roman" w:eastAsia="Times New Roman" w:cs="Times New Roman"/>
                <w:bCs/>
                <w:sz w:val="21"/>
                <w:szCs w:val="21"/>
                <w:lang w:eastAsia="zh-CN"/>
              </w:rPr>
              <w:t>A</w:t>
            </w:r>
            <w:r>
              <w:rPr>
                <w:bCs/>
                <w:sz w:val="21"/>
                <w:szCs w:val="21"/>
                <w:lang w:eastAsia="zh-CN"/>
              </w:rPr>
              <w:t>型</w:t>
            </w:r>
          </w:p>
        </w:tc>
        <w:tc>
          <w:tcPr>
            <w:tcW w:w="748" w:type="pct"/>
            <w:vAlign w:val="center"/>
          </w:tcPr>
          <w:p>
            <w:pPr>
              <w:pStyle w:val="675"/>
              <w:jc w:val="center"/>
              <w:rPr>
                <w:sz w:val="21"/>
                <w:szCs w:val="21"/>
                <w:lang w:eastAsia="zh-CN"/>
              </w:rPr>
            </w:pPr>
            <w:r>
              <w:rPr>
                <w:rFonts w:ascii="Times New Roman" w:hAnsi="Times New Roman" w:eastAsia="Times New Roman" w:cs="Times New Roman"/>
                <w:bCs/>
                <w:sz w:val="21"/>
                <w:szCs w:val="21"/>
                <w:lang w:eastAsia="zh-CN"/>
              </w:rPr>
              <w:t>B</w:t>
            </w:r>
            <w:r>
              <w:rPr>
                <w:bCs/>
                <w:sz w:val="21"/>
                <w:szCs w:val="21"/>
                <w:lang w:eastAsia="zh-CN"/>
              </w:rPr>
              <w:t>型</w:t>
            </w:r>
          </w:p>
        </w:tc>
        <w:tc>
          <w:tcPr>
            <w:tcW w:w="748" w:type="pct"/>
            <w:vAlign w:val="center"/>
          </w:tcPr>
          <w:p>
            <w:pPr>
              <w:pStyle w:val="675"/>
              <w:jc w:val="center"/>
              <w:rPr>
                <w:sz w:val="21"/>
                <w:szCs w:val="21"/>
                <w:lang w:eastAsia="zh-CN"/>
              </w:rPr>
            </w:pPr>
            <w:r>
              <w:rPr>
                <w:rFonts w:ascii="Times New Roman" w:hAnsi="Times New Roman" w:eastAsia="Times New Roman" w:cs="Times New Roman"/>
                <w:bCs/>
                <w:sz w:val="21"/>
                <w:szCs w:val="21"/>
                <w:lang w:eastAsia="zh-CN"/>
              </w:rPr>
              <w:t>AB</w:t>
            </w:r>
            <w:r>
              <w:rPr>
                <w:bCs/>
                <w:sz w:val="21"/>
                <w:szCs w:val="21"/>
                <w:lang w:eastAsia="zh-CN"/>
              </w:rPr>
              <w:t>型</w:t>
            </w:r>
          </w:p>
        </w:tc>
        <w:tc>
          <w:tcPr>
            <w:tcW w:w="864" w:type="pct"/>
            <w:vAlign w:val="center"/>
          </w:tcPr>
          <w:p>
            <w:pPr>
              <w:pStyle w:val="675"/>
              <w:jc w:val="center"/>
              <w:rPr>
                <w:sz w:val="21"/>
                <w:szCs w:val="21"/>
                <w:lang w:eastAsia="zh-CN"/>
              </w:rPr>
            </w:pPr>
            <w:r>
              <w:rPr>
                <w:rFonts w:ascii="Times New Roman" w:hAnsi="Times New Roman" w:eastAsia="Times New Roman" w:cs="Times New Roman"/>
                <w:bCs/>
                <w:sz w:val="21"/>
                <w:szCs w:val="21"/>
                <w:lang w:eastAsia="zh-CN"/>
              </w:rPr>
              <w:t>C</w:t>
            </w:r>
            <w:r>
              <w:rPr>
                <w:bCs/>
                <w:sz w:val="21"/>
                <w:szCs w:val="21"/>
                <w:lang w:eastAsia="zh-CN"/>
              </w:rPr>
              <w:t>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809" w:type="pct"/>
            <w:gridSpan w:val="3"/>
            <w:vAlign w:val="center"/>
          </w:tcPr>
          <w:p>
            <w:pPr>
              <w:pStyle w:val="675"/>
              <w:jc w:val="center"/>
              <w:rPr>
                <w:sz w:val="21"/>
                <w:szCs w:val="21"/>
                <w:lang w:eastAsia="zh-CN"/>
              </w:rPr>
            </w:pPr>
            <w:r>
              <w:rPr>
                <w:sz w:val="21"/>
                <w:szCs w:val="21"/>
                <w:lang w:eastAsia="zh-CN"/>
              </w:rPr>
              <w:t>型材</w:t>
            </w:r>
          </w:p>
        </w:tc>
        <w:tc>
          <w:tcPr>
            <w:tcW w:w="831" w:type="pct"/>
            <w:vAlign w:val="center"/>
          </w:tcPr>
          <w:p>
            <w:pPr>
              <w:pStyle w:val="675"/>
              <w:jc w:val="center"/>
              <w:rPr>
                <w:sz w:val="21"/>
                <w:szCs w:val="21"/>
                <w:lang w:eastAsia="zh-CN"/>
              </w:rPr>
            </w:pPr>
            <w:r>
              <w:rPr>
                <w:sz w:val="21"/>
                <w:szCs w:val="21"/>
                <w:lang w:eastAsia="zh-CN"/>
              </w:rPr>
              <w:t>隔热铝型材</w:t>
            </w:r>
          </w:p>
          <w:p>
            <w:pPr>
              <w:pStyle w:val="675"/>
              <w:jc w:val="center"/>
              <w:rPr>
                <w:sz w:val="21"/>
                <w:szCs w:val="21"/>
                <w:lang w:eastAsia="zh-CN"/>
              </w:rPr>
            </w:pPr>
            <w:r>
              <w:rPr>
                <w:sz w:val="21"/>
                <w:szCs w:val="21"/>
                <w:lang w:eastAsia="zh-CN"/>
              </w:rPr>
              <w:t>塑钢型材</w:t>
            </w:r>
          </w:p>
        </w:tc>
        <w:tc>
          <w:tcPr>
            <w:tcW w:w="748" w:type="pct"/>
            <w:vAlign w:val="center"/>
          </w:tcPr>
          <w:p>
            <w:pPr>
              <w:pStyle w:val="675"/>
              <w:jc w:val="center"/>
              <w:rPr>
                <w:sz w:val="21"/>
                <w:szCs w:val="21"/>
                <w:lang w:eastAsia="zh-CN"/>
              </w:rPr>
            </w:pPr>
            <w:r>
              <w:rPr>
                <w:sz w:val="21"/>
                <w:szCs w:val="21"/>
                <w:lang w:eastAsia="zh-CN"/>
              </w:rPr>
              <w:t>隔热铝型材</w:t>
            </w:r>
          </w:p>
          <w:p>
            <w:pPr>
              <w:pStyle w:val="675"/>
              <w:jc w:val="center"/>
              <w:rPr>
                <w:sz w:val="21"/>
                <w:szCs w:val="21"/>
                <w:lang w:eastAsia="zh-CN"/>
              </w:rPr>
            </w:pPr>
            <w:r>
              <w:rPr>
                <w:sz w:val="21"/>
                <w:szCs w:val="21"/>
                <w:lang w:eastAsia="zh-CN"/>
              </w:rPr>
              <w:t>塑钢型材</w:t>
            </w:r>
          </w:p>
        </w:tc>
        <w:tc>
          <w:tcPr>
            <w:tcW w:w="748" w:type="pct"/>
            <w:vAlign w:val="center"/>
          </w:tcPr>
          <w:p>
            <w:pPr>
              <w:pStyle w:val="675"/>
              <w:jc w:val="center"/>
              <w:rPr>
                <w:sz w:val="21"/>
                <w:szCs w:val="21"/>
                <w:lang w:eastAsia="zh-CN"/>
              </w:rPr>
            </w:pPr>
            <w:r>
              <w:rPr>
                <w:sz w:val="21"/>
                <w:szCs w:val="21"/>
                <w:lang w:eastAsia="zh-CN"/>
              </w:rPr>
              <w:t>隔热铝型材</w:t>
            </w:r>
          </w:p>
          <w:p>
            <w:pPr>
              <w:pStyle w:val="675"/>
              <w:jc w:val="center"/>
              <w:rPr>
                <w:sz w:val="21"/>
                <w:szCs w:val="21"/>
                <w:lang w:eastAsia="zh-CN"/>
              </w:rPr>
            </w:pPr>
            <w:r>
              <w:rPr>
                <w:sz w:val="21"/>
                <w:szCs w:val="21"/>
                <w:lang w:eastAsia="zh-CN"/>
              </w:rPr>
              <w:t>塑钢型材</w:t>
            </w:r>
          </w:p>
        </w:tc>
        <w:tc>
          <w:tcPr>
            <w:tcW w:w="864" w:type="pct"/>
            <w:vAlign w:val="center"/>
          </w:tcPr>
          <w:p>
            <w:pPr>
              <w:pStyle w:val="675"/>
              <w:jc w:val="center"/>
              <w:rPr>
                <w:sz w:val="21"/>
                <w:szCs w:val="21"/>
                <w:lang w:eastAsia="zh-CN"/>
              </w:rPr>
            </w:pPr>
            <w:r>
              <w:rPr>
                <w:sz w:val="21"/>
                <w:szCs w:val="21"/>
                <w:lang w:eastAsia="zh-CN"/>
              </w:rPr>
              <w:t>隔热铝型材</w:t>
            </w:r>
          </w:p>
          <w:p>
            <w:pPr>
              <w:pStyle w:val="675"/>
              <w:jc w:val="center"/>
              <w:rPr>
                <w:sz w:val="21"/>
                <w:szCs w:val="21"/>
                <w:lang w:eastAsia="zh-CN"/>
              </w:rPr>
            </w:pPr>
            <w:r>
              <w:rPr>
                <w:sz w:val="21"/>
                <w:szCs w:val="21"/>
                <w:lang w:eastAsia="zh-CN"/>
              </w:rPr>
              <w:t>塑钢型材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809" w:type="pct"/>
            <w:gridSpan w:val="3"/>
            <w:vAlign w:val="center"/>
          </w:tcPr>
          <w:p>
            <w:pPr>
              <w:pStyle w:val="675"/>
              <w:jc w:val="center"/>
              <w:rPr>
                <w:sz w:val="21"/>
                <w:szCs w:val="21"/>
                <w:lang w:eastAsia="zh-CN"/>
              </w:rPr>
            </w:pPr>
            <w:r>
              <w:rPr>
                <w:sz w:val="21"/>
                <w:szCs w:val="21"/>
                <w:lang w:eastAsia="zh-CN"/>
              </w:rPr>
              <w:t>玻璃</w:t>
            </w:r>
          </w:p>
        </w:tc>
        <w:tc>
          <w:tcPr>
            <w:tcW w:w="831" w:type="pct"/>
            <w:vAlign w:val="center"/>
          </w:tcPr>
          <w:p>
            <w:pPr>
              <w:pStyle w:val="675"/>
              <w:jc w:val="center"/>
              <w:rPr>
                <w:rFonts w:ascii="Times New Roman" w:hAnsi="Times New Roman" w:eastAsia="Times New Roman" w:cs="Times New Roman"/>
                <w:sz w:val="21"/>
                <w:szCs w:val="21"/>
                <w:lang w:eastAsia="zh-CN"/>
              </w:rPr>
            </w:pPr>
            <w:r>
              <w:rPr>
                <w:sz w:val="21"/>
                <w:szCs w:val="21"/>
                <w:lang w:eastAsia="zh-CN"/>
              </w:rPr>
              <w:t>中空</w:t>
            </w:r>
            <w:r>
              <w:rPr>
                <w:rFonts w:ascii="Times New Roman" w:hAnsi="Times New Roman" w:eastAsia="Times New Roman" w:cs="Times New Roman"/>
                <w:sz w:val="21"/>
                <w:szCs w:val="21"/>
                <w:lang w:eastAsia="zh-CN"/>
              </w:rPr>
              <w:t>5+6+5</w:t>
            </w:r>
          </w:p>
        </w:tc>
        <w:tc>
          <w:tcPr>
            <w:tcW w:w="748" w:type="pct"/>
            <w:vAlign w:val="center"/>
          </w:tcPr>
          <w:p>
            <w:pPr>
              <w:pStyle w:val="675"/>
              <w:jc w:val="center"/>
              <w:rPr>
                <w:rFonts w:ascii="Times New Roman" w:hAnsi="Times New Roman" w:eastAsia="Times New Roman" w:cs="Times New Roman"/>
                <w:sz w:val="21"/>
                <w:szCs w:val="21"/>
                <w:lang w:eastAsia="zh-CN"/>
              </w:rPr>
            </w:pPr>
            <w:r>
              <w:rPr>
                <w:sz w:val="21"/>
                <w:szCs w:val="21"/>
                <w:lang w:eastAsia="zh-CN"/>
              </w:rPr>
              <w:t>中空</w:t>
            </w:r>
            <w:r>
              <w:rPr>
                <w:rFonts w:ascii="Times New Roman" w:hAnsi="Times New Roman" w:eastAsia="Times New Roman" w:cs="Times New Roman"/>
                <w:sz w:val="21"/>
                <w:szCs w:val="21"/>
                <w:lang w:eastAsia="zh-CN"/>
              </w:rPr>
              <w:t>5+6+5</w:t>
            </w:r>
          </w:p>
        </w:tc>
        <w:tc>
          <w:tcPr>
            <w:tcW w:w="748" w:type="pct"/>
            <w:vAlign w:val="center"/>
          </w:tcPr>
          <w:p>
            <w:pPr>
              <w:pStyle w:val="675"/>
              <w:jc w:val="center"/>
              <w:rPr>
                <w:rFonts w:ascii="Times New Roman" w:hAnsi="Times New Roman" w:eastAsia="Times New Roman" w:cs="Times New Roman"/>
                <w:sz w:val="21"/>
                <w:szCs w:val="21"/>
                <w:lang w:eastAsia="zh-CN"/>
              </w:rPr>
            </w:pPr>
            <w:r>
              <w:rPr>
                <w:sz w:val="21"/>
                <w:szCs w:val="21"/>
                <w:lang w:eastAsia="zh-CN"/>
              </w:rPr>
              <w:t>中空</w:t>
            </w:r>
            <w:r>
              <w:rPr>
                <w:rFonts w:ascii="Times New Roman" w:hAnsi="Times New Roman" w:eastAsia="Times New Roman" w:cs="Times New Roman"/>
                <w:sz w:val="21"/>
                <w:szCs w:val="21"/>
                <w:lang w:eastAsia="zh-CN"/>
              </w:rPr>
              <w:t>5+6+5</w:t>
            </w:r>
          </w:p>
        </w:tc>
        <w:tc>
          <w:tcPr>
            <w:tcW w:w="864" w:type="pct"/>
            <w:vAlign w:val="center"/>
          </w:tcPr>
          <w:p>
            <w:pPr>
              <w:pStyle w:val="675"/>
              <w:jc w:val="center"/>
              <w:rPr>
                <w:rFonts w:ascii="Times New Roman" w:hAnsi="Times New Roman" w:eastAsia="Times New Roman" w:cs="Times New Roman"/>
                <w:sz w:val="21"/>
                <w:szCs w:val="21"/>
                <w:lang w:eastAsia="zh-CN"/>
              </w:rPr>
            </w:pPr>
            <w:r>
              <w:rPr>
                <w:sz w:val="21"/>
                <w:szCs w:val="21"/>
                <w:lang w:eastAsia="zh-CN"/>
              </w:rPr>
              <w:t>中空</w:t>
            </w:r>
            <w:r>
              <w:rPr>
                <w:rFonts w:ascii="Times New Roman" w:hAnsi="Times New Roman" w:eastAsia="Times New Roman" w:cs="Times New Roman"/>
                <w:sz w:val="21"/>
                <w:szCs w:val="21"/>
                <w:lang w:eastAsia="zh-CN"/>
              </w:rPr>
              <w:t>5+6+5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restart"/>
            <w:vAlign w:val="center"/>
          </w:tcPr>
          <w:p>
            <w:pPr>
              <w:pStyle w:val="675"/>
              <w:jc w:val="center"/>
              <w:rPr>
                <w:sz w:val="21"/>
                <w:szCs w:val="21"/>
                <w:lang w:eastAsia="zh-CN"/>
              </w:rPr>
            </w:pPr>
            <w:r>
              <w:rPr>
                <w:sz w:val="21"/>
                <w:szCs w:val="21"/>
                <w:lang w:eastAsia="zh-CN"/>
              </w:rPr>
              <w:t>隔声量</w:t>
            </w:r>
          </w:p>
        </w:tc>
        <w:tc>
          <w:tcPr>
            <w:tcW w:w="629" w:type="pct"/>
            <w:vMerge w:val="restart"/>
            <w:vAlign w:val="center"/>
          </w:tcPr>
          <w:p>
            <w:pPr>
              <w:pStyle w:val="675"/>
              <w:jc w:val="center"/>
              <w:rPr>
                <w:sz w:val="21"/>
                <w:szCs w:val="21"/>
                <w:lang w:eastAsia="zh-CN"/>
              </w:rPr>
            </w:pPr>
            <w:r>
              <w:rPr>
                <w:sz w:val="21"/>
                <w:szCs w:val="21"/>
                <w:lang w:eastAsia="zh-CN"/>
              </w:rPr>
              <w:t>自然通风</w:t>
            </w:r>
          </w:p>
        </w:tc>
        <w:tc>
          <w:tcPr>
            <w:tcW w:w="787" w:type="pct"/>
            <w:vAlign w:val="center"/>
          </w:tcPr>
          <w:p>
            <w:pPr>
              <w:pStyle w:val="675"/>
              <w:jc w:val="center"/>
              <w:rPr>
                <w:sz w:val="21"/>
                <w:szCs w:val="21"/>
                <w:lang w:eastAsia="zh-CN"/>
              </w:rPr>
            </w:pPr>
            <w:r>
              <w:rPr>
                <w:sz w:val="21"/>
                <w:szCs w:val="21"/>
                <w:lang w:eastAsia="zh-CN"/>
              </w:rPr>
              <w:t>隔热铝型材</w:t>
            </w:r>
          </w:p>
        </w:tc>
        <w:tc>
          <w:tcPr>
            <w:tcW w:w="831" w:type="pct"/>
            <w:vAlign w:val="center"/>
          </w:tcPr>
          <w:p>
            <w:pPr>
              <w:pStyle w:val="675"/>
              <w:jc w:val="center"/>
              <w:rPr>
                <w:sz w:val="21"/>
                <w:szCs w:val="21"/>
                <w:lang w:eastAsia="zh-CN"/>
              </w:rPr>
            </w:pPr>
            <w:r>
              <w:rPr>
                <w:rFonts w:ascii="Times New Roman" w:hAnsi="Times New Roman" w:eastAsia="Times New Roman" w:cs="Times New Roman"/>
                <w:sz w:val="21"/>
                <w:szCs w:val="21"/>
                <w:lang w:eastAsia="zh-CN"/>
              </w:rPr>
              <w:t>25~31</w:t>
            </w:r>
            <w:r>
              <w:rPr>
                <w:sz w:val="21"/>
                <w:szCs w:val="21"/>
                <w:lang w:eastAsia="zh-CN"/>
              </w:rPr>
              <w:t>（</w:t>
            </w:r>
            <w:r>
              <w:rPr>
                <w:rFonts w:ascii="Times New Roman" w:hAnsi="Times New Roman" w:eastAsia="Times New Roman" w:cs="Times New Roman"/>
                <w:sz w:val="21"/>
                <w:szCs w:val="21"/>
                <w:lang w:eastAsia="zh-CN"/>
              </w:rPr>
              <w:t>dB</w:t>
            </w:r>
            <w:r>
              <w:rPr>
                <w:sz w:val="21"/>
                <w:szCs w:val="21"/>
                <w:lang w:eastAsia="zh-CN"/>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lang w:eastAsia="zh-CN"/>
              </w:rPr>
              <w:t>25</w:t>
            </w:r>
            <w:r>
              <w:rPr>
                <w:rFonts w:ascii="Times New Roman" w:hAnsi="Times New Roman" w:eastAsia="Times New Roman" w:cs="Times New Roman"/>
                <w:spacing w:val="-5"/>
                <w:sz w:val="21"/>
                <w:szCs w:val="21"/>
              </w:rPr>
              <w:t>~28</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25~31</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864" w:type="pct"/>
            <w:vAlign w:val="center"/>
          </w:tcPr>
          <w:p>
            <w:pPr>
              <w:pStyle w:val="675"/>
              <w:jc w:val="center"/>
              <w:rPr>
                <w:sz w:val="21"/>
                <w:szCs w:val="21"/>
              </w:rPr>
            </w:pPr>
            <w:r>
              <w:rPr>
                <w:rFonts w:ascii="Times New Roman" w:hAnsi="Times New Roman" w:eastAsia="Times New Roman" w:cs="Times New Roman"/>
                <w:sz w:val="21"/>
                <w:szCs w:val="21"/>
              </w:rPr>
              <w:t>25~31</w:t>
            </w:r>
            <w:r>
              <w:rPr>
                <w:sz w:val="21"/>
                <w:szCs w:val="21"/>
              </w:rPr>
              <w:t>（</w:t>
            </w:r>
            <w:r>
              <w:rPr>
                <w:rFonts w:ascii="Times New Roman" w:hAnsi="Times New Roman" w:eastAsia="Times New Roman" w:cs="Times New Roman"/>
                <w:sz w:val="21"/>
                <w:szCs w:val="21"/>
              </w:rPr>
              <w:t>dB</w:t>
            </w:r>
            <w:r>
              <w:rPr>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vAlign w:val="center"/>
          </w:tcPr>
          <w:p>
            <w:pPr>
              <w:spacing w:line="240" w:lineRule="auto"/>
              <w:ind w:firstLine="0" w:firstLineChars="0"/>
              <w:jc w:val="center"/>
              <w:rPr>
                <w:kern w:val="0"/>
                <w:sz w:val="21"/>
                <w:szCs w:val="22"/>
                <w:highlight w:val="yellow"/>
                <w:lang w:eastAsia="en-US"/>
              </w:rPr>
            </w:pPr>
          </w:p>
        </w:tc>
        <w:tc>
          <w:tcPr>
            <w:tcW w:w="629" w:type="pct"/>
            <w:vMerge w:val="continue"/>
            <w:vAlign w:val="center"/>
          </w:tcPr>
          <w:p>
            <w:pPr>
              <w:spacing w:line="240" w:lineRule="auto"/>
              <w:ind w:firstLine="0" w:firstLineChars="0"/>
              <w:jc w:val="center"/>
              <w:rPr>
                <w:kern w:val="0"/>
                <w:sz w:val="21"/>
                <w:szCs w:val="22"/>
                <w:highlight w:val="yellow"/>
                <w:lang w:eastAsia="en-US"/>
              </w:rPr>
            </w:pPr>
          </w:p>
        </w:tc>
        <w:tc>
          <w:tcPr>
            <w:tcW w:w="787" w:type="pct"/>
            <w:vAlign w:val="center"/>
          </w:tcPr>
          <w:p>
            <w:pPr>
              <w:pStyle w:val="675"/>
              <w:jc w:val="center"/>
              <w:rPr>
                <w:sz w:val="21"/>
                <w:szCs w:val="21"/>
              </w:rPr>
            </w:pPr>
            <w:r>
              <w:rPr>
                <w:sz w:val="21"/>
                <w:szCs w:val="21"/>
              </w:rPr>
              <w:t>塑钢型材</w:t>
            </w:r>
          </w:p>
        </w:tc>
        <w:tc>
          <w:tcPr>
            <w:tcW w:w="831" w:type="pct"/>
            <w:vAlign w:val="center"/>
          </w:tcPr>
          <w:p>
            <w:pPr>
              <w:pStyle w:val="675"/>
              <w:jc w:val="center"/>
              <w:rPr>
                <w:sz w:val="21"/>
                <w:szCs w:val="21"/>
              </w:rPr>
            </w:pPr>
            <w:r>
              <w:rPr>
                <w:rFonts w:ascii="Times New Roman" w:hAnsi="Times New Roman" w:eastAsia="Times New Roman" w:cs="Times New Roman"/>
                <w:sz w:val="21"/>
                <w:szCs w:val="21"/>
              </w:rPr>
              <w:t>25~30</w:t>
            </w:r>
            <w:r>
              <w:rPr>
                <w:sz w:val="21"/>
                <w:szCs w:val="21"/>
              </w:rPr>
              <w:t>（</w:t>
            </w:r>
            <w:r>
              <w:rPr>
                <w:rFonts w:ascii="Times New Roman" w:hAnsi="Times New Roman" w:eastAsia="Times New Roman" w:cs="Times New Roman"/>
                <w:sz w:val="21"/>
                <w:szCs w:val="21"/>
              </w:rPr>
              <w:t>dB</w:t>
            </w:r>
            <w:r>
              <w:rPr>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25~27</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25~30</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864" w:type="pct"/>
            <w:vAlign w:val="center"/>
          </w:tcPr>
          <w:p>
            <w:pPr>
              <w:pStyle w:val="675"/>
              <w:jc w:val="center"/>
              <w:rPr>
                <w:sz w:val="21"/>
                <w:szCs w:val="21"/>
              </w:rPr>
            </w:pPr>
            <w:r>
              <w:rPr>
                <w:rFonts w:ascii="Times New Roman" w:hAnsi="Times New Roman" w:eastAsia="Times New Roman" w:cs="Times New Roman"/>
                <w:sz w:val="21"/>
                <w:szCs w:val="21"/>
              </w:rPr>
              <w:t>25~30</w:t>
            </w:r>
            <w:r>
              <w:rPr>
                <w:sz w:val="21"/>
                <w:szCs w:val="21"/>
              </w:rPr>
              <w:t>（</w:t>
            </w:r>
            <w:r>
              <w:rPr>
                <w:rFonts w:ascii="Times New Roman" w:hAnsi="Times New Roman" w:eastAsia="Times New Roman" w:cs="Times New Roman"/>
                <w:sz w:val="21"/>
                <w:szCs w:val="21"/>
              </w:rPr>
              <w:t>dB</w:t>
            </w:r>
            <w:r>
              <w:rPr>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vAlign w:val="center"/>
          </w:tcPr>
          <w:p>
            <w:pPr>
              <w:spacing w:line="240" w:lineRule="auto"/>
              <w:ind w:firstLine="0" w:firstLineChars="0"/>
              <w:jc w:val="center"/>
              <w:rPr>
                <w:kern w:val="0"/>
                <w:sz w:val="21"/>
                <w:szCs w:val="22"/>
                <w:highlight w:val="yellow"/>
                <w:lang w:eastAsia="en-US"/>
              </w:rPr>
            </w:pPr>
          </w:p>
        </w:tc>
        <w:tc>
          <w:tcPr>
            <w:tcW w:w="629" w:type="pct"/>
            <w:vMerge w:val="restart"/>
            <w:vAlign w:val="center"/>
          </w:tcPr>
          <w:p>
            <w:pPr>
              <w:pStyle w:val="675"/>
              <w:jc w:val="center"/>
              <w:rPr>
                <w:sz w:val="21"/>
                <w:szCs w:val="21"/>
              </w:rPr>
            </w:pPr>
            <w:r>
              <w:rPr>
                <w:sz w:val="21"/>
                <w:szCs w:val="21"/>
              </w:rPr>
              <w:t>机械通风</w:t>
            </w:r>
          </w:p>
        </w:tc>
        <w:tc>
          <w:tcPr>
            <w:tcW w:w="787" w:type="pct"/>
            <w:vAlign w:val="center"/>
          </w:tcPr>
          <w:p>
            <w:pPr>
              <w:pStyle w:val="675"/>
              <w:jc w:val="center"/>
              <w:rPr>
                <w:sz w:val="21"/>
                <w:szCs w:val="21"/>
              </w:rPr>
            </w:pPr>
            <w:r>
              <w:rPr>
                <w:sz w:val="21"/>
                <w:szCs w:val="21"/>
              </w:rPr>
              <w:t>隔热铝型材</w:t>
            </w:r>
          </w:p>
        </w:tc>
        <w:tc>
          <w:tcPr>
            <w:tcW w:w="831" w:type="pct"/>
            <w:vAlign w:val="center"/>
          </w:tcPr>
          <w:p>
            <w:pPr>
              <w:pStyle w:val="675"/>
              <w:jc w:val="center"/>
              <w:rPr>
                <w:sz w:val="21"/>
                <w:szCs w:val="21"/>
              </w:rPr>
            </w:pPr>
            <w:r>
              <w:rPr>
                <w:rFonts w:ascii="Times New Roman" w:hAnsi="Times New Roman" w:eastAsia="Times New Roman" w:cs="Times New Roman"/>
                <w:sz w:val="21"/>
                <w:szCs w:val="21"/>
              </w:rPr>
              <w:t>31~37</w:t>
            </w:r>
            <w:r>
              <w:rPr>
                <w:sz w:val="21"/>
                <w:szCs w:val="21"/>
              </w:rPr>
              <w:t>（</w:t>
            </w:r>
            <w:r>
              <w:rPr>
                <w:rFonts w:ascii="Times New Roman" w:hAnsi="Times New Roman" w:eastAsia="Times New Roman" w:cs="Times New Roman"/>
                <w:sz w:val="21"/>
                <w:szCs w:val="21"/>
              </w:rPr>
              <w:t>dB</w:t>
            </w:r>
            <w:r>
              <w:rPr>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28~34</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31~37</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864" w:type="pct"/>
            <w:vAlign w:val="center"/>
          </w:tcPr>
          <w:p>
            <w:pPr>
              <w:pStyle w:val="675"/>
              <w:jc w:val="center"/>
              <w:rPr>
                <w:sz w:val="21"/>
                <w:szCs w:val="21"/>
              </w:rPr>
            </w:pPr>
            <w:r>
              <w:rPr>
                <w:rFonts w:ascii="Times New Roman" w:hAnsi="Times New Roman" w:eastAsia="Times New Roman" w:cs="Times New Roman"/>
                <w:sz w:val="21"/>
                <w:szCs w:val="21"/>
              </w:rPr>
              <w:t>31~36</w:t>
            </w:r>
            <w:r>
              <w:rPr>
                <w:sz w:val="21"/>
                <w:szCs w:val="21"/>
              </w:rPr>
              <w:t>（</w:t>
            </w:r>
            <w:r>
              <w:rPr>
                <w:rFonts w:ascii="Times New Roman" w:hAnsi="Times New Roman" w:eastAsia="Times New Roman" w:cs="Times New Roman"/>
                <w:sz w:val="21"/>
                <w:szCs w:val="21"/>
              </w:rPr>
              <w:t>dB</w:t>
            </w:r>
            <w:r>
              <w:rPr>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pct"/>
            <w:vMerge w:val="continue"/>
            <w:vAlign w:val="center"/>
          </w:tcPr>
          <w:p>
            <w:pPr>
              <w:spacing w:line="240" w:lineRule="auto"/>
              <w:ind w:firstLine="0" w:firstLineChars="0"/>
              <w:jc w:val="center"/>
              <w:rPr>
                <w:kern w:val="0"/>
                <w:sz w:val="21"/>
                <w:szCs w:val="22"/>
                <w:highlight w:val="yellow"/>
                <w:lang w:eastAsia="en-US"/>
              </w:rPr>
            </w:pPr>
          </w:p>
        </w:tc>
        <w:tc>
          <w:tcPr>
            <w:tcW w:w="629" w:type="pct"/>
            <w:vMerge w:val="continue"/>
            <w:vAlign w:val="center"/>
          </w:tcPr>
          <w:p>
            <w:pPr>
              <w:spacing w:line="240" w:lineRule="auto"/>
              <w:ind w:firstLine="0" w:firstLineChars="0"/>
              <w:jc w:val="center"/>
              <w:rPr>
                <w:kern w:val="0"/>
                <w:sz w:val="21"/>
                <w:szCs w:val="22"/>
                <w:highlight w:val="yellow"/>
                <w:lang w:eastAsia="en-US"/>
              </w:rPr>
            </w:pPr>
          </w:p>
        </w:tc>
        <w:tc>
          <w:tcPr>
            <w:tcW w:w="787" w:type="pct"/>
            <w:vAlign w:val="center"/>
          </w:tcPr>
          <w:p>
            <w:pPr>
              <w:pStyle w:val="675"/>
              <w:jc w:val="center"/>
              <w:rPr>
                <w:sz w:val="21"/>
                <w:szCs w:val="21"/>
              </w:rPr>
            </w:pPr>
            <w:r>
              <w:rPr>
                <w:sz w:val="21"/>
                <w:szCs w:val="21"/>
              </w:rPr>
              <w:t>塑钢型材</w:t>
            </w:r>
          </w:p>
        </w:tc>
        <w:tc>
          <w:tcPr>
            <w:tcW w:w="831" w:type="pct"/>
            <w:vAlign w:val="center"/>
          </w:tcPr>
          <w:p>
            <w:pPr>
              <w:pStyle w:val="675"/>
              <w:jc w:val="center"/>
              <w:rPr>
                <w:sz w:val="21"/>
                <w:szCs w:val="21"/>
              </w:rPr>
            </w:pPr>
            <w:r>
              <w:rPr>
                <w:rFonts w:ascii="Times New Roman" w:hAnsi="Times New Roman" w:eastAsia="Times New Roman" w:cs="Times New Roman"/>
                <w:sz w:val="21"/>
                <w:szCs w:val="21"/>
              </w:rPr>
              <w:t>30~33</w:t>
            </w:r>
            <w:r>
              <w:rPr>
                <w:sz w:val="21"/>
                <w:szCs w:val="21"/>
              </w:rPr>
              <w:t>（</w:t>
            </w:r>
            <w:r>
              <w:rPr>
                <w:rFonts w:ascii="Times New Roman" w:hAnsi="Times New Roman" w:eastAsia="Times New Roman" w:cs="Times New Roman"/>
                <w:sz w:val="21"/>
                <w:szCs w:val="21"/>
              </w:rPr>
              <w:t>dB</w:t>
            </w:r>
            <w:r>
              <w:rPr>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27~33</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748" w:type="pct"/>
            <w:vAlign w:val="center"/>
          </w:tcPr>
          <w:p>
            <w:pPr>
              <w:pStyle w:val="675"/>
              <w:jc w:val="center"/>
              <w:rPr>
                <w:sz w:val="21"/>
                <w:szCs w:val="21"/>
              </w:rPr>
            </w:pPr>
            <w:r>
              <w:rPr>
                <w:rFonts w:ascii="Times New Roman" w:hAnsi="Times New Roman" w:eastAsia="Times New Roman" w:cs="Times New Roman"/>
                <w:spacing w:val="-5"/>
                <w:sz w:val="21"/>
                <w:szCs w:val="21"/>
              </w:rPr>
              <w:t>30~33</w:t>
            </w:r>
            <w:r>
              <w:rPr>
                <w:spacing w:val="-5"/>
                <w:sz w:val="21"/>
                <w:szCs w:val="21"/>
              </w:rPr>
              <w:t>（</w:t>
            </w:r>
            <w:r>
              <w:rPr>
                <w:rFonts w:ascii="Times New Roman" w:hAnsi="Times New Roman" w:eastAsia="Times New Roman" w:cs="Times New Roman"/>
                <w:spacing w:val="-5"/>
                <w:sz w:val="21"/>
                <w:szCs w:val="21"/>
              </w:rPr>
              <w:t>dB</w:t>
            </w:r>
            <w:r>
              <w:rPr>
                <w:spacing w:val="-5"/>
                <w:sz w:val="21"/>
                <w:szCs w:val="21"/>
              </w:rPr>
              <w:t>）</w:t>
            </w:r>
          </w:p>
        </w:tc>
        <w:tc>
          <w:tcPr>
            <w:tcW w:w="864" w:type="pct"/>
            <w:vAlign w:val="center"/>
          </w:tcPr>
          <w:p>
            <w:pPr>
              <w:pStyle w:val="675"/>
              <w:jc w:val="center"/>
              <w:rPr>
                <w:sz w:val="21"/>
                <w:szCs w:val="21"/>
              </w:rPr>
            </w:pPr>
            <w:r>
              <w:rPr>
                <w:rFonts w:ascii="Times New Roman" w:hAnsi="Times New Roman" w:eastAsia="Times New Roman" w:cs="Times New Roman"/>
                <w:sz w:val="21"/>
                <w:szCs w:val="21"/>
              </w:rPr>
              <w:t>30~33</w:t>
            </w:r>
            <w:r>
              <w:rPr>
                <w:sz w:val="21"/>
                <w:szCs w:val="21"/>
              </w:rPr>
              <w:t>（</w:t>
            </w:r>
            <w:r>
              <w:rPr>
                <w:rFonts w:ascii="Times New Roman" w:hAnsi="Times New Roman" w:eastAsia="Times New Roman" w:cs="Times New Roman"/>
                <w:sz w:val="21"/>
                <w:szCs w:val="21"/>
              </w:rPr>
              <w:t>dB</w:t>
            </w:r>
            <w:r>
              <w:rPr>
                <w:sz w:val="21"/>
                <w:szCs w:val="21"/>
              </w:rPr>
              <w:t>）</w:t>
            </w:r>
          </w:p>
        </w:tc>
      </w:tr>
    </w:tbl>
    <w:p>
      <w:pPr>
        <w:ind w:firstLine="480"/>
      </w:pPr>
      <w:r>
        <w:t>本项目</w:t>
      </w:r>
      <w:r>
        <w:rPr>
          <w:rFonts w:hint="eastAsia"/>
        </w:rPr>
        <w:t>建议</w:t>
      </w:r>
      <w:r>
        <w:t>采用A型自然通风塑钢型材隔声窗，隔声量按</w:t>
      </w:r>
      <w:r>
        <w:rPr>
          <w:rFonts w:hint="eastAsia"/>
        </w:rPr>
        <w:t>27</w:t>
      </w:r>
      <w:r>
        <w:t>dB（A）。通过采取通风隔声窗措施，可保证各敏感点室外或室内噪声满足相应标准要求。需要说明的是，由于公路建设的特殊性，线路在设计及施工图阶段存在进一步优化调整的可能，项目局部路线位置、路基形式及与敏感点的距离实际建成后与工可阶段相比可能存在变化，因此须根据实际情况委托相关有资质单位进行设计和施工，参照以上措施及采取措施的原则，结合实际情况选取适当的噪声防护措施，保证沿线敏感点室外声环境质量达到相应声环境功能区的要求或满足室内噪声标准的要求，不对居民正常生活、作息、学习带来明显不良影响。</w:t>
      </w:r>
    </w:p>
    <w:p>
      <w:pPr>
        <w:ind w:firstLine="480"/>
        <w:rPr>
          <w:szCs w:val="24"/>
        </w:rPr>
      </w:pPr>
      <w:r>
        <w:t>采用通风隔声窗（塑钢型材隔声窗），降噪效果可达到</w:t>
      </w:r>
      <w:r>
        <w:rPr>
          <w:rFonts w:hint="eastAsia"/>
        </w:rPr>
        <w:t>27</w:t>
      </w:r>
      <w:r>
        <w:t>dB，通风隔声窗平房按每户12m</w:t>
      </w:r>
      <w:r>
        <w:rPr>
          <w:vertAlign w:val="superscript"/>
        </w:rPr>
        <w:t>2</w:t>
      </w:r>
      <w:r>
        <w:t>计算，2层楼房的每户按24m</w:t>
      </w:r>
      <w:r>
        <w:rPr>
          <w:vertAlign w:val="superscript"/>
        </w:rPr>
        <w:t>2</w:t>
      </w:r>
      <w:r>
        <w:t>计算。各敏感点具体采取的降噪措施见表</w:t>
      </w:r>
      <w:r>
        <w:rPr>
          <w:rFonts w:hint="eastAsia"/>
        </w:rPr>
        <w:t>7.2-3</w:t>
      </w:r>
      <w:r>
        <w:t>。本项目建设安装通风隔声窗3308m</w:t>
      </w:r>
      <w:r>
        <w:rPr>
          <w:vertAlign w:val="superscript"/>
        </w:rPr>
        <w:t>2</w:t>
      </w:r>
      <w:r>
        <w:t>，噪声污染防治措施总投</w:t>
      </w:r>
      <w:r>
        <w:rPr>
          <w:szCs w:val="24"/>
        </w:rPr>
        <w:t>资</w:t>
      </w:r>
      <w:r>
        <w:rPr>
          <w:rFonts w:hint="eastAsia"/>
          <w:szCs w:val="24"/>
        </w:rPr>
        <w:t>396.96</w:t>
      </w:r>
      <w:r>
        <w:t>万元。</w:t>
      </w:r>
    </w:p>
    <w:p>
      <w:pPr>
        <w:ind w:firstLine="480"/>
      </w:pPr>
      <w:r>
        <w:t>建设单位应预留远期噪声治理经费预算，加强敏感目标的噪声跟踪监测，根据公路投入营运后期实际超标增加情况，及时增加噪声防护措施，确保评价范围内环境敏感点声环境满足相关标准及规范要求</w:t>
      </w:r>
      <w:r>
        <w:rPr>
          <w:rFonts w:hint="eastAsia"/>
        </w:rPr>
        <w:t>。</w:t>
      </w:r>
    </w:p>
    <w:p>
      <w:pPr>
        <w:ind w:firstLine="480"/>
        <w:rPr>
          <w:highlight w:val="yellow"/>
        </w:rPr>
        <w:sectPr>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 xml:space="preserve">7.2-3 </w:t>
      </w:r>
      <w:r>
        <w:rPr>
          <w:b/>
          <w:sz w:val="21"/>
        </w:rPr>
        <w:t>超标敏感目标噪声污染防治措施一览表</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43"/>
        <w:gridCol w:w="3744"/>
        <w:gridCol w:w="1087"/>
        <w:gridCol w:w="965"/>
        <w:gridCol w:w="965"/>
        <w:gridCol w:w="848"/>
        <w:gridCol w:w="642"/>
        <w:gridCol w:w="684"/>
        <w:gridCol w:w="4999"/>
        <w:gridCol w:w="856"/>
        <w:gridCol w:w="852"/>
        <w:gridCol w:w="995"/>
        <w:gridCol w:w="849"/>
        <w:gridCol w:w="1277"/>
        <w:gridCol w:w="19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序号</w:t>
            </w:r>
          </w:p>
        </w:tc>
        <w:tc>
          <w:tcPr>
            <w:tcW w:w="89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敏感点名称桩号</w:t>
            </w:r>
          </w:p>
        </w:tc>
        <w:tc>
          <w:tcPr>
            <w:tcW w:w="259"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距路中心</w:t>
            </w:r>
            <w:r>
              <w:rPr>
                <w:rFonts w:ascii="Times New Roman" w:hAnsi="Times New Roman" w:cs="Times New Roman"/>
                <w:bCs/>
                <w:spacing w:val="-10"/>
                <w:sz w:val="21"/>
                <w:szCs w:val="21"/>
              </w:rPr>
              <w:t>距离（</w:t>
            </w:r>
            <w:r>
              <w:rPr>
                <w:rFonts w:ascii="Times New Roman" w:hAnsi="Times New Roman" w:eastAsia="Times New Roman" w:cs="Times New Roman"/>
                <w:bCs/>
                <w:spacing w:val="-10"/>
                <w:sz w:val="21"/>
                <w:szCs w:val="21"/>
              </w:rPr>
              <w:t>m</w:t>
            </w:r>
            <w:r>
              <w:rPr>
                <w:rFonts w:ascii="Times New Roman" w:hAnsi="Times New Roman" w:cs="Times New Roman"/>
                <w:bCs/>
                <w:spacing w:val="-10"/>
                <w:sz w:val="21"/>
                <w:szCs w:val="21"/>
              </w:rPr>
              <w:t>）</w:t>
            </w:r>
          </w:p>
        </w:tc>
        <w:tc>
          <w:tcPr>
            <w:tcW w:w="230"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距红线</w:t>
            </w:r>
          </w:p>
          <w:p>
            <w:pPr>
              <w:pStyle w:val="675"/>
              <w:jc w:val="center"/>
              <w:rPr>
                <w:rFonts w:ascii="Times New Roman" w:hAnsi="Times New Roman" w:cs="Times New Roman"/>
                <w:sz w:val="21"/>
                <w:szCs w:val="21"/>
              </w:rPr>
            </w:pPr>
            <w:r>
              <w:rPr>
                <w:rFonts w:ascii="Times New Roman" w:hAnsi="Times New Roman" w:cs="Times New Roman"/>
                <w:bCs/>
                <w:sz w:val="21"/>
                <w:szCs w:val="21"/>
              </w:rPr>
              <w:t>（</w:t>
            </w:r>
            <w:r>
              <w:rPr>
                <w:rFonts w:ascii="Times New Roman" w:hAnsi="Times New Roman" w:eastAsia="Times New Roman" w:cs="Times New Roman"/>
                <w:bCs/>
                <w:sz w:val="21"/>
                <w:szCs w:val="21"/>
              </w:rPr>
              <w:t>m</w:t>
            </w:r>
            <w:r>
              <w:rPr>
                <w:rFonts w:ascii="Times New Roman" w:hAnsi="Times New Roman" w:cs="Times New Roman"/>
                <w:bCs/>
                <w:sz w:val="21"/>
                <w:szCs w:val="21"/>
              </w:rPr>
              <w:t>）</w:t>
            </w:r>
          </w:p>
        </w:tc>
        <w:tc>
          <w:tcPr>
            <w:tcW w:w="230"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路面高差（</w:t>
            </w:r>
            <w:r>
              <w:rPr>
                <w:rFonts w:ascii="Times New Roman" w:hAnsi="Times New Roman" w:eastAsia="Times New Roman" w:cs="Times New Roman"/>
                <w:bCs/>
                <w:sz w:val="21"/>
                <w:szCs w:val="21"/>
              </w:rPr>
              <w:t>m</w:t>
            </w:r>
            <w:r>
              <w:rPr>
                <w:rFonts w:ascii="Times New Roman" w:hAnsi="Times New Roman" w:cs="Times New Roman"/>
                <w:bCs/>
                <w:sz w:val="21"/>
                <w:szCs w:val="21"/>
              </w:rPr>
              <w:t>）</w:t>
            </w:r>
          </w:p>
        </w:tc>
        <w:tc>
          <w:tcPr>
            <w:tcW w:w="20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噪声执行标准</w:t>
            </w:r>
          </w:p>
        </w:tc>
        <w:tc>
          <w:tcPr>
            <w:tcW w:w="316" w:type="pct"/>
            <w:gridSpan w:val="2"/>
            <w:vMerge w:val="restart"/>
            <w:vAlign w:val="center"/>
          </w:tcPr>
          <w:p>
            <w:pPr>
              <w:pStyle w:val="675"/>
              <w:jc w:val="center"/>
              <w:rPr>
                <w:rFonts w:ascii="Times New Roman" w:hAnsi="Times New Roman" w:cs="Times New Roman"/>
                <w:sz w:val="21"/>
                <w:szCs w:val="21"/>
              </w:rPr>
            </w:pPr>
            <w:r>
              <w:rPr>
                <w:rFonts w:hint="eastAsia" w:ascii="Times New Roman" w:hAnsi="Times New Roman" w:cs="Times New Roman"/>
                <w:bCs/>
                <w:sz w:val="21"/>
                <w:szCs w:val="21"/>
                <w:lang w:eastAsia="zh-CN"/>
              </w:rPr>
              <w:t>中期</w:t>
            </w:r>
            <w:r>
              <w:rPr>
                <w:rFonts w:ascii="Times New Roman" w:hAnsi="Times New Roman" w:cs="Times New Roman"/>
                <w:bCs/>
                <w:sz w:val="21"/>
                <w:szCs w:val="21"/>
              </w:rPr>
              <w:t>超标户数</w:t>
            </w:r>
          </w:p>
        </w:tc>
        <w:tc>
          <w:tcPr>
            <w:tcW w:w="1191"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拟采取的降噪措施</w:t>
            </w:r>
          </w:p>
        </w:tc>
        <w:tc>
          <w:tcPr>
            <w:tcW w:w="846" w:type="pct"/>
            <w:gridSpan w:val="4"/>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 w:val="21"/>
                <w:szCs w:val="21"/>
                <w:lang w:eastAsia="zh-CN"/>
              </w:rPr>
              <w:t>采取降噪措施前后敏感点</w:t>
            </w:r>
            <w:r>
              <w:rPr>
                <w:rFonts w:hint="eastAsia" w:ascii="Times New Roman" w:hAnsi="Times New Roman" w:cs="Times New Roman"/>
                <w:bCs/>
                <w:sz w:val="21"/>
                <w:szCs w:val="21"/>
                <w:lang w:eastAsia="zh-CN"/>
              </w:rPr>
              <w:t>中期</w:t>
            </w:r>
            <w:r>
              <w:rPr>
                <w:rFonts w:ascii="Times New Roman" w:hAnsi="Times New Roman" w:cs="Times New Roman"/>
                <w:bCs/>
                <w:sz w:val="21"/>
                <w:szCs w:val="21"/>
                <w:lang w:eastAsia="zh-CN"/>
              </w:rPr>
              <w:t>预测值（</w:t>
            </w:r>
            <w:r>
              <w:rPr>
                <w:rFonts w:ascii="Times New Roman" w:hAnsi="Times New Roman" w:eastAsia="Times New Roman" w:cs="Times New Roman"/>
                <w:bCs/>
                <w:sz w:val="21"/>
                <w:szCs w:val="21"/>
                <w:lang w:eastAsia="zh-CN"/>
              </w:rPr>
              <w:t>dB</w:t>
            </w:r>
            <w:r>
              <w:rPr>
                <w:rFonts w:ascii="Times New Roman" w:hAnsi="Times New Roman" w:cs="Times New Roman"/>
                <w:bCs/>
                <w:sz w:val="21"/>
                <w:szCs w:val="21"/>
                <w:lang w:eastAsia="zh-CN"/>
              </w:rPr>
              <w:t>）</w:t>
            </w:r>
          </w:p>
        </w:tc>
        <w:tc>
          <w:tcPr>
            <w:tcW w:w="304"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措施投资额</w:t>
            </w:r>
          </w:p>
          <w:p>
            <w:pPr>
              <w:pStyle w:val="675"/>
              <w:jc w:val="center"/>
              <w:rPr>
                <w:rFonts w:ascii="Times New Roman" w:hAnsi="Times New Roman" w:cs="Times New Roman"/>
                <w:sz w:val="21"/>
                <w:szCs w:val="21"/>
              </w:rPr>
            </w:pPr>
            <w:r>
              <w:rPr>
                <w:rFonts w:ascii="Times New Roman" w:hAnsi="Times New Roman" w:cs="Times New Roman"/>
                <w:bCs/>
                <w:sz w:val="21"/>
                <w:szCs w:val="21"/>
              </w:rPr>
              <w:t>（万元）</w:t>
            </w:r>
          </w:p>
        </w:tc>
        <w:tc>
          <w:tcPr>
            <w:tcW w:w="472"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采取措施后效果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spacing w:line="240" w:lineRule="auto"/>
              <w:ind w:firstLine="0" w:firstLineChars="0"/>
              <w:jc w:val="center"/>
              <w:rPr>
                <w:kern w:val="0"/>
                <w:sz w:val="21"/>
                <w:lang w:eastAsia="en-US"/>
              </w:rPr>
            </w:pPr>
          </w:p>
        </w:tc>
        <w:tc>
          <w:tcPr>
            <w:tcW w:w="892" w:type="pct"/>
            <w:vMerge w:val="continue"/>
            <w:vAlign w:val="center"/>
          </w:tcPr>
          <w:p>
            <w:pPr>
              <w:spacing w:line="240" w:lineRule="auto"/>
              <w:ind w:firstLine="0" w:firstLineChars="0"/>
              <w:jc w:val="center"/>
              <w:rPr>
                <w:kern w:val="0"/>
                <w:sz w:val="21"/>
                <w:lang w:eastAsia="en-US"/>
              </w:rPr>
            </w:pPr>
          </w:p>
        </w:tc>
        <w:tc>
          <w:tcPr>
            <w:tcW w:w="259" w:type="pct"/>
            <w:vMerge w:val="continue"/>
            <w:vAlign w:val="center"/>
          </w:tcPr>
          <w:p>
            <w:pPr>
              <w:spacing w:line="240" w:lineRule="auto"/>
              <w:ind w:firstLine="0" w:firstLineChars="0"/>
              <w:jc w:val="center"/>
              <w:rPr>
                <w:kern w:val="0"/>
                <w:sz w:val="21"/>
                <w:lang w:eastAsia="en-US"/>
              </w:rPr>
            </w:pPr>
          </w:p>
        </w:tc>
        <w:tc>
          <w:tcPr>
            <w:tcW w:w="230" w:type="pct"/>
            <w:vMerge w:val="continue"/>
            <w:vAlign w:val="center"/>
          </w:tcPr>
          <w:p>
            <w:pPr>
              <w:spacing w:line="240" w:lineRule="auto"/>
              <w:ind w:firstLine="0" w:firstLineChars="0"/>
              <w:jc w:val="center"/>
              <w:rPr>
                <w:kern w:val="0"/>
                <w:sz w:val="21"/>
                <w:lang w:eastAsia="en-US"/>
              </w:rPr>
            </w:pPr>
          </w:p>
        </w:tc>
        <w:tc>
          <w:tcPr>
            <w:tcW w:w="230" w:type="pct"/>
            <w:vMerge w:val="continue"/>
            <w:vAlign w:val="center"/>
          </w:tcPr>
          <w:p>
            <w:pPr>
              <w:spacing w:line="240" w:lineRule="auto"/>
              <w:ind w:firstLine="0" w:firstLineChars="0"/>
              <w:jc w:val="center"/>
              <w:rPr>
                <w:kern w:val="0"/>
                <w:sz w:val="21"/>
                <w:lang w:eastAsia="en-US"/>
              </w:rPr>
            </w:pPr>
          </w:p>
        </w:tc>
        <w:tc>
          <w:tcPr>
            <w:tcW w:w="202" w:type="pct"/>
            <w:vMerge w:val="continue"/>
            <w:vAlign w:val="center"/>
          </w:tcPr>
          <w:p>
            <w:pPr>
              <w:spacing w:line="240" w:lineRule="auto"/>
              <w:ind w:firstLine="0" w:firstLineChars="0"/>
              <w:jc w:val="center"/>
              <w:rPr>
                <w:kern w:val="0"/>
                <w:sz w:val="21"/>
                <w:lang w:eastAsia="en-US"/>
              </w:rPr>
            </w:pPr>
          </w:p>
        </w:tc>
        <w:tc>
          <w:tcPr>
            <w:tcW w:w="316" w:type="pct"/>
            <w:gridSpan w:val="2"/>
            <w:vMerge w:val="continue"/>
            <w:vAlign w:val="center"/>
          </w:tcPr>
          <w:p>
            <w:pPr>
              <w:spacing w:line="240" w:lineRule="auto"/>
              <w:ind w:firstLine="0" w:firstLineChars="0"/>
              <w:jc w:val="center"/>
              <w:rPr>
                <w:kern w:val="0"/>
                <w:sz w:val="21"/>
                <w:lang w:eastAsia="en-US"/>
              </w:rPr>
            </w:pPr>
          </w:p>
        </w:tc>
        <w:tc>
          <w:tcPr>
            <w:tcW w:w="1191" w:type="pct"/>
            <w:vMerge w:val="continue"/>
            <w:vAlign w:val="center"/>
          </w:tcPr>
          <w:p>
            <w:pPr>
              <w:spacing w:line="240" w:lineRule="auto"/>
              <w:ind w:firstLine="0" w:firstLineChars="0"/>
              <w:jc w:val="center"/>
              <w:rPr>
                <w:kern w:val="0"/>
                <w:sz w:val="21"/>
                <w:lang w:eastAsia="en-US"/>
              </w:rPr>
            </w:pPr>
          </w:p>
        </w:tc>
        <w:tc>
          <w:tcPr>
            <w:tcW w:w="407" w:type="pct"/>
            <w:gridSpan w:val="2"/>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 w:val="21"/>
                <w:szCs w:val="21"/>
              </w:rPr>
              <w:t>室外</w:t>
            </w:r>
          </w:p>
        </w:tc>
        <w:tc>
          <w:tcPr>
            <w:tcW w:w="439" w:type="pct"/>
            <w:gridSpan w:val="2"/>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 w:val="21"/>
                <w:szCs w:val="21"/>
              </w:rPr>
              <w:t>室内</w:t>
            </w:r>
          </w:p>
        </w:tc>
        <w:tc>
          <w:tcPr>
            <w:tcW w:w="304" w:type="pct"/>
            <w:vMerge w:val="continue"/>
            <w:vAlign w:val="center"/>
          </w:tcPr>
          <w:p>
            <w:pPr>
              <w:spacing w:line="240" w:lineRule="auto"/>
              <w:ind w:firstLine="0" w:firstLineChars="0"/>
              <w:jc w:val="center"/>
              <w:rPr>
                <w:kern w:val="0"/>
                <w:sz w:val="21"/>
                <w:lang w:eastAsia="en-US"/>
              </w:rPr>
            </w:pP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spacing w:line="240" w:lineRule="auto"/>
              <w:ind w:firstLine="0" w:firstLineChars="0"/>
              <w:jc w:val="center"/>
              <w:rPr>
                <w:kern w:val="0"/>
                <w:sz w:val="21"/>
                <w:lang w:eastAsia="en-US"/>
              </w:rPr>
            </w:pPr>
          </w:p>
        </w:tc>
        <w:tc>
          <w:tcPr>
            <w:tcW w:w="892" w:type="pct"/>
            <w:vMerge w:val="continue"/>
            <w:vAlign w:val="center"/>
          </w:tcPr>
          <w:p>
            <w:pPr>
              <w:spacing w:line="240" w:lineRule="auto"/>
              <w:ind w:firstLine="0" w:firstLineChars="0"/>
              <w:jc w:val="center"/>
              <w:rPr>
                <w:kern w:val="0"/>
                <w:sz w:val="21"/>
                <w:lang w:eastAsia="en-US"/>
              </w:rPr>
            </w:pPr>
          </w:p>
        </w:tc>
        <w:tc>
          <w:tcPr>
            <w:tcW w:w="259" w:type="pct"/>
            <w:vMerge w:val="continue"/>
            <w:vAlign w:val="center"/>
          </w:tcPr>
          <w:p>
            <w:pPr>
              <w:spacing w:line="240" w:lineRule="auto"/>
              <w:ind w:firstLine="0" w:firstLineChars="0"/>
              <w:jc w:val="center"/>
              <w:rPr>
                <w:kern w:val="0"/>
                <w:sz w:val="21"/>
                <w:lang w:eastAsia="en-US"/>
              </w:rPr>
            </w:pPr>
          </w:p>
        </w:tc>
        <w:tc>
          <w:tcPr>
            <w:tcW w:w="230" w:type="pct"/>
            <w:vMerge w:val="continue"/>
            <w:vAlign w:val="center"/>
          </w:tcPr>
          <w:p>
            <w:pPr>
              <w:spacing w:line="240" w:lineRule="auto"/>
              <w:ind w:firstLine="0" w:firstLineChars="0"/>
              <w:jc w:val="center"/>
              <w:rPr>
                <w:kern w:val="0"/>
                <w:sz w:val="21"/>
                <w:lang w:eastAsia="en-US"/>
              </w:rPr>
            </w:pPr>
          </w:p>
        </w:tc>
        <w:tc>
          <w:tcPr>
            <w:tcW w:w="230" w:type="pct"/>
            <w:vMerge w:val="continue"/>
            <w:vAlign w:val="center"/>
          </w:tcPr>
          <w:p>
            <w:pPr>
              <w:spacing w:line="240" w:lineRule="auto"/>
              <w:ind w:firstLine="0" w:firstLineChars="0"/>
              <w:jc w:val="center"/>
              <w:rPr>
                <w:kern w:val="0"/>
                <w:sz w:val="21"/>
                <w:lang w:eastAsia="en-US"/>
              </w:rPr>
            </w:pPr>
          </w:p>
        </w:tc>
        <w:tc>
          <w:tcPr>
            <w:tcW w:w="202" w:type="pct"/>
            <w:vMerge w:val="continue"/>
            <w:vAlign w:val="center"/>
          </w:tcPr>
          <w:p>
            <w:pPr>
              <w:spacing w:line="240" w:lineRule="auto"/>
              <w:ind w:firstLine="0" w:firstLineChars="0"/>
              <w:jc w:val="center"/>
              <w:rPr>
                <w:kern w:val="0"/>
                <w:sz w:val="21"/>
                <w:lang w:eastAsia="en-US"/>
              </w:rPr>
            </w:pPr>
          </w:p>
        </w:tc>
        <w:tc>
          <w:tcPr>
            <w:tcW w:w="316" w:type="pct"/>
            <w:gridSpan w:val="2"/>
            <w:vMerge w:val="continue"/>
            <w:vAlign w:val="center"/>
          </w:tcPr>
          <w:p>
            <w:pPr>
              <w:spacing w:line="240" w:lineRule="auto"/>
              <w:ind w:firstLine="0" w:firstLineChars="0"/>
              <w:jc w:val="center"/>
              <w:rPr>
                <w:kern w:val="0"/>
                <w:sz w:val="21"/>
                <w:lang w:eastAsia="en-US"/>
              </w:rPr>
            </w:pPr>
          </w:p>
        </w:tc>
        <w:tc>
          <w:tcPr>
            <w:tcW w:w="1191" w:type="pct"/>
            <w:vMerge w:val="continue"/>
            <w:vAlign w:val="center"/>
          </w:tcPr>
          <w:p>
            <w:pPr>
              <w:spacing w:line="240" w:lineRule="auto"/>
              <w:ind w:firstLine="0" w:firstLineChars="0"/>
              <w:jc w:val="center"/>
              <w:rPr>
                <w:kern w:val="0"/>
                <w:sz w:val="21"/>
                <w:lang w:eastAsia="en-US"/>
              </w:rPr>
            </w:pPr>
          </w:p>
        </w:tc>
        <w:tc>
          <w:tcPr>
            <w:tcW w:w="204"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昼间</w:t>
            </w:r>
          </w:p>
        </w:tc>
        <w:tc>
          <w:tcPr>
            <w:tcW w:w="203"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夜间</w:t>
            </w:r>
          </w:p>
        </w:tc>
        <w:tc>
          <w:tcPr>
            <w:tcW w:w="237"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昼间</w:t>
            </w:r>
          </w:p>
        </w:tc>
        <w:tc>
          <w:tcPr>
            <w:tcW w:w="202"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夜间</w:t>
            </w:r>
          </w:p>
        </w:tc>
        <w:tc>
          <w:tcPr>
            <w:tcW w:w="304" w:type="pct"/>
            <w:vMerge w:val="continue"/>
            <w:vAlign w:val="center"/>
          </w:tcPr>
          <w:p>
            <w:pPr>
              <w:spacing w:line="240" w:lineRule="auto"/>
              <w:ind w:firstLine="0" w:firstLineChars="0"/>
              <w:jc w:val="center"/>
              <w:rPr>
                <w:kern w:val="0"/>
                <w:sz w:val="21"/>
                <w:lang w:eastAsia="en-US"/>
              </w:rPr>
            </w:pP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1</w:t>
            </w:r>
          </w:p>
        </w:tc>
        <w:tc>
          <w:tcPr>
            <w:tcW w:w="892" w:type="pct"/>
            <w:vMerge w:val="restart"/>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北黄土坡村：利旧路段K0+000~K0+900</w:t>
            </w:r>
          </w:p>
        </w:tc>
        <w:tc>
          <w:tcPr>
            <w:tcW w:w="259"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18</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6</w:t>
            </w:r>
          </w:p>
        </w:tc>
        <w:tc>
          <w:tcPr>
            <w:tcW w:w="23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w:t>
            </w:r>
          </w:p>
        </w:tc>
        <w:tc>
          <w:tcPr>
            <w:tcW w:w="202" w:type="pct"/>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4a</w:t>
            </w:r>
          </w:p>
        </w:tc>
        <w:tc>
          <w:tcPr>
            <w:tcW w:w="316" w:type="pct"/>
            <w:gridSpan w:val="2"/>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11</w:t>
            </w:r>
          </w:p>
        </w:tc>
        <w:tc>
          <w:tcPr>
            <w:tcW w:w="1191" w:type="pct"/>
            <w:vMerge w:val="restart"/>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4a</w:t>
            </w:r>
            <w:r>
              <w:rPr>
                <w:rFonts w:ascii="Times New Roman" w:cs="Times New Roman"/>
                <w:sz w:val="21"/>
                <w:szCs w:val="21"/>
                <w:lang w:eastAsia="zh-CN"/>
              </w:rPr>
              <w:t>类区超标</w:t>
            </w:r>
            <w:r>
              <w:rPr>
                <w:rFonts w:ascii="Times New Roman" w:hAnsi="Times New Roman" w:cs="Times New Roman"/>
                <w:sz w:val="21"/>
                <w:szCs w:val="21"/>
                <w:lang w:eastAsia="zh-CN"/>
              </w:rPr>
              <w:t>11</w:t>
            </w:r>
            <w:r>
              <w:rPr>
                <w:rFonts w:ascii="Times New Roman" w:cs="Times New Roman"/>
                <w:sz w:val="21"/>
                <w:szCs w:val="21"/>
                <w:lang w:eastAsia="zh-CN"/>
              </w:rPr>
              <w:t>户，安装通风隔声窗</w:t>
            </w:r>
            <w:r>
              <w:rPr>
                <w:rFonts w:ascii="Times New Roman" w:hAnsi="Times New Roman" w:cs="Times New Roman"/>
                <w:sz w:val="21"/>
                <w:szCs w:val="21"/>
                <w:lang w:eastAsia="zh-CN"/>
              </w:rPr>
              <w:t>132m</w:t>
            </w:r>
            <w:r>
              <w:rPr>
                <w:rFonts w:ascii="Times New Roman" w:hAnsi="Times New Roman" w:cs="Times New Roman"/>
                <w:sz w:val="21"/>
                <w:szCs w:val="21"/>
                <w:vertAlign w:val="superscript"/>
                <w:lang w:eastAsia="zh-CN"/>
              </w:rPr>
              <w:t>2</w:t>
            </w:r>
            <w:r>
              <w:rPr>
                <w:rFonts w:ascii="Times New Roman" w:cs="Times New Roman"/>
                <w:sz w:val="21"/>
                <w:szCs w:val="21"/>
                <w:lang w:eastAsia="zh-CN"/>
              </w:rPr>
              <w:t>，</w:t>
            </w:r>
            <w:r>
              <w:rPr>
                <w:rFonts w:ascii="Times New Roman" w:hAnsi="Times New Roman" w:cs="Times New Roman"/>
                <w:sz w:val="21"/>
                <w:szCs w:val="21"/>
                <w:lang w:eastAsia="zh-CN"/>
              </w:rPr>
              <w:t xml:space="preserve"> 2</w:t>
            </w:r>
            <w:r>
              <w:rPr>
                <w:rFonts w:ascii="Times New Roman" w:cs="Times New Roman"/>
                <w:sz w:val="21"/>
                <w:szCs w:val="21"/>
                <w:lang w:eastAsia="zh-CN"/>
              </w:rPr>
              <w:t>类区超标</w:t>
            </w:r>
            <w:r>
              <w:rPr>
                <w:rFonts w:ascii="Times New Roman" w:hAnsi="Times New Roman" w:cs="Times New Roman"/>
                <w:sz w:val="21"/>
                <w:szCs w:val="21"/>
                <w:lang w:eastAsia="zh-CN"/>
              </w:rPr>
              <w:t>31</w:t>
            </w:r>
            <w:r>
              <w:rPr>
                <w:rFonts w:ascii="Times New Roman" w:cs="Times New Roman"/>
                <w:sz w:val="21"/>
                <w:szCs w:val="21"/>
                <w:lang w:eastAsia="zh-CN"/>
              </w:rPr>
              <w:t>户，安装通风隔声窗</w:t>
            </w:r>
            <w:r>
              <w:rPr>
                <w:rFonts w:ascii="Times New Roman" w:hAnsi="Times New Roman" w:cs="Times New Roman"/>
                <w:sz w:val="21"/>
                <w:szCs w:val="21"/>
                <w:lang w:eastAsia="zh-CN"/>
              </w:rPr>
              <w:t>372m</w:t>
            </w:r>
            <w:r>
              <w:rPr>
                <w:rFonts w:ascii="Times New Roman" w:hAnsi="Times New Roman" w:cs="Times New Roman"/>
                <w:sz w:val="21"/>
                <w:szCs w:val="21"/>
                <w:vertAlign w:val="superscript"/>
                <w:lang w:eastAsia="zh-CN"/>
              </w:rPr>
              <w:t>2</w:t>
            </w:r>
            <w:r>
              <w:rPr>
                <w:rFonts w:ascii="Times New Roman" w:cs="Times New Roman"/>
                <w:sz w:val="21"/>
                <w:szCs w:val="21"/>
                <w:lang w:eastAsia="zh-CN"/>
              </w:rPr>
              <w:t>。建议临路住户改变使用功能，将其改为快餐店、零售店、维修场所等，增加居民收入</w:t>
            </w:r>
          </w:p>
        </w:tc>
        <w:tc>
          <w:tcPr>
            <w:tcW w:w="2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66.16</w:t>
            </w:r>
          </w:p>
        </w:tc>
        <w:tc>
          <w:tcPr>
            <w:tcW w:w="203"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61.34</w:t>
            </w:r>
          </w:p>
        </w:tc>
        <w:tc>
          <w:tcPr>
            <w:tcW w:w="237" w:type="pct"/>
            <w:vAlign w:val="center"/>
          </w:tcPr>
          <w:p>
            <w:pPr>
              <w:spacing w:line="240" w:lineRule="auto"/>
              <w:ind w:firstLine="0" w:firstLineChars="0"/>
              <w:jc w:val="center"/>
              <w:rPr>
                <w:rFonts w:ascii="宋体" w:hAnsi="宋体" w:cs="宋体"/>
                <w:sz w:val="21"/>
              </w:rPr>
            </w:pPr>
            <w:r>
              <w:rPr>
                <w:rFonts w:hint="eastAsia"/>
                <w:sz w:val="21"/>
              </w:rPr>
              <w:t>39.16</w:t>
            </w:r>
          </w:p>
        </w:tc>
        <w:tc>
          <w:tcPr>
            <w:tcW w:w="202" w:type="pct"/>
            <w:vAlign w:val="center"/>
          </w:tcPr>
          <w:p>
            <w:pPr>
              <w:spacing w:line="240" w:lineRule="auto"/>
              <w:ind w:firstLine="0" w:firstLineChars="0"/>
              <w:jc w:val="center"/>
              <w:rPr>
                <w:rFonts w:ascii="宋体" w:hAnsi="宋体" w:cs="宋体"/>
                <w:sz w:val="21"/>
              </w:rPr>
            </w:pPr>
            <w:r>
              <w:rPr>
                <w:rFonts w:hint="eastAsia"/>
                <w:sz w:val="21"/>
              </w:rPr>
              <w:t>34.34</w:t>
            </w:r>
          </w:p>
        </w:tc>
        <w:tc>
          <w:tcPr>
            <w:tcW w:w="304"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60.48</w:t>
            </w:r>
          </w:p>
        </w:tc>
        <w:tc>
          <w:tcPr>
            <w:tcW w:w="472" w:type="pct"/>
            <w:vMerge w:val="restart"/>
            <w:vAlign w:val="center"/>
          </w:tcPr>
          <w:p>
            <w:pPr>
              <w:pStyle w:val="675"/>
              <w:jc w:val="center"/>
              <w:rPr>
                <w:sz w:val="21"/>
                <w:szCs w:val="21"/>
                <w:lang w:eastAsia="zh-CN"/>
              </w:rPr>
            </w:pPr>
            <w:r>
              <w:rPr>
                <w:rFonts w:ascii="Times New Roman" w:hAnsi="Times New Roman" w:cs="Times New Roman"/>
                <w:sz w:val="21"/>
                <w:szCs w:val="21"/>
                <w:lang w:eastAsia="zh-CN"/>
              </w:rPr>
              <w:t>安装通风隔声窗住户室内噪声满足《民用建筑隔声设计规范》（</w:t>
            </w:r>
            <w:r>
              <w:rPr>
                <w:rFonts w:ascii="Times New Roman" w:hAnsi="Times New Roman" w:eastAsia="Times New Roman" w:cs="Times New Roman"/>
                <w:sz w:val="21"/>
                <w:szCs w:val="21"/>
                <w:lang w:eastAsia="zh-CN"/>
              </w:rPr>
              <w:t>GB50118-2010</w:t>
            </w:r>
            <w:r>
              <w:rPr>
                <w:rFonts w:ascii="Times New Roman" w:hAnsi="Times New Roman" w:cs="Times New Roman"/>
                <w:sz w:val="21"/>
                <w:szCs w:val="21"/>
                <w:lang w:eastAsia="zh-CN"/>
              </w:rPr>
              <w:t>）卧室允许噪声级的要求，其它住户室外满足《声环境质量</w:t>
            </w:r>
            <w:r>
              <w:rPr>
                <w:rFonts w:ascii="Times New Roman" w:hAnsi="Times New Roman" w:cs="Times New Roman"/>
                <w:spacing w:val="-7"/>
                <w:sz w:val="21"/>
                <w:szCs w:val="21"/>
                <w:lang w:eastAsia="zh-CN"/>
              </w:rPr>
              <w:t>标准》（</w:t>
            </w:r>
            <w:r>
              <w:rPr>
                <w:rFonts w:ascii="Times New Roman" w:hAnsi="Times New Roman" w:eastAsia="Times New Roman" w:cs="Times New Roman"/>
                <w:spacing w:val="-7"/>
                <w:sz w:val="21"/>
                <w:szCs w:val="21"/>
                <w:lang w:eastAsia="zh-CN"/>
              </w:rPr>
              <w:t>GB3096-2008</w:t>
            </w:r>
            <w:r>
              <w:rPr>
                <w:rFonts w:ascii="Times New Roman" w:hAnsi="Times New Roman" w:cs="Times New Roman"/>
                <w:spacing w:val="-7"/>
                <w:sz w:val="21"/>
                <w:szCs w:val="21"/>
                <w:lang w:eastAsia="zh-CN"/>
              </w:rPr>
              <w:t>）中</w:t>
            </w:r>
            <w:r>
              <w:rPr>
                <w:rFonts w:ascii="Times New Roman" w:hAnsi="Times New Roman" w:cs="Times New Roman"/>
                <w:sz w:val="21"/>
                <w:szCs w:val="21"/>
                <w:lang w:eastAsia="zh-CN"/>
              </w:rPr>
              <w:t>相应标准要求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lang w:eastAsia="zh-CN"/>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Align w:val="center"/>
          </w:tcPr>
          <w:p>
            <w:pPr>
              <w:spacing w:line="240" w:lineRule="auto"/>
              <w:ind w:firstLine="0" w:firstLineChars="0"/>
              <w:jc w:val="center"/>
              <w:rPr>
                <w:sz w:val="21"/>
              </w:rPr>
            </w:pPr>
            <w:r>
              <w:rPr>
                <w:sz w:val="21"/>
              </w:rPr>
              <w:t>50</w:t>
            </w:r>
          </w:p>
        </w:tc>
        <w:tc>
          <w:tcPr>
            <w:tcW w:w="230" w:type="pct"/>
            <w:vAlign w:val="center"/>
          </w:tcPr>
          <w:p>
            <w:pPr>
              <w:spacing w:line="240" w:lineRule="auto"/>
              <w:ind w:firstLine="0" w:firstLineChars="0"/>
              <w:jc w:val="center"/>
              <w:rPr>
                <w:sz w:val="21"/>
              </w:rPr>
            </w:pPr>
            <w:r>
              <w:rPr>
                <w:sz w:val="21"/>
              </w:rPr>
              <w:t>36</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w:t>
            </w:r>
          </w:p>
        </w:tc>
        <w:tc>
          <w:tcPr>
            <w:tcW w:w="316"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31</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57.11</w:t>
            </w:r>
          </w:p>
        </w:tc>
        <w:tc>
          <w:tcPr>
            <w:tcW w:w="203"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51.43</w:t>
            </w:r>
          </w:p>
        </w:tc>
        <w:tc>
          <w:tcPr>
            <w:tcW w:w="237" w:type="pct"/>
            <w:vAlign w:val="center"/>
          </w:tcPr>
          <w:p>
            <w:pPr>
              <w:spacing w:line="240" w:lineRule="auto"/>
              <w:ind w:firstLine="0" w:firstLineChars="0"/>
              <w:jc w:val="center"/>
              <w:rPr>
                <w:rFonts w:ascii="宋体" w:hAnsi="宋体" w:cs="宋体"/>
                <w:sz w:val="21"/>
              </w:rPr>
            </w:pPr>
            <w:r>
              <w:rPr>
                <w:rFonts w:hint="eastAsia"/>
                <w:sz w:val="21"/>
              </w:rPr>
              <w:t>30.11</w:t>
            </w:r>
          </w:p>
        </w:tc>
        <w:tc>
          <w:tcPr>
            <w:tcW w:w="202" w:type="pct"/>
            <w:vAlign w:val="center"/>
          </w:tcPr>
          <w:p>
            <w:pPr>
              <w:spacing w:line="240" w:lineRule="auto"/>
              <w:ind w:firstLine="0" w:firstLineChars="0"/>
              <w:jc w:val="center"/>
              <w:rPr>
                <w:rFonts w:ascii="宋体" w:hAnsi="宋体" w:cs="宋体"/>
                <w:sz w:val="21"/>
              </w:rPr>
            </w:pPr>
            <w:r>
              <w:rPr>
                <w:rFonts w:hint="eastAsia"/>
                <w:sz w:val="21"/>
              </w:rPr>
              <w:t>24.43</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2</w:t>
            </w:r>
          </w:p>
        </w:tc>
        <w:tc>
          <w:tcPr>
            <w:tcW w:w="892"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龙凤书香苑小区：利旧路段K1+450~K1+650</w:t>
            </w:r>
          </w:p>
        </w:tc>
        <w:tc>
          <w:tcPr>
            <w:tcW w:w="259"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49</w:t>
            </w:r>
          </w:p>
        </w:tc>
        <w:tc>
          <w:tcPr>
            <w:tcW w:w="230"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lang w:eastAsia="zh-CN"/>
              </w:rPr>
              <w:t>35</w:t>
            </w:r>
          </w:p>
        </w:tc>
        <w:tc>
          <w:tcPr>
            <w:tcW w:w="230" w:type="pct"/>
            <w:vMerge w:val="restart"/>
            <w:vAlign w:val="center"/>
          </w:tcPr>
          <w:p>
            <w:pPr>
              <w:pStyle w:val="675"/>
              <w:jc w:val="center"/>
              <w:rPr>
                <w:rFonts w:ascii="Times New Roman" w:hAnsi="Times New Roman" w:cs="Times New Roman"/>
                <w:sz w:val="21"/>
                <w:szCs w:val="21"/>
              </w:rPr>
            </w:pPr>
            <w:r>
              <w:rPr>
                <w:rFonts w:ascii="Times New Roman" w:hAnsi="Times New Roman" w:cs="Times New Roman"/>
                <w:kern w:val="2"/>
                <w:sz w:val="21"/>
                <w:szCs w:val="21"/>
                <w:lang w:eastAsia="zh-CN"/>
              </w:rPr>
              <w:t>0</w:t>
            </w:r>
          </w:p>
        </w:tc>
        <w:tc>
          <w:tcPr>
            <w:tcW w:w="202"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4a</w:t>
            </w:r>
          </w:p>
        </w:tc>
        <w:tc>
          <w:tcPr>
            <w:tcW w:w="153"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78</w:t>
            </w: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层</w:t>
            </w:r>
          </w:p>
        </w:tc>
        <w:tc>
          <w:tcPr>
            <w:tcW w:w="1191" w:type="pct"/>
            <w:vMerge w:val="restart"/>
            <w:vAlign w:val="center"/>
          </w:tcPr>
          <w:p>
            <w:pPr>
              <w:spacing w:line="240" w:lineRule="auto"/>
              <w:ind w:firstLine="0" w:firstLineChars="0"/>
              <w:jc w:val="center"/>
              <w:rPr>
                <w:kern w:val="0"/>
                <w:sz w:val="21"/>
              </w:rPr>
            </w:pPr>
            <w:r>
              <w:rPr>
                <w:sz w:val="21"/>
              </w:rPr>
              <w:t>龙凤书香苑小区</w:t>
            </w:r>
            <w:r>
              <w:rPr>
                <w:rFonts w:hint="eastAsia"/>
                <w:sz w:val="21"/>
              </w:rPr>
              <w:t>3-15层，4a类区超标78户，</w:t>
            </w:r>
            <w:r>
              <w:rPr>
                <w:rFonts w:hint="eastAsia"/>
                <w:color w:val="FF0000"/>
                <w:sz w:val="21"/>
              </w:rPr>
              <w:t>目前该小区均已安装隔声窗；</w:t>
            </w:r>
          </w:p>
        </w:tc>
        <w:tc>
          <w:tcPr>
            <w:tcW w:w="204" w:type="pct"/>
            <w:vAlign w:val="center"/>
          </w:tcPr>
          <w:p>
            <w:pPr>
              <w:widowControl/>
              <w:spacing w:line="240" w:lineRule="auto"/>
              <w:ind w:firstLine="0" w:firstLineChars="0"/>
              <w:jc w:val="center"/>
              <w:textAlignment w:val="center"/>
              <w:rPr>
                <w:sz w:val="21"/>
              </w:rPr>
            </w:pPr>
            <w:r>
              <w:rPr>
                <w:kern w:val="0"/>
                <w:sz w:val="21"/>
              </w:rPr>
              <w:t>60.73</w:t>
            </w:r>
          </w:p>
        </w:tc>
        <w:tc>
          <w:tcPr>
            <w:tcW w:w="203" w:type="pct"/>
            <w:vAlign w:val="center"/>
          </w:tcPr>
          <w:p>
            <w:pPr>
              <w:widowControl/>
              <w:spacing w:line="240" w:lineRule="auto"/>
              <w:ind w:firstLine="0" w:firstLineChars="0"/>
              <w:jc w:val="center"/>
              <w:textAlignment w:val="center"/>
              <w:rPr>
                <w:sz w:val="21"/>
              </w:rPr>
            </w:pPr>
            <w:r>
              <w:rPr>
                <w:kern w:val="0"/>
                <w:sz w:val="21"/>
              </w:rPr>
              <w:t>55.62</w:t>
            </w:r>
          </w:p>
        </w:tc>
        <w:tc>
          <w:tcPr>
            <w:tcW w:w="237" w:type="pct"/>
            <w:vAlign w:val="center"/>
          </w:tcPr>
          <w:p>
            <w:pPr>
              <w:spacing w:line="240" w:lineRule="auto"/>
              <w:ind w:firstLine="0" w:firstLineChars="0"/>
              <w:jc w:val="center"/>
              <w:rPr>
                <w:rFonts w:ascii="宋体" w:hAnsi="宋体" w:cs="宋体"/>
                <w:sz w:val="21"/>
              </w:rPr>
            </w:pPr>
            <w:r>
              <w:rPr>
                <w:rFonts w:hint="eastAsia"/>
                <w:sz w:val="21"/>
              </w:rPr>
              <w:t>33.73</w:t>
            </w:r>
          </w:p>
        </w:tc>
        <w:tc>
          <w:tcPr>
            <w:tcW w:w="202" w:type="pct"/>
            <w:vAlign w:val="center"/>
          </w:tcPr>
          <w:p>
            <w:pPr>
              <w:spacing w:line="240" w:lineRule="auto"/>
              <w:ind w:firstLine="0" w:firstLineChars="0"/>
              <w:jc w:val="center"/>
              <w:rPr>
                <w:rFonts w:ascii="宋体" w:hAnsi="宋体" w:cs="宋体"/>
                <w:sz w:val="21"/>
              </w:rPr>
            </w:pPr>
            <w:r>
              <w:rPr>
                <w:rFonts w:hint="eastAsia"/>
                <w:sz w:val="21"/>
              </w:rPr>
              <w:t>28.62</w:t>
            </w:r>
          </w:p>
        </w:tc>
        <w:tc>
          <w:tcPr>
            <w:tcW w:w="304"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224.64</w:t>
            </w: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1191" w:type="pct"/>
            <w:vMerge w:val="continue"/>
            <w:vAlign w:val="center"/>
          </w:tcPr>
          <w:p>
            <w:pPr>
              <w:spacing w:line="240" w:lineRule="auto"/>
              <w:ind w:firstLine="0" w:firstLineChars="0"/>
              <w:jc w:val="center"/>
              <w:rPr>
                <w:sz w:val="21"/>
              </w:rPr>
            </w:pPr>
          </w:p>
        </w:tc>
        <w:tc>
          <w:tcPr>
            <w:tcW w:w="204" w:type="pct"/>
            <w:vAlign w:val="center"/>
          </w:tcPr>
          <w:p>
            <w:pPr>
              <w:widowControl/>
              <w:spacing w:line="240" w:lineRule="auto"/>
              <w:ind w:firstLine="0" w:firstLineChars="0"/>
              <w:jc w:val="center"/>
              <w:textAlignment w:val="center"/>
              <w:rPr>
                <w:sz w:val="21"/>
              </w:rPr>
            </w:pPr>
            <w:r>
              <w:rPr>
                <w:kern w:val="0"/>
                <w:sz w:val="21"/>
              </w:rPr>
              <w:t>60.73</w:t>
            </w:r>
          </w:p>
        </w:tc>
        <w:tc>
          <w:tcPr>
            <w:tcW w:w="203" w:type="pct"/>
            <w:vAlign w:val="center"/>
          </w:tcPr>
          <w:p>
            <w:pPr>
              <w:widowControl/>
              <w:spacing w:line="240" w:lineRule="auto"/>
              <w:ind w:firstLine="0" w:firstLineChars="0"/>
              <w:jc w:val="center"/>
              <w:textAlignment w:val="center"/>
              <w:rPr>
                <w:sz w:val="21"/>
              </w:rPr>
            </w:pPr>
            <w:r>
              <w:rPr>
                <w:kern w:val="0"/>
                <w:sz w:val="21"/>
              </w:rPr>
              <w:t>55.62</w:t>
            </w:r>
          </w:p>
        </w:tc>
        <w:tc>
          <w:tcPr>
            <w:tcW w:w="237" w:type="pct"/>
            <w:vAlign w:val="center"/>
          </w:tcPr>
          <w:p>
            <w:pPr>
              <w:spacing w:line="240" w:lineRule="auto"/>
              <w:ind w:firstLine="0" w:firstLineChars="0"/>
              <w:jc w:val="center"/>
              <w:rPr>
                <w:rFonts w:ascii="宋体" w:hAnsi="宋体" w:cs="宋体"/>
                <w:sz w:val="21"/>
              </w:rPr>
            </w:pPr>
            <w:r>
              <w:rPr>
                <w:rFonts w:hint="eastAsia"/>
                <w:sz w:val="21"/>
              </w:rPr>
              <w:t>33.73</w:t>
            </w:r>
          </w:p>
        </w:tc>
        <w:tc>
          <w:tcPr>
            <w:tcW w:w="202" w:type="pct"/>
            <w:vAlign w:val="center"/>
          </w:tcPr>
          <w:p>
            <w:pPr>
              <w:spacing w:line="240" w:lineRule="auto"/>
              <w:ind w:firstLine="0" w:firstLineChars="0"/>
              <w:jc w:val="center"/>
              <w:rPr>
                <w:rFonts w:ascii="宋体" w:hAnsi="宋体" w:cs="宋体"/>
                <w:sz w:val="21"/>
              </w:rPr>
            </w:pPr>
            <w:r>
              <w:rPr>
                <w:rFonts w:hint="eastAsia"/>
                <w:sz w:val="21"/>
              </w:rPr>
              <w:t>28.62</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7层</w:t>
            </w:r>
          </w:p>
        </w:tc>
        <w:tc>
          <w:tcPr>
            <w:tcW w:w="1191" w:type="pct"/>
            <w:vMerge w:val="continue"/>
            <w:vAlign w:val="center"/>
          </w:tcPr>
          <w:p>
            <w:pPr>
              <w:spacing w:line="240" w:lineRule="auto"/>
              <w:ind w:firstLine="0" w:firstLineChars="0"/>
              <w:jc w:val="center"/>
              <w:rPr>
                <w:sz w:val="21"/>
              </w:rPr>
            </w:pPr>
          </w:p>
        </w:tc>
        <w:tc>
          <w:tcPr>
            <w:tcW w:w="204" w:type="pct"/>
            <w:vAlign w:val="center"/>
          </w:tcPr>
          <w:p>
            <w:pPr>
              <w:widowControl/>
              <w:spacing w:line="240" w:lineRule="auto"/>
              <w:ind w:firstLine="0" w:firstLineChars="0"/>
              <w:jc w:val="center"/>
              <w:textAlignment w:val="center"/>
              <w:rPr>
                <w:sz w:val="21"/>
              </w:rPr>
            </w:pPr>
            <w:r>
              <w:rPr>
                <w:kern w:val="0"/>
                <w:sz w:val="21"/>
              </w:rPr>
              <w:t>61.17</w:t>
            </w:r>
          </w:p>
        </w:tc>
        <w:tc>
          <w:tcPr>
            <w:tcW w:w="203" w:type="pct"/>
            <w:vAlign w:val="center"/>
          </w:tcPr>
          <w:p>
            <w:pPr>
              <w:widowControl/>
              <w:spacing w:line="240" w:lineRule="auto"/>
              <w:ind w:firstLine="0" w:firstLineChars="0"/>
              <w:jc w:val="center"/>
              <w:textAlignment w:val="center"/>
              <w:rPr>
                <w:sz w:val="21"/>
              </w:rPr>
            </w:pPr>
            <w:r>
              <w:rPr>
                <w:kern w:val="0"/>
                <w:sz w:val="21"/>
              </w:rPr>
              <w:t>56.11</w:t>
            </w:r>
          </w:p>
        </w:tc>
        <w:tc>
          <w:tcPr>
            <w:tcW w:w="237" w:type="pct"/>
            <w:vAlign w:val="center"/>
          </w:tcPr>
          <w:p>
            <w:pPr>
              <w:spacing w:line="240" w:lineRule="auto"/>
              <w:ind w:firstLine="0" w:firstLineChars="0"/>
              <w:jc w:val="center"/>
              <w:rPr>
                <w:rFonts w:ascii="宋体" w:hAnsi="宋体" w:cs="宋体"/>
                <w:sz w:val="21"/>
              </w:rPr>
            </w:pPr>
            <w:r>
              <w:rPr>
                <w:rFonts w:hint="eastAsia"/>
                <w:sz w:val="21"/>
              </w:rPr>
              <w:t>34.17</w:t>
            </w:r>
          </w:p>
        </w:tc>
        <w:tc>
          <w:tcPr>
            <w:tcW w:w="202" w:type="pct"/>
            <w:vAlign w:val="center"/>
          </w:tcPr>
          <w:p>
            <w:pPr>
              <w:spacing w:line="240" w:lineRule="auto"/>
              <w:ind w:firstLine="0" w:firstLineChars="0"/>
              <w:jc w:val="center"/>
              <w:rPr>
                <w:rFonts w:ascii="宋体" w:hAnsi="宋体" w:cs="宋体"/>
                <w:sz w:val="21"/>
              </w:rPr>
            </w:pPr>
            <w:r>
              <w:rPr>
                <w:rFonts w:hint="eastAsia"/>
                <w:sz w:val="21"/>
              </w:rPr>
              <w:t>29.11</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11层</w:t>
            </w:r>
          </w:p>
        </w:tc>
        <w:tc>
          <w:tcPr>
            <w:tcW w:w="1191" w:type="pct"/>
            <w:vMerge w:val="continue"/>
            <w:vAlign w:val="center"/>
          </w:tcPr>
          <w:p>
            <w:pPr>
              <w:spacing w:line="240" w:lineRule="auto"/>
              <w:ind w:firstLine="0" w:firstLineChars="0"/>
              <w:jc w:val="center"/>
              <w:rPr>
                <w:sz w:val="21"/>
              </w:rPr>
            </w:pPr>
          </w:p>
        </w:tc>
        <w:tc>
          <w:tcPr>
            <w:tcW w:w="204" w:type="pct"/>
            <w:vAlign w:val="center"/>
          </w:tcPr>
          <w:p>
            <w:pPr>
              <w:widowControl/>
              <w:spacing w:line="240" w:lineRule="auto"/>
              <w:ind w:firstLine="0" w:firstLineChars="0"/>
              <w:jc w:val="center"/>
              <w:textAlignment w:val="center"/>
              <w:rPr>
                <w:sz w:val="21"/>
              </w:rPr>
            </w:pPr>
            <w:r>
              <w:rPr>
                <w:kern w:val="0"/>
                <w:sz w:val="21"/>
              </w:rPr>
              <w:t>61.51</w:t>
            </w:r>
          </w:p>
        </w:tc>
        <w:tc>
          <w:tcPr>
            <w:tcW w:w="203" w:type="pct"/>
            <w:vAlign w:val="center"/>
          </w:tcPr>
          <w:p>
            <w:pPr>
              <w:widowControl/>
              <w:spacing w:line="240" w:lineRule="auto"/>
              <w:ind w:firstLine="0" w:firstLineChars="0"/>
              <w:jc w:val="center"/>
              <w:textAlignment w:val="center"/>
              <w:rPr>
                <w:sz w:val="21"/>
              </w:rPr>
            </w:pPr>
            <w:r>
              <w:rPr>
                <w:kern w:val="0"/>
                <w:sz w:val="21"/>
              </w:rPr>
              <w:t>56.47</w:t>
            </w:r>
          </w:p>
        </w:tc>
        <w:tc>
          <w:tcPr>
            <w:tcW w:w="237" w:type="pct"/>
            <w:vAlign w:val="center"/>
          </w:tcPr>
          <w:p>
            <w:pPr>
              <w:spacing w:line="240" w:lineRule="auto"/>
              <w:ind w:firstLine="0" w:firstLineChars="0"/>
              <w:jc w:val="center"/>
              <w:rPr>
                <w:rFonts w:ascii="宋体" w:hAnsi="宋体" w:cs="宋体"/>
                <w:sz w:val="21"/>
              </w:rPr>
            </w:pPr>
            <w:r>
              <w:rPr>
                <w:rFonts w:hint="eastAsia"/>
                <w:sz w:val="21"/>
              </w:rPr>
              <w:t>34.51</w:t>
            </w:r>
          </w:p>
        </w:tc>
        <w:tc>
          <w:tcPr>
            <w:tcW w:w="202" w:type="pct"/>
            <w:vAlign w:val="center"/>
          </w:tcPr>
          <w:p>
            <w:pPr>
              <w:spacing w:line="240" w:lineRule="auto"/>
              <w:ind w:firstLine="0" w:firstLineChars="0"/>
              <w:jc w:val="center"/>
              <w:rPr>
                <w:rFonts w:ascii="宋体" w:hAnsi="宋体" w:cs="宋体"/>
                <w:sz w:val="21"/>
              </w:rPr>
            </w:pPr>
            <w:r>
              <w:rPr>
                <w:rFonts w:hint="eastAsia"/>
                <w:sz w:val="21"/>
              </w:rPr>
              <w:t>29.47</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30" w:type="pct"/>
            <w:vMerge w:val="continue"/>
            <w:vAlign w:val="center"/>
          </w:tcPr>
          <w:p>
            <w:pPr>
              <w:spacing w:line="240" w:lineRule="auto"/>
              <w:ind w:firstLine="0" w:firstLineChars="0"/>
              <w:jc w:val="center"/>
              <w:rPr>
                <w:kern w:val="0"/>
                <w:sz w:val="21"/>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15层</w:t>
            </w:r>
          </w:p>
        </w:tc>
        <w:tc>
          <w:tcPr>
            <w:tcW w:w="1191" w:type="pct"/>
            <w:vMerge w:val="continue"/>
            <w:vAlign w:val="center"/>
          </w:tcPr>
          <w:p>
            <w:pPr>
              <w:spacing w:line="240" w:lineRule="auto"/>
              <w:ind w:firstLine="0" w:firstLineChars="0"/>
              <w:jc w:val="center"/>
              <w:rPr>
                <w:sz w:val="21"/>
              </w:rPr>
            </w:pPr>
          </w:p>
        </w:tc>
        <w:tc>
          <w:tcPr>
            <w:tcW w:w="204" w:type="pct"/>
            <w:vAlign w:val="center"/>
          </w:tcPr>
          <w:p>
            <w:pPr>
              <w:widowControl/>
              <w:spacing w:line="240" w:lineRule="auto"/>
              <w:ind w:firstLine="0" w:firstLineChars="0"/>
              <w:jc w:val="center"/>
              <w:textAlignment w:val="center"/>
              <w:rPr>
                <w:sz w:val="21"/>
              </w:rPr>
            </w:pPr>
            <w:r>
              <w:rPr>
                <w:kern w:val="0"/>
                <w:sz w:val="21"/>
              </w:rPr>
              <w:t>61.32</w:t>
            </w:r>
          </w:p>
        </w:tc>
        <w:tc>
          <w:tcPr>
            <w:tcW w:w="203" w:type="pct"/>
            <w:vAlign w:val="center"/>
          </w:tcPr>
          <w:p>
            <w:pPr>
              <w:widowControl/>
              <w:spacing w:line="240" w:lineRule="auto"/>
              <w:ind w:firstLine="0" w:firstLineChars="0"/>
              <w:jc w:val="center"/>
              <w:textAlignment w:val="center"/>
              <w:rPr>
                <w:sz w:val="21"/>
              </w:rPr>
            </w:pPr>
            <w:r>
              <w:rPr>
                <w:kern w:val="0"/>
                <w:sz w:val="21"/>
              </w:rPr>
              <w:t>56.27</w:t>
            </w:r>
          </w:p>
        </w:tc>
        <w:tc>
          <w:tcPr>
            <w:tcW w:w="237" w:type="pct"/>
            <w:vAlign w:val="center"/>
          </w:tcPr>
          <w:p>
            <w:pPr>
              <w:spacing w:line="240" w:lineRule="auto"/>
              <w:ind w:firstLine="0" w:firstLineChars="0"/>
              <w:jc w:val="center"/>
              <w:rPr>
                <w:rFonts w:ascii="宋体" w:hAnsi="宋体" w:cs="宋体"/>
                <w:sz w:val="21"/>
              </w:rPr>
            </w:pPr>
            <w:r>
              <w:rPr>
                <w:rFonts w:hint="eastAsia"/>
                <w:sz w:val="21"/>
              </w:rPr>
              <w:t>34.32</w:t>
            </w:r>
          </w:p>
        </w:tc>
        <w:tc>
          <w:tcPr>
            <w:tcW w:w="202" w:type="pct"/>
            <w:vAlign w:val="center"/>
          </w:tcPr>
          <w:p>
            <w:pPr>
              <w:spacing w:line="240" w:lineRule="auto"/>
              <w:ind w:firstLine="0" w:firstLineChars="0"/>
              <w:jc w:val="center"/>
              <w:rPr>
                <w:rFonts w:ascii="宋体" w:hAnsi="宋体" w:cs="宋体"/>
                <w:sz w:val="21"/>
              </w:rPr>
            </w:pPr>
            <w:r>
              <w:rPr>
                <w:rFonts w:hint="eastAsia"/>
                <w:sz w:val="21"/>
              </w:rPr>
              <w:t>29.27</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93</w:t>
            </w:r>
          </w:p>
        </w:tc>
        <w:tc>
          <w:tcPr>
            <w:tcW w:w="230"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79</w:t>
            </w:r>
          </w:p>
        </w:tc>
        <w:tc>
          <w:tcPr>
            <w:tcW w:w="230" w:type="pct"/>
            <w:vMerge w:val="restar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0</w:t>
            </w:r>
          </w:p>
        </w:tc>
        <w:tc>
          <w:tcPr>
            <w:tcW w:w="202"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w:t>
            </w:r>
          </w:p>
        </w:tc>
        <w:tc>
          <w:tcPr>
            <w:tcW w:w="153"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78</w:t>
            </w: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widowControl/>
              <w:spacing w:line="240" w:lineRule="auto"/>
              <w:ind w:firstLine="0" w:firstLineChars="0"/>
              <w:jc w:val="center"/>
              <w:textAlignment w:val="center"/>
              <w:rPr>
                <w:sz w:val="21"/>
              </w:rPr>
            </w:pPr>
            <w:r>
              <w:rPr>
                <w:kern w:val="0"/>
                <w:sz w:val="21"/>
              </w:rPr>
              <w:t>56.45</w:t>
            </w:r>
          </w:p>
        </w:tc>
        <w:tc>
          <w:tcPr>
            <w:tcW w:w="203" w:type="pct"/>
            <w:vAlign w:val="center"/>
          </w:tcPr>
          <w:p>
            <w:pPr>
              <w:widowControl/>
              <w:spacing w:line="240" w:lineRule="auto"/>
              <w:ind w:firstLine="0" w:firstLineChars="0"/>
              <w:jc w:val="center"/>
              <w:textAlignment w:val="center"/>
              <w:rPr>
                <w:sz w:val="21"/>
              </w:rPr>
            </w:pPr>
            <w:r>
              <w:rPr>
                <w:kern w:val="0"/>
                <w:sz w:val="21"/>
              </w:rPr>
              <w:t>50.58</w:t>
            </w:r>
          </w:p>
        </w:tc>
        <w:tc>
          <w:tcPr>
            <w:tcW w:w="237" w:type="pct"/>
            <w:vAlign w:val="center"/>
          </w:tcPr>
          <w:p>
            <w:pPr>
              <w:spacing w:line="240" w:lineRule="auto"/>
              <w:ind w:firstLine="0" w:firstLineChars="0"/>
              <w:jc w:val="center"/>
              <w:rPr>
                <w:rFonts w:ascii="宋体" w:hAnsi="宋体" w:cs="宋体"/>
                <w:sz w:val="21"/>
              </w:rPr>
            </w:pPr>
            <w:r>
              <w:rPr>
                <w:rFonts w:hint="eastAsia"/>
                <w:sz w:val="21"/>
              </w:rPr>
              <w:t>29.45</w:t>
            </w:r>
          </w:p>
        </w:tc>
        <w:tc>
          <w:tcPr>
            <w:tcW w:w="202" w:type="pct"/>
            <w:vAlign w:val="center"/>
          </w:tcPr>
          <w:p>
            <w:pPr>
              <w:spacing w:line="240" w:lineRule="auto"/>
              <w:ind w:firstLine="0" w:firstLineChars="0"/>
              <w:jc w:val="center"/>
              <w:rPr>
                <w:rFonts w:ascii="宋体" w:hAnsi="宋体" w:cs="宋体"/>
                <w:sz w:val="21"/>
              </w:rPr>
            </w:pPr>
            <w:r>
              <w:rPr>
                <w:rFonts w:hint="eastAsia"/>
                <w:sz w:val="21"/>
              </w:rPr>
              <w:t>23.58</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widowControl/>
              <w:spacing w:line="240" w:lineRule="auto"/>
              <w:ind w:firstLine="0" w:firstLineChars="0"/>
              <w:jc w:val="center"/>
              <w:textAlignment w:val="center"/>
              <w:rPr>
                <w:sz w:val="21"/>
              </w:rPr>
            </w:pPr>
            <w:r>
              <w:rPr>
                <w:kern w:val="0"/>
                <w:sz w:val="21"/>
              </w:rPr>
              <w:t>56.65</w:t>
            </w:r>
          </w:p>
        </w:tc>
        <w:tc>
          <w:tcPr>
            <w:tcW w:w="203" w:type="pct"/>
            <w:vAlign w:val="center"/>
          </w:tcPr>
          <w:p>
            <w:pPr>
              <w:widowControl/>
              <w:spacing w:line="240" w:lineRule="auto"/>
              <w:ind w:firstLine="0" w:firstLineChars="0"/>
              <w:jc w:val="center"/>
              <w:textAlignment w:val="center"/>
              <w:rPr>
                <w:sz w:val="21"/>
              </w:rPr>
            </w:pPr>
            <w:r>
              <w:rPr>
                <w:kern w:val="0"/>
                <w:sz w:val="21"/>
              </w:rPr>
              <w:t>50.84</w:t>
            </w:r>
          </w:p>
        </w:tc>
        <w:tc>
          <w:tcPr>
            <w:tcW w:w="237" w:type="pct"/>
            <w:vAlign w:val="center"/>
          </w:tcPr>
          <w:p>
            <w:pPr>
              <w:spacing w:line="240" w:lineRule="auto"/>
              <w:ind w:firstLine="0" w:firstLineChars="0"/>
              <w:jc w:val="center"/>
              <w:rPr>
                <w:rFonts w:ascii="宋体" w:hAnsi="宋体" w:cs="宋体"/>
                <w:sz w:val="21"/>
              </w:rPr>
            </w:pPr>
            <w:r>
              <w:rPr>
                <w:rFonts w:hint="eastAsia"/>
                <w:sz w:val="21"/>
              </w:rPr>
              <w:t>29.65</w:t>
            </w:r>
          </w:p>
        </w:tc>
        <w:tc>
          <w:tcPr>
            <w:tcW w:w="202" w:type="pct"/>
            <w:vAlign w:val="center"/>
          </w:tcPr>
          <w:p>
            <w:pPr>
              <w:spacing w:line="240" w:lineRule="auto"/>
              <w:ind w:firstLine="0" w:firstLineChars="0"/>
              <w:jc w:val="center"/>
              <w:rPr>
                <w:rFonts w:ascii="宋体" w:hAnsi="宋体" w:cs="宋体"/>
                <w:sz w:val="21"/>
              </w:rPr>
            </w:pPr>
            <w:r>
              <w:rPr>
                <w:rFonts w:hint="eastAsia"/>
                <w:sz w:val="21"/>
              </w:rPr>
              <w:t>23.84</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widowControl/>
              <w:spacing w:line="240" w:lineRule="auto"/>
              <w:ind w:firstLine="0" w:firstLineChars="0"/>
              <w:jc w:val="center"/>
              <w:textAlignment w:val="center"/>
              <w:rPr>
                <w:sz w:val="21"/>
              </w:rPr>
            </w:pPr>
            <w:r>
              <w:rPr>
                <w:kern w:val="0"/>
                <w:sz w:val="21"/>
              </w:rPr>
              <w:t>56.86</w:t>
            </w:r>
          </w:p>
        </w:tc>
        <w:tc>
          <w:tcPr>
            <w:tcW w:w="203" w:type="pct"/>
            <w:vAlign w:val="center"/>
          </w:tcPr>
          <w:p>
            <w:pPr>
              <w:widowControl/>
              <w:spacing w:line="240" w:lineRule="auto"/>
              <w:ind w:firstLine="0" w:firstLineChars="0"/>
              <w:jc w:val="center"/>
              <w:textAlignment w:val="center"/>
              <w:rPr>
                <w:sz w:val="21"/>
              </w:rPr>
            </w:pPr>
            <w:r>
              <w:rPr>
                <w:kern w:val="0"/>
                <w:sz w:val="21"/>
              </w:rPr>
              <w:t>51.11</w:t>
            </w:r>
          </w:p>
        </w:tc>
        <w:tc>
          <w:tcPr>
            <w:tcW w:w="237" w:type="pct"/>
            <w:vAlign w:val="center"/>
          </w:tcPr>
          <w:p>
            <w:pPr>
              <w:spacing w:line="240" w:lineRule="auto"/>
              <w:ind w:firstLine="0" w:firstLineChars="0"/>
              <w:jc w:val="center"/>
              <w:rPr>
                <w:rFonts w:ascii="宋体" w:hAnsi="宋体" w:cs="宋体"/>
                <w:sz w:val="21"/>
              </w:rPr>
            </w:pPr>
            <w:r>
              <w:rPr>
                <w:rFonts w:hint="eastAsia"/>
                <w:sz w:val="21"/>
              </w:rPr>
              <w:t>29.86</w:t>
            </w:r>
          </w:p>
        </w:tc>
        <w:tc>
          <w:tcPr>
            <w:tcW w:w="202" w:type="pct"/>
            <w:vAlign w:val="center"/>
          </w:tcPr>
          <w:p>
            <w:pPr>
              <w:spacing w:line="240" w:lineRule="auto"/>
              <w:ind w:firstLine="0" w:firstLineChars="0"/>
              <w:jc w:val="center"/>
              <w:rPr>
                <w:rFonts w:ascii="宋体" w:hAnsi="宋体" w:cs="宋体"/>
                <w:sz w:val="21"/>
              </w:rPr>
            </w:pPr>
            <w:r>
              <w:rPr>
                <w:rFonts w:hint="eastAsia"/>
                <w:sz w:val="21"/>
              </w:rPr>
              <w:t>24.11</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widowControl/>
              <w:spacing w:line="240" w:lineRule="auto"/>
              <w:ind w:firstLine="0" w:firstLineChars="0"/>
              <w:jc w:val="center"/>
              <w:textAlignment w:val="center"/>
              <w:rPr>
                <w:sz w:val="21"/>
              </w:rPr>
            </w:pPr>
            <w:r>
              <w:rPr>
                <w:kern w:val="0"/>
                <w:sz w:val="21"/>
              </w:rPr>
              <w:t>57.19</w:t>
            </w:r>
          </w:p>
        </w:tc>
        <w:tc>
          <w:tcPr>
            <w:tcW w:w="203" w:type="pct"/>
            <w:vAlign w:val="center"/>
          </w:tcPr>
          <w:p>
            <w:pPr>
              <w:widowControl/>
              <w:spacing w:line="240" w:lineRule="auto"/>
              <w:ind w:firstLine="0" w:firstLineChars="0"/>
              <w:jc w:val="center"/>
              <w:textAlignment w:val="center"/>
              <w:rPr>
                <w:sz w:val="21"/>
              </w:rPr>
            </w:pPr>
            <w:r>
              <w:rPr>
                <w:kern w:val="0"/>
                <w:sz w:val="21"/>
              </w:rPr>
              <w:t>51.53</w:t>
            </w:r>
          </w:p>
        </w:tc>
        <w:tc>
          <w:tcPr>
            <w:tcW w:w="237" w:type="pct"/>
            <w:vAlign w:val="center"/>
          </w:tcPr>
          <w:p>
            <w:pPr>
              <w:spacing w:line="240" w:lineRule="auto"/>
              <w:ind w:firstLine="0" w:firstLineChars="0"/>
              <w:jc w:val="center"/>
              <w:rPr>
                <w:rFonts w:ascii="宋体" w:hAnsi="宋体" w:cs="宋体"/>
                <w:sz w:val="21"/>
              </w:rPr>
            </w:pPr>
            <w:r>
              <w:rPr>
                <w:rFonts w:hint="eastAsia"/>
                <w:sz w:val="21"/>
              </w:rPr>
              <w:t>30.19</w:t>
            </w:r>
          </w:p>
        </w:tc>
        <w:tc>
          <w:tcPr>
            <w:tcW w:w="202" w:type="pct"/>
            <w:vAlign w:val="center"/>
          </w:tcPr>
          <w:p>
            <w:pPr>
              <w:spacing w:line="240" w:lineRule="auto"/>
              <w:ind w:firstLine="0" w:firstLineChars="0"/>
              <w:jc w:val="center"/>
              <w:rPr>
                <w:rFonts w:ascii="宋体" w:hAnsi="宋体" w:cs="宋体"/>
                <w:sz w:val="21"/>
              </w:rPr>
            </w:pPr>
            <w:r>
              <w:rPr>
                <w:rFonts w:hint="eastAsia"/>
                <w:sz w:val="21"/>
              </w:rPr>
              <w:t>24.53</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30" w:type="pct"/>
            <w:vMerge w:val="continue"/>
            <w:vAlign w:val="center"/>
          </w:tcPr>
          <w:p>
            <w:pPr>
              <w:pStyle w:val="675"/>
              <w:jc w:val="center"/>
              <w:rPr>
                <w:rFonts w:ascii="Times New Roman" w:hAnsi="Times New Roman" w:cs="Times New Roman"/>
                <w:sz w:val="21"/>
                <w:szCs w:val="21"/>
                <w:lang w:eastAsia="zh-CN"/>
              </w:rPr>
            </w:pPr>
          </w:p>
        </w:tc>
        <w:tc>
          <w:tcPr>
            <w:tcW w:w="202" w:type="pct"/>
            <w:vMerge w:val="continue"/>
            <w:vAlign w:val="center"/>
          </w:tcPr>
          <w:p>
            <w:pPr>
              <w:pStyle w:val="675"/>
              <w:jc w:val="center"/>
              <w:rPr>
                <w:rFonts w:ascii="Times New Roman" w:hAnsi="Times New Roman" w:cs="Times New Roman"/>
                <w:sz w:val="21"/>
                <w:szCs w:val="21"/>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15层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widowControl/>
              <w:spacing w:line="240" w:lineRule="auto"/>
              <w:ind w:firstLine="0" w:firstLineChars="0"/>
              <w:jc w:val="center"/>
              <w:textAlignment w:val="center"/>
              <w:rPr>
                <w:sz w:val="21"/>
              </w:rPr>
            </w:pPr>
            <w:r>
              <w:rPr>
                <w:kern w:val="0"/>
                <w:sz w:val="21"/>
              </w:rPr>
              <w:t>57.32</w:t>
            </w:r>
          </w:p>
        </w:tc>
        <w:tc>
          <w:tcPr>
            <w:tcW w:w="203" w:type="pct"/>
            <w:vAlign w:val="center"/>
          </w:tcPr>
          <w:p>
            <w:pPr>
              <w:widowControl/>
              <w:spacing w:line="240" w:lineRule="auto"/>
              <w:ind w:firstLine="0" w:firstLineChars="0"/>
              <w:jc w:val="center"/>
              <w:textAlignment w:val="center"/>
              <w:rPr>
                <w:sz w:val="21"/>
              </w:rPr>
            </w:pPr>
            <w:r>
              <w:rPr>
                <w:kern w:val="0"/>
                <w:sz w:val="21"/>
              </w:rPr>
              <w:t>51.69</w:t>
            </w:r>
          </w:p>
        </w:tc>
        <w:tc>
          <w:tcPr>
            <w:tcW w:w="237" w:type="pct"/>
            <w:vAlign w:val="center"/>
          </w:tcPr>
          <w:p>
            <w:pPr>
              <w:spacing w:line="240" w:lineRule="auto"/>
              <w:ind w:firstLine="0" w:firstLineChars="0"/>
              <w:jc w:val="center"/>
              <w:rPr>
                <w:rFonts w:ascii="宋体" w:hAnsi="宋体" w:cs="宋体"/>
                <w:sz w:val="21"/>
              </w:rPr>
            </w:pPr>
            <w:r>
              <w:rPr>
                <w:rFonts w:hint="eastAsia"/>
                <w:sz w:val="21"/>
              </w:rPr>
              <w:t>30.32</w:t>
            </w:r>
          </w:p>
        </w:tc>
        <w:tc>
          <w:tcPr>
            <w:tcW w:w="202" w:type="pct"/>
            <w:vAlign w:val="center"/>
          </w:tcPr>
          <w:p>
            <w:pPr>
              <w:spacing w:line="240" w:lineRule="auto"/>
              <w:ind w:firstLine="0" w:firstLineChars="0"/>
              <w:jc w:val="center"/>
              <w:rPr>
                <w:rFonts w:ascii="宋体" w:hAnsi="宋体" w:cs="宋体"/>
                <w:sz w:val="21"/>
              </w:rPr>
            </w:pPr>
            <w:r>
              <w:rPr>
                <w:rFonts w:hint="eastAsia"/>
                <w:sz w:val="21"/>
              </w:rPr>
              <w:t>24.69</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3</w:t>
            </w:r>
          </w:p>
        </w:tc>
        <w:tc>
          <w:tcPr>
            <w:tcW w:w="892"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智慧城小区</w:t>
            </w:r>
            <w:r>
              <w:rPr>
                <w:rFonts w:ascii="Times New Roman" w:hAnsi="Times New Roman" w:cs="Times New Roman"/>
                <w:sz w:val="21"/>
                <w:szCs w:val="21"/>
                <w:lang w:eastAsia="zh-CN"/>
              </w:rPr>
              <w:t>：利旧路段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K2+900~K3+120</w:t>
            </w:r>
          </w:p>
        </w:tc>
        <w:tc>
          <w:tcPr>
            <w:tcW w:w="259" w:type="pct"/>
            <w:vMerge w:val="restar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49</w:t>
            </w:r>
          </w:p>
        </w:tc>
        <w:tc>
          <w:tcPr>
            <w:tcW w:w="230" w:type="pct"/>
            <w:vMerge w:val="restar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35</w:t>
            </w:r>
          </w:p>
        </w:tc>
        <w:tc>
          <w:tcPr>
            <w:tcW w:w="230" w:type="pct"/>
            <w:vMerge w:val="restar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w:t>
            </w:r>
          </w:p>
        </w:tc>
        <w:tc>
          <w:tcPr>
            <w:tcW w:w="202" w:type="pct"/>
            <w:vMerge w:val="restart"/>
            <w:vAlign w:val="center"/>
          </w:tcPr>
          <w:p>
            <w:pPr>
              <w:pStyle w:val="675"/>
              <w:jc w:val="center"/>
              <w:rPr>
                <w:rFonts w:ascii="Times New Roman" w:hAnsi="Times New Roman" w:eastAsia="Times New Roman" w:cs="Times New Roman"/>
                <w:sz w:val="21"/>
                <w:szCs w:val="21"/>
              </w:rPr>
            </w:pPr>
            <w:r>
              <w:rPr>
                <w:rFonts w:hint="eastAsia" w:ascii="Times New Roman" w:hAnsi="Times New Roman" w:cs="Times New Roman"/>
                <w:sz w:val="21"/>
                <w:szCs w:val="21"/>
                <w:lang w:eastAsia="zh-CN"/>
              </w:rPr>
              <w:t>4a</w:t>
            </w:r>
          </w:p>
        </w:tc>
        <w:tc>
          <w:tcPr>
            <w:tcW w:w="153" w:type="pct"/>
            <w:vMerge w:val="restart"/>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77</w:t>
            </w: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r>
              <w:rPr>
                <w:rFonts w:ascii="Times New Roman" w:hAnsi="Times New Roman" w:cs="Times New Roman"/>
                <w:sz w:val="21"/>
                <w:szCs w:val="21"/>
                <w:lang w:eastAsia="zh-CN"/>
              </w:rPr>
              <w:t>层</w:t>
            </w:r>
          </w:p>
        </w:tc>
        <w:tc>
          <w:tcPr>
            <w:tcW w:w="1191" w:type="pct"/>
            <w:vMerge w:val="restart"/>
            <w:vAlign w:val="center"/>
          </w:tcPr>
          <w:p>
            <w:pPr>
              <w:pStyle w:val="675"/>
              <w:jc w:val="center"/>
              <w:rPr>
                <w:rFonts w:ascii="Times New Roman" w:hAnsi="Times New Roman" w:cs="Times New Roman"/>
                <w:sz w:val="21"/>
                <w:szCs w:val="21"/>
                <w:lang w:eastAsia="zh-CN"/>
              </w:rPr>
            </w:pPr>
            <w:r>
              <w:rPr>
                <w:rFonts w:hint="eastAsia"/>
                <w:sz w:val="21"/>
                <w:szCs w:val="21"/>
                <w:lang w:eastAsia="zh-CN"/>
              </w:rPr>
              <w:t>智慧城</w:t>
            </w:r>
            <w:r>
              <w:rPr>
                <w:sz w:val="21"/>
                <w:szCs w:val="21"/>
                <w:lang w:eastAsia="zh-CN"/>
              </w:rPr>
              <w:t>小区</w:t>
            </w:r>
            <w:r>
              <w:rPr>
                <w:rFonts w:hint="eastAsia"/>
                <w:sz w:val="21"/>
                <w:szCs w:val="21"/>
                <w:lang w:eastAsia="zh-CN"/>
              </w:rPr>
              <w:t>临路7栋楼的1-11层，西侧边户超标，4a类区超标77户，需要安装</w:t>
            </w:r>
            <w:r>
              <w:rPr>
                <w:sz w:val="21"/>
                <w:szCs w:val="21"/>
                <w:lang w:eastAsia="zh-CN"/>
              </w:rPr>
              <w:t>通风隔声窗</w:t>
            </w:r>
            <w:r>
              <w:rPr>
                <w:rFonts w:hint="eastAsia"/>
                <w:sz w:val="21"/>
                <w:szCs w:val="21"/>
                <w:lang w:eastAsia="zh-CN"/>
              </w:rPr>
              <w:t>，924</w:t>
            </w:r>
            <w:r>
              <w:rPr>
                <w:sz w:val="21"/>
                <w:szCs w:val="21"/>
                <w:lang w:eastAsia="zh-CN"/>
              </w:rPr>
              <w:t>m</w:t>
            </w:r>
            <w:r>
              <w:rPr>
                <w:sz w:val="21"/>
                <w:szCs w:val="21"/>
                <w:vertAlign w:val="superscript"/>
                <w:lang w:eastAsia="zh-CN"/>
              </w:rPr>
              <w:t>2</w:t>
            </w:r>
          </w:p>
        </w:tc>
        <w:tc>
          <w:tcPr>
            <w:tcW w:w="204" w:type="pct"/>
            <w:vAlign w:val="center"/>
          </w:tcPr>
          <w:p>
            <w:pPr>
              <w:spacing w:line="240" w:lineRule="auto"/>
              <w:ind w:firstLine="0" w:firstLineChars="0"/>
              <w:jc w:val="center"/>
              <w:rPr>
                <w:sz w:val="21"/>
              </w:rPr>
            </w:pPr>
            <w:r>
              <w:rPr>
                <w:sz w:val="21"/>
              </w:rPr>
              <w:t>60.77</w:t>
            </w:r>
          </w:p>
        </w:tc>
        <w:tc>
          <w:tcPr>
            <w:tcW w:w="203" w:type="pct"/>
            <w:vAlign w:val="center"/>
          </w:tcPr>
          <w:p>
            <w:pPr>
              <w:spacing w:line="240" w:lineRule="auto"/>
              <w:ind w:firstLine="0" w:firstLineChars="0"/>
              <w:jc w:val="center"/>
              <w:rPr>
                <w:sz w:val="21"/>
              </w:rPr>
            </w:pPr>
            <w:r>
              <w:rPr>
                <w:sz w:val="21"/>
              </w:rPr>
              <w:t>55.67</w:t>
            </w:r>
          </w:p>
        </w:tc>
        <w:tc>
          <w:tcPr>
            <w:tcW w:w="237" w:type="pct"/>
            <w:vAlign w:val="center"/>
          </w:tcPr>
          <w:p>
            <w:pPr>
              <w:spacing w:line="240" w:lineRule="auto"/>
              <w:ind w:firstLine="0" w:firstLineChars="0"/>
              <w:jc w:val="center"/>
              <w:rPr>
                <w:rFonts w:ascii="宋体" w:hAnsi="宋体" w:cs="宋体"/>
                <w:sz w:val="21"/>
              </w:rPr>
            </w:pPr>
            <w:r>
              <w:rPr>
                <w:rFonts w:hint="eastAsia"/>
                <w:sz w:val="21"/>
              </w:rPr>
              <w:t>33.77</w:t>
            </w:r>
          </w:p>
        </w:tc>
        <w:tc>
          <w:tcPr>
            <w:tcW w:w="202" w:type="pct"/>
            <w:vAlign w:val="center"/>
          </w:tcPr>
          <w:p>
            <w:pPr>
              <w:spacing w:line="240" w:lineRule="auto"/>
              <w:ind w:firstLine="0" w:firstLineChars="0"/>
              <w:jc w:val="center"/>
              <w:rPr>
                <w:rFonts w:ascii="宋体" w:hAnsi="宋体" w:cs="宋体"/>
                <w:sz w:val="21"/>
              </w:rPr>
            </w:pPr>
            <w:r>
              <w:rPr>
                <w:rFonts w:hint="eastAsia"/>
                <w:sz w:val="21"/>
              </w:rPr>
              <w:t>28.67</w:t>
            </w:r>
          </w:p>
        </w:tc>
        <w:tc>
          <w:tcPr>
            <w:tcW w:w="304"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110.88</w:t>
            </w: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02" w:type="pct"/>
            <w:vMerge w:val="continue"/>
            <w:vAlign w:val="center"/>
          </w:tcPr>
          <w:p>
            <w:pPr>
              <w:pStyle w:val="675"/>
              <w:jc w:val="center"/>
              <w:rPr>
                <w:rFonts w:ascii="Times New Roman" w:hAnsi="Times New Roman" w:cs="Times New Roman"/>
                <w:sz w:val="21"/>
                <w:szCs w:val="21"/>
                <w:lang w:eastAsia="zh-CN"/>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3</w:t>
            </w:r>
            <w:r>
              <w:rPr>
                <w:rFonts w:ascii="Times New Roman" w:hAnsi="Times New Roman" w:cs="Times New Roman"/>
                <w:sz w:val="21"/>
                <w:szCs w:val="21"/>
                <w:lang w:eastAsia="zh-CN"/>
              </w:rPr>
              <w:t>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61.73</w:t>
            </w:r>
          </w:p>
        </w:tc>
        <w:tc>
          <w:tcPr>
            <w:tcW w:w="203" w:type="pct"/>
            <w:vAlign w:val="center"/>
          </w:tcPr>
          <w:p>
            <w:pPr>
              <w:spacing w:line="240" w:lineRule="auto"/>
              <w:ind w:firstLine="0" w:firstLineChars="0"/>
              <w:jc w:val="center"/>
              <w:rPr>
                <w:sz w:val="21"/>
              </w:rPr>
            </w:pPr>
            <w:r>
              <w:rPr>
                <w:sz w:val="21"/>
              </w:rPr>
              <w:t>56.71</w:t>
            </w:r>
          </w:p>
        </w:tc>
        <w:tc>
          <w:tcPr>
            <w:tcW w:w="237" w:type="pct"/>
            <w:vAlign w:val="center"/>
          </w:tcPr>
          <w:p>
            <w:pPr>
              <w:spacing w:line="240" w:lineRule="auto"/>
              <w:ind w:firstLine="0" w:firstLineChars="0"/>
              <w:jc w:val="center"/>
              <w:rPr>
                <w:rFonts w:ascii="宋体" w:hAnsi="宋体" w:cs="宋体"/>
                <w:sz w:val="21"/>
              </w:rPr>
            </w:pPr>
            <w:r>
              <w:rPr>
                <w:rFonts w:hint="eastAsia"/>
                <w:sz w:val="21"/>
              </w:rPr>
              <w:t>34.73</w:t>
            </w:r>
          </w:p>
        </w:tc>
        <w:tc>
          <w:tcPr>
            <w:tcW w:w="202" w:type="pct"/>
            <w:vAlign w:val="center"/>
          </w:tcPr>
          <w:p>
            <w:pPr>
              <w:spacing w:line="240" w:lineRule="auto"/>
              <w:ind w:firstLine="0" w:firstLineChars="0"/>
              <w:jc w:val="center"/>
              <w:rPr>
                <w:rFonts w:ascii="宋体" w:hAnsi="宋体" w:cs="宋体"/>
                <w:sz w:val="21"/>
              </w:rPr>
            </w:pPr>
            <w:r>
              <w:rPr>
                <w:rFonts w:hint="eastAsia"/>
                <w:sz w:val="21"/>
              </w:rPr>
              <w:t>29.71</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02" w:type="pct"/>
            <w:vMerge w:val="continue"/>
            <w:vAlign w:val="center"/>
          </w:tcPr>
          <w:p>
            <w:pPr>
              <w:pStyle w:val="675"/>
              <w:jc w:val="center"/>
              <w:rPr>
                <w:rFonts w:ascii="Times New Roman" w:hAnsi="Times New Roman" w:cs="Times New Roman"/>
                <w:sz w:val="21"/>
                <w:szCs w:val="21"/>
                <w:lang w:eastAsia="zh-CN"/>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61.81</w:t>
            </w:r>
          </w:p>
        </w:tc>
        <w:tc>
          <w:tcPr>
            <w:tcW w:w="203" w:type="pct"/>
            <w:vAlign w:val="center"/>
          </w:tcPr>
          <w:p>
            <w:pPr>
              <w:spacing w:line="240" w:lineRule="auto"/>
              <w:ind w:firstLine="0" w:firstLineChars="0"/>
              <w:jc w:val="center"/>
              <w:rPr>
                <w:sz w:val="21"/>
              </w:rPr>
            </w:pPr>
            <w:r>
              <w:rPr>
                <w:sz w:val="21"/>
              </w:rPr>
              <w:t>56.79</w:t>
            </w:r>
          </w:p>
        </w:tc>
        <w:tc>
          <w:tcPr>
            <w:tcW w:w="237" w:type="pct"/>
            <w:vAlign w:val="center"/>
          </w:tcPr>
          <w:p>
            <w:pPr>
              <w:spacing w:line="240" w:lineRule="auto"/>
              <w:ind w:firstLine="0" w:firstLineChars="0"/>
              <w:jc w:val="center"/>
              <w:rPr>
                <w:rFonts w:ascii="宋体" w:hAnsi="宋体" w:cs="宋体"/>
                <w:sz w:val="21"/>
              </w:rPr>
            </w:pPr>
            <w:r>
              <w:rPr>
                <w:rFonts w:hint="eastAsia"/>
                <w:sz w:val="21"/>
              </w:rPr>
              <w:t>34.81</w:t>
            </w:r>
          </w:p>
        </w:tc>
        <w:tc>
          <w:tcPr>
            <w:tcW w:w="202" w:type="pct"/>
            <w:vAlign w:val="center"/>
          </w:tcPr>
          <w:p>
            <w:pPr>
              <w:spacing w:line="240" w:lineRule="auto"/>
              <w:ind w:firstLine="0" w:firstLineChars="0"/>
              <w:jc w:val="center"/>
              <w:rPr>
                <w:rFonts w:ascii="宋体" w:hAnsi="宋体" w:cs="宋体"/>
                <w:sz w:val="21"/>
              </w:rPr>
            </w:pPr>
            <w:r>
              <w:rPr>
                <w:rFonts w:hint="eastAsia"/>
                <w:sz w:val="21"/>
              </w:rPr>
              <w:t>29.79</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02" w:type="pct"/>
            <w:vMerge w:val="continue"/>
            <w:vAlign w:val="center"/>
          </w:tcPr>
          <w:p>
            <w:pPr>
              <w:pStyle w:val="675"/>
              <w:jc w:val="center"/>
              <w:rPr>
                <w:rFonts w:ascii="Times New Roman" w:hAnsi="Times New Roman" w:cs="Times New Roman"/>
                <w:sz w:val="21"/>
                <w:szCs w:val="21"/>
                <w:lang w:eastAsia="zh-CN"/>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61.87</w:t>
            </w:r>
          </w:p>
        </w:tc>
        <w:tc>
          <w:tcPr>
            <w:tcW w:w="203" w:type="pct"/>
            <w:vAlign w:val="center"/>
          </w:tcPr>
          <w:p>
            <w:pPr>
              <w:spacing w:line="240" w:lineRule="auto"/>
              <w:ind w:firstLine="0" w:firstLineChars="0"/>
              <w:jc w:val="center"/>
              <w:rPr>
                <w:sz w:val="21"/>
              </w:rPr>
            </w:pPr>
            <w:r>
              <w:rPr>
                <w:sz w:val="21"/>
              </w:rPr>
              <w:t>56.86</w:t>
            </w:r>
          </w:p>
        </w:tc>
        <w:tc>
          <w:tcPr>
            <w:tcW w:w="237" w:type="pct"/>
            <w:vAlign w:val="center"/>
          </w:tcPr>
          <w:p>
            <w:pPr>
              <w:spacing w:line="240" w:lineRule="auto"/>
              <w:ind w:firstLine="0" w:firstLineChars="0"/>
              <w:jc w:val="center"/>
              <w:rPr>
                <w:rFonts w:ascii="宋体" w:hAnsi="宋体" w:cs="宋体"/>
                <w:sz w:val="21"/>
              </w:rPr>
            </w:pPr>
            <w:r>
              <w:rPr>
                <w:rFonts w:hint="eastAsia"/>
                <w:sz w:val="21"/>
              </w:rPr>
              <w:t>34.87</w:t>
            </w:r>
          </w:p>
        </w:tc>
        <w:tc>
          <w:tcPr>
            <w:tcW w:w="202" w:type="pct"/>
            <w:vAlign w:val="center"/>
          </w:tcPr>
          <w:p>
            <w:pPr>
              <w:spacing w:line="240" w:lineRule="auto"/>
              <w:ind w:firstLine="0" w:firstLineChars="0"/>
              <w:jc w:val="center"/>
              <w:rPr>
                <w:rFonts w:ascii="宋体" w:hAnsi="宋体" w:cs="宋体"/>
                <w:sz w:val="21"/>
              </w:rPr>
            </w:pPr>
            <w:r>
              <w:rPr>
                <w:rFonts w:hint="eastAsia"/>
                <w:sz w:val="21"/>
              </w:rPr>
              <w:t>29.86</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cs="Times New Roman"/>
                <w:sz w:val="21"/>
                <w:szCs w:val="21"/>
                <w:lang w:eastAsia="zh-CN"/>
              </w:rPr>
            </w:pPr>
          </w:p>
        </w:tc>
        <w:tc>
          <w:tcPr>
            <w:tcW w:w="259"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30" w:type="pct"/>
            <w:vMerge w:val="continue"/>
            <w:vAlign w:val="center"/>
          </w:tcPr>
          <w:p>
            <w:pPr>
              <w:pStyle w:val="675"/>
              <w:jc w:val="center"/>
              <w:rPr>
                <w:rFonts w:ascii="Times New Roman" w:hAnsi="Times New Roman" w:cs="Times New Roman"/>
                <w:kern w:val="2"/>
                <w:sz w:val="21"/>
                <w:szCs w:val="21"/>
                <w:lang w:eastAsia="zh-CN"/>
              </w:rPr>
            </w:pPr>
          </w:p>
        </w:tc>
        <w:tc>
          <w:tcPr>
            <w:tcW w:w="202" w:type="pct"/>
            <w:vMerge w:val="continue"/>
            <w:vAlign w:val="center"/>
          </w:tcPr>
          <w:p>
            <w:pPr>
              <w:pStyle w:val="675"/>
              <w:jc w:val="center"/>
              <w:rPr>
                <w:rFonts w:ascii="Times New Roman" w:hAnsi="Times New Roman" w:cs="Times New Roman"/>
                <w:sz w:val="21"/>
                <w:szCs w:val="21"/>
                <w:lang w:eastAsia="zh-CN"/>
              </w:rPr>
            </w:pPr>
          </w:p>
        </w:tc>
        <w:tc>
          <w:tcPr>
            <w:tcW w:w="153" w:type="pct"/>
            <w:vMerge w:val="continue"/>
            <w:vAlign w:val="center"/>
          </w:tcPr>
          <w:p>
            <w:pPr>
              <w:pStyle w:val="675"/>
              <w:jc w:val="center"/>
              <w:rPr>
                <w:rFonts w:ascii="Times New Roman" w:hAnsi="Times New Roman" w:cs="Times New Roman"/>
                <w:sz w:val="21"/>
                <w:szCs w:val="21"/>
                <w:lang w:eastAsia="zh-CN"/>
              </w:rPr>
            </w:pPr>
          </w:p>
        </w:tc>
        <w:tc>
          <w:tcPr>
            <w:tcW w:w="163"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11层</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61.88</w:t>
            </w:r>
          </w:p>
        </w:tc>
        <w:tc>
          <w:tcPr>
            <w:tcW w:w="203" w:type="pct"/>
            <w:vAlign w:val="center"/>
          </w:tcPr>
          <w:p>
            <w:pPr>
              <w:spacing w:line="240" w:lineRule="auto"/>
              <w:ind w:firstLine="0" w:firstLineChars="0"/>
              <w:jc w:val="center"/>
              <w:rPr>
                <w:sz w:val="21"/>
              </w:rPr>
            </w:pPr>
            <w:r>
              <w:rPr>
                <w:sz w:val="21"/>
              </w:rPr>
              <w:t>56.87</w:t>
            </w:r>
          </w:p>
        </w:tc>
        <w:tc>
          <w:tcPr>
            <w:tcW w:w="237" w:type="pct"/>
            <w:vAlign w:val="center"/>
          </w:tcPr>
          <w:p>
            <w:pPr>
              <w:spacing w:line="240" w:lineRule="auto"/>
              <w:ind w:firstLine="0" w:firstLineChars="0"/>
              <w:jc w:val="center"/>
              <w:rPr>
                <w:rFonts w:ascii="宋体" w:hAnsi="宋体" w:cs="宋体"/>
                <w:sz w:val="21"/>
              </w:rPr>
            </w:pPr>
            <w:r>
              <w:rPr>
                <w:rFonts w:hint="eastAsia"/>
                <w:sz w:val="21"/>
              </w:rPr>
              <w:t>34.88</w:t>
            </w:r>
          </w:p>
        </w:tc>
        <w:tc>
          <w:tcPr>
            <w:tcW w:w="202" w:type="pct"/>
            <w:vAlign w:val="center"/>
          </w:tcPr>
          <w:p>
            <w:pPr>
              <w:spacing w:line="240" w:lineRule="auto"/>
              <w:ind w:firstLine="0" w:firstLineChars="0"/>
              <w:jc w:val="center"/>
              <w:rPr>
                <w:rFonts w:ascii="宋体" w:hAnsi="宋体" w:cs="宋体"/>
                <w:sz w:val="21"/>
              </w:rPr>
            </w:pPr>
            <w:r>
              <w:rPr>
                <w:rFonts w:hint="eastAsia"/>
                <w:sz w:val="21"/>
              </w:rPr>
              <w:t>29.87</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4</w:t>
            </w:r>
          </w:p>
        </w:tc>
        <w:tc>
          <w:tcPr>
            <w:tcW w:w="89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张各庄村：利旧路段</w:t>
            </w:r>
          </w:p>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K3+500~K4+090</w:t>
            </w:r>
          </w:p>
        </w:tc>
        <w:tc>
          <w:tcPr>
            <w:tcW w:w="259"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35</w:t>
            </w:r>
          </w:p>
        </w:tc>
        <w:tc>
          <w:tcPr>
            <w:tcW w:w="230"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21</w:t>
            </w:r>
          </w:p>
        </w:tc>
        <w:tc>
          <w:tcPr>
            <w:tcW w:w="230"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w:t>
            </w:r>
          </w:p>
        </w:tc>
        <w:tc>
          <w:tcPr>
            <w:tcW w:w="202"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4a</w:t>
            </w:r>
          </w:p>
        </w:tc>
        <w:tc>
          <w:tcPr>
            <w:tcW w:w="316" w:type="pct"/>
            <w:gridSpan w:val="2"/>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6</w:t>
            </w:r>
          </w:p>
        </w:tc>
        <w:tc>
          <w:tcPr>
            <w:tcW w:w="1191" w:type="pct"/>
            <w:vAlign w:val="center"/>
          </w:tcPr>
          <w:p>
            <w:pPr>
              <w:pStyle w:val="675"/>
              <w:jc w:val="center"/>
              <w:rPr>
                <w:rFonts w:ascii="Times New Roman" w:hAnsi="Times New Roman" w:cs="Times New Roman"/>
                <w:sz w:val="21"/>
                <w:szCs w:val="21"/>
                <w:lang w:eastAsia="zh-CN"/>
              </w:rPr>
            </w:pPr>
            <w:r>
              <w:rPr>
                <w:rFonts w:hint="eastAsia"/>
                <w:sz w:val="21"/>
                <w:szCs w:val="21"/>
                <w:lang w:eastAsia="zh-CN"/>
              </w:rPr>
              <w:t>张各庄村临路6户超标，需要安装</w:t>
            </w:r>
            <w:r>
              <w:rPr>
                <w:sz w:val="21"/>
                <w:szCs w:val="21"/>
                <w:lang w:eastAsia="zh-CN"/>
              </w:rPr>
              <w:t>通风隔声窗</w:t>
            </w:r>
            <w:r>
              <w:rPr>
                <w:rFonts w:hint="eastAsia"/>
                <w:sz w:val="21"/>
                <w:szCs w:val="21"/>
                <w:lang w:eastAsia="zh-CN"/>
              </w:rPr>
              <w:t>，72</w:t>
            </w:r>
            <w:r>
              <w:rPr>
                <w:sz w:val="21"/>
                <w:szCs w:val="21"/>
                <w:lang w:eastAsia="zh-CN"/>
              </w:rPr>
              <w:t>m</w:t>
            </w:r>
            <w:r>
              <w:rPr>
                <w:sz w:val="21"/>
                <w:szCs w:val="21"/>
                <w:vertAlign w:val="superscript"/>
                <w:lang w:eastAsia="zh-CN"/>
              </w:rPr>
              <w:t>2</w:t>
            </w:r>
            <w:r>
              <w:rPr>
                <w:rFonts w:hint="eastAsia"/>
                <w:sz w:val="21"/>
                <w:szCs w:val="21"/>
                <w:lang w:eastAsia="zh-CN"/>
              </w:rPr>
              <w:t>，建议临路住户</w:t>
            </w:r>
            <w:r>
              <w:rPr>
                <w:sz w:val="21"/>
                <w:szCs w:val="21"/>
                <w:lang w:eastAsia="zh-CN"/>
              </w:rPr>
              <w:t>改变使用功能，将其改为快餐店、零售店、维修场所等</w:t>
            </w:r>
            <w:r>
              <w:rPr>
                <w:rFonts w:hint="eastAsia"/>
                <w:sz w:val="21"/>
                <w:szCs w:val="21"/>
                <w:lang w:eastAsia="zh-CN"/>
              </w:rPr>
              <w:t>，</w:t>
            </w:r>
            <w:r>
              <w:rPr>
                <w:sz w:val="21"/>
                <w:szCs w:val="21"/>
                <w:lang w:eastAsia="zh-CN"/>
              </w:rPr>
              <w:t>增加居民收入</w:t>
            </w:r>
          </w:p>
        </w:tc>
        <w:tc>
          <w:tcPr>
            <w:tcW w:w="204" w:type="pct"/>
            <w:vAlign w:val="center"/>
          </w:tcPr>
          <w:p>
            <w:pPr>
              <w:spacing w:line="240" w:lineRule="auto"/>
              <w:ind w:firstLine="0" w:firstLineChars="0"/>
              <w:jc w:val="center"/>
              <w:rPr>
                <w:sz w:val="21"/>
              </w:rPr>
            </w:pPr>
            <w:r>
              <w:rPr>
                <w:sz w:val="21"/>
              </w:rPr>
              <w:t>62.51</w:t>
            </w:r>
          </w:p>
        </w:tc>
        <w:tc>
          <w:tcPr>
            <w:tcW w:w="203" w:type="pct"/>
            <w:vAlign w:val="center"/>
          </w:tcPr>
          <w:p>
            <w:pPr>
              <w:spacing w:line="240" w:lineRule="auto"/>
              <w:ind w:firstLine="0" w:firstLineChars="0"/>
              <w:jc w:val="center"/>
              <w:rPr>
                <w:sz w:val="21"/>
              </w:rPr>
            </w:pPr>
            <w:r>
              <w:rPr>
                <w:sz w:val="21"/>
              </w:rPr>
              <w:t>57.54</w:t>
            </w:r>
          </w:p>
        </w:tc>
        <w:tc>
          <w:tcPr>
            <w:tcW w:w="237" w:type="pct"/>
            <w:vAlign w:val="center"/>
          </w:tcPr>
          <w:p>
            <w:pPr>
              <w:spacing w:line="240" w:lineRule="auto"/>
              <w:ind w:firstLine="0" w:firstLineChars="0"/>
              <w:jc w:val="center"/>
              <w:rPr>
                <w:rFonts w:ascii="宋体" w:hAnsi="宋体" w:cs="宋体"/>
                <w:sz w:val="21"/>
              </w:rPr>
            </w:pPr>
            <w:r>
              <w:rPr>
                <w:rFonts w:hint="eastAsia"/>
                <w:sz w:val="21"/>
              </w:rPr>
              <w:t>35.51</w:t>
            </w:r>
          </w:p>
        </w:tc>
        <w:tc>
          <w:tcPr>
            <w:tcW w:w="202" w:type="pct"/>
            <w:vAlign w:val="center"/>
          </w:tcPr>
          <w:p>
            <w:pPr>
              <w:spacing w:line="240" w:lineRule="auto"/>
              <w:ind w:firstLine="0" w:firstLineChars="0"/>
              <w:jc w:val="center"/>
              <w:rPr>
                <w:rFonts w:ascii="宋体" w:hAnsi="宋体" w:cs="宋体"/>
                <w:sz w:val="21"/>
              </w:rPr>
            </w:pPr>
            <w:r>
              <w:rPr>
                <w:rFonts w:hint="eastAsia"/>
                <w:sz w:val="21"/>
              </w:rPr>
              <w:t>30.54</w:t>
            </w:r>
          </w:p>
        </w:tc>
        <w:tc>
          <w:tcPr>
            <w:tcW w:w="30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8.64</w:t>
            </w:r>
          </w:p>
        </w:tc>
        <w:tc>
          <w:tcPr>
            <w:tcW w:w="472" w:type="pct"/>
            <w:vMerge w:val="continue"/>
            <w:vAlign w:val="center"/>
          </w:tcPr>
          <w:p>
            <w:pPr>
              <w:pStyle w:val="675"/>
              <w:jc w:val="center"/>
              <w:rPr>
                <w:rFonts w:ascii="Times New Roman" w:hAnsi="Times New Roman"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5</w:t>
            </w:r>
          </w:p>
        </w:tc>
        <w:tc>
          <w:tcPr>
            <w:tcW w:w="892" w:type="pct"/>
            <w:vMerge w:val="restart"/>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西十里铺村：利旧路段K6+750~K7+800</w:t>
            </w:r>
          </w:p>
        </w:tc>
        <w:tc>
          <w:tcPr>
            <w:tcW w:w="259"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17</w:t>
            </w:r>
          </w:p>
        </w:tc>
        <w:tc>
          <w:tcPr>
            <w:tcW w:w="230"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w:t>
            </w:r>
          </w:p>
        </w:tc>
        <w:tc>
          <w:tcPr>
            <w:tcW w:w="230"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w:t>
            </w:r>
          </w:p>
        </w:tc>
        <w:tc>
          <w:tcPr>
            <w:tcW w:w="202" w:type="pct"/>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lang w:eastAsia="zh-CN"/>
              </w:rPr>
              <w:t>4</w:t>
            </w:r>
            <w:r>
              <w:rPr>
                <w:rFonts w:ascii="Times New Roman" w:hAnsi="Times New Roman" w:cs="Times New Roman"/>
                <w:kern w:val="2"/>
                <w:sz w:val="21"/>
                <w:szCs w:val="21"/>
              </w:rPr>
              <w:t>a</w:t>
            </w:r>
          </w:p>
        </w:tc>
        <w:tc>
          <w:tcPr>
            <w:tcW w:w="316"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w:t>
            </w:r>
          </w:p>
        </w:tc>
        <w:tc>
          <w:tcPr>
            <w:tcW w:w="1191" w:type="pct"/>
            <w:vMerge w:val="restart"/>
            <w:vAlign w:val="center"/>
          </w:tcPr>
          <w:p>
            <w:pPr>
              <w:pStyle w:val="675"/>
              <w:jc w:val="center"/>
              <w:rPr>
                <w:rFonts w:ascii="Times New Roman" w:hAnsi="Times New Roman" w:cs="Times New Roman"/>
                <w:sz w:val="21"/>
                <w:szCs w:val="21"/>
                <w:lang w:eastAsia="zh-CN"/>
              </w:rPr>
            </w:pPr>
            <w:r>
              <w:rPr>
                <w:rFonts w:hint="eastAsia"/>
                <w:sz w:val="21"/>
                <w:szCs w:val="21"/>
                <w:lang w:eastAsia="zh-CN"/>
              </w:rPr>
              <w:t>西十里铺村临路 4a类区超标7户，需要安装</w:t>
            </w:r>
            <w:r>
              <w:rPr>
                <w:sz w:val="21"/>
                <w:szCs w:val="21"/>
                <w:lang w:eastAsia="zh-CN"/>
              </w:rPr>
              <w:t>通风隔声窗</w:t>
            </w:r>
            <w:r>
              <w:rPr>
                <w:rFonts w:hint="eastAsia"/>
                <w:sz w:val="21"/>
                <w:szCs w:val="21"/>
                <w:lang w:eastAsia="zh-CN"/>
              </w:rPr>
              <w:t>84</w:t>
            </w:r>
            <w:r>
              <w:rPr>
                <w:sz w:val="21"/>
                <w:szCs w:val="21"/>
                <w:lang w:eastAsia="zh-CN"/>
              </w:rPr>
              <w:t>m</w:t>
            </w:r>
            <w:r>
              <w:rPr>
                <w:sz w:val="21"/>
                <w:szCs w:val="21"/>
                <w:vertAlign w:val="superscript"/>
                <w:lang w:eastAsia="zh-CN"/>
              </w:rPr>
              <w:t>2</w:t>
            </w:r>
            <w:r>
              <w:rPr>
                <w:rFonts w:hint="eastAsia"/>
                <w:sz w:val="21"/>
                <w:szCs w:val="21"/>
                <w:lang w:eastAsia="zh-CN"/>
              </w:rPr>
              <w:t>，2类区27户超标，需要安装</w:t>
            </w:r>
            <w:r>
              <w:rPr>
                <w:sz w:val="21"/>
                <w:szCs w:val="21"/>
                <w:lang w:eastAsia="zh-CN"/>
              </w:rPr>
              <w:t>通风隔声窗</w:t>
            </w:r>
            <w:r>
              <w:rPr>
                <w:rFonts w:hint="eastAsia"/>
                <w:sz w:val="21"/>
                <w:szCs w:val="21"/>
                <w:lang w:eastAsia="zh-CN"/>
              </w:rPr>
              <w:t>，324</w:t>
            </w:r>
            <w:r>
              <w:rPr>
                <w:sz w:val="21"/>
                <w:szCs w:val="21"/>
                <w:lang w:eastAsia="zh-CN"/>
              </w:rPr>
              <w:t>m</w:t>
            </w:r>
            <w:r>
              <w:rPr>
                <w:sz w:val="21"/>
                <w:szCs w:val="21"/>
                <w:vertAlign w:val="superscript"/>
                <w:lang w:eastAsia="zh-CN"/>
              </w:rPr>
              <w:t>2</w:t>
            </w:r>
            <w:r>
              <w:rPr>
                <w:rFonts w:hint="eastAsia"/>
                <w:sz w:val="21"/>
                <w:szCs w:val="21"/>
                <w:lang w:eastAsia="zh-CN"/>
              </w:rPr>
              <w:t>。建议临路住户</w:t>
            </w:r>
            <w:r>
              <w:rPr>
                <w:sz w:val="21"/>
                <w:szCs w:val="21"/>
                <w:lang w:eastAsia="zh-CN"/>
              </w:rPr>
              <w:t>改变使用功能，将其改为快餐店、零售店、维修场所等</w:t>
            </w:r>
            <w:r>
              <w:rPr>
                <w:rFonts w:hint="eastAsia"/>
                <w:sz w:val="21"/>
                <w:szCs w:val="21"/>
                <w:lang w:eastAsia="zh-CN"/>
              </w:rPr>
              <w:t>，</w:t>
            </w:r>
            <w:r>
              <w:rPr>
                <w:sz w:val="21"/>
                <w:szCs w:val="21"/>
                <w:lang w:eastAsia="zh-CN"/>
              </w:rPr>
              <w:t>增加居民收入</w:t>
            </w:r>
          </w:p>
        </w:tc>
        <w:tc>
          <w:tcPr>
            <w:tcW w:w="204" w:type="pct"/>
            <w:vAlign w:val="center"/>
          </w:tcPr>
          <w:p>
            <w:pPr>
              <w:spacing w:line="240" w:lineRule="auto"/>
              <w:ind w:firstLine="0" w:firstLineChars="0"/>
              <w:jc w:val="center"/>
              <w:rPr>
                <w:sz w:val="21"/>
              </w:rPr>
            </w:pPr>
            <w:r>
              <w:rPr>
                <w:sz w:val="21"/>
              </w:rPr>
              <w:t>65.74</w:t>
            </w:r>
          </w:p>
        </w:tc>
        <w:tc>
          <w:tcPr>
            <w:tcW w:w="203" w:type="pct"/>
            <w:vAlign w:val="center"/>
          </w:tcPr>
          <w:p>
            <w:pPr>
              <w:spacing w:line="240" w:lineRule="auto"/>
              <w:ind w:firstLine="0" w:firstLineChars="0"/>
              <w:jc w:val="center"/>
              <w:rPr>
                <w:sz w:val="21"/>
              </w:rPr>
            </w:pPr>
            <w:r>
              <w:rPr>
                <w:sz w:val="21"/>
              </w:rPr>
              <w:t>60.91</w:t>
            </w:r>
          </w:p>
        </w:tc>
        <w:tc>
          <w:tcPr>
            <w:tcW w:w="237" w:type="pct"/>
            <w:vAlign w:val="center"/>
          </w:tcPr>
          <w:p>
            <w:pPr>
              <w:spacing w:line="240" w:lineRule="auto"/>
              <w:ind w:firstLine="0" w:firstLineChars="0"/>
              <w:jc w:val="center"/>
              <w:rPr>
                <w:rFonts w:ascii="宋体" w:hAnsi="宋体" w:cs="宋体"/>
                <w:sz w:val="21"/>
              </w:rPr>
            </w:pPr>
            <w:r>
              <w:rPr>
                <w:rFonts w:hint="eastAsia"/>
                <w:sz w:val="21"/>
              </w:rPr>
              <w:t>38.74</w:t>
            </w:r>
          </w:p>
        </w:tc>
        <w:tc>
          <w:tcPr>
            <w:tcW w:w="202" w:type="pct"/>
            <w:vAlign w:val="center"/>
          </w:tcPr>
          <w:p>
            <w:pPr>
              <w:spacing w:line="240" w:lineRule="auto"/>
              <w:ind w:firstLine="0" w:firstLineChars="0"/>
              <w:jc w:val="center"/>
              <w:rPr>
                <w:rFonts w:ascii="宋体" w:hAnsi="宋体" w:cs="宋体"/>
                <w:sz w:val="21"/>
              </w:rPr>
            </w:pPr>
            <w:r>
              <w:rPr>
                <w:rFonts w:hint="eastAsia"/>
                <w:sz w:val="21"/>
              </w:rPr>
              <w:t>33.91</w:t>
            </w:r>
          </w:p>
        </w:tc>
        <w:tc>
          <w:tcPr>
            <w:tcW w:w="304"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48.96</w:t>
            </w: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sz w:val="21"/>
                <w:szCs w:val="21"/>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Align w:val="center"/>
          </w:tcPr>
          <w:p>
            <w:pPr>
              <w:spacing w:line="240" w:lineRule="auto"/>
              <w:ind w:firstLine="0" w:firstLineChars="0"/>
              <w:jc w:val="center"/>
              <w:rPr>
                <w:sz w:val="21"/>
              </w:rPr>
            </w:pPr>
            <w:r>
              <w:rPr>
                <w:sz w:val="21"/>
              </w:rPr>
              <w:t>49</w:t>
            </w:r>
          </w:p>
        </w:tc>
        <w:tc>
          <w:tcPr>
            <w:tcW w:w="230" w:type="pct"/>
            <w:vAlign w:val="center"/>
          </w:tcPr>
          <w:p>
            <w:pPr>
              <w:spacing w:line="240" w:lineRule="auto"/>
              <w:ind w:firstLine="0" w:firstLineChars="0"/>
              <w:jc w:val="center"/>
              <w:rPr>
                <w:sz w:val="21"/>
              </w:rPr>
            </w:pPr>
            <w:r>
              <w:rPr>
                <w:sz w:val="21"/>
              </w:rPr>
              <w:t>35</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spacing w:line="240" w:lineRule="auto"/>
              <w:ind w:firstLine="0" w:firstLineChars="0"/>
              <w:jc w:val="center"/>
              <w:rPr>
                <w:sz w:val="21"/>
              </w:rPr>
            </w:pPr>
            <w:r>
              <w:rPr>
                <w:rFonts w:hint="eastAsia"/>
                <w:sz w:val="21"/>
              </w:rPr>
              <w:t>2</w:t>
            </w:r>
          </w:p>
        </w:tc>
        <w:tc>
          <w:tcPr>
            <w:tcW w:w="316" w:type="pct"/>
            <w:gridSpan w:val="2"/>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27</w:t>
            </w:r>
          </w:p>
        </w:tc>
        <w:tc>
          <w:tcPr>
            <w:tcW w:w="1191" w:type="pct"/>
            <w:vMerge w:val="continue"/>
            <w:vAlign w:val="center"/>
          </w:tcPr>
          <w:p>
            <w:pPr>
              <w:pStyle w:val="675"/>
              <w:jc w:val="center"/>
              <w:rPr>
                <w:rFonts w:ascii="Times New Roman" w:hAns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60.95</w:t>
            </w:r>
          </w:p>
        </w:tc>
        <w:tc>
          <w:tcPr>
            <w:tcW w:w="203" w:type="pct"/>
            <w:vAlign w:val="center"/>
          </w:tcPr>
          <w:p>
            <w:pPr>
              <w:spacing w:line="240" w:lineRule="auto"/>
              <w:ind w:firstLine="0" w:firstLineChars="0"/>
              <w:jc w:val="center"/>
              <w:rPr>
                <w:sz w:val="21"/>
              </w:rPr>
            </w:pPr>
            <w:r>
              <w:rPr>
                <w:sz w:val="21"/>
              </w:rPr>
              <w:t>55.87</w:t>
            </w:r>
          </w:p>
        </w:tc>
        <w:tc>
          <w:tcPr>
            <w:tcW w:w="237" w:type="pct"/>
            <w:vAlign w:val="center"/>
          </w:tcPr>
          <w:p>
            <w:pPr>
              <w:spacing w:line="240" w:lineRule="auto"/>
              <w:ind w:firstLine="0" w:firstLineChars="0"/>
              <w:jc w:val="center"/>
              <w:rPr>
                <w:rFonts w:ascii="宋体" w:hAnsi="宋体" w:cs="宋体"/>
                <w:sz w:val="21"/>
              </w:rPr>
            </w:pPr>
            <w:r>
              <w:rPr>
                <w:rFonts w:hint="eastAsia"/>
                <w:sz w:val="21"/>
              </w:rPr>
              <w:t>33.95</w:t>
            </w:r>
          </w:p>
        </w:tc>
        <w:tc>
          <w:tcPr>
            <w:tcW w:w="202" w:type="pct"/>
            <w:vAlign w:val="center"/>
          </w:tcPr>
          <w:p>
            <w:pPr>
              <w:spacing w:line="240" w:lineRule="auto"/>
              <w:ind w:firstLine="0" w:firstLineChars="0"/>
              <w:jc w:val="center"/>
              <w:rPr>
                <w:rFonts w:ascii="宋体" w:hAnsi="宋体" w:cs="宋体"/>
                <w:sz w:val="21"/>
              </w:rPr>
            </w:pPr>
            <w:r>
              <w:rPr>
                <w:rFonts w:hint="eastAsia"/>
                <w:sz w:val="21"/>
              </w:rPr>
              <w:t>28.87</w:t>
            </w:r>
          </w:p>
        </w:tc>
        <w:tc>
          <w:tcPr>
            <w:tcW w:w="304" w:type="pct"/>
            <w:vMerge w:val="continue"/>
            <w:vAlign w:val="center"/>
          </w:tcPr>
          <w:p>
            <w:pPr>
              <w:pStyle w:val="675"/>
              <w:jc w:val="center"/>
              <w:rPr>
                <w:rFonts w:ascii="Times New Roman" w:hAnsi="Times New Roman" w:cs="Times New Roman"/>
                <w:sz w:val="21"/>
                <w:szCs w:val="21"/>
                <w:lang w:eastAsia="zh-CN"/>
              </w:rPr>
            </w:pP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Align w:val="center"/>
          </w:tcPr>
          <w:p>
            <w:pPr>
              <w:pStyle w:val="675"/>
              <w:jc w:val="center"/>
              <w:rPr>
                <w:rFonts w:ascii="Times New Roman" w:hAnsi="Times New Roman" w:eastAsia="Times New Roman" w:cs="Times New Roman"/>
                <w:sz w:val="21"/>
                <w:szCs w:val="21"/>
              </w:rPr>
            </w:pPr>
            <w:r>
              <w:rPr>
                <w:rFonts w:ascii="Times New Roman" w:hAnsi="Times New Roman" w:cs="Times New Roman"/>
                <w:sz w:val="21"/>
                <w:szCs w:val="21"/>
              </w:rPr>
              <w:t>6</w:t>
            </w:r>
          </w:p>
        </w:tc>
        <w:tc>
          <w:tcPr>
            <w:tcW w:w="89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后王庄村：新建路段</w:t>
            </w:r>
          </w:p>
          <w:p>
            <w:pPr>
              <w:pStyle w:val="675"/>
              <w:jc w:val="center"/>
              <w:rPr>
                <w:rFonts w:ascii="Times New Roman" w:hAnsi="Times New Roman" w:eastAsia="Times New Roman" w:cs="Times New Roman"/>
                <w:sz w:val="21"/>
                <w:szCs w:val="21"/>
                <w:lang w:eastAsia="zh-CN"/>
              </w:rPr>
            </w:pPr>
            <w:r>
              <w:rPr>
                <w:sz w:val="21"/>
                <w:szCs w:val="21"/>
              </w:rPr>
              <w:t>K7+950~K8+500</w:t>
            </w:r>
          </w:p>
        </w:tc>
        <w:tc>
          <w:tcPr>
            <w:tcW w:w="259" w:type="pct"/>
            <w:vAlign w:val="center"/>
          </w:tcPr>
          <w:p>
            <w:pPr>
              <w:spacing w:line="240" w:lineRule="auto"/>
              <w:ind w:firstLine="0" w:firstLineChars="0"/>
              <w:jc w:val="center"/>
              <w:rPr>
                <w:sz w:val="21"/>
              </w:rPr>
            </w:pPr>
            <w:r>
              <w:rPr>
                <w:sz w:val="21"/>
              </w:rPr>
              <w:t>65</w:t>
            </w:r>
          </w:p>
        </w:tc>
        <w:tc>
          <w:tcPr>
            <w:tcW w:w="230" w:type="pct"/>
            <w:vAlign w:val="center"/>
          </w:tcPr>
          <w:p>
            <w:pPr>
              <w:spacing w:line="240" w:lineRule="auto"/>
              <w:ind w:firstLine="0" w:firstLineChars="0"/>
              <w:jc w:val="center"/>
              <w:rPr>
                <w:sz w:val="21"/>
              </w:rPr>
            </w:pPr>
            <w:r>
              <w:rPr>
                <w:sz w:val="21"/>
              </w:rPr>
              <w:t>53</w:t>
            </w:r>
          </w:p>
        </w:tc>
        <w:tc>
          <w:tcPr>
            <w:tcW w:w="230" w:type="pct"/>
            <w:vAlign w:val="center"/>
          </w:tcPr>
          <w:p>
            <w:pPr>
              <w:spacing w:line="240" w:lineRule="auto"/>
              <w:ind w:firstLine="0" w:firstLineChars="0"/>
              <w:jc w:val="center"/>
              <w:rPr>
                <w:sz w:val="21"/>
              </w:rPr>
            </w:pPr>
            <w:r>
              <w:rPr>
                <w:sz w:val="21"/>
              </w:rPr>
              <w:t>-2</w:t>
            </w:r>
          </w:p>
        </w:tc>
        <w:tc>
          <w:tcPr>
            <w:tcW w:w="202" w:type="pct"/>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2</w:t>
            </w:r>
          </w:p>
        </w:tc>
        <w:tc>
          <w:tcPr>
            <w:tcW w:w="316" w:type="pct"/>
            <w:gridSpan w:val="2"/>
            <w:vAlign w:val="center"/>
          </w:tcPr>
          <w:p>
            <w:pPr>
              <w:pStyle w:val="675"/>
              <w:jc w:val="center"/>
              <w:rPr>
                <w:rFonts w:ascii="Times New Roman" w:hAnsi="Times New Roman" w:eastAsia="Times New Roman" w:cs="Times New Roman"/>
                <w:sz w:val="21"/>
                <w:szCs w:val="21"/>
                <w:lang w:eastAsia="zh-CN"/>
              </w:rPr>
            </w:pPr>
            <w:r>
              <w:rPr>
                <w:rFonts w:ascii="Times New Roman" w:hAnsi="Times New Roman" w:cs="Times New Roman"/>
                <w:sz w:val="21"/>
                <w:szCs w:val="21"/>
                <w:lang w:eastAsia="zh-CN"/>
              </w:rPr>
              <w:t>4</w:t>
            </w:r>
          </w:p>
        </w:tc>
        <w:tc>
          <w:tcPr>
            <w:tcW w:w="1191" w:type="pct"/>
            <w:vAlign w:val="center"/>
          </w:tcPr>
          <w:p>
            <w:pPr>
              <w:pStyle w:val="675"/>
              <w:jc w:val="center"/>
              <w:rPr>
                <w:rFonts w:ascii="Times New Roman" w:hAnsi="Times New Roman" w:cs="Times New Roman"/>
                <w:sz w:val="21"/>
                <w:szCs w:val="21"/>
                <w:lang w:eastAsia="zh-CN"/>
              </w:rPr>
            </w:pPr>
            <w:r>
              <w:rPr>
                <w:rFonts w:hint="eastAsia"/>
                <w:sz w:val="21"/>
                <w:szCs w:val="21"/>
                <w:lang w:eastAsia="zh-CN"/>
              </w:rPr>
              <w:t>后王庄村拆迁后，4a类区无超标；2类区超标4户，安装通风隔声窗48</w:t>
            </w:r>
            <w:r>
              <w:rPr>
                <w:sz w:val="21"/>
                <w:szCs w:val="21"/>
                <w:lang w:eastAsia="zh-CN"/>
              </w:rPr>
              <w:t>m</w:t>
            </w:r>
            <w:r>
              <w:rPr>
                <w:sz w:val="21"/>
                <w:szCs w:val="21"/>
                <w:vertAlign w:val="superscript"/>
                <w:lang w:eastAsia="zh-CN"/>
              </w:rPr>
              <w:t>2</w:t>
            </w:r>
          </w:p>
        </w:tc>
        <w:tc>
          <w:tcPr>
            <w:tcW w:w="204" w:type="pct"/>
            <w:vAlign w:val="center"/>
          </w:tcPr>
          <w:p>
            <w:pPr>
              <w:spacing w:line="240" w:lineRule="auto"/>
              <w:ind w:firstLine="0" w:firstLineChars="0"/>
              <w:jc w:val="center"/>
              <w:rPr>
                <w:sz w:val="21"/>
              </w:rPr>
            </w:pPr>
            <w:r>
              <w:rPr>
                <w:sz w:val="21"/>
              </w:rPr>
              <w:t>58.38</w:t>
            </w:r>
          </w:p>
        </w:tc>
        <w:tc>
          <w:tcPr>
            <w:tcW w:w="203" w:type="pct"/>
            <w:vAlign w:val="center"/>
          </w:tcPr>
          <w:p>
            <w:pPr>
              <w:spacing w:line="240" w:lineRule="auto"/>
              <w:ind w:firstLine="0" w:firstLineChars="0"/>
              <w:jc w:val="center"/>
              <w:rPr>
                <w:sz w:val="21"/>
              </w:rPr>
            </w:pPr>
            <w:r>
              <w:rPr>
                <w:sz w:val="21"/>
              </w:rPr>
              <w:t>52.96</w:t>
            </w:r>
          </w:p>
        </w:tc>
        <w:tc>
          <w:tcPr>
            <w:tcW w:w="237" w:type="pct"/>
            <w:vAlign w:val="center"/>
          </w:tcPr>
          <w:p>
            <w:pPr>
              <w:spacing w:line="240" w:lineRule="auto"/>
              <w:ind w:firstLine="0" w:firstLineChars="0"/>
              <w:jc w:val="center"/>
              <w:rPr>
                <w:rFonts w:ascii="宋体" w:hAnsi="宋体" w:cs="宋体"/>
                <w:sz w:val="21"/>
              </w:rPr>
            </w:pPr>
            <w:r>
              <w:rPr>
                <w:rFonts w:hint="eastAsia"/>
                <w:sz w:val="21"/>
              </w:rPr>
              <w:t>31.38</w:t>
            </w:r>
          </w:p>
        </w:tc>
        <w:tc>
          <w:tcPr>
            <w:tcW w:w="202" w:type="pct"/>
            <w:vAlign w:val="center"/>
          </w:tcPr>
          <w:p>
            <w:pPr>
              <w:spacing w:line="240" w:lineRule="auto"/>
              <w:ind w:firstLine="0" w:firstLineChars="0"/>
              <w:jc w:val="center"/>
              <w:rPr>
                <w:rFonts w:ascii="宋体" w:hAnsi="宋体" w:cs="宋体"/>
                <w:sz w:val="21"/>
              </w:rPr>
            </w:pPr>
            <w:r>
              <w:rPr>
                <w:rFonts w:hint="eastAsia"/>
                <w:sz w:val="21"/>
              </w:rPr>
              <w:t>25.96</w:t>
            </w:r>
          </w:p>
        </w:tc>
        <w:tc>
          <w:tcPr>
            <w:tcW w:w="304"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5.76</w:t>
            </w: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7</w:t>
            </w:r>
          </w:p>
        </w:tc>
        <w:tc>
          <w:tcPr>
            <w:tcW w:w="892"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前辅村</w:t>
            </w:r>
            <w:r>
              <w:rPr>
                <w:rFonts w:ascii="Times New Roman" w:hAnsi="Times New Roman" w:cs="Times New Roman"/>
                <w:sz w:val="21"/>
                <w:szCs w:val="21"/>
                <w:lang w:eastAsia="zh-CN"/>
              </w:rPr>
              <w:t>：新建路段</w:t>
            </w:r>
          </w:p>
          <w:p>
            <w:pPr>
              <w:pStyle w:val="675"/>
              <w:jc w:val="center"/>
              <w:rPr>
                <w:rFonts w:ascii="Times New Roman" w:hAnsi="Times New Roman" w:cs="Times New Roman"/>
                <w:sz w:val="21"/>
                <w:szCs w:val="21"/>
                <w:lang w:eastAsia="zh-CN"/>
              </w:rPr>
            </w:pPr>
            <w:r>
              <w:rPr>
                <w:sz w:val="21"/>
                <w:szCs w:val="21"/>
              </w:rPr>
              <w:t>K8+650~K9+150</w:t>
            </w:r>
          </w:p>
        </w:tc>
        <w:tc>
          <w:tcPr>
            <w:tcW w:w="259" w:type="pct"/>
            <w:vAlign w:val="center"/>
          </w:tcPr>
          <w:p>
            <w:pPr>
              <w:spacing w:line="240" w:lineRule="auto"/>
              <w:ind w:firstLine="0" w:firstLineChars="0"/>
              <w:jc w:val="center"/>
              <w:rPr>
                <w:kern w:val="0"/>
                <w:sz w:val="21"/>
              </w:rPr>
            </w:pPr>
            <w:r>
              <w:rPr>
                <w:kern w:val="0"/>
                <w:sz w:val="21"/>
              </w:rPr>
              <w:t>160</w:t>
            </w:r>
          </w:p>
        </w:tc>
        <w:tc>
          <w:tcPr>
            <w:tcW w:w="230" w:type="pct"/>
            <w:vAlign w:val="center"/>
          </w:tcPr>
          <w:p>
            <w:pPr>
              <w:spacing w:line="240" w:lineRule="auto"/>
              <w:ind w:firstLine="0" w:firstLineChars="0"/>
              <w:jc w:val="center"/>
              <w:rPr>
                <w:kern w:val="0"/>
                <w:sz w:val="21"/>
              </w:rPr>
            </w:pPr>
            <w:r>
              <w:rPr>
                <w:kern w:val="0"/>
                <w:sz w:val="21"/>
              </w:rPr>
              <w:t>148</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2</w:t>
            </w:r>
          </w:p>
        </w:tc>
        <w:tc>
          <w:tcPr>
            <w:tcW w:w="316"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2</w:t>
            </w:r>
          </w:p>
        </w:tc>
        <w:tc>
          <w:tcPr>
            <w:tcW w:w="1191" w:type="pct"/>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前辅村2类区超标2户，安装通风隔声窗24</w:t>
            </w:r>
            <w:r>
              <w:rPr>
                <w:sz w:val="21"/>
                <w:szCs w:val="21"/>
                <w:lang w:eastAsia="zh-CN"/>
              </w:rPr>
              <w:t>m</w:t>
            </w:r>
            <w:r>
              <w:rPr>
                <w:sz w:val="21"/>
                <w:szCs w:val="21"/>
                <w:vertAlign w:val="superscript"/>
                <w:lang w:eastAsia="zh-CN"/>
              </w:rPr>
              <w:t>2</w:t>
            </w:r>
          </w:p>
        </w:tc>
        <w:tc>
          <w:tcPr>
            <w:tcW w:w="204" w:type="pct"/>
            <w:vAlign w:val="center"/>
          </w:tcPr>
          <w:p>
            <w:pPr>
              <w:spacing w:line="240" w:lineRule="auto"/>
              <w:ind w:firstLine="0" w:firstLineChars="0"/>
              <w:jc w:val="center"/>
              <w:rPr>
                <w:sz w:val="21"/>
              </w:rPr>
            </w:pPr>
            <w:r>
              <w:rPr>
                <w:sz w:val="21"/>
              </w:rPr>
              <w:t>56.18</w:t>
            </w:r>
          </w:p>
        </w:tc>
        <w:tc>
          <w:tcPr>
            <w:tcW w:w="203" w:type="pct"/>
            <w:vAlign w:val="center"/>
          </w:tcPr>
          <w:p>
            <w:pPr>
              <w:spacing w:line="240" w:lineRule="auto"/>
              <w:ind w:firstLine="0" w:firstLineChars="0"/>
              <w:jc w:val="center"/>
              <w:rPr>
                <w:sz w:val="21"/>
              </w:rPr>
            </w:pPr>
            <w:r>
              <w:rPr>
                <w:sz w:val="21"/>
              </w:rPr>
              <w:t>50.23</w:t>
            </w:r>
          </w:p>
        </w:tc>
        <w:tc>
          <w:tcPr>
            <w:tcW w:w="237" w:type="pct"/>
            <w:vAlign w:val="center"/>
          </w:tcPr>
          <w:p>
            <w:pPr>
              <w:spacing w:line="240" w:lineRule="auto"/>
              <w:ind w:firstLine="0" w:firstLineChars="0"/>
              <w:jc w:val="center"/>
              <w:rPr>
                <w:rFonts w:ascii="宋体" w:hAnsi="宋体" w:cs="宋体"/>
                <w:sz w:val="21"/>
              </w:rPr>
            </w:pPr>
            <w:r>
              <w:rPr>
                <w:rFonts w:hint="eastAsia"/>
                <w:sz w:val="21"/>
              </w:rPr>
              <w:t>29.18</w:t>
            </w:r>
          </w:p>
        </w:tc>
        <w:tc>
          <w:tcPr>
            <w:tcW w:w="202" w:type="pct"/>
            <w:vAlign w:val="center"/>
          </w:tcPr>
          <w:p>
            <w:pPr>
              <w:spacing w:line="240" w:lineRule="auto"/>
              <w:ind w:firstLine="0" w:firstLineChars="0"/>
              <w:jc w:val="center"/>
              <w:rPr>
                <w:rFonts w:ascii="宋体" w:hAnsi="宋体" w:cs="宋体"/>
                <w:sz w:val="21"/>
              </w:rPr>
            </w:pPr>
            <w:r>
              <w:rPr>
                <w:rFonts w:hint="eastAsia"/>
                <w:sz w:val="21"/>
              </w:rPr>
              <w:t>23.23</w:t>
            </w:r>
          </w:p>
        </w:tc>
        <w:tc>
          <w:tcPr>
            <w:tcW w:w="304" w:type="pct"/>
            <w:vAlign w:val="center"/>
          </w:tcPr>
          <w:p>
            <w:pPr>
              <w:spacing w:line="240" w:lineRule="auto"/>
              <w:ind w:firstLine="0" w:firstLineChars="0"/>
              <w:jc w:val="center"/>
              <w:rPr>
                <w:sz w:val="21"/>
              </w:rPr>
            </w:pPr>
            <w:r>
              <w:rPr>
                <w:rFonts w:hint="eastAsia"/>
                <w:sz w:val="21"/>
              </w:rPr>
              <w:t>2.88</w:t>
            </w:r>
          </w:p>
        </w:tc>
        <w:tc>
          <w:tcPr>
            <w:tcW w:w="472" w:type="pct"/>
            <w:vMerge w:val="continue"/>
            <w:vAlign w:val="center"/>
          </w:tcPr>
          <w:p>
            <w:pPr>
              <w:spacing w:line="240" w:lineRule="auto"/>
              <w:ind w:firstLine="0" w:firstLineChars="0"/>
              <w:jc w:val="center"/>
              <w:rPr>
                <w:kern w:val="0"/>
                <w:sz w:val="21"/>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8</w:t>
            </w:r>
          </w:p>
        </w:tc>
        <w:tc>
          <w:tcPr>
            <w:tcW w:w="892" w:type="pct"/>
            <w:vAlign w:val="center"/>
          </w:tcPr>
          <w:p>
            <w:pPr>
              <w:pStyle w:val="675"/>
              <w:jc w:val="center"/>
              <w:rPr>
                <w:sz w:val="21"/>
                <w:szCs w:val="21"/>
              </w:rPr>
            </w:pPr>
            <w:r>
              <w:rPr>
                <w:rFonts w:ascii="Times New Roman" w:hAnsi="Times New Roman" w:cs="Times New Roman"/>
                <w:sz w:val="21"/>
                <w:szCs w:val="21"/>
                <w:lang w:eastAsia="zh-CN"/>
              </w:rPr>
              <w:t>白方寺村：新建路段</w:t>
            </w:r>
            <w:r>
              <w:rPr>
                <w:sz w:val="21"/>
                <w:szCs w:val="21"/>
              </w:rPr>
              <w:t>K13+420~K14+33</w:t>
            </w:r>
          </w:p>
        </w:tc>
        <w:tc>
          <w:tcPr>
            <w:tcW w:w="259" w:type="pct"/>
            <w:vAlign w:val="center"/>
          </w:tcPr>
          <w:p>
            <w:pPr>
              <w:spacing w:line="240" w:lineRule="auto"/>
              <w:ind w:firstLine="0" w:firstLineChars="0"/>
              <w:jc w:val="center"/>
              <w:rPr>
                <w:kern w:val="0"/>
                <w:sz w:val="21"/>
              </w:rPr>
            </w:pPr>
            <w:r>
              <w:rPr>
                <w:kern w:val="0"/>
                <w:sz w:val="21"/>
              </w:rPr>
              <w:t>86</w:t>
            </w:r>
          </w:p>
        </w:tc>
        <w:tc>
          <w:tcPr>
            <w:tcW w:w="230" w:type="pct"/>
            <w:vAlign w:val="center"/>
          </w:tcPr>
          <w:p>
            <w:pPr>
              <w:spacing w:line="240" w:lineRule="auto"/>
              <w:ind w:firstLine="0" w:firstLineChars="0"/>
              <w:jc w:val="center"/>
              <w:rPr>
                <w:kern w:val="0"/>
                <w:sz w:val="21"/>
              </w:rPr>
            </w:pPr>
            <w:r>
              <w:rPr>
                <w:kern w:val="0"/>
                <w:sz w:val="21"/>
              </w:rPr>
              <w:t>74</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2</w:t>
            </w:r>
          </w:p>
        </w:tc>
        <w:tc>
          <w:tcPr>
            <w:tcW w:w="316"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12</w:t>
            </w:r>
          </w:p>
        </w:tc>
        <w:tc>
          <w:tcPr>
            <w:tcW w:w="1191" w:type="pct"/>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白方寺村2类区超标12户，安装通风隔声窗144</w:t>
            </w:r>
            <w:r>
              <w:rPr>
                <w:sz w:val="21"/>
                <w:szCs w:val="21"/>
                <w:lang w:eastAsia="zh-CN"/>
              </w:rPr>
              <w:t>m</w:t>
            </w:r>
            <w:r>
              <w:rPr>
                <w:sz w:val="21"/>
                <w:szCs w:val="21"/>
                <w:vertAlign w:val="superscript"/>
                <w:lang w:eastAsia="zh-CN"/>
              </w:rPr>
              <w:t>2</w:t>
            </w:r>
          </w:p>
        </w:tc>
        <w:tc>
          <w:tcPr>
            <w:tcW w:w="204" w:type="pct"/>
            <w:vAlign w:val="center"/>
          </w:tcPr>
          <w:p>
            <w:pPr>
              <w:spacing w:line="240" w:lineRule="auto"/>
              <w:ind w:firstLine="0" w:firstLineChars="0"/>
              <w:jc w:val="center"/>
              <w:rPr>
                <w:sz w:val="21"/>
              </w:rPr>
            </w:pPr>
            <w:r>
              <w:rPr>
                <w:sz w:val="21"/>
              </w:rPr>
              <w:t>57.73</w:t>
            </w:r>
          </w:p>
        </w:tc>
        <w:tc>
          <w:tcPr>
            <w:tcW w:w="203" w:type="pct"/>
            <w:vAlign w:val="center"/>
          </w:tcPr>
          <w:p>
            <w:pPr>
              <w:spacing w:line="240" w:lineRule="auto"/>
              <w:ind w:firstLine="0" w:firstLineChars="0"/>
              <w:jc w:val="center"/>
              <w:rPr>
                <w:sz w:val="21"/>
              </w:rPr>
            </w:pPr>
            <w:r>
              <w:rPr>
                <w:sz w:val="21"/>
              </w:rPr>
              <w:t>52.20</w:t>
            </w:r>
          </w:p>
        </w:tc>
        <w:tc>
          <w:tcPr>
            <w:tcW w:w="237" w:type="pct"/>
            <w:vAlign w:val="center"/>
          </w:tcPr>
          <w:p>
            <w:pPr>
              <w:spacing w:line="240" w:lineRule="auto"/>
              <w:ind w:firstLine="0" w:firstLineChars="0"/>
              <w:jc w:val="center"/>
              <w:rPr>
                <w:rFonts w:ascii="宋体" w:hAnsi="宋体" w:cs="宋体"/>
                <w:sz w:val="21"/>
              </w:rPr>
            </w:pPr>
            <w:r>
              <w:rPr>
                <w:rFonts w:hint="eastAsia"/>
                <w:sz w:val="21"/>
              </w:rPr>
              <w:t>30.73</w:t>
            </w:r>
          </w:p>
        </w:tc>
        <w:tc>
          <w:tcPr>
            <w:tcW w:w="202" w:type="pct"/>
            <w:vAlign w:val="center"/>
          </w:tcPr>
          <w:p>
            <w:pPr>
              <w:spacing w:line="240" w:lineRule="auto"/>
              <w:ind w:firstLine="0" w:firstLineChars="0"/>
              <w:jc w:val="center"/>
              <w:rPr>
                <w:rFonts w:ascii="宋体" w:hAnsi="宋体" w:cs="宋体"/>
                <w:sz w:val="21"/>
              </w:rPr>
            </w:pPr>
            <w:r>
              <w:rPr>
                <w:rFonts w:hint="eastAsia"/>
                <w:sz w:val="21"/>
              </w:rPr>
              <w:t>25.2</w:t>
            </w:r>
          </w:p>
        </w:tc>
        <w:tc>
          <w:tcPr>
            <w:tcW w:w="304" w:type="pct"/>
            <w:vAlign w:val="center"/>
          </w:tcPr>
          <w:p>
            <w:pPr>
              <w:spacing w:line="240" w:lineRule="auto"/>
              <w:ind w:firstLine="0" w:firstLineChars="0"/>
              <w:jc w:val="center"/>
              <w:rPr>
                <w:sz w:val="21"/>
              </w:rPr>
            </w:pPr>
            <w:r>
              <w:rPr>
                <w:rFonts w:hint="eastAsia"/>
                <w:sz w:val="21"/>
              </w:rPr>
              <w:t>17.28</w:t>
            </w:r>
          </w:p>
        </w:tc>
        <w:tc>
          <w:tcPr>
            <w:tcW w:w="472" w:type="pct"/>
            <w:vMerge w:val="continue"/>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9</w:t>
            </w:r>
          </w:p>
        </w:tc>
        <w:tc>
          <w:tcPr>
            <w:tcW w:w="892" w:type="pct"/>
            <w:vAlign w:val="center"/>
          </w:tcPr>
          <w:p>
            <w:pPr>
              <w:spacing w:line="240" w:lineRule="auto"/>
              <w:ind w:firstLine="0" w:firstLineChars="0"/>
              <w:jc w:val="center"/>
              <w:rPr>
                <w:sz w:val="21"/>
              </w:rPr>
            </w:pPr>
            <w:r>
              <w:rPr>
                <w:sz w:val="21"/>
              </w:rPr>
              <w:t>学汉坨村：新建路段K14+440~K15+140</w:t>
            </w:r>
          </w:p>
        </w:tc>
        <w:tc>
          <w:tcPr>
            <w:tcW w:w="259" w:type="pct"/>
            <w:vAlign w:val="center"/>
          </w:tcPr>
          <w:p>
            <w:pPr>
              <w:spacing w:line="240" w:lineRule="auto"/>
              <w:ind w:firstLine="0" w:firstLineChars="0"/>
              <w:jc w:val="center"/>
              <w:rPr>
                <w:kern w:val="0"/>
                <w:sz w:val="21"/>
              </w:rPr>
            </w:pPr>
            <w:r>
              <w:rPr>
                <w:kern w:val="0"/>
                <w:sz w:val="21"/>
              </w:rPr>
              <w:t>116</w:t>
            </w:r>
          </w:p>
        </w:tc>
        <w:tc>
          <w:tcPr>
            <w:tcW w:w="230" w:type="pct"/>
            <w:vAlign w:val="center"/>
          </w:tcPr>
          <w:p>
            <w:pPr>
              <w:spacing w:line="240" w:lineRule="auto"/>
              <w:ind w:firstLine="0" w:firstLineChars="0"/>
              <w:jc w:val="center"/>
              <w:rPr>
                <w:kern w:val="0"/>
                <w:sz w:val="21"/>
              </w:rPr>
            </w:pPr>
            <w:r>
              <w:rPr>
                <w:kern w:val="0"/>
                <w:sz w:val="21"/>
              </w:rPr>
              <w:t>104</w:t>
            </w:r>
          </w:p>
        </w:tc>
        <w:tc>
          <w:tcPr>
            <w:tcW w:w="230" w:type="pct"/>
            <w:vAlign w:val="center"/>
          </w:tcPr>
          <w:p>
            <w:pPr>
              <w:spacing w:line="240" w:lineRule="auto"/>
              <w:ind w:firstLine="0" w:firstLineChars="0"/>
              <w:jc w:val="center"/>
              <w:rPr>
                <w:sz w:val="21"/>
              </w:rPr>
            </w:pPr>
            <w:r>
              <w:rPr>
                <w:sz w:val="21"/>
              </w:rPr>
              <w:t>-2</w:t>
            </w:r>
          </w:p>
        </w:tc>
        <w:tc>
          <w:tcPr>
            <w:tcW w:w="202"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2</w:t>
            </w:r>
          </w:p>
        </w:tc>
        <w:tc>
          <w:tcPr>
            <w:tcW w:w="316"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4</w:t>
            </w:r>
          </w:p>
        </w:tc>
        <w:tc>
          <w:tcPr>
            <w:tcW w:w="1191" w:type="pct"/>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学汉坨村2类区超标4户，安装通风隔声窗48</w:t>
            </w:r>
            <w:r>
              <w:rPr>
                <w:sz w:val="21"/>
                <w:szCs w:val="21"/>
                <w:lang w:eastAsia="zh-CN"/>
              </w:rPr>
              <w:t>m</w:t>
            </w:r>
            <w:r>
              <w:rPr>
                <w:sz w:val="21"/>
                <w:szCs w:val="21"/>
                <w:vertAlign w:val="superscript"/>
                <w:lang w:eastAsia="zh-CN"/>
              </w:rPr>
              <w:t>2</w:t>
            </w:r>
          </w:p>
        </w:tc>
        <w:tc>
          <w:tcPr>
            <w:tcW w:w="204" w:type="pct"/>
            <w:vAlign w:val="center"/>
          </w:tcPr>
          <w:p>
            <w:pPr>
              <w:spacing w:line="240" w:lineRule="auto"/>
              <w:ind w:firstLine="0" w:firstLineChars="0"/>
              <w:jc w:val="center"/>
              <w:rPr>
                <w:sz w:val="21"/>
              </w:rPr>
            </w:pPr>
            <w:r>
              <w:rPr>
                <w:sz w:val="21"/>
              </w:rPr>
              <w:t>56.31</w:t>
            </w:r>
          </w:p>
        </w:tc>
        <w:tc>
          <w:tcPr>
            <w:tcW w:w="203" w:type="pct"/>
            <w:vAlign w:val="center"/>
          </w:tcPr>
          <w:p>
            <w:pPr>
              <w:spacing w:line="240" w:lineRule="auto"/>
              <w:ind w:firstLine="0" w:firstLineChars="0"/>
              <w:jc w:val="center"/>
              <w:rPr>
                <w:sz w:val="21"/>
              </w:rPr>
            </w:pPr>
            <w:r>
              <w:rPr>
                <w:sz w:val="21"/>
              </w:rPr>
              <w:t>50.40</w:t>
            </w:r>
          </w:p>
        </w:tc>
        <w:tc>
          <w:tcPr>
            <w:tcW w:w="237" w:type="pct"/>
            <w:vAlign w:val="center"/>
          </w:tcPr>
          <w:p>
            <w:pPr>
              <w:spacing w:line="240" w:lineRule="auto"/>
              <w:ind w:firstLine="0" w:firstLineChars="0"/>
              <w:jc w:val="center"/>
              <w:rPr>
                <w:rFonts w:ascii="宋体" w:hAnsi="宋体" w:cs="宋体"/>
                <w:sz w:val="21"/>
              </w:rPr>
            </w:pPr>
            <w:r>
              <w:rPr>
                <w:rFonts w:hint="eastAsia"/>
                <w:sz w:val="21"/>
              </w:rPr>
              <w:t>29.31</w:t>
            </w:r>
          </w:p>
        </w:tc>
        <w:tc>
          <w:tcPr>
            <w:tcW w:w="202" w:type="pct"/>
            <w:vAlign w:val="center"/>
          </w:tcPr>
          <w:p>
            <w:pPr>
              <w:spacing w:line="240" w:lineRule="auto"/>
              <w:ind w:firstLine="0" w:firstLineChars="0"/>
              <w:jc w:val="center"/>
              <w:rPr>
                <w:rFonts w:ascii="宋体" w:hAnsi="宋体" w:cs="宋体"/>
                <w:sz w:val="21"/>
              </w:rPr>
            </w:pPr>
            <w:r>
              <w:rPr>
                <w:rFonts w:hint="eastAsia"/>
                <w:sz w:val="21"/>
              </w:rPr>
              <w:t>23.4</w:t>
            </w:r>
          </w:p>
        </w:tc>
        <w:tc>
          <w:tcPr>
            <w:tcW w:w="304" w:type="pct"/>
            <w:vAlign w:val="center"/>
          </w:tcPr>
          <w:p>
            <w:pPr>
              <w:spacing w:line="240" w:lineRule="auto"/>
              <w:ind w:firstLine="0" w:firstLineChars="0"/>
              <w:jc w:val="center"/>
              <w:rPr>
                <w:sz w:val="21"/>
              </w:rPr>
            </w:pPr>
            <w:r>
              <w:rPr>
                <w:rFonts w:hint="eastAsia"/>
                <w:sz w:val="21"/>
              </w:rPr>
              <w:t>5.76</w:t>
            </w:r>
          </w:p>
        </w:tc>
        <w:tc>
          <w:tcPr>
            <w:tcW w:w="472" w:type="pct"/>
            <w:vMerge w:val="continue"/>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10</w:t>
            </w:r>
          </w:p>
        </w:tc>
        <w:tc>
          <w:tcPr>
            <w:tcW w:w="892" w:type="pct"/>
            <w:vMerge w:val="restart"/>
            <w:vAlign w:val="center"/>
          </w:tcPr>
          <w:p>
            <w:pPr>
              <w:spacing w:line="240" w:lineRule="auto"/>
              <w:ind w:firstLine="0" w:firstLineChars="0"/>
              <w:jc w:val="center"/>
              <w:rPr>
                <w:sz w:val="21"/>
              </w:rPr>
            </w:pPr>
            <w:r>
              <w:rPr>
                <w:kern w:val="0"/>
                <w:sz w:val="21"/>
              </w:rPr>
              <w:t>骆各庄村</w:t>
            </w:r>
            <w:r>
              <w:rPr>
                <w:sz w:val="21"/>
              </w:rPr>
              <w:t>：新建路段K15+600~K17+000</w:t>
            </w:r>
          </w:p>
        </w:tc>
        <w:tc>
          <w:tcPr>
            <w:tcW w:w="259" w:type="pct"/>
            <w:vAlign w:val="center"/>
          </w:tcPr>
          <w:p>
            <w:pPr>
              <w:spacing w:line="240" w:lineRule="auto"/>
              <w:ind w:firstLine="0" w:firstLineChars="0"/>
              <w:jc w:val="center"/>
              <w:rPr>
                <w:kern w:val="0"/>
                <w:sz w:val="21"/>
              </w:rPr>
            </w:pPr>
            <w:r>
              <w:rPr>
                <w:kern w:val="0"/>
                <w:sz w:val="21"/>
              </w:rPr>
              <w:t>15</w:t>
            </w:r>
          </w:p>
        </w:tc>
        <w:tc>
          <w:tcPr>
            <w:tcW w:w="230" w:type="pct"/>
            <w:vAlign w:val="center"/>
          </w:tcPr>
          <w:p>
            <w:pPr>
              <w:spacing w:line="240" w:lineRule="auto"/>
              <w:ind w:firstLine="0" w:firstLineChars="0"/>
              <w:jc w:val="center"/>
              <w:rPr>
                <w:kern w:val="0"/>
                <w:sz w:val="21"/>
              </w:rPr>
            </w:pPr>
            <w:r>
              <w:rPr>
                <w:kern w:val="0"/>
                <w:sz w:val="21"/>
              </w:rPr>
              <w:t>3</w:t>
            </w:r>
          </w:p>
        </w:tc>
        <w:tc>
          <w:tcPr>
            <w:tcW w:w="230" w:type="pct"/>
            <w:vAlign w:val="center"/>
          </w:tcPr>
          <w:p>
            <w:pPr>
              <w:spacing w:line="240" w:lineRule="auto"/>
              <w:ind w:firstLine="0" w:firstLineChars="0"/>
              <w:jc w:val="center"/>
              <w:rPr>
                <w:sz w:val="21"/>
              </w:rPr>
            </w:pPr>
            <w:r>
              <w:rPr>
                <w:sz w:val="21"/>
              </w:rPr>
              <w:t>0</w:t>
            </w:r>
          </w:p>
        </w:tc>
        <w:tc>
          <w:tcPr>
            <w:tcW w:w="202"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4a</w:t>
            </w:r>
          </w:p>
        </w:tc>
        <w:tc>
          <w:tcPr>
            <w:tcW w:w="316"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11</w:t>
            </w:r>
          </w:p>
        </w:tc>
        <w:tc>
          <w:tcPr>
            <w:tcW w:w="1191" w:type="pct"/>
            <w:vMerge w:val="restart"/>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骆各庄村有2户涉及道路红线需拆迁，拆迁后4a类区超标11户，安装通风隔声窗132</w:t>
            </w:r>
            <w:r>
              <w:rPr>
                <w:sz w:val="21"/>
                <w:szCs w:val="21"/>
                <w:lang w:eastAsia="zh-CN"/>
              </w:rPr>
              <w:t>m</w:t>
            </w:r>
            <w:r>
              <w:rPr>
                <w:sz w:val="21"/>
                <w:szCs w:val="21"/>
                <w:vertAlign w:val="superscript"/>
                <w:lang w:eastAsia="zh-CN"/>
              </w:rPr>
              <w:t>2</w:t>
            </w:r>
            <w:r>
              <w:rPr>
                <w:rFonts w:hint="eastAsia"/>
                <w:sz w:val="21"/>
                <w:szCs w:val="21"/>
                <w:lang w:eastAsia="zh-CN"/>
              </w:rPr>
              <w:t>；2类区超标21户，安装通风隔声窗252</w:t>
            </w:r>
            <w:r>
              <w:rPr>
                <w:sz w:val="21"/>
                <w:szCs w:val="21"/>
                <w:lang w:eastAsia="zh-CN"/>
              </w:rPr>
              <w:t>m</w:t>
            </w:r>
            <w:r>
              <w:rPr>
                <w:sz w:val="21"/>
                <w:szCs w:val="21"/>
                <w:vertAlign w:val="superscript"/>
                <w:lang w:eastAsia="zh-CN"/>
              </w:rPr>
              <w:t>2</w:t>
            </w:r>
            <w:r>
              <w:rPr>
                <w:rFonts w:hint="eastAsia"/>
                <w:sz w:val="21"/>
                <w:szCs w:val="21"/>
                <w:lang w:eastAsia="zh-CN"/>
              </w:rPr>
              <w:t>。建议临路住户</w:t>
            </w:r>
            <w:r>
              <w:rPr>
                <w:sz w:val="21"/>
                <w:szCs w:val="21"/>
                <w:lang w:eastAsia="zh-CN"/>
              </w:rPr>
              <w:t>改变使用功能，将其改为快餐店、零售店、维修场所等</w:t>
            </w:r>
            <w:r>
              <w:rPr>
                <w:rFonts w:hint="eastAsia"/>
                <w:sz w:val="21"/>
                <w:szCs w:val="21"/>
                <w:lang w:eastAsia="zh-CN"/>
              </w:rPr>
              <w:t>，</w:t>
            </w:r>
            <w:r>
              <w:rPr>
                <w:sz w:val="21"/>
                <w:szCs w:val="21"/>
                <w:lang w:eastAsia="zh-CN"/>
              </w:rPr>
              <w:t>增加居民收入</w:t>
            </w:r>
          </w:p>
        </w:tc>
        <w:tc>
          <w:tcPr>
            <w:tcW w:w="204" w:type="pct"/>
            <w:vAlign w:val="center"/>
          </w:tcPr>
          <w:p>
            <w:pPr>
              <w:spacing w:line="240" w:lineRule="auto"/>
              <w:ind w:firstLine="0" w:firstLineChars="0"/>
              <w:jc w:val="center"/>
              <w:rPr>
                <w:sz w:val="21"/>
              </w:rPr>
            </w:pPr>
            <w:r>
              <w:rPr>
                <w:sz w:val="21"/>
              </w:rPr>
              <w:t>63.92</w:t>
            </w:r>
          </w:p>
        </w:tc>
        <w:tc>
          <w:tcPr>
            <w:tcW w:w="203" w:type="pct"/>
            <w:vAlign w:val="center"/>
          </w:tcPr>
          <w:p>
            <w:pPr>
              <w:spacing w:line="240" w:lineRule="auto"/>
              <w:ind w:firstLine="0" w:firstLineChars="0"/>
              <w:jc w:val="center"/>
              <w:rPr>
                <w:sz w:val="21"/>
              </w:rPr>
            </w:pPr>
            <w:r>
              <w:rPr>
                <w:sz w:val="21"/>
              </w:rPr>
              <w:t>59.03</w:t>
            </w:r>
          </w:p>
        </w:tc>
        <w:tc>
          <w:tcPr>
            <w:tcW w:w="237" w:type="pct"/>
            <w:vAlign w:val="center"/>
          </w:tcPr>
          <w:p>
            <w:pPr>
              <w:spacing w:line="240" w:lineRule="auto"/>
              <w:ind w:firstLine="0" w:firstLineChars="0"/>
              <w:jc w:val="center"/>
              <w:rPr>
                <w:rFonts w:ascii="宋体" w:hAnsi="宋体" w:cs="宋体"/>
                <w:sz w:val="21"/>
              </w:rPr>
            </w:pPr>
            <w:r>
              <w:rPr>
                <w:rFonts w:hint="eastAsia"/>
                <w:sz w:val="21"/>
              </w:rPr>
              <w:t>36.92</w:t>
            </w:r>
          </w:p>
        </w:tc>
        <w:tc>
          <w:tcPr>
            <w:tcW w:w="202" w:type="pct"/>
            <w:vAlign w:val="center"/>
          </w:tcPr>
          <w:p>
            <w:pPr>
              <w:spacing w:line="240" w:lineRule="auto"/>
              <w:ind w:firstLine="0" w:firstLineChars="0"/>
              <w:jc w:val="center"/>
              <w:rPr>
                <w:rFonts w:ascii="宋体" w:hAnsi="宋体" w:cs="宋体"/>
                <w:sz w:val="21"/>
              </w:rPr>
            </w:pPr>
            <w:r>
              <w:rPr>
                <w:rFonts w:hint="eastAsia"/>
                <w:sz w:val="21"/>
              </w:rPr>
              <w:t>32.03</w:t>
            </w:r>
          </w:p>
        </w:tc>
        <w:tc>
          <w:tcPr>
            <w:tcW w:w="304" w:type="pct"/>
            <w:vMerge w:val="restart"/>
            <w:vAlign w:val="center"/>
          </w:tcPr>
          <w:p>
            <w:pPr>
              <w:spacing w:line="240" w:lineRule="auto"/>
              <w:ind w:firstLine="0" w:firstLineChars="0"/>
              <w:jc w:val="center"/>
              <w:rPr>
                <w:sz w:val="21"/>
              </w:rPr>
            </w:pPr>
            <w:r>
              <w:rPr>
                <w:rFonts w:hint="eastAsia"/>
                <w:sz w:val="21"/>
              </w:rPr>
              <w:t>46.08</w:t>
            </w:r>
          </w:p>
        </w:tc>
        <w:tc>
          <w:tcPr>
            <w:tcW w:w="472" w:type="pct"/>
            <w:vMerge w:val="continue"/>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bCs/>
                <w:sz w:val="21"/>
                <w:szCs w:val="21"/>
                <w:lang w:eastAsia="zh-CN"/>
              </w:rPr>
            </w:pPr>
          </w:p>
        </w:tc>
        <w:tc>
          <w:tcPr>
            <w:tcW w:w="892" w:type="pct"/>
            <w:vMerge w:val="continue"/>
            <w:vAlign w:val="center"/>
          </w:tcPr>
          <w:p>
            <w:pPr>
              <w:spacing w:line="240" w:lineRule="auto"/>
              <w:ind w:firstLine="0" w:firstLineChars="0"/>
              <w:jc w:val="center"/>
              <w:rPr>
                <w:kern w:val="0"/>
                <w:sz w:val="21"/>
              </w:rPr>
            </w:pPr>
          </w:p>
        </w:tc>
        <w:tc>
          <w:tcPr>
            <w:tcW w:w="259" w:type="pct"/>
            <w:vAlign w:val="center"/>
          </w:tcPr>
          <w:p>
            <w:pPr>
              <w:spacing w:line="240" w:lineRule="auto"/>
              <w:ind w:firstLine="0" w:firstLineChars="0"/>
              <w:jc w:val="center"/>
              <w:rPr>
                <w:sz w:val="21"/>
              </w:rPr>
            </w:pPr>
            <w:r>
              <w:rPr>
                <w:sz w:val="21"/>
              </w:rPr>
              <w:t>59</w:t>
            </w:r>
          </w:p>
        </w:tc>
        <w:tc>
          <w:tcPr>
            <w:tcW w:w="230" w:type="pct"/>
            <w:vAlign w:val="center"/>
          </w:tcPr>
          <w:p>
            <w:pPr>
              <w:spacing w:line="240" w:lineRule="auto"/>
              <w:ind w:firstLine="0" w:firstLineChars="0"/>
              <w:jc w:val="center"/>
              <w:rPr>
                <w:sz w:val="21"/>
              </w:rPr>
            </w:pPr>
            <w:r>
              <w:rPr>
                <w:sz w:val="21"/>
              </w:rPr>
              <w:t>47</w:t>
            </w:r>
          </w:p>
        </w:tc>
        <w:tc>
          <w:tcPr>
            <w:tcW w:w="230" w:type="pct"/>
            <w:vAlign w:val="center"/>
          </w:tcPr>
          <w:p>
            <w:pPr>
              <w:spacing w:line="240" w:lineRule="auto"/>
              <w:ind w:firstLine="0" w:firstLineChars="0"/>
              <w:jc w:val="center"/>
              <w:rPr>
                <w:sz w:val="21"/>
              </w:rPr>
            </w:pPr>
            <w:r>
              <w:rPr>
                <w:sz w:val="21"/>
              </w:rPr>
              <w:t>0</w:t>
            </w:r>
          </w:p>
        </w:tc>
        <w:tc>
          <w:tcPr>
            <w:tcW w:w="202"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2</w:t>
            </w:r>
          </w:p>
        </w:tc>
        <w:tc>
          <w:tcPr>
            <w:tcW w:w="316" w:type="pct"/>
            <w:gridSpan w:val="2"/>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21</w:t>
            </w:r>
          </w:p>
        </w:tc>
        <w:tc>
          <w:tcPr>
            <w:tcW w:w="1191" w:type="pct"/>
            <w:vMerge w:val="continue"/>
            <w:vAlign w:val="center"/>
          </w:tcPr>
          <w:p>
            <w:pPr>
              <w:pStyle w:val="675"/>
              <w:jc w:val="center"/>
              <w:rPr>
                <w:rFonts w:asci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59.18</w:t>
            </w:r>
          </w:p>
        </w:tc>
        <w:tc>
          <w:tcPr>
            <w:tcW w:w="203" w:type="pct"/>
            <w:vAlign w:val="center"/>
          </w:tcPr>
          <w:p>
            <w:pPr>
              <w:spacing w:line="240" w:lineRule="auto"/>
              <w:ind w:firstLine="0" w:firstLineChars="0"/>
              <w:jc w:val="center"/>
              <w:rPr>
                <w:sz w:val="21"/>
              </w:rPr>
            </w:pPr>
            <w:r>
              <w:rPr>
                <w:sz w:val="21"/>
              </w:rPr>
              <w:t>53.89</w:t>
            </w:r>
          </w:p>
        </w:tc>
        <w:tc>
          <w:tcPr>
            <w:tcW w:w="237" w:type="pct"/>
            <w:vAlign w:val="center"/>
          </w:tcPr>
          <w:p>
            <w:pPr>
              <w:spacing w:line="240" w:lineRule="auto"/>
              <w:ind w:firstLine="0" w:firstLineChars="0"/>
              <w:jc w:val="center"/>
              <w:rPr>
                <w:rFonts w:ascii="宋体" w:hAnsi="宋体" w:cs="宋体"/>
                <w:sz w:val="21"/>
              </w:rPr>
            </w:pPr>
            <w:r>
              <w:rPr>
                <w:rFonts w:hint="eastAsia"/>
                <w:sz w:val="21"/>
              </w:rPr>
              <w:t>32.18</w:t>
            </w:r>
          </w:p>
        </w:tc>
        <w:tc>
          <w:tcPr>
            <w:tcW w:w="202" w:type="pct"/>
            <w:vAlign w:val="center"/>
          </w:tcPr>
          <w:p>
            <w:pPr>
              <w:spacing w:line="240" w:lineRule="auto"/>
              <w:ind w:firstLine="0" w:firstLineChars="0"/>
              <w:jc w:val="center"/>
              <w:rPr>
                <w:rFonts w:ascii="宋体" w:hAnsi="宋体" w:cs="宋体"/>
                <w:sz w:val="21"/>
              </w:rPr>
            </w:pPr>
            <w:r>
              <w:rPr>
                <w:rFonts w:hint="eastAsia"/>
                <w:sz w:val="21"/>
              </w:rPr>
              <w:t>26.89</w:t>
            </w:r>
          </w:p>
        </w:tc>
        <w:tc>
          <w:tcPr>
            <w:tcW w:w="304" w:type="pct"/>
            <w:vMerge w:val="continue"/>
            <w:vAlign w:val="center"/>
          </w:tcPr>
          <w:p>
            <w:pPr>
              <w:spacing w:line="240" w:lineRule="auto"/>
              <w:ind w:firstLine="0" w:firstLineChars="0"/>
              <w:jc w:val="center"/>
              <w:rPr>
                <w:sz w:val="21"/>
              </w:rPr>
            </w:pPr>
          </w:p>
        </w:tc>
        <w:tc>
          <w:tcPr>
            <w:tcW w:w="472" w:type="pct"/>
            <w:vMerge w:val="continue"/>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restar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1</w:t>
            </w:r>
            <w:r>
              <w:rPr>
                <w:rFonts w:hint="eastAsia" w:ascii="Times New Roman" w:hAnsi="Times New Roman" w:cs="Times New Roman"/>
                <w:bCs/>
                <w:sz w:val="21"/>
                <w:szCs w:val="21"/>
                <w:lang w:eastAsia="zh-CN"/>
              </w:rPr>
              <w:t>1</w:t>
            </w:r>
          </w:p>
        </w:tc>
        <w:tc>
          <w:tcPr>
            <w:tcW w:w="892" w:type="pct"/>
            <w:vMerge w:val="restart"/>
            <w:vAlign w:val="center"/>
          </w:tcPr>
          <w:p>
            <w:pPr>
              <w:pStyle w:val="675"/>
              <w:jc w:val="center"/>
              <w:rPr>
                <w:rFonts w:ascii="Times New Roman" w:hAnsi="Times New Roman" w:cs="Times New Roman"/>
                <w:sz w:val="21"/>
                <w:szCs w:val="21"/>
                <w:lang w:eastAsia="zh-CN"/>
              </w:rPr>
            </w:pPr>
            <w:r>
              <w:rPr>
                <w:sz w:val="21"/>
                <w:szCs w:val="21"/>
                <w:lang w:eastAsia="zh-CN"/>
              </w:rPr>
              <w:t>吴家坑村：新建路段K16+980~K18+000</w:t>
            </w:r>
          </w:p>
        </w:tc>
        <w:tc>
          <w:tcPr>
            <w:tcW w:w="259" w:type="pct"/>
            <w:vAlign w:val="center"/>
          </w:tcPr>
          <w:p>
            <w:pPr>
              <w:spacing w:line="240" w:lineRule="auto"/>
              <w:ind w:firstLine="0" w:firstLineChars="0"/>
              <w:jc w:val="center"/>
              <w:rPr>
                <w:sz w:val="21"/>
              </w:rPr>
            </w:pPr>
            <w:r>
              <w:rPr>
                <w:sz w:val="21"/>
              </w:rPr>
              <w:t>25</w:t>
            </w:r>
          </w:p>
        </w:tc>
        <w:tc>
          <w:tcPr>
            <w:tcW w:w="230" w:type="pct"/>
            <w:vAlign w:val="center"/>
          </w:tcPr>
          <w:p>
            <w:pPr>
              <w:spacing w:line="240" w:lineRule="auto"/>
              <w:ind w:firstLine="0" w:firstLineChars="0"/>
              <w:jc w:val="center"/>
              <w:rPr>
                <w:sz w:val="21"/>
              </w:rPr>
            </w:pPr>
            <w:r>
              <w:rPr>
                <w:sz w:val="21"/>
              </w:rPr>
              <w:t>13</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spacing w:line="240" w:lineRule="auto"/>
              <w:ind w:firstLine="0" w:firstLineChars="0"/>
              <w:jc w:val="center"/>
              <w:rPr>
                <w:kern w:val="0"/>
                <w:sz w:val="21"/>
              </w:rPr>
            </w:pPr>
            <w:r>
              <w:rPr>
                <w:kern w:val="0"/>
                <w:sz w:val="21"/>
              </w:rPr>
              <w:t>4a</w:t>
            </w:r>
          </w:p>
        </w:tc>
        <w:tc>
          <w:tcPr>
            <w:tcW w:w="316" w:type="pct"/>
            <w:gridSpan w:val="2"/>
            <w:vAlign w:val="center"/>
          </w:tcPr>
          <w:p>
            <w:pPr>
              <w:spacing w:line="240" w:lineRule="auto"/>
              <w:ind w:firstLine="0" w:firstLineChars="0"/>
              <w:jc w:val="center"/>
              <w:rPr>
                <w:kern w:val="0"/>
                <w:sz w:val="21"/>
              </w:rPr>
            </w:pPr>
            <w:r>
              <w:rPr>
                <w:rFonts w:hint="eastAsia"/>
                <w:kern w:val="0"/>
                <w:sz w:val="21"/>
              </w:rPr>
              <w:t>22</w:t>
            </w:r>
          </w:p>
        </w:tc>
        <w:tc>
          <w:tcPr>
            <w:tcW w:w="1191" w:type="pct"/>
            <w:vMerge w:val="restart"/>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拆迁后，4a类区超标22户，安装通风隔声窗164</w:t>
            </w:r>
            <w:r>
              <w:rPr>
                <w:sz w:val="21"/>
                <w:szCs w:val="21"/>
                <w:lang w:eastAsia="zh-CN"/>
              </w:rPr>
              <w:t>m</w:t>
            </w:r>
            <w:r>
              <w:rPr>
                <w:sz w:val="21"/>
                <w:szCs w:val="21"/>
                <w:vertAlign w:val="superscript"/>
                <w:lang w:eastAsia="zh-CN"/>
              </w:rPr>
              <w:t>2</w:t>
            </w:r>
            <w:r>
              <w:rPr>
                <w:rFonts w:hint="eastAsia"/>
                <w:sz w:val="21"/>
                <w:szCs w:val="21"/>
                <w:lang w:eastAsia="zh-CN"/>
              </w:rPr>
              <w:t>；2类区超标49户，安装通风隔声窗588</w:t>
            </w:r>
            <w:r>
              <w:rPr>
                <w:sz w:val="21"/>
                <w:szCs w:val="21"/>
                <w:lang w:eastAsia="zh-CN"/>
              </w:rPr>
              <w:t>m</w:t>
            </w:r>
            <w:r>
              <w:rPr>
                <w:sz w:val="21"/>
                <w:szCs w:val="21"/>
                <w:vertAlign w:val="superscript"/>
                <w:lang w:eastAsia="zh-CN"/>
              </w:rPr>
              <w:t>2</w:t>
            </w:r>
            <w:r>
              <w:rPr>
                <w:rFonts w:hint="eastAsia"/>
                <w:sz w:val="21"/>
                <w:szCs w:val="21"/>
                <w:lang w:eastAsia="zh-CN"/>
              </w:rPr>
              <w:t>，建议临路住户</w:t>
            </w:r>
            <w:r>
              <w:rPr>
                <w:sz w:val="21"/>
                <w:szCs w:val="21"/>
                <w:lang w:eastAsia="zh-CN"/>
              </w:rPr>
              <w:t>改变使用功能，将其改为快餐店、零售店、维修场所等</w:t>
            </w:r>
            <w:r>
              <w:rPr>
                <w:rFonts w:hint="eastAsia"/>
                <w:sz w:val="21"/>
                <w:szCs w:val="21"/>
                <w:lang w:eastAsia="zh-CN"/>
              </w:rPr>
              <w:t>，</w:t>
            </w:r>
            <w:r>
              <w:rPr>
                <w:sz w:val="21"/>
                <w:szCs w:val="21"/>
                <w:lang w:eastAsia="zh-CN"/>
              </w:rPr>
              <w:t>增加居民收入</w:t>
            </w:r>
          </w:p>
        </w:tc>
        <w:tc>
          <w:tcPr>
            <w:tcW w:w="204" w:type="pct"/>
            <w:vAlign w:val="center"/>
          </w:tcPr>
          <w:p>
            <w:pPr>
              <w:spacing w:line="240" w:lineRule="auto"/>
              <w:ind w:firstLine="0" w:firstLineChars="0"/>
              <w:jc w:val="center"/>
              <w:rPr>
                <w:sz w:val="21"/>
              </w:rPr>
            </w:pPr>
            <w:r>
              <w:rPr>
                <w:sz w:val="21"/>
              </w:rPr>
              <w:t>65.59</w:t>
            </w:r>
          </w:p>
        </w:tc>
        <w:tc>
          <w:tcPr>
            <w:tcW w:w="203" w:type="pct"/>
            <w:vAlign w:val="center"/>
          </w:tcPr>
          <w:p>
            <w:pPr>
              <w:spacing w:line="240" w:lineRule="auto"/>
              <w:ind w:firstLine="0" w:firstLineChars="0"/>
              <w:jc w:val="center"/>
              <w:rPr>
                <w:sz w:val="21"/>
              </w:rPr>
            </w:pPr>
            <w:r>
              <w:rPr>
                <w:sz w:val="21"/>
              </w:rPr>
              <w:t>60.60</w:t>
            </w:r>
          </w:p>
        </w:tc>
        <w:tc>
          <w:tcPr>
            <w:tcW w:w="237" w:type="pct"/>
            <w:vAlign w:val="center"/>
          </w:tcPr>
          <w:p>
            <w:pPr>
              <w:spacing w:line="240" w:lineRule="auto"/>
              <w:ind w:firstLine="0" w:firstLineChars="0"/>
              <w:jc w:val="center"/>
              <w:rPr>
                <w:rFonts w:ascii="宋体" w:hAnsi="宋体" w:cs="宋体"/>
                <w:sz w:val="21"/>
              </w:rPr>
            </w:pPr>
            <w:r>
              <w:rPr>
                <w:rFonts w:hint="eastAsia"/>
                <w:sz w:val="21"/>
              </w:rPr>
              <w:t>38.59</w:t>
            </w:r>
          </w:p>
        </w:tc>
        <w:tc>
          <w:tcPr>
            <w:tcW w:w="202" w:type="pct"/>
            <w:vAlign w:val="center"/>
          </w:tcPr>
          <w:p>
            <w:pPr>
              <w:spacing w:line="240" w:lineRule="auto"/>
              <w:ind w:firstLine="0" w:firstLineChars="0"/>
              <w:jc w:val="center"/>
              <w:rPr>
                <w:rFonts w:ascii="宋体" w:hAnsi="宋体" w:cs="宋体"/>
                <w:sz w:val="21"/>
              </w:rPr>
            </w:pPr>
            <w:r>
              <w:rPr>
                <w:rFonts w:hint="eastAsia"/>
                <w:sz w:val="21"/>
              </w:rPr>
              <w:t>33.6</w:t>
            </w:r>
          </w:p>
        </w:tc>
        <w:tc>
          <w:tcPr>
            <w:tcW w:w="304" w:type="pct"/>
            <w:vMerge w:val="restart"/>
            <w:vAlign w:val="center"/>
          </w:tcPr>
          <w:p>
            <w:pPr>
              <w:spacing w:line="240" w:lineRule="auto"/>
              <w:ind w:firstLine="0" w:firstLineChars="0"/>
              <w:jc w:val="center"/>
              <w:rPr>
                <w:sz w:val="21"/>
              </w:rPr>
            </w:pPr>
            <w:r>
              <w:rPr>
                <w:rFonts w:hint="eastAsia"/>
                <w:sz w:val="21"/>
              </w:rPr>
              <w:t>90.24</w:t>
            </w:r>
          </w:p>
        </w:tc>
        <w:tc>
          <w:tcPr>
            <w:tcW w:w="472" w:type="pct"/>
            <w:vMerge w:val="continue"/>
            <w:vAlign w:val="center"/>
          </w:tcPr>
          <w:p>
            <w:pPr>
              <w:spacing w:line="240" w:lineRule="auto"/>
              <w:ind w:firstLine="0" w:firstLineChars="0"/>
              <w:jc w:val="center"/>
              <w:rPr>
                <w:kern w:val="0"/>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8" w:type="pct"/>
            <w:vMerge w:val="continue"/>
            <w:vAlign w:val="center"/>
          </w:tcPr>
          <w:p>
            <w:pPr>
              <w:pStyle w:val="675"/>
              <w:jc w:val="center"/>
              <w:rPr>
                <w:rFonts w:ascii="Times New Roman" w:hAnsi="Times New Roman" w:cs="Times New Roman"/>
                <w:bCs/>
                <w:sz w:val="21"/>
                <w:szCs w:val="21"/>
                <w:lang w:eastAsia="zh-CN"/>
              </w:rPr>
            </w:pPr>
          </w:p>
        </w:tc>
        <w:tc>
          <w:tcPr>
            <w:tcW w:w="892" w:type="pct"/>
            <w:vMerge w:val="continue"/>
            <w:vAlign w:val="center"/>
          </w:tcPr>
          <w:p>
            <w:pPr>
              <w:pStyle w:val="675"/>
              <w:jc w:val="center"/>
              <w:rPr>
                <w:rFonts w:ascii="Times New Roman" w:hAnsi="Times New Roman" w:cs="Times New Roman"/>
                <w:sz w:val="21"/>
                <w:szCs w:val="21"/>
                <w:lang w:eastAsia="zh-CN"/>
              </w:rPr>
            </w:pPr>
          </w:p>
        </w:tc>
        <w:tc>
          <w:tcPr>
            <w:tcW w:w="259" w:type="pct"/>
            <w:vAlign w:val="center"/>
          </w:tcPr>
          <w:p>
            <w:pPr>
              <w:spacing w:line="240" w:lineRule="auto"/>
              <w:ind w:firstLine="0" w:firstLineChars="0"/>
              <w:jc w:val="center"/>
              <w:rPr>
                <w:sz w:val="21"/>
              </w:rPr>
            </w:pPr>
            <w:r>
              <w:rPr>
                <w:sz w:val="21"/>
              </w:rPr>
              <w:t>55</w:t>
            </w:r>
          </w:p>
        </w:tc>
        <w:tc>
          <w:tcPr>
            <w:tcW w:w="230" w:type="pct"/>
            <w:vAlign w:val="center"/>
          </w:tcPr>
          <w:p>
            <w:pPr>
              <w:spacing w:line="240" w:lineRule="auto"/>
              <w:ind w:firstLine="0" w:firstLineChars="0"/>
              <w:jc w:val="center"/>
              <w:rPr>
                <w:sz w:val="21"/>
              </w:rPr>
            </w:pPr>
            <w:r>
              <w:rPr>
                <w:sz w:val="21"/>
              </w:rPr>
              <w:t>43</w:t>
            </w:r>
          </w:p>
        </w:tc>
        <w:tc>
          <w:tcPr>
            <w:tcW w:w="230" w:type="pct"/>
            <w:vAlign w:val="center"/>
          </w:tcPr>
          <w:p>
            <w:pPr>
              <w:spacing w:line="240" w:lineRule="auto"/>
              <w:ind w:firstLine="0" w:firstLineChars="0"/>
              <w:jc w:val="center"/>
              <w:rPr>
                <w:sz w:val="21"/>
              </w:rPr>
            </w:pPr>
            <w:r>
              <w:rPr>
                <w:sz w:val="21"/>
              </w:rPr>
              <w:t>-1</w:t>
            </w:r>
          </w:p>
        </w:tc>
        <w:tc>
          <w:tcPr>
            <w:tcW w:w="202" w:type="pct"/>
            <w:vAlign w:val="center"/>
          </w:tcPr>
          <w:p>
            <w:pPr>
              <w:spacing w:line="240" w:lineRule="auto"/>
              <w:ind w:firstLine="0" w:firstLineChars="0"/>
              <w:jc w:val="center"/>
              <w:rPr>
                <w:kern w:val="0"/>
                <w:sz w:val="21"/>
              </w:rPr>
            </w:pPr>
            <w:r>
              <w:rPr>
                <w:kern w:val="0"/>
                <w:sz w:val="21"/>
              </w:rPr>
              <w:t>2</w:t>
            </w:r>
          </w:p>
        </w:tc>
        <w:tc>
          <w:tcPr>
            <w:tcW w:w="316" w:type="pct"/>
            <w:gridSpan w:val="2"/>
            <w:vAlign w:val="center"/>
          </w:tcPr>
          <w:p>
            <w:pPr>
              <w:spacing w:line="240" w:lineRule="auto"/>
              <w:ind w:firstLine="0" w:firstLineChars="0"/>
              <w:jc w:val="center"/>
              <w:rPr>
                <w:kern w:val="0"/>
                <w:sz w:val="21"/>
              </w:rPr>
            </w:pPr>
            <w:r>
              <w:rPr>
                <w:rFonts w:hint="eastAsia"/>
                <w:kern w:val="0"/>
                <w:sz w:val="21"/>
              </w:rPr>
              <w:t>49</w:t>
            </w:r>
          </w:p>
        </w:tc>
        <w:tc>
          <w:tcPr>
            <w:tcW w:w="1191" w:type="pct"/>
            <w:vMerge w:val="continue"/>
            <w:vAlign w:val="center"/>
          </w:tcPr>
          <w:p>
            <w:pPr>
              <w:pStyle w:val="675"/>
              <w:jc w:val="center"/>
              <w:rPr>
                <w:rFonts w:ascii="Times New Roman" w:hAnsi="Times New Roman" w:cs="Times New Roman"/>
                <w:sz w:val="21"/>
                <w:szCs w:val="21"/>
                <w:lang w:eastAsia="zh-CN"/>
              </w:rPr>
            </w:pPr>
          </w:p>
        </w:tc>
        <w:tc>
          <w:tcPr>
            <w:tcW w:w="204" w:type="pct"/>
            <w:vAlign w:val="center"/>
          </w:tcPr>
          <w:p>
            <w:pPr>
              <w:spacing w:line="240" w:lineRule="auto"/>
              <w:ind w:firstLine="0" w:firstLineChars="0"/>
              <w:jc w:val="center"/>
              <w:rPr>
                <w:sz w:val="21"/>
              </w:rPr>
            </w:pPr>
            <w:r>
              <w:rPr>
                <w:sz w:val="21"/>
              </w:rPr>
              <w:t>61.42</w:t>
            </w:r>
          </w:p>
        </w:tc>
        <w:tc>
          <w:tcPr>
            <w:tcW w:w="203" w:type="pct"/>
            <w:vAlign w:val="center"/>
          </w:tcPr>
          <w:p>
            <w:pPr>
              <w:spacing w:line="240" w:lineRule="auto"/>
              <w:ind w:firstLine="0" w:firstLineChars="0"/>
              <w:jc w:val="center"/>
              <w:rPr>
                <w:sz w:val="21"/>
              </w:rPr>
            </w:pPr>
            <w:r>
              <w:rPr>
                <w:sz w:val="21"/>
              </w:rPr>
              <w:t>55.96</w:t>
            </w:r>
          </w:p>
        </w:tc>
        <w:tc>
          <w:tcPr>
            <w:tcW w:w="237" w:type="pct"/>
            <w:vAlign w:val="center"/>
          </w:tcPr>
          <w:p>
            <w:pPr>
              <w:spacing w:line="240" w:lineRule="auto"/>
              <w:ind w:firstLine="0" w:firstLineChars="0"/>
              <w:jc w:val="center"/>
              <w:rPr>
                <w:rFonts w:ascii="宋体" w:hAnsi="宋体" w:cs="宋体"/>
                <w:sz w:val="21"/>
              </w:rPr>
            </w:pPr>
            <w:r>
              <w:rPr>
                <w:rFonts w:hint="eastAsia"/>
                <w:sz w:val="21"/>
              </w:rPr>
              <w:t>34.42</w:t>
            </w:r>
          </w:p>
        </w:tc>
        <w:tc>
          <w:tcPr>
            <w:tcW w:w="202" w:type="pct"/>
            <w:vAlign w:val="center"/>
          </w:tcPr>
          <w:p>
            <w:pPr>
              <w:spacing w:line="240" w:lineRule="auto"/>
              <w:ind w:firstLine="0" w:firstLineChars="0"/>
              <w:jc w:val="center"/>
              <w:rPr>
                <w:rFonts w:ascii="宋体" w:hAnsi="宋体" w:cs="宋体"/>
                <w:sz w:val="21"/>
              </w:rPr>
            </w:pPr>
            <w:r>
              <w:rPr>
                <w:rFonts w:hint="eastAsia"/>
                <w:sz w:val="21"/>
              </w:rPr>
              <w:t>28.96</w:t>
            </w:r>
          </w:p>
        </w:tc>
        <w:tc>
          <w:tcPr>
            <w:tcW w:w="304" w:type="pct"/>
            <w:vMerge w:val="continue"/>
            <w:vAlign w:val="center"/>
          </w:tcPr>
          <w:p>
            <w:pPr>
              <w:pStyle w:val="675"/>
              <w:jc w:val="center"/>
              <w:rPr>
                <w:rFonts w:ascii="Times New Roman" w:hAnsi="Times New Roman" w:cs="Times New Roman"/>
                <w:bCs/>
                <w:sz w:val="21"/>
                <w:szCs w:val="21"/>
                <w:lang w:eastAsia="zh-CN"/>
              </w:rPr>
            </w:pPr>
          </w:p>
        </w:tc>
        <w:tc>
          <w:tcPr>
            <w:tcW w:w="472" w:type="pct"/>
            <w:vMerge w:val="continue"/>
            <w:vAlign w:val="center"/>
          </w:tcPr>
          <w:p>
            <w:pPr>
              <w:spacing w:line="240" w:lineRule="auto"/>
              <w:ind w:firstLine="0" w:firstLineChars="0"/>
              <w:jc w:val="center"/>
              <w:rPr>
                <w:kern w:val="0"/>
                <w:sz w:val="21"/>
              </w:rPr>
            </w:pPr>
          </w:p>
        </w:tc>
      </w:tr>
    </w:tbl>
    <w:p>
      <w:pPr>
        <w:spacing w:line="240" w:lineRule="atLeast"/>
        <w:ind w:firstLine="422"/>
      </w:pPr>
      <w:r>
        <w:rPr>
          <w:rFonts w:hint="eastAsia" w:ascii="宋体" w:hAnsi="宋体" w:cs="宋体"/>
          <w:b/>
          <w:bCs/>
          <w:sz w:val="21"/>
        </w:rPr>
        <w:t>注：表中</w:t>
      </w:r>
      <w:r>
        <w:rPr>
          <w:rFonts w:ascii="宋体" w:hAnsi="宋体" w:cs="宋体"/>
          <w:b/>
          <w:bCs/>
          <w:sz w:val="21"/>
        </w:rPr>
        <w:t>所列出的交通噪声防治措施，可根据当地实际建设后具体拆迁情况进行调整</w:t>
      </w:r>
      <w:r>
        <w:rPr>
          <w:rFonts w:hint="eastAsia" w:ascii="宋体" w:hAnsi="宋体" w:cs="宋体"/>
          <w:b/>
          <w:bCs/>
          <w:sz w:val="21"/>
        </w:rPr>
        <w:t>，</w:t>
      </w:r>
      <w:r>
        <w:rPr>
          <w:rFonts w:ascii="宋体" w:hAnsi="宋体" w:cs="宋体"/>
          <w:b/>
          <w:bCs/>
          <w:sz w:val="21"/>
        </w:rPr>
        <w:t>应适当采取相应环保措施</w:t>
      </w:r>
      <w:r>
        <w:rPr>
          <w:rFonts w:hint="eastAsia" w:ascii="宋体" w:hAnsi="宋体" w:cs="宋体"/>
          <w:b/>
          <w:bCs/>
          <w:sz w:val="21"/>
        </w:rPr>
        <w:t>。</w:t>
      </w:r>
    </w:p>
    <w:p>
      <w:pPr>
        <w:ind w:firstLine="480"/>
        <w:rPr>
          <w:highlight w:val="yellow"/>
        </w:rPr>
        <w:sectPr>
          <w:footerReference r:id="rId28" w:type="default"/>
          <w:pgSz w:w="23814" w:h="16839" w:orient="landscape"/>
          <w:pgMar w:top="1474" w:right="1418" w:bottom="1418" w:left="1418" w:header="964" w:footer="964" w:gutter="0"/>
          <w:cols w:space="720" w:num="1"/>
          <w:docGrid w:linePitch="326" w:charSpace="0"/>
        </w:sectPr>
      </w:pPr>
    </w:p>
    <w:p>
      <w:pPr>
        <w:spacing w:line="240" w:lineRule="auto"/>
        <w:ind w:firstLine="0" w:firstLineChars="0"/>
        <w:rPr>
          <w:rFonts w:ascii="宋体" w:hAnsi="宋体" w:cs="宋体"/>
          <w:kern w:val="0"/>
          <w:szCs w:val="24"/>
          <w:highlight w:val="yellow"/>
        </w:rPr>
      </w:pPr>
      <w:r>
        <w:rPr>
          <w:highlight w:val="yellow"/>
        </w:rPr>
        <w:pict>
          <v:shape id="Text Box 437" o:spid="_x0000_s1240" o:spt="202" type="#_x0000_t202" style="position:absolute;left:0pt;margin-left:-3.5pt;margin-top:317.9pt;height:32.35pt;width:458.65pt;z-index:25154764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8s0iA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">
            <v:path/>
            <v:fill focussize="0,0"/>
            <v:stroke on="f" joinstyle="miter"/>
            <v:imagedata o:title=""/>
            <o:lock v:ext="edit"/>
            <v:textbox>
              <w:txbxContent>
                <w:p>
                  <w:pPr>
                    <w:spacing w:line="240" w:lineRule="auto"/>
                    <w:ind w:firstLine="0" w:firstLineChars="0"/>
                  </w:pPr>
                  <w:r>
                    <w:rPr>
                      <w:rFonts w:hint="eastAsia"/>
                      <w:sz w:val="21"/>
                    </w:rPr>
                    <w:t>北黄土坡村：4a类区超标11户，安装通风隔声窗132</w:t>
                  </w:r>
                  <w:r>
                    <w:rPr>
                      <w:sz w:val="21"/>
                    </w:rPr>
                    <w:t>m</w:t>
                  </w:r>
                  <w:r>
                    <w:rPr>
                      <w:sz w:val="21"/>
                      <w:vertAlign w:val="superscript"/>
                    </w:rPr>
                    <w:t>2</w:t>
                  </w:r>
                  <w:r>
                    <w:rPr>
                      <w:rFonts w:hint="eastAsia"/>
                      <w:sz w:val="21"/>
                    </w:rPr>
                    <w:t>， 2类区超标31户，安装通风隔声窗372</w:t>
                  </w:r>
                  <w:r>
                    <w:rPr>
                      <w:sz w:val="21"/>
                    </w:rPr>
                    <w:t>m</w:t>
                  </w:r>
                  <w:r>
                    <w:rPr>
                      <w:sz w:val="21"/>
                      <w:vertAlign w:val="superscript"/>
                    </w:rPr>
                    <w:t>2</w:t>
                  </w:r>
                  <w:r>
                    <w:rPr>
                      <w:rFonts w:hint="eastAsia"/>
                      <w:sz w:val="21"/>
                    </w:rPr>
                    <w:t>。建议临路住户</w:t>
                  </w:r>
                  <w:r>
                    <w:rPr>
                      <w:sz w:val="21"/>
                    </w:rPr>
                    <w:t>改变使用功能，将其改为快餐店、零售店、维修场所等</w:t>
                  </w:r>
                  <w:r>
                    <w:rPr>
                      <w:rFonts w:hint="eastAsia"/>
                      <w:sz w:val="21"/>
                    </w:rPr>
                    <w:t>，</w:t>
                  </w:r>
                  <w:r>
                    <w:rPr>
                      <w:sz w:val="21"/>
                    </w:rPr>
                    <w:t>增加居民收入</w:t>
                  </w:r>
                  <w:r>
                    <w:rPr>
                      <w:rFonts w:hint="eastAsia"/>
                      <w:sz w:val="21"/>
                    </w:rPr>
                    <w:t>。</w:t>
                  </w:r>
                </w:p>
              </w:txbxContent>
            </v:textbox>
          </v:shape>
        </w:pict>
      </w:r>
      <w:r>
        <w:pict>
          <v:shape id="_x0000_s1556" o:spid="_x0000_s1556" o:spt="120" type="#_x0000_t120" style="position:absolute;left:0pt;margin-left:146pt;margin-top:182pt;height:2.85pt;width:2.85pt;z-index:2518159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3" o:spid="_x0000_s1553" o:spt="120" type="#_x0000_t120" style="position:absolute;left:0pt;margin-left:187.9pt;margin-top:165.35pt;height:2.85pt;width:2.85pt;z-index:2518128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5" o:spid="_x0000_s1555" o:spt="120" type="#_x0000_t120" style="position:absolute;left:0pt;margin-left:204.1pt;margin-top:164.95pt;height:2.85pt;width:2.85pt;z-index:2518149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4" o:spid="_x0000_s1554" o:spt="120" type="#_x0000_t120" style="position:absolute;left:0pt;margin-left:197.9pt;margin-top:163.4pt;height:2.85pt;width:2.85pt;z-index:2518138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2" o:spid="_x0000_s1552" o:spt="120" type="#_x0000_t120" style="position:absolute;left:0pt;margin-left:180.8pt;margin-top:166.25pt;height:2.85pt;width:2.85pt;z-index:2518118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0" o:spid="_x0000_s1550" o:spt="120" type="#_x0000_t120" style="position:absolute;left:0pt;margin-left:172.8pt;margin-top:166.25pt;height:2.85pt;width:2.85pt;z-index:2518097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1" o:spid="_x0000_s1551" o:spt="120" type="#_x0000_t120" style="position:absolute;left:0pt;margin-left:165.7pt;margin-top:166.25pt;height:2.85pt;width:2.85pt;z-index:2518108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9" o:spid="_x0000_s1549" o:spt="120" type="#_x0000_t120" style="position:absolute;left:0pt;margin-left:160.85pt;margin-top:166.25pt;height:2.85pt;width:2.85pt;z-index:2518087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8" o:spid="_x0000_s1548" o:spt="120" type="#_x0000_t120" style="position:absolute;left:0pt;margin-left:152.55pt;margin-top:163.4pt;height:2.85pt;width:2.85pt;z-index:2518077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7" o:spid="_x0000_s1547" o:spt="120" type="#_x0000_t120" style="position:absolute;left:0pt;margin-left:195.05pt;margin-top:147.9pt;height:2.85pt;width:2.85pt;z-index:2518067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6" o:spid="_x0000_s1546" o:spt="120" type="#_x0000_t120" style="position:absolute;left:0pt;margin-left:356.95pt;margin-top:92.3pt;height:2.85pt;width:2.85pt;z-index:2518056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5" o:spid="_x0000_s1545" o:spt="120" type="#_x0000_t120" style="position:absolute;left:0pt;margin-left:350.75pt;margin-top:91.9pt;height:2.85pt;width:2.85pt;z-index:2518046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4" o:spid="_x0000_s1544" o:spt="120" type="#_x0000_t120" style="position:absolute;left:0pt;margin-left:394.15pt;margin-top:83.35pt;height:2.85pt;width:2.85pt;z-index:2518036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3" o:spid="_x0000_s1543" o:spt="120" type="#_x0000_t120" style="position:absolute;left:0pt;margin-left:400.7pt;margin-top:76.45pt;height:2.85pt;width:2.85pt;z-index:2518026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2" o:spid="_x0000_s1542" o:spt="120" type="#_x0000_t120" style="position:absolute;left:0pt;margin-left:394.7pt;margin-top:76.95pt;height:2.85pt;width:2.85pt;z-index:2518016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1" o:spid="_x0000_s1541" o:spt="120" type="#_x0000_t120" style="position:absolute;left:0pt;margin-left:406.25pt;margin-top:69.5pt;height:2.85pt;width:2.85pt;z-index:2518005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40" o:spid="_x0000_s1540" o:spt="120" type="#_x0000_t120" style="position:absolute;left:0pt;margin-left:400.7pt;margin-top:69.5pt;height:2.85pt;width:2.85pt;z-index:2517995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9" o:spid="_x0000_s1539" o:spt="120" type="#_x0000_t120" style="position:absolute;left:0pt;margin-left:424.35pt;margin-top:69.55pt;height:2.85pt;width:2.85pt;z-index:2517985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8" o:spid="_x0000_s1538" o:spt="120" type="#_x0000_t120" style="position:absolute;left:0pt;margin-left:420.45pt;margin-top:69.55pt;height:2.85pt;width:2.85pt;z-index:2517975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7" o:spid="_x0000_s1537" o:spt="120" type="#_x0000_t120" style="position:absolute;left:0pt;margin-left:415.9pt;margin-top:69.55pt;height:2.85pt;width:2.85pt;z-index:2517964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6" o:spid="_x0000_s1536" o:spt="120" type="#_x0000_t120" style="position:absolute;left:0pt;margin-left:411.35pt;margin-top:68.9pt;height:2.85pt;width:2.85pt;z-index:2517954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5" o:spid="_x0000_s1535" o:spt="120" type="#_x0000_t120" style="position:absolute;left:0pt;margin-left:429.55pt;margin-top:62.4pt;height:2.85pt;width:2.85pt;z-index:2517944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4" o:spid="_x0000_s1534" o:spt="120" type="#_x0000_t120" style="position:absolute;left:0pt;margin-left:425.65pt;margin-top:62.4pt;height:2.85pt;width:2.85pt;z-index:2517934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3" o:spid="_x0000_s1533" o:spt="120" type="#_x0000_t120" style="position:absolute;left:0pt;margin-left:421.75pt;margin-top:62.4pt;height:2.85pt;width:2.85pt;z-index:2517923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2" o:spid="_x0000_s1532" o:spt="120" type="#_x0000_t120" style="position:absolute;left:0pt;margin-left:417.85pt;margin-top:62.4pt;height:2.85pt;width:2.85pt;z-index:2517913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1" o:spid="_x0000_s1531" o:spt="120" type="#_x0000_t120" style="position:absolute;left:0pt;margin-left:414.6pt;margin-top:62.4pt;height:2.85pt;width:2.85pt;z-index:2517903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30" o:spid="_x0000_s1530" o:spt="120" type="#_x0000_t120" style="position:absolute;left:0pt;margin-left:420.2pt;margin-top:49.75pt;height:2.85pt;width:2.85pt;z-index:2517893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29" o:spid="_x0000_s1529" o:spt="120" type="#_x0000_t120" style="position:absolute;left:0pt;margin-left:416.5pt;margin-top:50.05pt;height:2.85pt;width:2.85pt;z-index:2517882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28" o:spid="_x0000_s1528" o:spt="120" type="#_x0000_t120" style="position:absolute;left:0pt;margin-left:412.35pt;margin-top:49.75pt;height:2.85pt;width:2.85pt;z-index:2517872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27" o:spid="_x0000_s1527" o:spt="120" type="#_x0000_t120" style="position:absolute;left:0pt;margin-left:394.7pt;margin-top:70.4pt;height:2.85pt;width:2.85pt;z-index:2517862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">
            <v:path/>
            <v:fill on="t" focussize="0,0"/>
            <v:stroke color="#FF0000"/>
            <v:imagedata o:title=""/>
            <o:lock v:ext="edit" aspectratio="t"/>
          </v:shape>
        </w:pict>
      </w:r>
      <w:r>
        <w:rPr>
          <w:highlight w:val="yellow"/>
        </w:rPr>
        <w:pict>
          <v:shape id="AutoShape 758" o:spid="_x0000_s1242" o:spt="120" type="#_x0000_t120" style="position:absolute;left:0pt;margin-left:395.05pt;margin-top:61pt;height:2.85pt;width:2.85pt;z-index:2516725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">
            <v:path/>
            <v:fill on="t" focussize="0,0"/>
            <v:stroke color="#FF0000"/>
            <v:imagedata o:title=""/>
            <o:lock v:ext="edit" aspectratio="t"/>
            <v:textbox>
              <w:txbxContent>
                <w:p/>
              </w:txbxContent>
            </v:textbox>
          </v:shape>
        </w:pict>
      </w:r>
      <w:r>
        <w:pict>
          <v:shape id="_x0000_s1524" o:spid="_x0000_s1524" o:spt="120" type="#_x0000_t120" style="position:absolute;left:0pt;margin-left:400.7pt;margin-top:60.85pt;height:2.85pt;width:2.85pt;z-index:2517852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">
            <v:path/>
            <v:fill on="t" focussize="0,0"/>
            <v:stroke color="#FF0000"/>
            <v:imagedata o:title=""/>
            <o:lock v:ext="edit" aspectratio="t"/>
          </v:shape>
        </w:pict>
      </w:r>
      <w:r>
        <w:rPr>
          <w:highlight w:val="yellow"/>
        </w:rPr>
        <w:pict>
          <v:shape id="AutoShape 757" o:spid="_x0000_s1241" o:spt="120" type="#_x0000_t120" style="position:absolute;left:0pt;margin-left:406.25pt;margin-top:52.6pt;height:2.85pt;width:2.85pt;z-index:2516715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textbox>
              <w:txbxContent>
                <w:p/>
              </w:txbxContent>
            </v:textbox>
          </v:shape>
        </w:pict>
      </w:r>
      <w:r>
        <w:pict>
          <v:shape id="_x0000_s1568" o:spid="_x0000_s1568" o:spt="120" type="#_x0000_t120" style="position:absolute;left:0pt;margin-left:85.9pt;margin-top:223.6pt;height:2.85pt;width:2.85pt;z-index:2518282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5" o:spid="_x0000_s1565" o:spt="120" type="#_x0000_t120" style="position:absolute;left:0pt;margin-left:127.95pt;margin-top:208.75pt;height:2.85pt;width:2.85pt;z-index:2518251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4" o:spid="_x0000_s1564" o:spt="120" type="#_x0000_t120" style="position:absolute;left:0pt;margin-left:122.5pt;margin-top:208.5pt;height:2.85pt;width:2.85pt;z-index:2518241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3" o:spid="_x0000_s1563" o:spt="120" type="#_x0000_t120" style="position:absolute;left:0pt;margin-left:117.65pt;margin-top:208.5pt;height:2.85pt;width:2.85pt;z-index:2518231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2" o:spid="_x0000_s1562" o:spt="120" type="#_x0000_t120" style="position:absolute;left:0pt;margin-left:111.55pt;margin-top:210.05pt;height:2.85pt;width:2.85pt;z-index:2518220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1" o:spid="_x0000_s1561" o:spt="120" type="#_x0000_t120" style="position:absolute;left:0pt;margin-left:96.25pt;margin-top:210.05pt;height:2.85pt;width:2.85pt;z-index:2518210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0" o:spid="_x0000_s1560" o:spt="120" type="#_x0000_t120" style="position:absolute;left:0pt;margin-left:88.75pt;margin-top:211.6pt;height:2.85pt;width:2.85pt;z-index:2518200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9" o:spid="_x0000_s1559" o:spt="120" type="#_x0000_t120" style="position:absolute;left:0pt;margin-left:148.85pt;margin-top:196.75pt;height:2.85pt;width:2.85pt;z-index:2518190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57" o:spid="_x0000_s1557" o:spt="120" type="#_x0000_t120" style="position:absolute;left:0pt;margin-left:155.4pt;margin-top:182pt;height:2.85pt;width:2.85pt;z-index:2518169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drawing>
          <wp:inline distT="0" distB="0" distL="0" distR="0">
            <wp:extent cx="5731510" cy="4078605"/>
            <wp:effectExtent l="19050" t="0" r="2071" b="0"/>
            <wp:docPr id="11" name="图片 10" descr="G112线路路径带桩号修改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G112线路路径带桩号修改后.jpg"/>
                    <pic:cNvPicPr>
                      <a:picLocks noChangeAspect="1"/>
                    </pic:cNvPicPr>
                  </pic:nvPicPr>
                  <pic:blipFill>
                    <a:blip r:embed="rId97" cstate="print"/>
                    <a:srcRect t="28750"/>
                    <a:stretch>
                      <a:fillRect/>
                    </a:stretch>
                  </pic:blipFill>
                  <pic:spPr>
                    <a:xfrm>
                      <a:off x="0" y="0"/>
                      <a:ext cx="5731979" cy="4079019"/>
                    </a:xfrm>
                    <a:prstGeom prst="rect">
                      <a:avLst/>
                    </a:prstGeom>
                  </pic:spPr>
                </pic:pic>
              </a:graphicData>
            </a:graphic>
          </wp:inline>
        </w:drawing>
      </w:r>
    </w:p>
    <w:p>
      <w:pPr>
        <w:spacing w:line="240" w:lineRule="auto"/>
        <w:ind w:firstLine="0" w:firstLineChars="0"/>
        <w:jc w:val="left"/>
        <w:rPr>
          <w:rFonts w:ascii="宋体" w:hAnsi="宋体" w:cs="宋体"/>
          <w:kern w:val="0"/>
          <w:szCs w:val="24"/>
          <w:highlight w:val="yellow"/>
        </w:rPr>
      </w:pPr>
    </w:p>
    <w:p>
      <w:pPr>
        <w:spacing w:line="240" w:lineRule="auto"/>
        <w:ind w:firstLine="0" w:firstLineChars="0"/>
        <w:jc w:val="center"/>
      </w:pPr>
    </w:p>
    <w:p>
      <w:pPr>
        <w:spacing w:line="240" w:lineRule="auto"/>
        <w:ind w:firstLine="0" w:firstLineChars="0"/>
        <w:jc w:val="center"/>
        <w:rPr>
          <w:highlight w:val="yellow"/>
        </w:rPr>
      </w:pPr>
      <w:r>
        <w:pict>
          <v:shape id="_x0000_s1570" o:spid="_x0000_s1570" o:spt="120" type="#_x0000_t120" style="position:absolute;left:0pt;margin-left:346.1pt;margin-top:163.65pt;height:2.85pt;width:2.85pt;z-index:2518302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69" o:spid="_x0000_s1569" o:spt="120" type="#_x0000_t120" style="position:absolute;left:0pt;margin-left:343.25pt;margin-top:143.05pt;height:2.85pt;width:2.85pt;z-index:2518292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drawing>
          <wp:inline distT="0" distB="0" distL="0" distR="0">
            <wp:extent cx="5731510" cy="3649345"/>
            <wp:effectExtent l="19050" t="0" r="2071" b="0"/>
            <wp:docPr id="14" name="图片 13" descr="G112线路路径带桩号修改后-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G112线路路径带桩号修改后-22.jpg"/>
                    <pic:cNvPicPr>
                      <a:picLocks noChangeAspect="1"/>
                    </pic:cNvPicPr>
                  </pic:nvPicPr>
                  <pic:blipFill>
                    <a:blip r:embed="rId98" cstate="print"/>
                    <a:srcRect t="36250"/>
                    <a:stretch>
                      <a:fillRect/>
                    </a:stretch>
                  </pic:blipFill>
                  <pic:spPr>
                    <a:xfrm>
                      <a:off x="0" y="0"/>
                      <a:ext cx="5731979" cy="3649649"/>
                    </a:xfrm>
                    <a:prstGeom prst="rect">
                      <a:avLst/>
                    </a:prstGeom>
                  </pic:spPr>
                </pic:pic>
              </a:graphicData>
            </a:graphic>
          </wp:inline>
        </w:drawing>
      </w:r>
    </w:p>
    <w:p>
      <w:pPr>
        <w:ind w:firstLine="480"/>
        <w:rPr>
          <w:highlight w:val="yellow"/>
        </w:rPr>
      </w:pPr>
      <w:r>
        <w:rPr>
          <w:highlight w:val="yellow"/>
        </w:rPr>
        <w:pict>
          <v:shape id="Text Box 440" o:spid="_x0000_s1222" o:spt="202" type="#_x0000_t202" style="position:absolute;left:0pt;margin-left:-0.4pt;margin-top:5.6pt;height:35.05pt;width:469.1pt;z-index:25155072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">
            <v:path/>
            <v:fill focussize="0,0"/>
            <v:stroke on="f" joinstyle="miter"/>
            <v:imagedata o:title=""/>
            <o:lock v:ext="edit"/>
            <v:textbox>
              <w:txbxContent>
                <w:p>
                  <w:pPr>
                    <w:pStyle w:val="163"/>
                    <w:spacing w:line="240" w:lineRule="auto"/>
                    <w:ind w:left="360"/>
                    <w:rPr>
                      <w:color w:val="FF0000"/>
                    </w:rPr>
                  </w:pPr>
                  <w:r>
                    <w:rPr>
                      <w:sz w:val="21"/>
                    </w:rPr>
                    <w:t>龙凤书香苑小区</w:t>
                  </w:r>
                  <w:r>
                    <w:rPr>
                      <w:rFonts w:hint="eastAsia"/>
                      <w:sz w:val="21"/>
                    </w:rPr>
                    <w:t>3-15层，4a类区超标78户；2类区超标78户，</w:t>
                  </w:r>
                  <w:r>
                    <w:rPr>
                      <w:rFonts w:hint="eastAsia"/>
                      <w:color w:val="FF0000"/>
                      <w:sz w:val="21"/>
                    </w:rPr>
                    <w:t>目前</w:t>
                  </w:r>
                  <w:r>
                    <w:rPr>
                      <w:rFonts w:hint="eastAsia" w:ascii="Times New Roman" w:hAnsi="Times New Roman"/>
                      <w:color w:val="FF0000"/>
                      <w:kern w:val="2"/>
                      <w:sz w:val="21"/>
                      <w:szCs w:val="21"/>
                    </w:rPr>
                    <w:t>该小区均已安装隔声窗，无需更换隔声窗</w:t>
                  </w:r>
                  <w:r>
                    <w:rPr>
                      <w:rFonts w:hint="eastAsia"/>
                      <w:color w:val="FF0000"/>
                      <w:sz w:val="21"/>
                    </w:rPr>
                    <w:t>；</w:t>
                  </w:r>
                </w:p>
              </w:txbxContent>
            </v:textbox>
          </v:shape>
        </w:pict>
      </w:r>
    </w:p>
    <w:p>
      <w:pPr>
        <w:spacing w:line="240" w:lineRule="auto"/>
        <w:ind w:firstLine="0" w:firstLineChars="0"/>
        <w:rPr>
          <w:highlight w:val="yellow"/>
        </w:rPr>
      </w:pPr>
      <w:r>
        <w:pict>
          <v:shape id="_x0000_s1585" o:spid="_x0000_s1585" o:spt="120" type="#_x0000_t120" style="position:absolute;left:0pt;margin-left:214.7pt;margin-top:350.4pt;height:2.85pt;width:2.85pt;z-index:2518446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4" o:spid="_x0000_s1584" o:spt="120" type="#_x0000_t120" style="position:absolute;left:0pt;margin-left:210.55pt;margin-top:350.65pt;height:2.85pt;width:2.85pt;z-index:2518435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3" o:spid="_x0000_s1583" o:spt="120" type="#_x0000_t120" style="position:absolute;left:0pt;margin-left:196.7pt;margin-top:353.25pt;height:2.85pt;width:2.85pt;z-index:2518425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2" o:spid="_x0000_s1582" o:spt="120" type="#_x0000_t120" style="position:absolute;left:0pt;margin-left:189.9pt;margin-top:353.5pt;height:2.85pt;width:2.85pt;z-index:2518415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1" o:spid="_x0000_s1581" o:spt="120" type="#_x0000_t120" style="position:absolute;left:0pt;margin-left:150.3pt;margin-top:356.35pt;height:2.85pt;width:2.85pt;z-index:2518405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0" o:spid="_x0000_s1580" o:spt="120" type="#_x0000_t120" style="position:absolute;left:0pt;margin-left:144.2pt;margin-top:356.35pt;height:2.85pt;width:2.85pt;z-index:2518394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9" o:spid="_x0000_s1579" o:spt="120" type="#_x0000_t120" style="position:absolute;left:0pt;margin-left:331.9pt;margin-top:218.75pt;height:2.85pt;width:2.85pt;z-index:2518384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8" o:spid="_x0000_s1578" o:spt="120" type="#_x0000_t120" style="position:absolute;left:0pt;margin-left:334.75pt;margin-top:197.4pt;height:2.85pt;width:2.85pt;z-index:2518374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7" o:spid="_x0000_s1577" o:spt="120" type="#_x0000_t120" style="position:absolute;left:0pt;margin-left:337.6pt;margin-top:169.5pt;height:2.85pt;width:2.85pt;z-index:2518364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6" o:spid="_x0000_s1576" o:spt="120" type="#_x0000_t120" style="position:absolute;left:0pt;margin-left:348.55pt;margin-top:131.6pt;height:2.85pt;width:2.85pt;z-index:2518353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5" o:spid="_x0000_s1575" o:spt="120" type="#_x0000_t120" style="position:absolute;left:0pt;margin-left:358.9pt;margin-top:109.1pt;height:2.85pt;width:2.85pt;z-index:2518343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4" o:spid="_x0000_s1574" o:spt="120" type="#_x0000_t120" style="position:absolute;left:0pt;margin-left:374.95pt;margin-top:80.25pt;height:2.85pt;width:2.85pt;z-index:2518333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73" o:spid="_x0000_s1573" o:spt="120" type="#_x0000_t120" style="position:absolute;left:0pt;margin-left:388.85pt;margin-top:58.05pt;height:2.85pt;width:2.85pt;z-index:2518323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drawing>
          <wp:inline distT="0" distB="0" distL="0" distR="0">
            <wp:extent cx="5724525" cy="5724525"/>
            <wp:effectExtent l="19050" t="0" r="9525" b="0"/>
            <wp:docPr id="15" name="图片 14" descr="G112线路路径带桩号修改后-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G112线路路径带桩号修改后-33.jpg"/>
                    <pic:cNvPicPr>
                      <a:picLocks noChangeAspect="1"/>
                    </pic:cNvPicPr>
                  </pic:nvPicPr>
                  <pic:blipFill>
                    <a:blip r:embed="rId99" cstate="print"/>
                    <a:stretch>
                      <a:fillRect/>
                    </a:stretch>
                  </pic:blipFill>
                  <pic:spPr>
                    <a:xfrm>
                      <a:off x="0" y="0"/>
                      <a:ext cx="5724525" cy="5724525"/>
                    </a:xfrm>
                    <a:prstGeom prst="rect">
                      <a:avLst/>
                    </a:prstGeom>
                  </pic:spPr>
                </pic:pic>
              </a:graphicData>
            </a:graphic>
          </wp:inline>
        </w:drawing>
      </w:r>
    </w:p>
    <w:p>
      <w:pPr>
        <w:tabs>
          <w:tab w:val="left" w:pos="2700"/>
        </w:tabs>
        <w:spacing w:line="240" w:lineRule="auto"/>
        <w:ind w:firstLine="0" w:firstLineChars="0"/>
        <w:rPr>
          <w:highlight w:val="yellow"/>
        </w:rPr>
      </w:pPr>
      <w:r>
        <w:pict>
          <v:shape id="_x0000_s1571" o:spid="_x0000_s1571" o:spt="202" type="#_x0000_t202" style="position:absolute;left:0pt;margin-left:-2.9pt;margin-top:3.95pt;height:49.7pt;width:469.1pt;z-index:251831296;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">
            <v:path/>
            <v:fill focussize="0,0"/>
            <v:stroke on="f" joinstyle="miter"/>
            <v:imagedata o:title=""/>
            <o:lock v:ext="edit"/>
            <v:textbox>
              <w:txbxContent>
                <w:p>
                  <w:pPr>
                    <w:spacing w:line="240" w:lineRule="auto"/>
                    <w:ind w:firstLine="0" w:firstLineChars="0"/>
                  </w:pPr>
                  <w:r>
                    <w:rPr>
                      <w:rFonts w:hint="eastAsia"/>
                      <w:sz w:val="21"/>
                    </w:rPr>
                    <w:t>①智慧城</w:t>
                  </w:r>
                  <w:r>
                    <w:rPr>
                      <w:sz w:val="21"/>
                    </w:rPr>
                    <w:t>小区</w:t>
                  </w:r>
                  <w:r>
                    <w:rPr>
                      <w:rFonts w:hint="eastAsia"/>
                      <w:sz w:val="21"/>
                    </w:rPr>
                    <w:t>临路7栋楼的1-11层，西侧边户超标，4a类区超标77户，需要安装</w:t>
                  </w:r>
                  <w:r>
                    <w:rPr>
                      <w:sz w:val="21"/>
                    </w:rPr>
                    <w:t>通风隔声窗</w:t>
                  </w:r>
                  <w:r>
                    <w:rPr>
                      <w:rFonts w:hint="eastAsia"/>
                      <w:sz w:val="21"/>
                    </w:rPr>
                    <w:t>，924</w:t>
                  </w:r>
                  <w:r>
                    <w:rPr>
                      <w:sz w:val="21"/>
                    </w:rPr>
                    <w:t>m</w:t>
                  </w:r>
                  <w:r>
                    <w:rPr>
                      <w:sz w:val="21"/>
                      <w:vertAlign w:val="superscript"/>
                    </w:rPr>
                    <w:t>2</w:t>
                  </w:r>
                  <w:r>
                    <w:rPr>
                      <w:rFonts w:hint="eastAsia"/>
                      <w:sz w:val="21"/>
                    </w:rPr>
                    <w:t>。②张各庄村临路6户超标，需要安装</w:t>
                  </w:r>
                  <w:r>
                    <w:rPr>
                      <w:sz w:val="21"/>
                    </w:rPr>
                    <w:t>通风隔声窗</w:t>
                  </w:r>
                  <w:r>
                    <w:rPr>
                      <w:rFonts w:hint="eastAsia"/>
                      <w:sz w:val="21"/>
                    </w:rPr>
                    <w:t>，72</w:t>
                  </w:r>
                  <w:r>
                    <w:rPr>
                      <w:sz w:val="21"/>
                    </w:rPr>
                    <w:t>m</w:t>
                  </w:r>
                  <w:r>
                    <w:rPr>
                      <w:sz w:val="21"/>
                      <w:vertAlign w:val="superscript"/>
                    </w:rPr>
                    <w:t>2</w:t>
                  </w:r>
                  <w:r>
                    <w:rPr>
                      <w:rFonts w:hint="eastAsia"/>
                      <w:sz w:val="21"/>
                    </w:rPr>
                    <w:t>，建议临路住户</w:t>
                  </w:r>
                  <w:r>
                    <w:rPr>
                      <w:sz w:val="21"/>
                    </w:rPr>
                    <w:t>改变使用功能，将其改为快餐店、零售店、维修场所等</w:t>
                  </w:r>
                  <w:r>
                    <w:rPr>
                      <w:rFonts w:hint="eastAsia"/>
                      <w:sz w:val="21"/>
                    </w:rPr>
                    <w:t>，</w:t>
                  </w:r>
                  <w:r>
                    <w:rPr>
                      <w:sz w:val="21"/>
                    </w:rPr>
                    <w:t>增加居民收入</w:t>
                  </w:r>
                  <w:r>
                    <w:rPr>
                      <w:rFonts w:hint="eastAsia"/>
                      <w:sz w:val="21"/>
                    </w:rPr>
                    <w:t>。</w:t>
                  </w:r>
                </w:p>
              </w:txbxContent>
            </v:textbox>
          </v:shape>
        </w:pict>
      </w:r>
    </w:p>
    <w:p>
      <w:pPr>
        <w:ind w:firstLine="480"/>
        <w:rPr>
          <w:highlight w:val="yellow"/>
        </w:rPr>
      </w:pPr>
    </w:p>
    <w:p>
      <w:pPr>
        <w:spacing w:line="240" w:lineRule="auto"/>
        <w:ind w:firstLine="0" w:firstLineChars="0"/>
        <w:rPr>
          <w:highlight w:val="yellow"/>
        </w:rPr>
      </w:pPr>
      <w:r>
        <w:pict>
          <v:shape id="_x0000_s1624" o:spid="_x0000_s1624" o:spt="202" type="#_x0000_t202" style="position:absolute;left:0pt;margin-left:-4.1pt;margin-top:374.25pt;height:43.25pt;width:469.1pt;z-index:25188044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">
            <v:path/>
            <v:fill focussize="0,0"/>
            <v:stroke on="f" joinstyle="miter"/>
            <v:imagedata o:title=""/>
            <o:lock v:ext="edit"/>
            <v:textbox>
              <w:txbxContent>
                <w:p>
                  <w:pPr>
                    <w:spacing w:line="240" w:lineRule="auto"/>
                    <w:ind w:firstLine="0" w:firstLineChars="0"/>
                  </w:pPr>
                  <w:r>
                    <w:rPr>
                      <w:rFonts w:hint="eastAsia"/>
                      <w:sz w:val="21"/>
                    </w:rPr>
                    <w:t>西十里铺村临路 4a类区超标7户，需要安装</w:t>
                  </w:r>
                  <w:r>
                    <w:rPr>
                      <w:sz w:val="21"/>
                    </w:rPr>
                    <w:t>通风隔声窗</w:t>
                  </w:r>
                  <w:r>
                    <w:rPr>
                      <w:rFonts w:hint="eastAsia"/>
                      <w:sz w:val="21"/>
                    </w:rPr>
                    <w:t>84</w:t>
                  </w:r>
                  <w:r>
                    <w:rPr>
                      <w:sz w:val="21"/>
                    </w:rPr>
                    <w:t>m</w:t>
                  </w:r>
                  <w:r>
                    <w:rPr>
                      <w:sz w:val="21"/>
                      <w:vertAlign w:val="superscript"/>
                    </w:rPr>
                    <w:t>2</w:t>
                  </w:r>
                  <w:r>
                    <w:rPr>
                      <w:rFonts w:hint="eastAsia"/>
                      <w:sz w:val="21"/>
                    </w:rPr>
                    <w:t>，2类区27户超标，需要安装</w:t>
                  </w:r>
                  <w:r>
                    <w:rPr>
                      <w:sz w:val="21"/>
                    </w:rPr>
                    <w:t>通风隔声窗</w:t>
                  </w:r>
                  <w:r>
                    <w:rPr>
                      <w:rFonts w:hint="eastAsia"/>
                      <w:sz w:val="21"/>
                    </w:rPr>
                    <w:t>，324</w:t>
                  </w:r>
                  <w:r>
                    <w:rPr>
                      <w:sz w:val="21"/>
                    </w:rPr>
                    <w:t>m</w:t>
                  </w:r>
                  <w:r>
                    <w:rPr>
                      <w:sz w:val="21"/>
                      <w:vertAlign w:val="superscript"/>
                    </w:rPr>
                    <w:t>2</w:t>
                  </w:r>
                  <w:r>
                    <w:rPr>
                      <w:rFonts w:hint="eastAsia"/>
                      <w:sz w:val="21"/>
                    </w:rPr>
                    <w:t>。建议临路住户</w:t>
                  </w:r>
                  <w:r>
                    <w:rPr>
                      <w:sz w:val="21"/>
                    </w:rPr>
                    <w:t>改变使用功能，将其改为快餐店、零售店、维修场所等</w:t>
                  </w:r>
                  <w:r>
                    <w:rPr>
                      <w:rFonts w:hint="eastAsia"/>
                      <w:sz w:val="21"/>
                    </w:rPr>
                    <w:t>，</w:t>
                  </w:r>
                  <w:r>
                    <w:rPr>
                      <w:sz w:val="21"/>
                    </w:rPr>
                    <w:t>增加居民收入</w:t>
                  </w:r>
                  <w:r>
                    <w:rPr>
                      <w:rFonts w:hint="eastAsia"/>
                      <w:sz w:val="21"/>
                    </w:rPr>
                    <w:t>。</w:t>
                  </w:r>
                </w:p>
              </w:txbxContent>
            </v:textbox>
          </v:shape>
        </w:pict>
      </w:r>
      <w:r>
        <w:pict>
          <v:shape id="_x0000_s1622" o:spid="_x0000_s1622" o:spt="120" type="#_x0000_t120" style="position:absolute;left:0pt;margin-left:230.5pt;margin-top:123pt;height:2.85pt;width:2.85pt;z-index:2518794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21" o:spid="_x0000_s1621" o:spt="120" type="#_x0000_t120" style="position:absolute;left:0pt;margin-left:221.35pt;margin-top:123.9pt;height:2.85pt;width:2.85pt;z-index:2518784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8" o:spid="_x0000_s1618" o:spt="120" type="#_x0000_t120" style="position:absolute;left:0pt;margin-left:208.45pt;margin-top:123pt;height:2.85pt;width:2.85pt;z-index:2518753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20" o:spid="_x0000_s1620" o:spt="120" type="#_x0000_t120" style="position:absolute;left:0pt;margin-left:179.25pt;margin-top:258.7pt;height:2.85pt;width:2.85pt;z-index:2518773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9" o:spid="_x0000_s1619" o:spt="120" type="#_x0000_t120" style="position:absolute;left:0pt;margin-left:173.3pt;margin-top:228pt;height:2.85pt;width:2.85pt;z-index:2518763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7" o:spid="_x0000_s1617" o:spt="120" type="#_x0000_t120" style="position:absolute;left:0pt;margin-left:198.7pt;margin-top:211.7pt;height:2.85pt;width:2.85pt;z-index:2518743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6" o:spid="_x0000_s1616" o:spt="120" type="#_x0000_t120" style="position:absolute;left:0pt;margin-left:198.05pt;margin-top:196.7pt;height:2.85pt;width:2.85pt;z-index:2518732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5" o:spid="_x0000_s1615" o:spt="120" type="#_x0000_t120" style="position:absolute;left:0pt;margin-left:161.55pt;margin-top:325.05pt;height:2.85pt;width:2.85pt;z-index:2518722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4" o:spid="_x0000_s1614" o:spt="120" type="#_x0000_t120" style="position:absolute;left:0pt;margin-left:149.8pt;margin-top:325.05pt;height:2.85pt;width:2.85pt;z-index:2518712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3" o:spid="_x0000_s1613" o:spt="120" type="#_x0000_t120" style="position:absolute;left:0pt;margin-left:161.55pt;margin-top:315.25pt;height:2.85pt;width:2.85pt;z-index:2518702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2" o:spid="_x0000_s1612" o:spt="120" type="#_x0000_t120" style="position:absolute;left:0pt;margin-left:149.8pt;margin-top:315.25pt;height:2.85pt;width:2.85pt;z-index:2518691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0" o:spid="_x0000_s1610" o:spt="120" type="#_x0000_t120" style="position:absolute;left:0pt;margin-left:161.55pt;margin-top:303.5pt;height:2.85pt;width:2.85pt;z-index:2518671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9" o:spid="_x0000_s1609" o:spt="120" type="#_x0000_t120" style="position:absolute;left:0pt;margin-left:146.95pt;margin-top:303.5pt;height:2.85pt;width:2.85pt;z-index:2518661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11" o:spid="_x0000_s1611" o:spt="120" type="#_x0000_t120" style="position:absolute;left:0pt;margin-left:161.8pt;margin-top:293.2pt;height:2.85pt;width:2.85pt;z-index:2518681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8" o:spid="_x0000_s1608" o:spt="120" type="#_x0000_t120" style="position:absolute;left:0pt;margin-left:146.95pt;margin-top:294.1pt;height:2.85pt;width:2.85pt;z-index:2518650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6" o:spid="_x0000_s1606" o:spt="120" type="#_x0000_t120" style="position:absolute;left:0pt;margin-left:173.3pt;margin-top:242.4pt;height:2.85pt;width:2.85pt;z-index:2518630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7" o:spid="_x0000_s1607" o:spt="120" type="#_x0000_t120" style="position:absolute;left:0pt;margin-left:189.55pt;margin-top:212.85pt;height:2.85pt;width:2.85pt;z-index:2518640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5" o:spid="_x0000_s1605" o:spt="120" type="#_x0000_t120" style="position:absolute;left:0pt;margin-left:182.1pt;margin-top:213.25pt;height:2.85pt;width:2.85pt;z-index:2518620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4" o:spid="_x0000_s1604" o:spt="120" type="#_x0000_t120" style="position:absolute;left:0pt;margin-left:173.3pt;margin-top:214.8pt;height:2.85pt;width:2.85pt;z-index:2518609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3" o:spid="_x0000_s1603" o:spt="120" type="#_x0000_t120" style="position:absolute;left:0pt;margin-left:189.55pt;margin-top:196.45pt;height:2.85pt;width:2.85pt;z-index:2518599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0" o:spid="_x0000_s1600" o:spt="120" type="#_x0000_t120" style="position:absolute;left:0pt;margin-left:182.35pt;margin-top:196.7pt;height:2.85pt;width:2.85pt;z-index:2518568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2" o:spid="_x0000_s1602" o:spt="120" type="#_x0000_t120" style="position:absolute;left:0pt;margin-left:198.95pt;margin-top:177.15pt;height:2.85pt;width:2.85pt;z-index:2518589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01" o:spid="_x0000_s1601" o:spt="120" type="#_x0000_t120" style="position:absolute;left:0pt;margin-left:170.45pt;margin-top:164.3pt;height:2.85pt;width:2.85pt;z-index:2518579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9" o:spid="_x0000_s1599" o:spt="120" type="#_x0000_t120" style="position:absolute;left:0pt;margin-left:182.35pt;margin-top:180pt;height:2.85pt;width:2.85pt;z-index:2518558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8" o:spid="_x0000_s1598" o:spt="120" type="#_x0000_t120" style="position:absolute;left:0pt;margin-left:229.85pt;margin-top:158.85pt;height:2.85pt;width:2.85pt;z-index:2518548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7" o:spid="_x0000_s1597" o:spt="120" type="#_x0000_t120" style="position:absolute;left:0pt;margin-left:218.5pt;margin-top:109.05pt;height:2.85pt;width:2.85pt;z-index:2518538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6" o:spid="_x0000_s1596" o:spt="120" type="#_x0000_t120" style="position:absolute;left:0pt;margin-left:280.3pt;margin-top:49.85pt;height:2.85pt;width:2.85pt;z-index:2518528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5" o:spid="_x0000_s1595" o:spt="120" type="#_x0000_t120" style="position:absolute;left:0pt;margin-left:272.85pt;margin-top:63pt;height:2.85pt;width:2.85pt;z-index:2518517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2" o:spid="_x0000_s1592" o:spt="120" type="#_x0000_t120" style="position:absolute;left:0pt;margin-left:136.05pt;margin-top:301.55pt;height:2.85pt;width:2.85pt;z-index:2518487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3" o:spid="_x0000_s1593" o:spt="120" type="#_x0000_t120" style="position:absolute;left:0pt;margin-left:136.45pt;margin-top:291.25pt;height:2.85pt;width:2.85pt;z-index:2518497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4" o:spid="_x0000_s1594" o:spt="120" type="#_x0000_t120" style="position:absolute;left:0pt;margin-left:136.05pt;margin-top:281.6pt;height:2.85pt;width:2.85pt;z-index:2518507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90" o:spid="_x0000_s1590" o:spt="120" type="#_x0000_t120" style="position:absolute;left:0pt;margin-left:197.4pt;margin-top:123pt;height:2.85pt;width:2.85pt;z-index:2518476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9" o:spid="_x0000_s1589" o:spt="120" type="#_x0000_t120" style="position:absolute;left:0pt;margin-left:203.65pt;margin-top:111.9pt;height:2.85pt;width:2.85pt;z-index:2518466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586" o:spid="_x0000_s1586" o:spt="120" type="#_x0000_t120" style="position:absolute;left:0pt;margin-left:272.85pt;margin-top:29.9pt;height:2.85pt;width:2.85pt;z-index:2518456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rPr>
          <w:b/>
        </w:rPr>
        <w:drawing>
          <wp:inline distT="0" distB="0" distL="0" distR="0">
            <wp:extent cx="5727700" cy="4722495"/>
            <wp:effectExtent l="19050" t="0" r="5881" b="0"/>
            <wp:docPr id="17" name="图片 16" descr="G112线路路径带桩号修改后-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G112线路路径带桩号修改后-44.jpg"/>
                    <pic:cNvPicPr>
                      <a:picLocks noChangeAspect="1"/>
                    </pic:cNvPicPr>
                  </pic:nvPicPr>
                  <pic:blipFill>
                    <a:blip r:embed="rId100" cstate="print"/>
                    <a:srcRect t="17500"/>
                    <a:stretch>
                      <a:fillRect/>
                    </a:stretch>
                  </pic:blipFill>
                  <pic:spPr>
                    <a:xfrm>
                      <a:off x="0" y="0"/>
                      <a:ext cx="5728169" cy="4723075"/>
                    </a:xfrm>
                    <a:prstGeom prst="rect">
                      <a:avLst/>
                    </a:prstGeom>
                  </pic:spPr>
                </pic:pic>
              </a:graphicData>
            </a:graphic>
          </wp:inline>
        </w:drawing>
      </w:r>
      <w:r>
        <w:drawing>
          <wp:inline distT="0" distB="0" distL="0" distR="0">
            <wp:extent cx="5724525" cy="5724525"/>
            <wp:effectExtent l="19050" t="0" r="9525" b="0"/>
            <wp:docPr id="16" name="图片 15" descr="G112线路路径带桩号修改后-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G112线路路径带桩号修改后-55.jpg"/>
                    <pic:cNvPicPr>
                      <a:picLocks noChangeAspect="1"/>
                    </pic:cNvPicPr>
                  </pic:nvPicPr>
                  <pic:blipFill>
                    <a:blip r:embed="rId101" cstate="print"/>
                    <a:stretch>
                      <a:fillRect/>
                    </a:stretch>
                  </pic:blipFill>
                  <pic:spPr>
                    <a:xfrm>
                      <a:off x="0" y="0"/>
                      <a:ext cx="5724525" cy="5724525"/>
                    </a:xfrm>
                    <a:prstGeom prst="rect">
                      <a:avLst/>
                    </a:prstGeom>
                  </pic:spPr>
                </pic:pic>
              </a:graphicData>
            </a:graphic>
          </wp:inline>
        </w:drawing>
      </w:r>
    </w:p>
    <w:p>
      <w:pPr>
        <w:ind w:firstLine="480"/>
        <w:rPr>
          <w:highlight w:val="yellow"/>
        </w:rPr>
      </w:pPr>
      <w:r>
        <w:rPr>
          <w:highlight w:val="yellow"/>
        </w:rPr>
        <w:pict>
          <v:shape id="Text Box 521" o:spid="_x0000_s1213" o:spt="202" type="#_x0000_t202" style="position:absolute;left:0pt;margin-left:-10.3pt;margin-top:4.9pt;height:33.85pt;width:469.1pt;z-index:251594752;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">
            <v:path/>
            <v:fill focussize="0,0"/>
            <v:stroke on="f" joinstyle="miter"/>
            <v:imagedata o:title=""/>
            <o:lock v:ext="edit"/>
            <v:textbox>
              <w:txbxContent>
                <w:p>
                  <w:pPr>
                    <w:spacing w:line="240" w:lineRule="auto"/>
                    <w:ind w:firstLine="0" w:firstLineChars="0"/>
                  </w:pPr>
                  <w:r>
                    <w:rPr>
                      <w:rFonts w:hint="eastAsia"/>
                      <w:sz w:val="21"/>
                    </w:rPr>
                    <w:t>①后王庄村：该村有5户涉及道路红线需拆迁，拆迁后4a类区无超标；2类区超标4户，安装通风隔声窗48</w:t>
                  </w:r>
                  <w:r>
                    <w:rPr>
                      <w:sz w:val="21"/>
                    </w:rPr>
                    <w:t>m</w:t>
                  </w:r>
                  <w:r>
                    <w:rPr>
                      <w:sz w:val="21"/>
                      <w:vertAlign w:val="superscript"/>
                    </w:rPr>
                    <w:t>2</w:t>
                  </w:r>
                  <w:r>
                    <w:rPr>
                      <w:rFonts w:hint="eastAsia"/>
                      <w:sz w:val="21"/>
                    </w:rPr>
                    <w:t>；②前辅村：该村2类区超标2户，安装通风隔声窗24</w:t>
                  </w:r>
                  <w:r>
                    <w:rPr>
                      <w:sz w:val="21"/>
                    </w:rPr>
                    <w:t>m</w:t>
                  </w:r>
                  <w:r>
                    <w:rPr>
                      <w:sz w:val="21"/>
                      <w:vertAlign w:val="superscript"/>
                    </w:rPr>
                    <w:t>2</w:t>
                  </w:r>
                  <w:r>
                    <w:rPr>
                      <w:rFonts w:hint="eastAsia"/>
                      <w:sz w:val="21"/>
                    </w:rPr>
                    <w:t>。</w:t>
                  </w:r>
                </w:p>
              </w:txbxContent>
            </v:textbox>
          </v:shape>
        </w:pict>
      </w:r>
      <w:r>
        <w:pict>
          <v:shape id="_x0000_s1634" o:spid="_x0000_s1634" o:spt="120" type="#_x0000_t120" style="position:absolute;left:0pt;margin-left:428.1pt;margin-top:-57.7pt;height:2.85pt;width:2.85pt;z-index:2518906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3" o:spid="_x0000_s1633" o:spt="120" type="#_x0000_t120" style="position:absolute;left:0pt;margin-left:430.95pt;margin-top:-46.8pt;height:2.85pt;width:2.85pt;z-index:2518896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0" o:spid="_x0000_s1630" o:spt="120" type="#_x0000_t120" style="position:absolute;left:0pt;margin-left:122.75pt;margin-top:-325.1pt;height:2.85pt;width:2.85pt;z-index:2518865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2" o:spid="_x0000_s1632" o:spt="120" type="#_x0000_t120" style="position:absolute;left:0pt;margin-left:129.5pt;margin-top:-307.45pt;height:2.85pt;width:2.85pt;z-index:2518886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1" o:spid="_x0000_s1631" o:spt="120" type="#_x0000_t120" style="position:absolute;left:0pt;margin-left:138.8pt;margin-top:-308.5pt;height:2.85pt;width:2.85pt;z-index:2518876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29" o:spid="_x0000_s1629" o:spt="120" type="#_x0000_t120" style="position:absolute;left:0pt;margin-left:135.95pt;margin-top:-322.25pt;height:2.85pt;width:2.85pt;z-index:2518855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28" o:spid="_x0000_s1628" o:spt="61" type="#_x0000_t61" style="position:absolute;left:0pt;margin-left:278.8pt;margin-top:-221.15pt;height:19.5pt;width:76.05pt;z-index:251884544;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" adj="-5553,31292">
            <v:path/>
            <v:fill focussize="0,0"/>
            <v:stroke joinstyle="miter"/>
            <v:imagedata o:title=""/>
            <o:lock v:ext="edit"/>
            <v:textbox>
              <w:txbxContent>
                <w:p>
                  <w:pPr>
                    <w:spacing w:line="240" w:lineRule="auto"/>
                    <w:ind w:firstLine="0" w:firstLineChars="0"/>
                    <w:rPr>
                      <w:sz w:val="21"/>
                    </w:rPr>
                  </w:pPr>
                  <w:r>
                    <w:rPr>
                      <w:rFonts w:hint="eastAsia"/>
                      <w:sz w:val="21"/>
                    </w:rPr>
                    <w:t>工程拆迁2户</w:t>
                  </w:r>
                </w:p>
              </w:txbxContent>
            </v:textbox>
          </v:shape>
        </w:pict>
      </w:r>
      <w:r>
        <w:pict>
          <v:shape id="_x0000_s1627" o:spid="_x0000_s1627" style="position:absolute;left:0pt;margin-left:238.1pt;margin-top:-211.1pt;height:54.45pt;width:40.7pt;z-index:251883520;mso-width-relative:page;mso-height-relative:page;" filled="f" stroked="t" coordsize="814,1089" path="m263,62l744,0,814,338,401,513,388,1089,0,1027,25,476,263,62xe">
            <v:path arrowok="t"/>
            <v:fill on="f" focussize="0,0"/>
            <v:stroke color="#FFFF00"/>
            <v:imagedata o:title=""/>
            <o:lock v:ext="edit"/>
          </v:shape>
        </w:pict>
      </w:r>
      <w:r>
        <w:pict>
          <v:shape id="_x0000_s1626" o:spid="_x0000_s1626" o:spt="61" type="#_x0000_t61" style="position:absolute;left:0pt;margin-left:199.25pt;margin-top:-382.65pt;height:19.5pt;width:76.05pt;z-index:25188249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" adj="-5553,31292">
            <v:path/>
            <v:fill focussize="0,0"/>
            <v:stroke joinstyle="miter"/>
            <v:imagedata o:title=""/>
            <o:lock v:ext="edit"/>
            <v:textbox>
              <w:txbxContent>
                <w:p>
                  <w:pPr>
                    <w:spacing w:line="240" w:lineRule="auto"/>
                    <w:ind w:firstLine="0" w:firstLineChars="0"/>
                    <w:rPr>
                      <w:sz w:val="21"/>
                    </w:rPr>
                  </w:pPr>
                  <w:r>
                    <w:rPr>
                      <w:rFonts w:hint="eastAsia"/>
                      <w:sz w:val="21"/>
                    </w:rPr>
                    <w:t>工程拆迁5户</w:t>
                  </w:r>
                </w:p>
              </w:txbxContent>
            </v:textbox>
          </v:shape>
        </w:pict>
      </w:r>
      <w:r>
        <w:pict>
          <v:shape id="_x0000_s1625" o:spid="_x0000_s1625" style="position:absolute;left:0pt;margin-left:138.55pt;margin-top:-384.55pt;height:110.2pt;width:60.7pt;z-index:251881472;mso-width-relative:page;mso-height-relative:page;" filled="f" stroked="t" coordsize="1214,2204" path="m426,63l1027,0,1214,2116,651,2204,513,1465,88,1390,0,864,438,827,426,63xe">
            <v:path arrowok="t"/>
            <v:fill on="f" focussize="0,0"/>
            <v:stroke color="#FFFF00"/>
            <v:imagedata o:title=""/>
            <o:lock v:ext="edit"/>
          </v:shape>
        </w:pict>
      </w:r>
    </w:p>
    <w:p>
      <w:pPr>
        <w:spacing w:line="240" w:lineRule="auto"/>
        <w:ind w:firstLine="0" w:firstLineChars="0"/>
        <w:rPr>
          <w:highlight w:val="yellow"/>
        </w:rPr>
      </w:pPr>
      <w:r>
        <w:pict>
          <v:shape id="_x0000_s1646" o:spid="_x0000_s1646" o:spt="120" type="#_x0000_t120" style="position:absolute;left:0pt;margin-left:249.35pt;margin-top:114.75pt;height:2.85pt;width:2.85pt;z-index:2519029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4" o:spid="_x0000_s1644" o:spt="120" type="#_x0000_t120" style="position:absolute;left:0pt;margin-left:262.7pt;margin-top:174.2pt;height:2.85pt;width:2.85pt;z-index:2519009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5" o:spid="_x0000_s1645" o:spt="120" type="#_x0000_t120" style="position:absolute;left:0pt;margin-left:265.55pt;margin-top:161.4pt;height:2.85pt;width:2.85pt;z-index:2519019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3" o:spid="_x0000_s1643" o:spt="120" type="#_x0000_t120" style="position:absolute;left:0pt;margin-left:245.6pt;margin-top:159.2pt;height:2.85pt;width:2.85pt;z-index:2518999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2" o:spid="_x0000_s1642" o:spt="120" type="#_x0000_t120" style="position:absolute;left:0pt;margin-left:243.65pt;margin-top:147.6pt;height:2.85pt;width:2.85pt;z-index:2518988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1" o:spid="_x0000_s1641" o:spt="120" type="#_x0000_t120" style="position:absolute;left:0pt;margin-left:246.5pt;margin-top:125.7pt;height:2.85pt;width:2.85pt;z-index:2518978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0" o:spid="_x0000_s1640" o:spt="120" type="#_x0000_t120" style="position:absolute;left:0pt;margin-left:213.15pt;margin-top:125.7pt;height:2.85pt;width:2.85pt;z-index:2518968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9" o:spid="_x0000_s1639" o:spt="120" type="#_x0000_t120" style="position:absolute;left:0pt;margin-left:206.35pt;margin-top:125.4pt;height:2.85pt;width:2.85pt;z-index:2518958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8" o:spid="_x0000_s1638" o:spt="120" type="#_x0000_t120" style="position:absolute;left:0pt;margin-left:213.85pt;margin-top:117.3pt;height:2.85pt;width:2.85pt;z-index:2518947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7" o:spid="_x0000_s1637" o:spt="120" type="#_x0000_t120" style="position:absolute;left:0pt;margin-left:206.8pt;margin-top:116.3pt;height:2.85pt;width:2.85pt;z-index:2518937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6" o:spid="_x0000_s1636" o:spt="120" type="#_x0000_t120" style="position:absolute;left:0pt;margin-left:200.25pt;margin-top:124.1pt;height:2.85pt;width:2.85pt;z-index:2518927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35" o:spid="_x0000_s1635" o:spt="120" type="#_x0000_t120" style="position:absolute;left:0pt;margin-left:200.25pt;margin-top:114.75pt;height:2.85pt;width:2.85pt;z-index:2518917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drawing>
          <wp:inline distT="0" distB="0" distL="0" distR="0">
            <wp:extent cx="5731510" cy="3028950"/>
            <wp:effectExtent l="19050" t="0" r="2071" b="0"/>
            <wp:docPr id="19" name="图片 18" descr="G112线路路径带桩号修改后-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G112线路路径带桩号修改后-66.jpg"/>
                    <pic:cNvPicPr>
                      <a:picLocks noChangeAspect="1"/>
                    </pic:cNvPicPr>
                  </pic:nvPicPr>
                  <pic:blipFill>
                    <a:blip r:embed="rId102" cstate="print"/>
                    <a:srcRect t="31667" b="15417"/>
                    <a:stretch>
                      <a:fillRect/>
                    </a:stretch>
                  </pic:blipFill>
                  <pic:spPr>
                    <a:xfrm>
                      <a:off x="0" y="0"/>
                      <a:ext cx="5731979" cy="3029447"/>
                    </a:xfrm>
                    <a:prstGeom prst="rect">
                      <a:avLst/>
                    </a:prstGeom>
                  </pic:spPr>
                </pic:pic>
              </a:graphicData>
            </a:graphic>
          </wp:inline>
        </w:drawing>
      </w:r>
    </w:p>
    <w:p>
      <w:pPr>
        <w:ind w:firstLine="480"/>
        <w:rPr>
          <w:highlight w:val="yellow"/>
        </w:rPr>
      </w:pPr>
      <w:r>
        <w:pict>
          <v:shape id="_x0000_s1647" o:spid="_x0000_s1647" o:spt="202" type="#_x0000_t202" style="position:absolute;left:0pt;margin-left:-5.45pt;margin-top:0.45pt;height:21.55pt;width:486.75pt;z-index:251904000;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">
            <v:path/>
            <v:fill focussize="0,0"/>
            <v:stroke on="f" joinstyle="miter"/>
            <v:imagedata o:title=""/>
            <o:lock v:ext="edit"/>
            <v:textbox>
              <w:txbxContent>
                <w:p>
                  <w:pPr>
                    <w:spacing w:line="240" w:lineRule="auto"/>
                    <w:ind w:firstLine="0" w:firstLineChars="0"/>
                    <w:jc w:val="left"/>
                  </w:pPr>
                  <w:r>
                    <w:rPr>
                      <w:rFonts w:hint="eastAsia"/>
                      <w:sz w:val="21"/>
                    </w:rPr>
                    <w:t>白方寺村：该村2类区超标12户，安装通风隔声窗144</w:t>
                  </w:r>
                  <w:r>
                    <w:rPr>
                      <w:sz w:val="21"/>
                    </w:rPr>
                    <w:t>m</w:t>
                  </w:r>
                  <w:r>
                    <w:rPr>
                      <w:sz w:val="21"/>
                      <w:vertAlign w:val="superscript"/>
                    </w:rPr>
                    <w:t>2</w:t>
                  </w:r>
                  <w:r>
                    <w:rPr>
                      <w:rFonts w:hint="eastAsia"/>
                      <w:sz w:val="21"/>
                    </w:rPr>
                    <w:t>。</w:t>
                  </w:r>
                </w:p>
              </w:txbxContent>
            </v:textbox>
          </v:shape>
        </w:pict>
      </w:r>
    </w:p>
    <w:p>
      <w:pPr>
        <w:spacing w:line="240" w:lineRule="auto"/>
        <w:ind w:firstLine="0" w:firstLineChars="0"/>
        <w:rPr>
          <w:highlight w:val="yellow"/>
        </w:rPr>
      </w:pPr>
      <w:r>
        <w:pict>
          <v:shape id="_x0000_s1651" o:spid="_x0000_s1651" o:spt="120" type="#_x0000_t120" style="position:absolute;left:0pt;margin-left:186.05pt;margin-top:72.45pt;height:2.85pt;width:2.85pt;z-index:2519080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50" o:spid="_x0000_s1650" o:spt="120" type="#_x0000_t120" style="position:absolute;left:0pt;margin-left:177.3pt;margin-top:73.1pt;height:2.85pt;width:2.85pt;z-index:2519070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9" o:spid="_x0000_s1649" o:spt="120" type="#_x0000_t120" style="position:absolute;left:0pt;margin-left:168.4pt;margin-top:72.2pt;height:2.85pt;width:2.85pt;z-index:2519060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48" o:spid="_x0000_s1648" o:spt="120" type="#_x0000_t120" style="position:absolute;left:0pt;margin-left:153.55pt;margin-top:75.05pt;height:2.85pt;width:2.85pt;z-index:2519050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drawing>
          <wp:inline distT="0" distB="0" distL="0" distR="0">
            <wp:extent cx="5731510" cy="3625215"/>
            <wp:effectExtent l="19050" t="0" r="2071" b="0"/>
            <wp:docPr id="21" name="图片 20" descr="G112线路路径带桩号修改后-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G112线路路径带桩号修改后-88.jpg"/>
                    <pic:cNvPicPr>
                      <a:picLocks noChangeAspect="1"/>
                    </pic:cNvPicPr>
                  </pic:nvPicPr>
                  <pic:blipFill>
                    <a:blip r:embed="rId103" cstate="print"/>
                    <a:srcRect t="10833" b="25833"/>
                    <a:stretch>
                      <a:fillRect/>
                    </a:stretch>
                  </pic:blipFill>
                  <pic:spPr>
                    <a:xfrm>
                      <a:off x="0" y="0"/>
                      <a:ext cx="5731979" cy="3625795"/>
                    </a:xfrm>
                    <a:prstGeom prst="rect">
                      <a:avLst/>
                    </a:prstGeom>
                  </pic:spPr>
                </pic:pic>
              </a:graphicData>
            </a:graphic>
          </wp:inline>
        </w:drawing>
      </w:r>
    </w:p>
    <w:p>
      <w:pPr>
        <w:ind w:firstLine="480"/>
        <w:rPr>
          <w:highlight w:val="yellow"/>
        </w:rPr>
      </w:pPr>
      <w:r>
        <w:pict>
          <v:shape id="_x0000_s1654" o:spid="_x0000_s1654" o:spt="202" type="#_x0000_t202" style="position:absolute;left:0pt;margin-left:-21.7pt;margin-top:1.5pt;height:20.1pt;width:486.75pt;z-index:25191116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">
            <v:path/>
            <v:fill focussize="0,0"/>
            <v:stroke on="f" joinstyle="miter"/>
            <v:imagedata o:title=""/>
            <o:lock v:ext="edit"/>
            <v:textbox>
              <w:txbxContent>
                <w:p>
                  <w:pPr>
                    <w:spacing w:line="240" w:lineRule="auto"/>
                    <w:ind w:firstLine="0" w:firstLineChars="0"/>
                    <w:jc w:val="center"/>
                  </w:pPr>
                  <w:r>
                    <w:rPr>
                      <w:rFonts w:hint="eastAsia"/>
                      <w:sz w:val="21"/>
                    </w:rPr>
                    <w:t>学汉坨村：该村2类区超标4户，安装通风隔声窗48</w:t>
                  </w:r>
                  <w:r>
                    <w:rPr>
                      <w:sz w:val="21"/>
                    </w:rPr>
                    <w:t>m</w:t>
                  </w:r>
                  <w:r>
                    <w:rPr>
                      <w:sz w:val="21"/>
                      <w:vertAlign w:val="superscript"/>
                    </w:rPr>
                    <w:t>2</w:t>
                  </w:r>
                  <w:r>
                    <w:rPr>
                      <w:rFonts w:hint="eastAsia"/>
                      <w:sz w:val="21"/>
                    </w:rPr>
                    <w:t>。</w:t>
                  </w:r>
                </w:p>
              </w:txbxContent>
            </v:textbox>
          </v:shape>
        </w:pict>
      </w:r>
    </w:p>
    <w:p>
      <w:pPr>
        <w:spacing w:line="240" w:lineRule="auto"/>
        <w:ind w:firstLine="0" w:firstLineChars="0"/>
        <w:rPr>
          <w:highlight w:val="yellow"/>
        </w:rPr>
      </w:pPr>
      <w:r>
        <w:pict>
          <v:shape id="_x0000_s1695" o:spid="_x0000_s1695" o:spt="120" type="#_x0000_t120" style="position:absolute;left:0pt;margin-left:301.3pt;margin-top:80.15pt;height:2.85pt;width:2.85pt;z-index:2519459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4" o:spid="_x0000_s1694" o:spt="120" type="#_x0000_t120" style="position:absolute;left:0pt;margin-left:311.65pt;margin-top:105.8pt;height:2.85pt;width:2.85pt;z-index:2519449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3" o:spid="_x0000_s1693" o:spt="120" type="#_x0000_t120" style="position:absolute;left:0pt;margin-left:296.65pt;margin-top:93.8pt;height:2.85pt;width:2.85pt;z-index:2519439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2" o:spid="_x0000_s1692" o:spt="120" type="#_x0000_t120" style="position:absolute;left:0pt;margin-left:269.8pt;margin-top:99.5pt;height:2.85pt;width:2.85pt;z-index:2519429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1" o:spid="_x0000_s1691" o:spt="120" type="#_x0000_t120" style="position:absolute;left:0pt;margin-left:276.25pt;margin-top:96.65pt;height:2.85pt;width:2.85pt;z-index:2519418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0" o:spid="_x0000_s1690" o:spt="120" type="#_x0000_t120" style="position:absolute;left:0pt;margin-left:258.7pt;margin-top:103.85pt;height:2.85pt;width:2.85pt;z-index:2519408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9" o:spid="_x0000_s1689" o:spt="120" type="#_x0000_t120" style="position:absolute;left:0pt;margin-left:301.3pt;margin-top:106.7pt;height:2.85pt;width:2.85pt;z-index:2519398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8" o:spid="_x0000_s1688" o:spt="120" type="#_x0000_t120" style="position:absolute;left:0pt;margin-left:290.95pt;margin-top:108.95pt;height:2.85pt;width:2.85pt;z-index:2519388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7" o:spid="_x0000_s1687" o:spt="120" type="#_x0000_t120" style="position:absolute;left:0pt;margin-left:273.4pt;margin-top:114.05pt;height:2.85pt;width:2.85pt;z-index:2519377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6" o:spid="_x0000_s1686" o:spt="120" type="#_x0000_t120" style="position:absolute;left:0pt;margin-left:233.5pt;margin-top:104.45pt;height:2.85pt;width:2.85pt;z-index:2519367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5" o:spid="_x0000_s1685" o:spt="120" type="#_x0000_t120" style="position:absolute;left:0pt;margin-left:250.15pt;margin-top:111.8pt;height:2.85pt;width:2.85pt;z-index:2519357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4" o:spid="_x0000_s1684" o:spt="120" type="#_x0000_t120" style="position:absolute;left:0pt;margin-left:243.85pt;margin-top:113.3pt;height:2.85pt;width:2.85pt;z-index:2519347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3" o:spid="_x0000_s1683" o:spt="120" type="#_x0000_t120" style="position:absolute;left:0pt;margin-left:236.35pt;margin-top:114.65pt;height:2.85pt;width:2.85pt;z-index:2519336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2" o:spid="_x0000_s1682" o:spt="120" type="#_x0000_t120" style="position:absolute;left:0pt;margin-left:188.65pt;margin-top:83pt;height:2.85pt;width:2.85pt;z-index:2519326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1" o:spid="_x0000_s1681" o:spt="120" type="#_x0000_t120" style="position:absolute;left:0pt;margin-left:192.7pt;margin-top:98pt;height:2.85pt;width:2.85pt;z-index:2519316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80" o:spid="_x0000_s1680" o:spt="120" type="#_x0000_t120" style="position:absolute;left:0pt;margin-left:214.3pt;margin-top:109.55pt;height:2.85pt;width:2.85pt;z-index:2519306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9" o:spid="_x0000_s1679" o:spt="120" type="#_x0000_t120" style="position:absolute;left:0pt;margin-left:202.45pt;margin-top:112.4pt;height:2.85pt;width:2.85pt;z-index:2519296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8" o:spid="_x0000_s1678" o:spt="120" type="#_x0000_t120" style="position:absolute;left:0pt;margin-left:211.3pt;margin-top:125.9pt;height:2.85pt;width:2.85pt;z-index:2519285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7" o:spid="_x0000_s1677" o:spt="120" type="#_x0000_t120" style="position:absolute;left:0pt;margin-left:195.55pt;margin-top:117.5pt;height:2.85pt;width:2.85pt;z-index:2519275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6" o:spid="_x0000_s1676" o:spt="120" type="#_x0000_t120" style="position:absolute;left:0pt;margin-left:185.8pt;margin-top:120.95pt;height:2.85pt;width:2.85pt;z-index:2519265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5" o:spid="_x0000_s1675" o:spt="120" type="#_x0000_t120" style="position:absolute;left:0pt;margin-left:179.05pt;margin-top:124.7pt;height:2.85pt;width:2.85pt;z-index:2519255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4" o:spid="_x0000_s1674" o:spt="120" type="#_x0000_t120" style="position:absolute;left:0pt;margin-left:245.2pt;margin-top:128.75pt;height:2.85pt;width:2.85pt;z-index:2519244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3" o:spid="_x0000_s1673" o:spt="120" type="#_x0000_t120" style="position:absolute;left:0pt;margin-left:211.3pt;margin-top:140.6pt;height:2.85pt;width:2.85pt;z-index:2519234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1" o:spid="_x0000_s1671" o:spt="120" type="#_x0000_t120" style="position:absolute;left:0pt;margin-left:293.8pt;margin-top:123.05pt;height:2.85pt;width:2.85pt;z-index:2519214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9" o:spid="_x0000_s1669" o:spt="120" type="#_x0000_t120" style="position:absolute;left:0pt;margin-left:306.4pt;margin-top:120.35pt;height:2.85pt;width:2.85pt;z-index:2519193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0" o:spid="_x0000_s1670" o:spt="120" type="#_x0000_t120" style="position:absolute;left:0pt;margin-left:301.3pt;margin-top:121.7pt;height:2.85pt;width:2.85pt;z-index:2519203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72" o:spid="_x0000_s1672" o:spt="120" type="#_x0000_t120" style="position:absolute;left:0pt;margin-left:285.25pt;margin-top:125.9pt;height:2.85pt;width:2.85pt;z-index:2519224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8" o:spid="_x0000_s1668" o:spt="120" type="#_x0000_t120" style="position:absolute;left:0pt;margin-left:158.05pt;margin-top:133.4pt;height:2.85pt;width:2.85pt;z-index:2519183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2" o:spid="_x0000_s1662" style="position:absolute;left:0pt;margin-left:113.8pt;margin-top:131.6pt;height:42.75pt;width:46.5pt;z-index:251912192;mso-width-relative:page;mso-height-relative:page;" filled="f" stroked="t" coordsize="1065,855" path="m0,345l900,0,1065,525,555,735,120,855,0,345xe">
            <v:path arrowok="t"/>
            <v:fill on="f" focussize="0,0"/>
            <v:stroke color="#FFFF00"/>
            <v:imagedata o:title=""/>
            <o:lock v:ext="edit"/>
          </v:shape>
        </w:pict>
      </w:r>
      <w:r>
        <w:pict>
          <v:shape id="_x0000_s1665" o:spid="_x0000_s1665" o:spt="120" type="#_x0000_t120" style="position:absolute;left:0pt;margin-left:187.3pt;margin-top:136.25pt;height:2.85pt;width:2.85pt;z-index:2519152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6" o:spid="_x0000_s1666" o:spt="120" type="#_x0000_t120" style="position:absolute;left:0pt;margin-left:173.95pt;margin-top:125.9pt;height:2.85pt;width:2.85pt;z-index:2519162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7" o:spid="_x0000_s1667" o:spt="120" type="#_x0000_t120" style="position:absolute;left:0pt;margin-left:167.05pt;margin-top:128.75pt;height:2.85pt;width:2.85pt;z-index:2519173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4" o:spid="_x0000_s1664" o:spt="120" type="#_x0000_t120" style="position:absolute;left:0pt;margin-left:95.5pt;margin-top:164.6pt;height:2.85pt;width:2.85pt;z-index:2519142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63" o:spid="_x0000_s1663" o:spt="61" type="#_x0000_t61" style="position:absolute;left:0pt;margin-left:160.3pt;margin-top:194.6pt;height:19.5pt;width:76.05pt;z-index:25191321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" adj="-3849,-37662">
            <v:path/>
            <v:fill focussize="0,0"/>
            <v:stroke joinstyle="miter"/>
            <v:imagedata o:title=""/>
            <o:lock v:ext="edit"/>
            <v:textbox>
              <w:txbxContent>
                <w:p>
                  <w:pPr>
                    <w:spacing w:line="240" w:lineRule="auto"/>
                    <w:ind w:firstLine="0" w:firstLineChars="0"/>
                    <w:rPr>
                      <w:sz w:val="21"/>
                    </w:rPr>
                  </w:pPr>
                  <w:r>
                    <w:rPr>
                      <w:rFonts w:hint="eastAsia"/>
                      <w:sz w:val="21"/>
                    </w:rPr>
                    <w:t>工程拆迁2户</w:t>
                  </w:r>
                </w:p>
              </w:txbxContent>
            </v:textbox>
          </v:shape>
        </w:pict>
      </w:r>
      <w:r>
        <w:drawing>
          <wp:inline distT="0" distB="0" distL="0" distR="0">
            <wp:extent cx="5724525" cy="3419475"/>
            <wp:effectExtent l="19050" t="0" r="9525" b="0"/>
            <wp:docPr id="18" name="图片 17" descr="G112线路路径带桩号修改后-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G112线路路径带桩号修改后-99.jpg"/>
                    <pic:cNvPicPr>
                      <a:picLocks noChangeAspect="1"/>
                    </pic:cNvPicPr>
                  </pic:nvPicPr>
                  <pic:blipFill>
                    <a:blip r:embed="rId104" cstate="print"/>
                    <a:srcRect t="40267"/>
                    <a:stretch>
                      <a:fillRect/>
                    </a:stretch>
                  </pic:blipFill>
                  <pic:spPr>
                    <a:xfrm>
                      <a:off x="0" y="0"/>
                      <a:ext cx="5724525" cy="3419475"/>
                    </a:xfrm>
                    <a:prstGeom prst="rect">
                      <a:avLst/>
                    </a:prstGeom>
                  </pic:spPr>
                </pic:pic>
              </a:graphicData>
            </a:graphic>
          </wp:inline>
        </w:drawing>
      </w:r>
    </w:p>
    <w:p>
      <w:pPr>
        <w:ind w:firstLine="480"/>
        <w:rPr>
          <w:highlight w:val="yellow"/>
        </w:rPr>
      </w:pPr>
      <w:r>
        <w:pict>
          <v:shape id="_x0000_s1696" o:spid="_x0000_s1696" o:spt="202" type="#_x0000_t202" style="position:absolute;left:0pt;margin-left:-8.5pt;margin-top:2.4pt;height:47.35pt;width:469.1pt;z-index:25194700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">
            <v:path/>
            <v:fill focussize="0,0"/>
            <v:stroke on="f" joinstyle="miter"/>
            <v:imagedata o:title=""/>
            <o:lock v:ext="edit"/>
            <v:textbox>
              <w:txbxContent>
                <w:p>
                  <w:pPr>
                    <w:spacing w:line="240" w:lineRule="auto"/>
                    <w:ind w:firstLine="0" w:firstLineChars="0"/>
                  </w:pPr>
                  <w:r>
                    <w:rPr>
                      <w:rFonts w:hint="eastAsia"/>
                      <w:sz w:val="21"/>
                    </w:rPr>
                    <w:t>骆各庄村：该村有2户涉及道路红线需拆迁，拆迁后4a类区超标11户，安装通风隔声窗132</w:t>
                  </w:r>
                  <w:r>
                    <w:rPr>
                      <w:sz w:val="21"/>
                    </w:rPr>
                    <w:t>m</w:t>
                  </w:r>
                  <w:r>
                    <w:rPr>
                      <w:sz w:val="21"/>
                      <w:vertAlign w:val="superscript"/>
                    </w:rPr>
                    <w:t>2</w:t>
                  </w:r>
                  <w:r>
                    <w:rPr>
                      <w:rFonts w:hint="eastAsia"/>
                      <w:sz w:val="21"/>
                    </w:rPr>
                    <w:t>；2类区超标21户，安装通风隔声窗252</w:t>
                  </w:r>
                  <w:r>
                    <w:rPr>
                      <w:sz w:val="21"/>
                    </w:rPr>
                    <w:t>m</w:t>
                  </w:r>
                  <w:r>
                    <w:rPr>
                      <w:sz w:val="21"/>
                      <w:vertAlign w:val="superscript"/>
                    </w:rPr>
                    <w:t>2</w:t>
                  </w:r>
                  <w:r>
                    <w:rPr>
                      <w:rFonts w:hint="eastAsia"/>
                      <w:sz w:val="21"/>
                    </w:rPr>
                    <w:t>。建议临路住户</w:t>
                  </w:r>
                  <w:r>
                    <w:rPr>
                      <w:sz w:val="21"/>
                    </w:rPr>
                    <w:t>改变使用功能，将其改为快餐店、零售店、维修场所等</w:t>
                  </w:r>
                  <w:r>
                    <w:rPr>
                      <w:rFonts w:hint="eastAsia"/>
                      <w:sz w:val="21"/>
                    </w:rPr>
                    <w:t>，</w:t>
                  </w:r>
                  <w:r>
                    <w:rPr>
                      <w:sz w:val="21"/>
                    </w:rPr>
                    <w:t>增加居民收入</w:t>
                  </w:r>
                  <w:r>
                    <w:rPr>
                      <w:rFonts w:hint="eastAsia"/>
                      <w:sz w:val="21"/>
                    </w:rPr>
                    <w:t>。</w:t>
                  </w:r>
                </w:p>
              </w:txbxContent>
            </v:textbox>
          </v:shape>
        </w:pict>
      </w:r>
    </w:p>
    <w:p>
      <w:pPr>
        <w:spacing w:line="240" w:lineRule="auto"/>
        <w:ind w:firstLine="0" w:firstLineChars="0"/>
        <w:rPr>
          <w:highlight w:val="yellow"/>
        </w:rPr>
      </w:pPr>
      <w:r>
        <w:pict>
          <v:shape id="_x0000_s1772" o:spid="_x0000_s1772" o:spt="202" type="#_x0000_t202" style="position:absolute;left:0pt;margin-left:-0.15pt;margin-top:416.7pt;height:46.8pt;width:469.1pt;z-index:252023808;mso-width-relative:page;mso-height-relative:page;"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">
            <v:path/>
            <v:fill focussize="0,0"/>
            <v:stroke on="f" joinstyle="miter"/>
            <v:imagedata o:title=""/>
            <o:lock v:ext="edit"/>
            <v:textbox>
              <w:txbxContent>
                <w:p>
                  <w:pPr>
                    <w:spacing w:line="240" w:lineRule="auto"/>
                    <w:ind w:firstLine="0" w:firstLineChars="0"/>
                  </w:pPr>
                  <w:r>
                    <w:rPr>
                      <w:rFonts w:hint="eastAsia"/>
                      <w:sz w:val="21"/>
                    </w:rPr>
                    <w:t>吴家坑村：该村有46户涉及道路红线需拆迁，拆迁后4a类区超标22户，安装通风隔声窗164</w:t>
                  </w:r>
                  <w:r>
                    <w:rPr>
                      <w:sz w:val="21"/>
                    </w:rPr>
                    <w:t>m</w:t>
                  </w:r>
                  <w:r>
                    <w:rPr>
                      <w:sz w:val="21"/>
                      <w:vertAlign w:val="superscript"/>
                    </w:rPr>
                    <w:t>2</w:t>
                  </w:r>
                  <w:r>
                    <w:rPr>
                      <w:rFonts w:hint="eastAsia"/>
                      <w:sz w:val="21"/>
                    </w:rPr>
                    <w:t>；2类区超标49户，安装通风隔声窗588</w:t>
                  </w:r>
                  <w:r>
                    <w:rPr>
                      <w:sz w:val="21"/>
                    </w:rPr>
                    <w:t>m</w:t>
                  </w:r>
                  <w:r>
                    <w:rPr>
                      <w:sz w:val="21"/>
                      <w:vertAlign w:val="superscript"/>
                    </w:rPr>
                    <w:t>2</w:t>
                  </w:r>
                  <w:r>
                    <w:rPr>
                      <w:rFonts w:hint="eastAsia"/>
                      <w:sz w:val="21"/>
                    </w:rPr>
                    <w:t>，建议临路住户</w:t>
                  </w:r>
                  <w:r>
                    <w:rPr>
                      <w:sz w:val="21"/>
                    </w:rPr>
                    <w:t>改变使用功能，将其改为快餐店、零售店、维修场所等</w:t>
                  </w:r>
                  <w:r>
                    <w:rPr>
                      <w:rFonts w:hint="eastAsia"/>
                      <w:sz w:val="21"/>
                    </w:rPr>
                    <w:t>，</w:t>
                  </w:r>
                  <w:r>
                    <w:rPr>
                      <w:sz w:val="21"/>
                    </w:rPr>
                    <w:t>增加居民收入</w:t>
                  </w:r>
                  <w:r>
                    <w:rPr>
                      <w:rFonts w:hint="eastAsia"/>
                      <w:sz w:val="21"/>
                    </w:rPr>
                    <w:t>。</w:t>
                  </w:r>
                </w:p>
              </w:txbxContent>
            </v:textbox>
          </v:shape>
        </w:pict>
      </w:r>
      <w:r>
        <w:pict>
          <v:shape id="_x0000_s1771" o:spid="_x0000_s1771" o:spt="120" type="#_x0000_t120" style="position:absolute;left:0pt;margin-left:86.75pt;margin-top:336.9pt;height:2.85pt;width:2.85pt;z-index:2520227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70" o:spid="_x0000_s1770" o:spt="120" type="#_x0000_t120" style="position:absolute;left:0pt;margin-left:79.2pt;margin-top:342.6pt;height:2.85pt;width:2.85pt;z-index:2520217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9" o:spid="_x0000_s1769" o:spt="120" type="#_x0000_t120" style="position:absolute;left:0pt;margin-left:71.5pt;margin-top:343.35pt;height:2.85pt;width:2.85pt;z-index:2520207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8" o:spid="_x0000_s1768" o:spt="120" type="#_x0000_t120" style="position:absolute;left:0pt;margin-left:40.4pt;margin-top:353.15pt;height:2.85pt;width:2.85pt;z-index:2520197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7" o:spid="_x0000_s1767" o:spt="120" type="#_x0000_t120" style="position:absolute;left:0pt;margin-left:20.3pt;margin-top:341.95pt;height:2.85pt;width:2.85pt;z-index:2520186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6" o:spid="_x0000_s1766" o:spt="120" type="#_x0000_t120" style="position:absolute;left:0pt;margin-left:27.3pt;margin-top:338.3pt;height:2.85pt;width:2.85pt;z-index:2520176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5" o:spid="_x0000_s1765" o:spt="120" type="#_x0000_t120" style="position:absolute;left:0pt;margin-left:37.55pt;margin-top:338.3pt;height:2.85pt;width:2.85pt;z-index:2520166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4" o:spid="_x0000_s1764" o:spt="120" type="#_x0000_t120" style="position:absolute;left:0pt;margin-left:55.2pt;margin-top:332.7pt;height:2.85pt;width:2.85pt;z-index:2520156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3" o:spid="_x0000_s1763" o:spt="120" type="#_x0000_t120" style="position:absolute;left:0pt;margin-left:61.55pt;margin-top:329.85pt;height:2.85pt;width:2.85pt;z-index:2520145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2" o:spid="_x0000_s1762" o:spt="120" type="#_x0000_t120" style="position:absolute;left:0pt;margin-left:70.75pt;margin-top:328.4pt;height:2.85pt;width:2.85pt;z-index:2520135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1" o:spid="_x0000_s1761" o:spt="120" type="#_x0000_t120" style="position:absolute;left:0pt;margin-left:77.05pt;margin-top:326.3pt;height:2.85pt;width:2.85pt;z-index:2520125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60" o:spid="_x0000_s1760" o:spt="120" type="#_x0000_t120" style="position:absolute;left:0pt;margin-left:97.5pt;margin-top:318.95pt;height:2.85pt;width:2.85pt;z-index:2520115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9" o:spid="_x0000_s1759" o:spt="120" type="#_x0000_t120" style="position:absolute;left:0pt;margin-left:103.1pt;margin-top:316.15pt;height:2.85pt;width:2.85pt;z-index:2520104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7" o:spid="_x0000_s1757" o:spt="120" type="#_x0000_t120" style="position:absolute;left:0pt;margin-left:107.45pt;margin-top:302.3pt;height:2.85pt;width:2.85pt;z-index:2520084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6" o:spid="_x0000_s1756" o:spt="120" type="#_x0000_t120" style="position:absolute;left:0pt;margin-left:100.25pt;margin-top:303.8pt;height:2.85pt;width:2.85pt;z-index:2520074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5" o:spid="_x0000_s1755" o:spt="120" type="#_x0000_t120" style="position:absolute;left:0pt;margin-left:93.25pt;margin-top:305.95pt;height:2.85pt;width:2.85pt;z-index:2520064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4" o:spid="_x0000_s1754" o:spt="120" type="#_x0000_t120" style="position:absolute;left:0pt;margin-left:87.45pt;margin-top:309.05pt;height:2.85pt;width:2.85pt;z-index:2520053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3" o:spid="_x0000_s1753" o:spt="120" type="#_x0000_t120" style="position:absolute;left:0pt;margin-left:82.5pt;margin-top:309pt;height:2.85pt;width:2.85pt;z-index:2520043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8" o:spid="_x0000_s1758" o:spt="120" type="#_x0000_t120" style="position:absolute;left:0pt;margin-left:285.85pt;margin-top:339.1pt;height:2.85pt;width:2.85pt;z-index:2520094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2" o:spid="_x0000_s1752" o:spt="120" type="#_x0000_t120" style="position:absolute;left:0pt;margin-left:133.7pt;margin-top:296.65pt;height:2.85pt;width:2.85pt;z-index:2520033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1" o:spid="_x0000_s1751" o:spt="120" type="#_x0000_t120" style="position:absolute;left:0pt;margin-left:127.3pt;margin-top:297.35pt;height:2.85pt;width:2.85pt;z-index:2520023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50" o:spid="_x0000_s1750" o:spt="120" type="#_x0000_t120" style="position:absolute;left:0pt;margin-left:120.9pt;margin-top:298.8pt;height:2.85pt;width:2.85pt;z-index:2520012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9" o:spid="_x0000_s1749" o:spt="120" type="#_x0000_t120" style="position:absolute;left:0pt;margin-left:115.25pt;margin-top:300.25pt;height:2.85pt;width:2.85pt;z-index:2520002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8" o:spid="_x0000_s1748" o:spt="120" type="#_x0000_t120" style="position:absolute;left:0pt;margin-left:155.1pt;margin-top:280.3pt;height:2.85pt;width:2.85pt;z-index:2519992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7" o:spid="_x0000_s1747" o:spt="120" type="#_x0000_t120" style="position:absolute;left:0pt;margin-left:160.9pt;margin-top:278.15pt;height:2.85pt;width:2.85pt;z-index:2519982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6" o:spid="_x0000_s1746" o:spt="120" type="#_x0000_t120" style="position:absolute;left:0pt;margin-left:171.5pt;margin-top:275.3pt;height:2.85pt;width:2.85pt;z-index:2519971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3" o:spid="_x0000_s1743" o:spt="120" type="#_x0000_t120" style="position:absolute;left:0pt;margin-left:213.85pt;margin-top:267.1pt;height:2.85pt;width:2.85pt;z-index:2519941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5" o:spid="_x0000_s1745" o:spt="120" type="#_x0000_t120" style="position:absolute;left:0pt;margin-left:189.1pt;margin-top:272.45pt;height:2.85pt;width:2.85pt;z-index:2519961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4" o:spid="_x0000_s1744" o:spt="120" type="#_x0000_t120" style="position:absolute;left:0pt;margin-left:195.45pt;margin-top:269.6pt;height:2.85pt;width:2.85pt;z-index:2519951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2" o:spid="_x0000_s1742" o:spt="120" type="#_x0000_t120" style="position:absolute;left:0pt;margin-left:230.75pt;margin-top:252.2pt;height:2.85pt;width:2.85pt;z-index:2519930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1" o:spid="_x0000_s1741" o:spt="120" type="#_x0000_t120" style="position:absolute;left:0pt;margin-left:263.95pt;margin-top:245.6pt;height:2.85pt;width:2.85pt;z-index:2519920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40" o:spid="_x0000_s1740" o:spt="120" type="#_x0000_t120" style="position:absolute;left:0pt;margin-left:248.85pt;margin-top:234.8pt;height:2.85pt;width:2.85pt;z-index:2519910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9" o:spid="_x0000_s1739" o:spt="120" type="#_x0000_t120" style="position:absolute;left:0pt;margin-left:253.4pt;margin-top:232.7pt;height:2.85pt;width:2.85pt;z-index:2519900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8" o:spid="_x0000_s1738" o:spt="120" type="#_x0000_t120" style="position:absolute;left:0pt;margin-left:261.85pt;margin-top:233.3pt;height:2.85pt;width:2.85pt;z-index:2519889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7" o:spid="_x0000_s1737" o:spt="120" type="#_x0000_t120" style="position:absolute;left:0pt;margin-left:271.05pt;margin-top:227.75pt;height:2.85pt;width:2.85pt;z-index:2519879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6" o:spid="_x0000_s1736" o:spt="120" type="#_x0000_t120" style="position:absolute;left:0pt;margin-left:279.5pt;margin-top:227.75pt;height:2.85pt;width:2.85pt;z-index:2519869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4" o:spid="_x0000_s1734" o:spt="120" type="#_x0000_t120" style="position:absolute;left:0pt;margin-left:312.75pt;margin-top:223.25pt;height:2.85pt;width:2.85pt;z-index:2519848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5" o:spid="_x0000_s1735" o:spt="120" type="#_x0000_t120" style="position:absolute;left:0pt;margin-left:323.65pt;margin-top:218.6pt;height:2.85pt;width:2.85pt;z-index:2519859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3" o:spid="_x0000_s1733" o:spt="120" type="#_x0000_t120" style="position:absolute;left:0pt;margin-left:320.8pt;margin-top:203.75pt;height:2.85pt;width:2.85pt;z-index:2519838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2" o:spid="_x0000_s1732" o:spt="120" type="#_x0000_t120" style="position:absolute;left:0pt;margin-left:315.6pt;margin-top:205.15pt;height:2.85pt;width:2.85pt;z-index:2519828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8" o:spid="_x0000_s1728" o:spt="120" type="#_x0000_t120" style="position:absolute;left:0pt;margin-left:276.65pt;margin-top:159.2pt;height:2.85pt;width:2.85pt;z-index:2519787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9" o:spid="_x0000_s1729" o:spt="120" type="#_x0000_t120" style="position:absolute;left:0pt;margin-left:271.05pt;margin-top:160.65pt;height:2.85pt;width:2.85pt;z-index:2519797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0" o:spid="_x0000_s1730" o:spt="120" type="#_x0000_t120" style="position:absolute;left:0pt;margin-left:264.7pt;margin-top:161.35pt;height:2.85pt;width:2.85pt;z-index:2519808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31" o:spid="_x0000_s1731" o:spt="120" type="#_x0000_t120" style="position:absolute;left:0pt;margin-left:258.35pt;margin-top:162.1pt;height:2.85pt;width:2.85pt;z-index:2519818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7" o:spid="_x0000_s1727" o:spt="120" type="#_x0000_t120" style="position:absolute;left:0pt;margin-left:233.6pt;margin-top:177.95pt;height:2.85pt;width:2.85pt;z-index:2519777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4" o:spid="_x0000_s1724" o:spt="120" type="#_x0000_t120" style="position:absolute;left:0pt;margin-left:227.95pt;margin-top:179.4pt;height:2.85pt;width:2.85pt;z-index:25197465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6" o:spid="_x0000_s1726" o:spt="120" type="#_x0000_t120" style="position:absolute;left:0pt;margin-left:208.2pt;margin-top:182.9pt;height:2.85pt;width:2.85pt;z-index:2519767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5" o:spid="_x0000_s1725" o:spt="120" type="#_x0000_t120" style="position:absolute;left:0pt;margin-left:221.65pt;margin-top:180.8pt;height:2.85pt;width:2.85pt;z-index:2519756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3" o:spid="_x0000_s1723" o:spt="120" type="#_x0000_t120" style="position:absolute;left:0pt;margin-left:163pt;margin-top:208.05pt;height:2.85pt;width:2.85pt;z-index:25197363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2" o:spid="_x0000_s1722" o:spt="120" type="#_x0000_t120" style="position:absolute;left:0pt;margin-left:155.85pt;margin-top:208pt;height:2.85pt;width:2.85pt;z-index:25197260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1" o:spid="_x0000_s1721" o:spt="120" type="#_x0000_t120" style="position:absolute;left:0pt;margin-left:64.4pt;margin-top:311.85pt;height:2.85pt;width:2.85pt;z-index:25197158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20" o:spid="_x0000_s1720" o:spt="120" type="#_x0000_t120" style="position:absolute;left:0pt;margin-left:58.75pt;margin-top:313.3pt;height:2.85pt;width:2.85pt;z-index:25197056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9" o:spid="_x0000_s1719" o:spt="120" type="#_x0000_t120" style="position:absolute;left:0pt;margin-left:112.4pt;margin-top:286.45pt;height:2.85pt;width:2.85pt;z-index:25196953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8" o:spid="_x0000_s1718" o:spt="120" type="#_x0000_t120" style="position:absolute;left:0pt;margin-left:141pt;margin-top:264.25pt;height:2.85pt;width:2.85pt;z-index:25196851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7" o:spid="_x0000_s1717" o:spt="120" type="#_x0000_t120" style="position:absolute;left:0pt;margin-left:150.85pt;margin-top:263.55pt;height:2.85pt;width:2.85pt;z-index:25196748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6" o:spid="_x0000_s1716" o:spt="120" type="#_x0000_t120" style="position:absolute;left:0pt;margin-left:155.1pt;margin-top:260.7pt;height:2.85pt;width:2.85pt;z-index:25196646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5" o:spid="_x0000_s1715" o:spt="120" type="#_x0000_t120" style="position:absolute;left:0pt;margin-left:160.9pt;margin-top:258.6pt;height:2.85pt;width:2.85pt;z-index:25196544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4" o:spid="_x0000_s1714" o:spt="120" type="#_x0000_t120" style="position:absolute;left:0pt;margin-left:218.8pt;margin-top:242.75pt;height:2.85pt;width:2.85pt;z-index:25196441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3" o:spid="_x0000_s1713" o:spt="120" type="#_x0000_t120" style="position:absolute;left:0pt;margin-left:211.75pt;margin-top:245.6pt;height:2.85pt;width:2.85pt;z-index:25196339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2" o:spid="_x0000_s1712" o:spt="120" type="#_x0000_t120" style="position:absolute;left:0pt;margin-left:179.25pt;margin-top:253.6pt;height:2.85pt;width:2.85pt;z-index:25196236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1" o:spid="_x0000_s1711" o:spt="120" type="#_x0000_t120" style="position:absolute;left:0pt;margin-left:172.85pt;margin-top:255.75pt;height:2.85pt;width:2.85pt;z-index:25196134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8" o:spid="_x0000_s1708" o:spt="120" type="#_x0000_t120" style="position:absolute;left:0pt;margin-left:163.75pt;margin-top:255.05pt;height:2.85pt;width:2.85pt;z-index:25195827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9" o:spid="_x0000_s1709" o:spt="120" type="#_x0000_t120" style="position:absolute;left:0pt;margin-left:225.85pt;margin-top:233.3pt;height:2.85pt;width:2.85pt;z-index:25195929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10" o:spid="_x0000_s1710" o:spt="120" type="#_x0000_t120" style="position:absolute;left:0pt;margin-left:294.45pt;margin-top:202.35pt;height:2.85pt;width:2.85pt;z-index:25196032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6" o:spid="_x0000_s1706" o:spt="120" type="#_x0000_t120" style="position:absolute;left:0pt;margin-left:291.6pt;margin-top:155.95pt;height:2.85pt;width:2.85pt;z-index:25195622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7" o:spid="_x0000_s1707" o:spt="120" type="#_x0000_t120" style="position:absolute;left:0pt;margin-left:301.1pt;margin-top:153.1pt;height:2.85pt;width:2.85pt;z-index:25195724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5" o:spid="_x0000_s1705" o:spt="120" type="#_x0000_t120" style="position:absolute;left:0pt;margin-left:208.2pt;margin-top:198.75pt;height:2.85pt;width:2.85pt;z-index:25195520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4" o:spid="_x0000_s1704" o:spt="120" type="#_x0000_t120" style="position:absolute;left:0pt;margin-left:198.3pt;margin-top:201.6pt;height:2.85pt;width:2.85pt;z-index:251954176;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3" o:spid="_x0000_s1703" o:spt="120" type="#_x0000_t120" style="position:absolute;left:0pt;margin-left:191.95pt;margin-top:202.35pt;height:2.85pt;width:2.85pt;z-index:251953152;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2" o:spid="_x0000_s1702" o:spt="120" type="#_x0000_t120" style="position:absolute;left:0pt;margin-left:183.5pt;margin-top:203.75pt;height:2.85pt;width:2.85pt;z-index:251952128;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1" o:spid="_x0000_s1701" o:spt="120" type="#_x0000_t120" style="position:absolute;left:0pt;margin-left:176.4pt;margin-top:205.2pt;height:2.85pt;width:2.85pt;z-index:251951104;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700" o:spid="_x0000_s1700" o:spt="120" type="#_x0000_t120" style="position:absolute;left:0pt;margin-left:168.65pt;margin-top:206.6pt;height:2.85pt;width:2.85pt;z-index:251950080;mso-width-relative:page;mso-height-relative:page;" fillcolor="#FF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">
            <v:path/>
            <v:fill on="t" focussize="0,0"/>
            <v:stroke color="#FF0000"/>
            <v:imagedata o:title=""/>
            <o:lock v:ext="edit" aspectratio="t"/>
          </v:shape>
        </w:pict>
      </w:r>
      <w:r>
        <w:pict>
          <v:shape id="_x0000_s1699" o:spid="_x0000_s1699" o:spt="61" type="#_x0000_t61" style="position:absolute;left:0pt;margin-left:40.4pt;margin-top:206.6pt;height:19.5pt;width:89.75pt;z-index:251949056;mso-width-relative:page;mso-height-relative:pag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" adj="28808,23317">
            <v:path/>
            <v:fill focussize="0,0"/>
            <v:stroke joinstyle="miter"/>
            <v:imagedata o:title=""/>
            <o:lock v:ext="edit"/>
            <v:textbox>
              <w:txbxContent>
                <w:p>
                  <w:pPr>
                    <w:spacing w:line="240" w:lineRule="auto"/>
                    <w:ind w:firstLine="0" w:firstLineChars="0"/>
                    <w:rPr>
                      <w:sz w:val="21"/>
                    </w:rPr>
                  </w:pPr>
                  <w:r>
                    <w:rPr>
                      <w:rFonts w:hint="eastAsia"/>
                      <w:sz w:val="21"/>
                    </w:rPr>
                    <w:t>工程拆迁46户</w:t>
                  </w:r>
                </w:p>
              </w:txbxContent>
            </v:textbox>
          </v:shape>
        </w:pict>
      </w:r>
      <w:r>
        <w:pict>
          <v:shape id="_x0000_s1698" o:spid="_x0000_s1698" style="position:absolute;left:0pt;margin-left:98.85pt;margin-top:162.1pt;height:116.8pt;width:224.8pt;z-index:251948032;mso-width-relative:page;mso-height-relative:page;" fillcolor="#FFFF00" filled="f" stroked="t" coordsize="4496,2336" path="m0,1983l122,2336,855,1969,1181,1820,2472,1480,2445,1317,3339,1154,3339,869,4483,665,4496,0,3192,244,3124,462,2268,597,2377,978,1141,1195,964,1277,0,1983xe">
            <v:path arrowok="t"/>
            <v:fill on="f" focussize="0,0"/>
            <v:stroke color="#FFFF00"/>
            <v:imagedata o:title=""/>
            <o:lock v:ext="edit"/>
          </v:shape>
        </w:pict>
      </w:r>
      <w:r>
        <w:drawing>
          <wp:inline distT="0" distB="0" distL="0" distR="0">
            <wp:extent cx="5724525" cy="5305425"/>
            <wp:effectExtent l="19050" t="0" r="9525" b="0"/>
            <wp:docPr id="20" name="图片 19" descr="G112线路路径带桩号修改后-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G112线路路径带桩号修改后-10.jpg"/>
                    <pic:cNvPicPr>
                      <a:picLocks noChangeAspect="1"/>
                    </pic:cNvPicPr>
                  </pic:nvPicPr>
                  <pic:blipFill>
                    <a:blip r:embed="rId105" cstate="print"/>
                    <a:srcRect t="6323" b="998"/>
                    <a:stretch>
                      <a:fillRect/>
                    </a:stretch>
                  </pic:blipFill>
                  <pic:spPr>
                    <a:xfrm>
                      <a:off x="0" y="0"/>
                      <a:ext cx="5724525" cy="5305425"/>
                    </a:xfrm>
                    <a:prstGeom prst="rect">
                      <a:avLst/>
                    </a:prstGeom>
                  </pic:spPr>
                </pic:pic>
              </a:graphicData>
            </a:graphic>
          </wp:inline>
        </w:drawing>
      </w:r>
    </w:p>
    <w:p>
      <w:pPr>
        <w:ind w:firstLine="480"/>
        <w:rPr>
          <w:highlight w:val="yellow"/>
        </w:rPr>
      </w:pPr>
    </w:p>
    <w:p>
      <w:pPr>
        <w:tabs>
          <w:tab w:val="left" w:pos="3555"/>
        </w:tabs>
        <w:ind w:firstLine="480"/>
        <w:rPr>
          <w:highlight w:val="yellow"/>
        </w:rPr>
      </w:pPr>
    </w:p>
    <w:p>
      <w:pPr>
        <w:pStyle w:val="5"/>
        <w:spacing w:beforeLines="0" w:afterLines="0"/>
      </w:pPr>
      <w:bookmarkStart w:id="109" w:name="_Toc141284083"/>
      <w:r>
        <w:rPr>
          <w:rFonts w:hint="eastAsia"/>
        </w:rPr>
        <w:t>7</w:t>
      </w:r>
      <w:r>
        <w:t>.</w:t>
      </w:r>
      <w:r>
        <w:rPr>
          <w:rFonts w:hint="eastAsia"/>
        </w:rPr>
        <w:t>3水环境保护措施</w:t>
      </w:r>
      <w:bookmarkEnd w:id="109"/>
    </w:p>
    <w:p>
      <w:pPr>
        <w:pStyle w:val="6"/>
        <w:spacing w:before="120" w:after="120"/>
      </w:pPr>
      <w:r>
        <w:rPr>
          <w:rFonts w:hint="eastAsia"/>
        </w:rPr>
        <w:t>7</w:t>
      </w:r>
      <w:r>
        <w:t>.</w:t>
      </w:r>
      <w:r>
        <w:rPr>
          <w:rFonts w:hint="eastAsia"/>
        </w:rPr>
        <w:t>3</w:t>
      </w:r>
      <w:r>
        <w:t>.</w:t>
      </w:r>
      <w:r>
        <w:rPr>
          <w:rFonts w:hint="eastAsia"/>
        </w:rPr>
        <w:t>1施工期水环境保护措施</w:t>
      </w:r>
    </w:p>
    <w:p>
      <w:pPr>
        <w:ind w:firstLine="480"/>
      </w:pPr>
      <w:r>
        <w:t>（</w:t>
      </w:r>
      <w:r>
        <w:rPr>
          <w:rFonts w:eastAsia="Times New Roman"/>
        </w:rPr>
        <w:t>1</w:t>
      </w:r>
      <w:r>
        <w:t>）施工前要对施工人员进行环保培训，加强施工人员的环境保护意识，规范施工行为，避免不必要的污染环节。</w:t>
      </w:r>
    </w:p>
    <w:p>
      <w:pPr>
        <w:ind w:firstLine="480"/>
        <w:rPr>
          <w:highlight w:val="yellow"/>
        </w:rPr>
      </w:pPr>
      <w:r>
        <w:t>（</w:t>
      </w:r>
      <w:r>
        <w:rPr>
          <w:rFonts w:eastAsia="Times New Roman"/>
        </w:rPr>
        <w:t>2</w:t>
      </w:r>
      <w:r>
        <w:t>）施工生产生活区设防渗旱厕，定期由当地农民清掏用作农肥。生活垃圾设集中堆放场，</w:t>
      </w:r>
      <w:r>
        <w:rPr>
          <w:rFonts w:hint="eastAsia"/>
        </w:rPr>
        <w:t>每日有专门环卫人员负责学汉坨村垃圾的收集及处理</w:t>
      </w:r>
      <w:r>
        <w:t>。</w:t>
      </w:r>
    </w:p>
    <w:p>
      <w:pPr>
        <w:ind w:firstLine="480"/>
      </w:pPr>
      <w:r>
        <w:t>（</w:t>
      </w:r>
      <w:r>
        <w:rPr>
          <w:rFonts w:hint="eastAsia" w:eastAsiaTheme="minorEastAsia"/>
        </w:rPr>
        <w:t>3</w:t>
      </w:r>
      <w:r>
        <w:t>）桥梁施工弃土、钻孔泥浆经沉淀干化后用于路基材料综合利用，施工废渣不在河道两侧堆存。</w:t>
      </w:r>
    </w:p>
    <w:p>
      <w:pPr>
        <w:ind w:firstLine="480"/>
      </w:pPr>
      <w:r>
        <w:t>（</w:t>
      </w:r>
      <w:r>
        <w:rPr>
          <w:rFonts w:hint="eastAsia" w:eastAsiaTheme="minorEastAsia"/>
        </w:rPr>
        <w:t>4</w:t>
      </w:r>
      <w:r>
        <w:t>）本工程桥墩基础施工时选在非汛期或流量较小时，在河道内采用围堰法施工将围堰内的水排干后，采取钻孔灌注方式作业，桥梁采用预置安装法施工。结合严格的施工管理，桥梁下部施工过程中对水体中悬浮物的增量可得到有效控制，基本不会对沿线水体水质产生明显影响。</w:t>
      </w:r>
    </w:p>
    <w:p>
      <w:pPr>
        <w:ind w:firstLine="480"/>
      </w:pPr>
      <w:r>
        <w:t>为防止桥墩施工过程中对</w:t>
      </w:r>
      <w:r>
        <w:rPr>
          <w:rFonts w:hint="eastAsia"/>
        </w:rPr>
        <w:t>河道</w:t>
      </w:r>
      <w:r>
        <w:t>水质产生污染，桥墩施工时泥浆水重复利用不外排，钻孔施工中产生的泥沙和岩屑，经作业点防渗沉淀池沉淀干化后用于路基材料综合利用，不得在河道附近堆存，因此不会对</w:t>
      </w:r>
      <w:r>
        <w:rPr>
          <w:rFonts w:hint="eastAsia"/>
        </w:rPr>
        <w:t>清水河、沙河、黎河</w:t>
      </w:r>
      <w:r>
        <w:t>产生水环境污染影响。</w:t>
      </w:r>
    </w:p>
    <w:p>
      <w:pPr>
        <w:ind w:firstLine="480"/>
        <w:rPr>
          <w:highlight w:val="yellow"/>
        </w:rPr>
      </w:pPr>
      <w:r>
        <w:t>（</w:t>
      </w:r>
      <w:r>
        <w:rPr>
          <w:rFonts w:eastAsia="Times New Roman"/>
        </w:rPr>
        <w:t>6</w:t>
      </w:r>
      <w:r>
        <w:t>）在</w:t>
      </w:r>
      <w:r>
        <w:rPr>
          <w:rFonts w:hint="eastAsia"/>
        </w:rPr>
        <w:t>邻近</w:t>
      </w:r>
      <w:r>
        <w:rPr>
          <w:rFonts w:hAnsi="宋体"/>
        </w:rPr>
        <w:t>冷咀头河</w:t>
      </w:r>
      <w:r>
        <w:t>施工路段，含有害物质的建材如沥青、水泥以及施工中的废油、废沥青和其它固体废物不得倾倒或抛入水体，也不得堆放在河道</w:t>
      </w:r>
      <w:r>
        <w:rPr>
          <w:rFonts w:hint="eastAsia"/>
        </w:rPr>
        <w:t>范围</w:t>
      </w:r>
      <w:r>
        <w:t>内，施工建材应备有临时遮挡的帆布，必要时设围栏，防止被雨水冲刷进入水体，各种固体废物及时清运至指定地点处理。</w:t>
      </w:r>
      <w:r>
        <w:rPr>
          <w:rFonts w:hint="eastAsia"/>
        </w:rPr>
        <w:t>河道附近不要堆存建筑材料及开挖弃土，防止雨水冲刷对周边土壤环境产生影响。</w:t>
      </w:r>
      <w:r>
        <w:t>运输工具维修、运行中滴漏的油污遇雨天会被地表径流融入地表水，对水体造成局部石油类污染。为减少石油类的污染，应加强施工车辆、机械的日常养护和维修，避免滴漏等事件发生。</w:t>
      </w:r>
    </w:p>
    <w:p>
      <w:pPr>
        <w:ind w:firstLine="480"/>
      </w:pPr>
      <w:r>
        <w:t>（</w:t>
      </w:r>
      <w:r>
        <w:rPr>
          <w:rFonts w:hint="eastAsia" w:eastAsiaTheme="minorEastAsia"/>
        </w:rPr>
        <w:t>7</w:t>
      </w:r>
      <w:r>
        <w:t>）含有害物质的建筑材料（如水泥等）存放场</w:t>
      </w:r>
      <w:r>
        <w:rPr>
          <w:rFonts w:hint="eastAsia"/>
        </w:rPr>
        <w:t>远离</w:t>
      </w:r>
      <w:r>
        <w:rPr>
          <w:rFonts w:hAnsi="宋体"/>
        </w:rPr>
        <w:t>冷咀头河</w:t>
      </w:r>
      <w:r>
        <w:rPr>
          <w:rFonts w:hint="eastAsia" w:hAnsi="宋体"/>
        </w:rPr>
        <w:t>、清水河、沙河、黎河</w:t>
      </w:r>
      <w:r>
        <w:t>设置</w:t>
      </w:r>
      <w:r>
        <w:rPr>
          <w:rFonts w:hint="eastAsia"/>
        </w:rPr>
        <w:t>或临河方向设置围挡</w:t>
      </w:r>
      <w:r>
        <w:t>。各类筑路材料应有防雨遮雨设施，水泥材料不得倾倒于地上，工程废料要及时运走。</w:t>
      </w:r>
    </w:p>
    <w:p>
      <w:pPr>
        <w:pStyle w:val="6"/>
        <w:spacing w:before="120" w:after="120"/>
      </w:pPr>
      <w:r>
        <w:rPr>
          <w:rFonts w:hint="eastAsia"/>
        </w:rPr>
        <w:t>7</w:t>
      </w:r>
      <w:r>
        <w:t>.</w:t>
      </w:r>
      <w:r>
        <w:rPr>
          <w:rFonts w:hint="eastAsia"/>
        </w:rPr>
        <w:t>3</w:t>
      </w:r>
      <w:r>
        <w:t>.</w:t>
      </w:r>
      <w:r>
        <w:rPr>
          <w:rFonts w:hint="eastAsia"/>
        </w:rPr>
        <w:t>2运营期水环境保护措施</w:t>
      </w:r>
    </w:p>
    <w:p>
      <w:pPr>
        <w:pStyle w:val="190"/>
        <w:spacing w:beforeLines="0" w:afterLines="0"/>
      </w:pPr>
      <w:r>
        <w:rPr>
          <w:rFonts w:hint="eastAsia"/>
        </w:rPr>
        <w:t>7</w:t>
      </w:r>
      <w:r>
        <w:t>.</w:t>
      </w:r>
      <w:r>
        <w:rPr>
          <w:rFonts w:hint="eastAsia"/>
        </w:rPr>
        <w:t>3</w:t>
      </w:r>
      <w:r>
        <w:t>.</w:t>
      </w:r>
      <w:r>
        <w:rPr>
          <w:rFonts w:hint="eastAsia"/>
        </w:rPr>
        <w:t>2</w:t>
      </w:r>
      <w:r>
        <w:t>.</w:t>
      </w:r>
      <w:r>
        <w:rPr>
          <w:rFonts w:hint="eastAsia"/>
        </w:rPr>
        <w:t>1路面、桥面污水防治措施</w:t>
      </w:r>
    </w:p>
    <w:p>
      <w:pPr>
        <w:ind w:firstLine="480"/>
      </w:pPr>
      <w:r>
        <w:rPr>
          <w:rFonts w:hint="eastAsia" w:ascii="宋体" w:hAnsi="宋体" w:cs="宋体"/>
        </w:rPr>
        <w:t>①</w:t>
      </w:r>
      <w:r>
        <w:t>通过设置路侧排水沟以及涵洞、急流槽等连通排水沟，尽量避免路面雨水直接排入农田、沿线河流而造成对当地水利资源的污染和危害。通过设置各种桥涵等构造物，确保沿线的排水、灌溉体系的正常运作。</w:t>
      </w:r>
    </w:p>
    <w:p>
      <w:pPr>
        <w:ind w:firstLine="480"/>
      </w:pPr>
      <w:r>
        <w:rPr>
          <w:rFonts w:hint="eastAsia" w:ascii="宋体" w:hAnsi="宋体" w:cs="宋体"/>
        </w:rPr>
        <w:t>②</w:t>
      </w:r>
      <w:r>
        <w:t>全线填方路基均考虑了排水沟设计，通过桥涵构造物与沿线排洪沟渠衔接形成完整的排水系统。</w:t>
      </w:r>
    </w:p>
    <w:p>
      <w:pPr>
        <w:ind w:firstLine="480"/>
      </w:pPr>
      <w:r>
        <w:rPr>
          <w:rFonts w:hint="eastAsia" w:ascii="宋体" w:hAnsi="宋体" w:cs="宋体"/>
        </w:rPr>
        <w:t>③</w:t>
      </w:r>
      <w:r>
        <w:t>在挖方路堑边坡平台上根据边坡防护形式设置平台排水沟，防止雨水对边坡的冲蚀。</w:t>
      </w:r>
    </w:p>
    <w:p>
      <w:pPr>
        <w:ind w:firstLine="480"/>
      </w:pPr>
      <w:r>
        <w:rPr>
          <w:rFonts w:hint="eastAsia" w:ascii="宋体" w:hAnsi="宋体" w:cs="宋体"/>
        </w:rPr>
        <w:t>⑤</w:t>
      </w:r>
      <w:r>
        <w:t>路面径流雨水通过道路的排水系统排放到路基两侧的排水沟或天然沟渠内，或由土路肩下铺的砂砾透水层以渗流方式排泄至路堤边坡坡面。</w:t>
      </w:r>
    </w:p>
    <w:p>
      <w:pPr>
        <w:ind w:firstLine="480"/>
      </w:pPr>
      <w:r>
        <w:rPr>
          <w:rFonts w:hint="eastAsia" w:ascii="宋体" w:hAnsi="宋体" w:cs="宋体"/>
        </w:rPr>
        <w:t>⑥</w:t>
      </w:r>
      <w:r>
        <w:t>跨越</w:t>
      </w:r>
      <w:r>
        <w:rPr>
          <w:rFonts w:hint="eastAsia"/>
        </w:rPr>
        <w:t>清水河、沙河、黎河和部分临近</w:t>
      </w:r>
      <w:r>
        <w:rPr>
          <w:rFonts w:hAnsi="宋体"/>
        </w:rPr>
        <w:t>冷咀头河</w:t>
      </w:r>
      <w:r>
        <w:t>路段</w:t>
      </w:r>
    </w:p>
    <w:p>
      <w:pPr>
        <w:ind w:firstLine="480"/>
      </w:pPr>
      <w:r>
        <w:t>在跨越</w:t>
      </w:r>
      <w:r>
        <w:rPr>
          <w:rFonts w:hint="eastAsia"/>
        </w:rPr>
        <w:t>清水河、沙河、黎河和部分临近</w:t>
      </w:r>
      <w:r>
        <w:rPr>
          <w:rFonts w:hAnsi="宋体"/>
        </w:rPr>
        <w:t>冷咀头河</w:t>
      </w:r>
      <w:r>
        <w:t>路段设置驶入警示牌及驶离告知牌；</w:t>
      </w:r>
      <w:r>
        <w:rPr>
          <w:rFonts w:hint="eastAsia"/>
        </w:rPr>
        <w:t>临近</w:t>
      </w:r>
      <w:r>
        <w:rPr>
          <w:rFonts w:hAnsi="宋体"/>
        </w:rPr>
        <w:t>冷咀头河</w:t>
      </w:r>
      <w:r>
        <w:rPr>
          <w:rFonts w:hint="eastAsia"/>
        </w:rPr>
        <w:t>一侧</w:t>
      </w:r>
      <w:r>
        <w:t>设置防渗边沟</w:t>
      </w:r>
      <w:r>
        <w:rPr>
          <w:rFonts w:hint="eastAsia"/>
        </w:rPr>
        <w:t>和防撞护栏；清水河大桥、沙河大桥、黎河大桥</w:t>
      </w:r>
      <w:r>
        <w:t>设置桥面径流收集系统及防渗事故池；一旦发生事故，</w:t>
      </w:r>
      <w:r>
        <w:rPr>
          <w:rFonts w:hint="eastAsia"/>
          <w:bCs/>
        </w:rPr>
        <w:t>根据</w:t>
      </w:r>
      <w:r>
        <w:rPr>
          <w:bCs/>
        </w:rPr>
        <w:t>事故池内废水</w:t>
      </w:r>
      <w:r>
        <w:rPr>
          <w:rFonts w:hint="eastAsia"/>
          <w:bCs/>
        </w:rPr>
        <w:t>是否</w:t>
      </w:r>
      <w:r>
        <w:rPr>
          <w:bCs/>
        </w:rPr>
        <w:t>沾染危险废物及废水成分判定</w:t>
      </w:r>
      <w:r>
        <w:rPr>
          <w:rFonts w:hint="eastAsia"/>
          <w:bCs/>
        </w:rPr>
        <w:t>废水</w:t>
      </w:r>
      <w:r>
        <w:rPr>
          <w:bCs/>
        </w:rPr>
        <w:t>送</w:t>
      </w:r>
      <w:r>
        <w:rPr>
          <w:rFonts w:hint="eastAsia"/>
          <w:bCs/>
        </w:rPr>
        <w:t>至</w:t>
      </w:r>
      <w:r>
        <w:rPr>
          <w:bCs/>
        </w:rPr>
        <w:t>临近有处理能力的污水处理站处理</w:t>
      </w:r>
      <w:r>
        <w:rPr>
          <w:rFonts w:hint="eastAsia"/>
          <w:bCs/>
        </w:rPr>
        <w:t>或由有资质危险废物处置单位处理</w:t>
      </w:r>
      <w:r>
        <w:t>；设置专门机构和人员负责</w:t>
      </w:r>
      <w:r>
        <w:rPr>
          <w:rFonts w:hint="eastAsia"/>
        </w:rPr>
        <w:t>事故池的日常清理</w:t>
      </w:r>
      <w:r>
        <w:t>。</w:t>
      </w:r>
    </w:p>
    <w:p>
      <w:pPr>
        <w:pStyle w:val="5"/>
        <w:spacing w:beforeLines="0" w:afterLines="0"/>
      </w:pPr>
      <w:bookmarkStart w:id="110" w:name="_Toc141284084"/>
      <w:r>
        <w:rPr>
          <w:rFonts w:hint="eastAsia"/>
        </w:rPr>
        <w:t>7</w:t>
      </w:r>
      <w:r>
        <w:t>.</w:t>
      </w:r>
      <w:r>
        <w:rPr>
          <w:rFonts w:hint="eastAsia"/>
        </w:rPr>
        <w:t>4环境空气保护措施</w:t>
      </w:r>
      <w:bookmarkEnd w:id="110"/>
    </w:p>
    <w:p>
      <w:pPr>
        <w:pStyle w:val="6"/>
        <w:spacing w:before="120" w:after="120"/>
      </w:pPr>
      <w:r>
        <w:rPr>
          <w:rFonts w:hint="eastAsia"/>
        </w:rPr>
        <w:t>7</w:t>
      </w:r>
      <w:r>
        <w:t>.</w:t>
      </w:r>
      <w:r>
        <w:rPr>
          <w:rFonts w:hint="eastAsia"/>
        </w:rPr>
        <w:t>4</w:t>
      </w:r>
      <w:r>
        <w:t>.</w:t>
      </w:r>
      <w:r>
        <w:rPr>
          <w:rFonts w:hint="eastAsia"/>
        </w:rPr>
        <w:t>1施工期大气环境保护措施</w:t>
      </w:r>
    </w:p>
    <w:p>
      <w:pPr>
        <w:ind w:firstLine="480"/>
      </w:pPr>
      <w:r>
        <w:rPr>
          <w:rFonts w:hint="eastAsia"/>
        </w:rPr>
        <w:t>针对施工期大气防治要求及本项目施工特点，提出的大气防护措施见下表。</w:t>
      </w:r>
    </w:p>
    <w:p>
      <w:pPr>
        <w:ind w:firstLine="480"/>
        <w:sectPr>
          <w:footerReference r:id="rId29" w:type="default"/>
          <w:pgSz w:w="11906" w:h="16838"/>
          <w:pgMar w:top="1418" w:right="1418" w:bottom="1418" w:left="1474" w:header="964" w:footer="964" w:gutter="0"/>
          <w:cols w:space="720" w:num="1"/>
          <w:docGrid w:linePitch="326" w:charSpace="0"/>
        </w:sectPr>
      </w:pPr>
    </w:p>
    <w:p>
      <w:pPr>
        <w:adjustRightInd w:val="0"/>
        <w:snapToGrid w:val="0"/>
        <w:ind w:firstLine="0" w:firstLineChars="0"/>
        <w:jc w:val="center"/>
        <w:rPr>
          <w:b/>
          <w:sz w:val="21"/>
        </w:rPr>
      </w:pPr>
      <w:r>
        <w:rPr>
          <w:b/>
          <w:sz w:val="21"/>
        </w:rPr>
        <w:t>表</w:t>
      </w:r>
      <w:r>
        <w:rPr>
          <w:rFonts w:hint="eastAsia"/>
          <w:b/>
          <w:sz w:val="21"/>
        </w:rPr>
        <w:t xml:space="preserve">7.4-1 </w:t>
      </w:r>
      <w:r>
        <w:rPr>
          <w:b/>
          <w:sz w:val="21"/>
        </w:rPr>
        <w:t>施工期大气防护措施</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27"/>
        <w:gridCol w:w="841"/>
        <w:gridCol w:w="2522"/>
        <w:gridCol w:w="94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Align w:val="center"/>
          </w:tcPr>
          <w:p>
            <w:pPr>
              <w:pStyle w:val="675"/>
              <w:jc w:val="center"/>
              <w:rPr>
                <w:rFonts w:ascii="Times New Roman" w:hAnsi="Times New Roman" w:cs="Times New Roman"/>
                <w:bCs/>
                <w:sz w:val="21"/>
                <w:szCs w:val="21"/>
                <w:lang w:eastAsia="zh-CN"/>
              </w:rPr>
            </w:pPr>
            <w:r>
              <w:rPr>
                <w:bCs/>
                <w:sz w:val="21"/>
                <w:szCs w:val="21"/>
              </w:rPr>
              <w:t>地点</w:t>
            </w:r>
            <w:r>
              <w:rPr>
                <w:rFonts w:ascii="Times New Roman" w:hAnsi="Times New Roman" w:eastAsia="Times New Roman" w:cs="Times New Roman"/>
                <w:bCs/>
                <w:sz w:val="21"/>
                <w:szCs w:val="21"/>
              </w:rPr>
              <w:t>/</w:t>
            </w:r>
          </w:p>
          <w:p>
            <w:pPr>
              <w:pStyle w:val="675"/>
              <w:jc w:val="center"/>
              <w:rPr>
                <w:sz w:val="21"/>
                <w:szCs w:val="21"/>
              </w:rPr>
            </w:pPr>
            <w:r>
              <w:rPr>
                <w:bCs/>
                <w:sz w:val="21"/>
                <w:szCs w:val="21"/>
              </w:rPr>
              <w:t>对象</w:t>
            </w:r>
          </w:p>
        </w:tc>
        <w:tc>
          <w:tcPr>
            <w:tcW w:w="300" w:type="pct"/>
            <w:vAlign w:val="center"/>
          </w:tcPr>
          <w:p>
            <w:pPr>
              <w:pStyle w:val="675"/>
              <w:jc w:val="center"/>
              <w:rPr>
                <w:sz w:val="21"/>
                <w:szCs w:val="21"/>
              </w:rPr>
            </w:pPr>
            <w:r>
              <w:rPr>
                <w:bCs/>
                <w:sz w:val="21"/>
                <w:szCs w:val="21"/>
              </w:rPr>
              <w:t>序号</w:t>
            </w:r>
          </w:p>
        </w:tc>
        <w:tc>
          <w:tcPr>
            <w:tcW w:w="900" w:type="pct"/>
            <w:vAlign w:val="center"/>
          </w:tcPr>
          <w:p>
            <w:pPr>
              <w:pStyle w:val="675"/>
              <w:jc w:val="center"/>
              <w:rPr>
                <w:sz w:val="21"/>
                <w:szCs w:val="21"/>
              </w:rPr>
            </w:pPr>
            <w:r>
              <w:rPr>
                <w:bCs/>
                <w:sz w:val="21"/>
                <w:szCs w:val="21"/>
              </w:rPr>
              <w:t>措施</w:t>
            </w:r>
          </w:p>
        </w:tc>
        <w:tc>
          <w:tcPr>
            <w:tcW w:w="3362" w:type="pct"/>
            <w:vAlign w:val="center"/>
          </w:tcPr>
          <w:p>
            <w:pPr>
              <w:pStyle w:val="675"/>
              <w:jc w:val="center"/>
              <w:rPr>
                <w:sz w:val="21"/>
                <w:szCs w:val="21"/>
              </w:rPr>
            </w:pPr>
            <w:r>
              <w:rPr>
                <w:bCs/>
                <w:sz w:val="21"/>
                <w:szCs w:val="21"/>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restart"/>
            <w:vAlign w:val="center"/>
          </w:tcPr>
          <w:p>
            <w:pPr>
              <w:pStyle w:val="675"/>
              <w:jc w:val="center"/>
              <w:rPr>
                <w:sz w:val="21"/>
                <w:szCs w:val="21"/>
              </w:rPr>
            </w:pPr>
            <w:r>
              <w:rPr>
                <w:sz w:val="21"/>
                <w:szCs w:val="21"/>
              </w:rPr>
              <w:t>道路修筑施工场地</w:t>
            </w: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1</w:t>
            </w:r>
          </w:p>
        </w:tc>
        <w:tc>
          <w:tcPr>
            <w:tcW w:w="900" w:type="pct"/>
            <w:vAlign w:val="center"/>
          </w:tcPr>
          <w:p>
            <w:pPr>
              <w:pStyle w:val="675"/>
              <w:jc w:val="center"/>
              <w:rPr>
                <w:sz w:val="21"/>
                <w:szCs w:val="21"/>
              </w:rPr>
            </w:pPr>
            <w:r>
              <w:rPr>
                <w:sz w:val="21"/>
                <w:szCs w:val="21"/>
              </w:rPr>
              <w:t>制度保障</w:t>
            </w:r>
          </w:p>
        </w:tc>
        <w:tc>
          <w:tcPr>
            <w:tcW w:w="3362" w:type="pct"/>
            <w:vAlign w:val="center"/>
          </w:tcPr>
          <w:p>
            <w:pPr>
              <w:pStyle w:val="675"/>
              <w:jc w:val="center"/>
              <w:rPr>
                <w:sz w:val="21"/>
                <w:szCs w:val="21"/>
                <w:lang w:eastAsia="zh-CN"/>
              </w:rPr>
            </w:pPr>
            <w:r>
              <w:rPr>
                <w:sz w:val="21"/>
                <w:szCs w:val="21"/>
                <w:lang w:eastAsia="zh-CN"/>
              </w:rPr>
              <w:t>参与工程建设的施工单位、运输单位应当建立扬尘污染防治责任制，制定施工、运输扬尘污染防治实施方案，采取有效防治措施。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2</w:t>
            </w:r>
          </w:p>
        </w:tc>
        <w:tc>
          <w:tcPr>
            <w:tcW w:w="900" w:type="pct"/>
            <w:vAlign w:val="center"/>
          </w:tcPr>
          <w:p>
            <w:pPr>
              <w:pStyle w:val="675"/>
              <w:jc w:val="center"/>
              <w:rPr>
                <w:sz w:val="21"/>
                <w:szCs w:val="21"/>
              </w:rPr>
            </w:pPr>
            <w:r>
              <w:rPr>
                <w:sz w:val="21"/>
                <w:szCs w:val="21"/>
              </w:rPr>
              <w:t>控制施工时间</w:t>
            </w:r>
          </w:p>
        </w:tc>
        <w:tc>
          <w:tcPr>
            <w:tcW w:w="3362" w:type="pct"/>
            <w:vAlign w:val="center"/>
          </w:tcPr>
          <w:p>
            <w:pPr>
              <w:pStyle w:val="675"/>
              <w:jc w:val="center"/>
              <w:rPr>
                <w:sz w:val="21"/>
                <w:szCs w:val="21"/>
                <w:lang w:eastAsia="zh-CN"/>
              </w:rPr>
            </w:pPr>
            <w:r>
              <w:rPr>
                <w:sz w:val="21"/>
                <w:szCs w:val="21"/>
                <w:lang w:eastAsia="zh-CN"/>
              </w:rPr>
              <w:t>遇有</w:t>
            </w:r>
            <w:r>
              <w:rPr>
                <w:rFonts w:ascii="Times New Roman" w:hAnsi="Times New Roman" w:eastAsia="Times New Roman" w:cs="Times New Roman"/>
                <w:sz w:val="21"/>
                <w:szCs w:val="21"/>
                <w:lang w:eastAsia="zh-CN"/>
              </w:rPr>
              <w:t>4</w:t>
            </w:r>
            <w:r>
              <w:rPr>
                <w:sz w:val="21"/>
                <w:szCs w:val="21"/>
                <w:lang w:eastAsia="zh-CN"/>
              </w:rPr>
              <w:t>级以上大风或重度污染天气时，必须采取扬尘应急措施，严禁土方开挖、土方回填、房屋拆除。发生重污染天气时按</w:t>
            </w:r>
            <w:r>
              <w:rPr>
                <w:rFonts w:hint="eastAsia"/>
                <w:sz w:val="21"/>
                <w:szCs w:val="21"/>
                <w:lang w:eastAsia="zh-CN"/>
              </w:rPr>
              <w:t>当地应急预案</w:t>
            </w:r>
            <w:r>
              <w:rPr>
                <w:sz w:val="21"/>
                <w:szCs w:val="21"/>
                <w:lang w:eastAsia="zh-CN"/>
              </w:rPr>
              <w:t>分级响应。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3</w:t>
            </w:r>
          </w:p>
        </w:tc>
        <w:tc>
          <w:tcPr>
            <w:tcW w:w="900" w:type="pct"/>
            <w:vAlign w:val="center"/>
          </w:tcPr>
          <w:p>
            <w:pPr>
              <w:pStyle w:val="675"/>
              <w:jc w:val="center"/>
              <w:rPr>
                <w:sz w:val="21"/>
                <w:szCs w:val="21"/>
              </w:rPr>
            </w:pPr>
            <w:r>
              <w:rPr>
                <w:sz w:val="21"/>
                <w:szCs w:val="21"/>
              </w:rPr>
              <w:t>合理确定施工时序</w:t>
            </w:r>
          </w:p>
        </w:tc>
        <w:tc>
          <w:tcPr>
            <w:tcW w:w="3362" w:type="pct"/>
            <w:vAlign w:val="center"/>
          </w:tcPr>
          <w:p>
            <w:pPr>
              <w:pStyle w:val="675"/>
              <w:jc w:val="center"/>
              <w:rPr>
                <w:sz w:val="21"/>
                <w:szCs w:val="21"/>
                <w:lang w:eastAsia="zh-CN"/>
              </w:rPr>
            </w:pPr>
            <w:r>
              <w:rPr>
                <w:sz w:val="21"/>
                <w:szCs w:val="21"/>
                <w:lang w:eastAsia="zh-CN"/>
              </w:rPr>
              <w:t>土方施工应当合理控制土方开挖和存留时间，防止大范围土方开挖，并采取土方表面压实、防尘网遮盖等防尘措施。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4</w:t>
            </w:r>
          </w:p>
        </w:tc>
        <w:tc>
          <w:tcPr>
            <w:tcW w:w="900" w:type="pct"/>
            <w:vAlign w:val="center"/>
          </w:tcPr>
          <w:p>
            <w:pPr>
              <w:pStyle w:val="675"/>
              <w:jc w:val="center"/>
              <w:rPr>
                <w:sz w:val="21"/>
                <w:szCs w:val="21"/>
              </w:rPr>
            </w:pPr>
            <w:r>
              <w:rPr>
                <w:sz w:val="21"/>
                <w:szCs w:val="21"/>
              </w:rPr>
              <w:t>湿法作业</w:t>
            </w:r>
          </w:p>
        </w:tc>
        <w:tc>
          <w:tcPr>
            <w:tcW w:w="3362" w:type="pct"/>
            <w:vAlign w:val="center"/>
          </w:tcPr>
          <w:p>
            <w:pPr>
              <w:pStyle w:val="675"/>
              <w:jc w:val="center"/>
              <w:rPr>
                <w:sz w:val="21"/>
                <w:szCs w:val="21"/>
              </w:rPr>
            </w:pPr>
            <w:r>
              <w:rPr>
                <w:sz w:val="21"/>
                <w:szCs w:val="21"/>
              </w:rPr>
              <w:t>土方开挖湿法作业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lang w:eastAsia="en-US"/>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5</w:t>
            </w:r>
          </w:p>
        </w:tc>
        <w:tc>
          <w:tcPr>
            <w:tcW w:w="900" w:type="pct"/>
            <w:vAlign w:val="center"/>
          </w:tcPr>
          <w:p>
            <w:pPr>
              <w:pStyle w:val="675"/>
              <w:jc w:val="center"/>
              <w:rPr>
                <w:sz w:val="21"/>
                <w:szCs w:val="21"/>
              </w:rPr>
            </w:pPr>
            <w:r>
              <w:rPr>
                <w:sz w:val="21"/>
                <w:szCs w:val="21"/>
              </w:rPr>
              <w:t>场地覆盖</w:t>
            </w:r>
          </w:p>
        </w:tc>
        <w:tc>
          <w:tcPr>
            <w:tcW w:w="3362" w:type="pct"/>
            <w:vAlign w:val="center"/>
          </w:tcPr>
          <w:p>
            <w:pPr>
              <w:pStyle w:val="675"/>
              <w:jc w:val="center"/>
              <w:rPr>
                <w:sz w:val="21"/>
                <w:szCs w:val="21"/>
                <w:lang w:eastAsia="zh-CN"/>
              </w:rPr>
            </w:pPr>
            <w:r>
              <w:rPr>
                <w:sz w:val="21"/>
                <w:szCs w:val="21"/>
                <w:lang w:eastAsia="zh-CN"/>
              </w:rPr>
              <w:t>施工现场集中堆放的土方和裸露场地必须采取覆盖、固化或绿化等防尘措施，严禁裸露。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6</w:t>
            </w:r>
          </w:p>
        </w:tc>
        <w:tc>
          <w:tcPr>
            <w:tcW w:w="900" w:type="pct"/>
            <w:vAlign w:val="center"/>
          </w:tcPr>
          <w:p>
            <w:pPr>
              <w:pStyle w:val="675"/>
              <w:jc w:val="center"/>
              <w:rPr>
                <w:sz w:val="21"/>
                <w:szCs w:val="21"/>
              </w:rPr>
            </w:pPr>
            <w:r>
              <w:rPr>
                <w:sz w:val="21"/>
                <w:szCs w:val="21"/>
              </w:rPr>
              <w:t>拆除时围挡、喷淋</w:t>
            </w:r>
          </w:p>
        </w:tc>
        <w:tc>
          <w:tcPr>
            <w:tcW w:w="3362" w:type="pct"/>
            <w:vAlign w:val="center"/>
          </w:tcPr>
          <w:p>
            <w:pPr>
              <w:pStyle w:val="675"/>
              <w:jc w:val="center"/>
              <w:rPr>
                <w:sz w:val="21"/>
                <w:szCs w:val="21"/>
                <w:lang w:eastAsia="zh-CN"/>
              </w:rPr>
            </w:pPr>
            <w:r>
              <w:rPr>
                <w:sz w:val="21"/>
                <w:szCs w:val="21"/>
                <w:lang w:eastAsia="zh-CN"/>
              </w:rPr>
              <w:t>拆除建筑物、构筑物时，四周必须使用围挡封闭施工，并采取喷淋、洒水、喷雾等降尘措施，严禁敞开式拆除。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38" w:type="pct"/>
            <w:vMerge w:val="continue"/>
            <w:vAlign w:val="center"/>
          </w:tcPr>
          <w:p>
            <w:pPr>
              <w:spacing w:line="240" w:lineRule="auto"/>
              <w:ind w:firstLine="0" w:firstLineChars="0"/>
              <w:jc w:val="center"/>
              <w:rPr>
                <w:kern w:val="0"/>
                <w:szCs w:val="22"/>
                <w:highlight w:val="yellow"/>
              </w:rPr>
            </w:pPr>
          </w:p>
        </w:tc>
        <w:tc>
          <w:tcPr>
            <w:tcW w:w="300" w:type="pct"/>
            <w:vAlign w:val="center"/>
          </w:tcPr>
          <w:p>
            <w:pPr>
              <w:pStyle w:val="675"/>
              <w:jc w:val="center"/>
              <w:rPr>
                <w:rFonts w:ascii="Times New Roman" w:hAnsi="Times New Roman" w:eastAsia="Times New Roman" w:cs="Times New Roman"/>
                <w:sz w:val="21"/>
                <w:szCs w:val="21"/>
              </w:rPr>
            </w:pPr>
            <w:r>
              <w:rPr>
                <w:rFonts w:ascii="Times New Roman"/>
                <w:sz w:val="21"/>
              </w:rPr>
              <w:t>7</w:t>
            </w:r>
          </w:p>
        </w:tc>
        <w:tc>
          <w:tcPr>
            <w:tcW w:w="900" w:type="pct"/>
            <w:vAlign w:val="center"/>
          </w:tcPr>
          <w:p>
            <w:pPr>
              <w:pStyle w:val="675"/>
              <w:jc w:val="center"/>
              <w:rPr>
                <w:sz w:val="21"/>
                <w:szCs w:val="21"/>
              </w:rPr>
            </w:pPr>
            <w:r>
              <w:rPr>
                <w:sz w:val="21"/>
                <w:szCs w:val="21"/>
              </w:rPr>
              <w:t>车辆运输封闭</w:t>
            </w:r>
          </w:p>
        </w:tc>
        <w:tc>
          <w:tcPr>
            <w:tcW w:w="3362" w:type="pct"/>
            <w:vAlign w:val="center"/>
          </w:tcPr>
          <w:p>
            <w:pPr>
              <w:pStyle w:val="675"/>
              <w:jc w:val="center"/>
              <w:rPr>
                <w:sz w:val="21"/>
                <w:szCs w:val="21"/>
                <w:lang w:eastAsia="zh-CN"/>
              </w:rPr>
            </w:pPr>
            <w:r>
              <w:rPr>
                <w:sz w:val="21"/>
                <w:szCs w:val="21"/>
                <w:lang w:eastAsia="zh-CN"/>
              </w:rPr>
              <w:t>施工现场运送土方、渣土的车辆必须封闭或遮盖严密，严禁使用未办理相关手续的渣土等运输车辆，严禁沿路遗撒和随意倾倒。</w:t>
            </w:r>
          </w:p>
        </w:tc>
      </w:tr>
    </w:tbl>
    <w:p>
      <w:pPr>
        <w:ind w:firstLine="482"/>
        <w:rPr>
          <w:rFonts w:ascii="宋体" w:hAnsi="宋体" w:cs="宋体"/>
          <w:b/>
          <w:bCs/>
          <w:szCs w:val="24"/>
          <w:highlight w:val="yellow"/>
        </w:rPr>
      </w:pPr>
    </w:p>
    <w:p>
      <w:pPr>
        <w:ind w:firstLine="480"/>
        <w:rPr>
          <w:highlight w:val="yellow"/>
        </w:rPr>
        <w:sectPr>
          <w:footerReference r:id="rId30" w:type="default"/>
          <w:pgSz w:w="16838" w:h="11906" w:orient="landscape"/>
          <w:pgMar w:top="1474" w:right="1418" w:bottom="1418" w:left="1418" w:header="964" w:footer="964" w:gutter="0"/>
          <w:cols w:space="720" w:num="1"/>
          <w:docGrid w:linePitch="326" w:charSpace="0"/>
        </w:sectPr>
      </w:pPr>
    </w:p>
    <w:p>
      <w:pPr>
        <w:pStyle w:val="6"/>
        <w:spacing w:before="120" w:after="120"/>
      </w:pPr>
      <w:r>
        <w:rPr>
          <w:rFonts w:hint="eastAsia"/>
        </w:rPr>
        <w:t>7</w:t>
      </w:r>
      <w:r>
        <w:t>.</w:t>
      </w:r>
      <w:r>
        <w:rPr>
          <w:rFonts w:hint="eastAsia"/>
        </w:rPr>
        <w:t>4</w:t>
      </w:r>
      <w:r>
        <w:t>.</w:t>
      </w:r>
      <w:r>
        <w:rPr>
          <w:rFonts w:hint="eastAsia"/>
        </w:rPr>
        <w:t>2营运期环境空气保护措施</w:t>
      </w:r>
    </w:p>
    <w:p>
      <w:pPr>
        <w:ind w:firstLine="480"/>
      </w:pPr>
      <w:r>
        <w:t>项目建成营运后，机动车行驶排放的尾气污染物将对沿线环境空气质量造成一定的影响，另外，路面扬尘还可能对周围环境空气质量造成影响。因此，对项目营运期可能产生的环境空气污染进行防治。</w:t>
      </w:r>
    </w:p>
    <w:p>
      <w:pPr>
        <w:ind w:firstLine="480"/>
      </w:pPr>
      <w:r>
        <w:t>（</w:t>
      </w:r>
      <w:r>
        <w:rPr>
          <w:rFonts w:eastAsia="Times New Roman"/>
        </w:rPr>
        <w:t>1</w:t>
      </w:r>
      <w:r>
        <w:t>）环保交通部门加强合作，对机动车尾气达标排放定期检测，对超标排放的机动车辆一律不允许上路；加强对大交通量路段的环境监测工作，以控制汽车尾气排放污染。</w:t>
      </w:r>
    </w:p>
    <w:p>
      <w:pPr>
        <w:ind w:firstLine="480"/>
      </w:pPr>
      <w:r>
        <w:t>（</w:t>
      </w:r>
      <w:r>
        <w:rPr>
          <w:rFonts w:eastAsia="Times New Roman"/>
        </w:rPr>
        <w:t>2</w:t>
      </w:r>
      <w:r>
        <w:t>）提升燃油品质，加强油品质量监督检查；加快淘汰黄标车和老旧车辆；加强机动车环保管理，加强在用机动车年度检验，对不达标车辆不得发放环保合格标志，不得上路行驶；加快推进低速汽车升级换代；大力推广新能源汽车。</w:t>
      </w:r>
    </w:p>
    <w:p>
      <w:pPr>
        <w:ind w:firstLine="480"/>
      </w:pPr>
      <w:r>
        <w:t>（</w:t>
      </w:r>
      <w:r>
        <w:rPr>
          <w:rFonts w:eastAsia="Times New Roman"/>
        </w:rPr>
        <w:t>3</w:t>
      </w:r>
      <w:r>
        <w:t>）在道路两侧加强绿化，栽种可吸收或吸附汽车尾气污染物的乔木、灌木等树种及草坪，以吸收车辆尾气中的污染物和道路扬尘，保护沿线环境空气质量，达到美化环境和改善道路沿线景观效果。</w:t>
      </w:r>
    </w:p>
    <w:p>
      <w:pPr>
        <w:ind w:firstLine="480"/>
        <w:rPr>
          <w:highlight w:val="yellow"/>
        </w:rPr>
      </w:pPr>
      <w:r>
        <w:t>（</w:t>
      </w:r>
      <w:r>
        <w:rPr>
          <w:rFonts w:eastAsia="Times New Roman"/>
        </w:rPr>
        <w:t>4</w:t>
      </w:r>
      <w:r>
        <w:t>）加强运输散装物资如煤、水泥、砂石材料及简易包装的化肥、农药等车辆的管理，运送上述物品需加盖篷布。</w:t>
      </w:r>
    </w:p>
    <w:p>
      <w:pPr>
        <w:pStyle w:val="5"/>
        <w:spacing w:beforeLines="0" w:afterLines="0"/>
      </w:pPr>
      <w:bookmarkStart w:id="111" w:name="_Toc141284085"/>
      <w:r>
        <w:rPr>
          <w:rFonts w:hint="eastAsia"/>
        </w:rPr>
        <w:t>7</w:t>
      </w:r>
      <w:r>
        <w:t>.</w:t>
      </w:r>
      <w:r>
        <w:rPr>
          <w:rFonts w:hint="eastAsia"/>
        </w:rPr>
        <w:t>5固体废物防治措施</w:t>
      </w:r>
      <w:bookmarkEnd w:id="111"/>
    </w:p>
    <w:p>
      <w:pPr>
        <w:pStyle w:val="6"/>
        <w:spacing w:before="120" w:after="120"/>
      </w:pPr>
      <w:r>
        <w:rPr>
          <w:rFonts w:hint="eastAsia"/>
        </w:rPr>
        <w:t>7</w:t>
      </w:r>
      <w:r>
        <w:t>.</w:t>
      </w:r>
      <w:r>
        <w:rPr>
          <w:rFonts w:hint="eastAsia"/>
        </w:rPr>
        <w:t>5</w:t>
      </w:r>
      <w:r>
        <w:t>.</w:t>
      </w:r>
      <w:r>
        <w:rPr>
          <w:rFonts w:hint="eastAsia"/>
        </w:rPr>
        <w:t>1施工期固体废物污染防治措施</w:t>
      </w:r>
    </w:p>
    <w:p>
      <w:pPr>
        <w:adjustRightInd w:val="0"/>
        <w:snapToGrid w:val="0"/>
        <w:ind w:firstLine="480"/>
        <w:rPr>
          <w:rFonts w:cs="宋体"/>
        </w:rPr>
      </w:pPr>
      <w:r>
        <w:rPr>
          <w:rFonts w:cs="宋体"/>
        </w:rPr>
        <w:t>施工期固体废物主要包括拆迁房屋产生的建筑垃圾，桥梁基础钻孔灌注桩产生的钻渣</w:t>
      </w:r>
      <w:r>
        <w:rPr>
          <w:rFonts w:hint="eastAsia" w:cs="宋体"/>
        </w:rPr>
        <w:t>、开挖产生土方、沉淀池沉淀泥浆</w:t>
      </w:r>
      <w:r>
        <w:rPr>
          <w:rFonts w:cs="宋体"/>
        </w:rPr>
        <w:t>以及</w:t>
      </w:r>
      <w:r>
        <w:rPr>
          <w:rFonts w:hint="eastAsia" w:cs="宋体"/>
        </w:rPr>
        <w:t>施工人员日常生活</w:t>
      </w:r>
      <w:r>
        <w:rPr>
          <w:rFonts w:cs="宋体"/>
        </w:rPr>
        <w:t>产生的生活垃圾。</w:t>
      </w:r>
      <w:r>
        <w:rPr>
          <w:rFonts w:hint="eastAsia" w:cs="宋体"/>
        </w:rPr>
        <w:t>本项目拆除工程产生</w:t>
      </w:r>
      <w:r>
        <w:rPr>
          <w:rFonts w:cs="宋体"/>
        </w:rPr>
        <w:t>建筑垃圾</w:t>
      </w:r>
      <w:r>
        <w:rPr>
          <w:rFonts w:hint="eastAsia" w:cs="宋体"/>
        </w:rPr>
        <w:t>，产生量约3</w:t>
      </w:r>
      <w:r>
        <w:rPr>
          <w:rFonts w:cs="宋体"/>
        </w:rPr>
        <w:t>95</w:t>
      </w:r>
      <w:r>
        <w:rPr>
          <w:rFonts w:hint="eastAsia" w:cs="宋体"/>
        </w:rPr>
        <w:t>t，</w:t>
      </w:r>
      <w:r>
        <w:rPr>
          <w:rFonts w:cs="宋体"/>
        </w:rPr>
        <w:t>全部运往当地城建部门指定地点统一处理。</w:t>
      </w:r>
      <w:r>
        <w:rPr>
          <w:rFonts w:hint="eastAsia" w:cs="宋体"/>
        </w:rPr>
        <w:t>本项目开挖产生土方</w:t>
      </w:r>
      <w:r>
        <w:rPr>
          <w:rFonts w:hint="eastAsia"/>
        </w:rPr>
        <w:t>44172m</w:t>
      </w:r>
      <w:r>
        <w:rPr>
          <w:rFonts w:hint="eastAsia"/>
          <w:vertAlign w:val="superscript"/>
        </w:rPr>
        <w:t>3</w:t>
      </w:r>
      <w:r>
        <w:rPr>
          <w:rFonts w:hint="eastAsia"/>
        </w:rPr>
        <w:t>（折合6</w:t>
      </w:r>
      <w:r>
        <w:t>6258</w:t>
      </w:r>
      <w:r>
        <w:rPr>
          <w:rFonts w:hint="eastAsia"/>
        </w:rPr>
        <w:t>t）</w:t>
      </w:r>
      <w:r>
        <w:rPr>
          <w:rFonts w:hint="eastAsia" w:cs="宋体"/>
        </w:rPr>
        <w:t>，作为道路的基础填方及绿化用土，其中</w:t>
      </w:r>
      <w:r>
        <w:rPr>
          <w:rFonts w:cs="宋体"/>
        </w:rPr>
        <w:t>挖方</w:t>
      </w:r>
      <w:r>
        <w:rPr>
          <w:rFonts w:hint="eastAsia" w:cs="宋体"/>
        </w:rPr>
        <w:t>的</w:t>
      </w:r>
      <w:r>
        <w:rPr>
          <w:rFonts w:cs="宋体"/>
        </w:rPr>
        <w:t>表层熟土</w:t>
      </w:r>
      <w:r>
        <w:rPr>
          <w:rFonts w:hint="eastAsia" w:cs="宋体"/>
        </w:rPr>
        <w:t>1</w:t>
      </w:r>
      <w:r>
        <w:rPr>
          <w:rFonts w:cs="宋体"/>
        </w:rPr>
        <w:t>6400</w:t>
      </w:r>
      <w:r>
        <w:rPr>
          <w:rFonts w:hint="eastAsia" w:cs="宋体"/>
        </w:rPr>
        <w:t>m</w:t>
      </w:r>
      <w:r>
        <w:rPr>
          <w:rFonts w:hint="eastAsia" w:cs="宋体"/>
          <w:vertAlign w:val="superscript"/>
        </w:rPr>
        <w:t>3</w:t>
      </w:r>
      <w:r>
        <w:rPr>
          <w:rFonts w:hint="eastAsia" w:cs="宋体"/>
        </w:rPr>
        <w:t>（</w:t>
      </w:r>
      <w:r>
        <w:rPr>
          <w:rFonts w:hint="eastAsia"/>
        </w:rPr>
        <w:t>折合</w:t>
      </w:r>
      <w:r>
        <w:t>24600</w:t>
      </w:r>
      <w:r>
        <w:rPr>
          <w:rFonts w:hint="eastAsia"/>
        </w:rPr>
        <w:t>t）</w:t>
      </w:r>
      <w:r>
        <w:rPr>
          <w:rFonts w:cs="宋体"/>
        </w:rPr>
        <w:t>，</w:t>
      </w:r>
      <w:r>
        <w:rPr>
          <w:rFonts w:hint="eastAsia" w:cs="宋体"/>
        </w:rPr>
        <w:t>可以作为</w:t>
      </w:r>
      <w:r>
        <w:rPr>
          <w:rFonts w:cs="宋体"/>
        </w:rPr>
        <w:t>道路边坡、绿化带等绿化覆土利用</w:t>
      </w:r>
      <w:r>
        <w:rPr>
          <w:rFonts w:hint="eastAsia" w:cs="宋体"/>
        </w:rPr>
        <w:t>，剩余2</w:t>
      </w:r>
      <w:r>
        <w:rPr>
          <w:rFonts w:cs="宋体"/>
        </w:rPr>
        <w:t>7772</w:t>
      </w:r>
      <w:r>
        <w:rPr>
          <w:rFonts w:hint="eastAsia"/>
        </w:rPr>
        <w:t>m</w:t>
      </w:r>
      <w:r>
        <w:rPr>
          <w:rFonts w:hint="eastAsia"/>
          <w:vertAlign w:val="superscript"/>
        </w:rPr>
        <w:t>3</w:t>
      </w:r>
      <w:r>
        <w:rPr>
          <w:rFonts w:hint="eastAsia"/>
        </w:rPr>
        <w:t>（折合</w:t>
      </w:r>
      <w:r>
        <w:t>41658</w:t>
      </w:r>
      <w:r>
        <w:rPr>
          <w:rFonts w:hint="eastAsia"/>
        </w:rPr>
        <w:t>t），</w:t>
      </w:r>
      <w:r>
        <w:rPr>
          <w:rFonts w:hint="eastAsia" w:cs="宋体"/>
        </w:rPr>
        <w:t>用于路基垫土；</w:t>
      </w:r>
      <w:r>
        <w:rPr>
          <w:rFonts w:cs="宋体"/>
        </w:rPr>
        <w:t>桥梁基础钻孔灌注桩产生的钻渣</w:t>
      </w:r>
      <w:r>
        <w:rPr>
          <w:rFonts w:hint="eastAsia" w:cs="宋体"/>
        </w:rPr>
        <w:t>（约2</w:t>
      </w:r>
      <w:r>
        <w:rPr>
          <w:rFonts w:cs="宋体"/>
        </w:rPr>
        <w:t>85</w:t>
      </w:r>
      <w:r>
        <w:rPr>
          <w:rFonts w:hint="eastAsia" w:cs="宋体"/>
        </w:rPr>
        <w:t>t）及沉淀池沉淀泥浆（约1</w:t>
      </w:r>
      <w:r>
        <w:rPr>
          <w:rFonts w:cs="宋体"/>
        </w:rPr>
        <w:t>00</w:t>
      </w:r>
      <w:r>
        <w:rPr>
          <w:rFonts w:hint="eastAsia" w:cs="宋体"/>
        </w:rPr>
        <w:t>t）</w:t>
      </w:r>
      <w:r>
        <w:rPr>
          <w:rFonts w:cs="宋体"/>
        </w:rPr>
        <w:t>作为路基底层填料利用。施工人员产生的生活垃圾，</w:t>
      </w:r>
      <w:r>
        <w:rPr>
          <w:rFonts w:hint="eastAsia" w:cs="宋体"/>
        </w:rPr>
        <w:t>产生量为</w:t>
      </w:r>
      <w:r>
        <w:rPr>
          <w:rFonts w:cs="宋体"/>
        </w:rPr>
        <w:t>36.5</w:t>
      </w:r>
      <w:r>
        <w:rPr>
          <w:rFonts w:hint="eastAsia" w:cs="宋体"/>
        </w:rPr>
        <w:t>t/a，</w:t>
      </w:r>
      <w:r>
        <w:rPr>
          <w:rFonts w:cs="宋体"/>
        </w:rPr>
        <w:t>集中收集后定期</w:t>
      </w:r>
      <w:r>
        <w:rPr>
          <w:rFonts w:hint="eastAsia" w:cs="宋体"/>
        </w:rPr>
        <w:t>由环卫部门处理。。</w:t>
      </w:r>
    </w:p>
    <w:p>
      <w:pPr>
        <w:ind w:firstLine="480"/>
      </w:pPr>
      <w:r>
        <w:t>在妥善处置的前提下，施工期固体废物不会对周围环境产生明显影响</w:t>
      </w:r>
      <w:r>
        <w:rPr>
          <w:rFonts w:hint="eastAsia"/>
        </w:rPr>
        <w:t>。</w:t>
      </w:r>
    </w:p>
    <w:p>
      <w:pPr>
        <w:pStyle w:val="6"/>
        <w:spacing w:before="120" w:after="120"/>
      </w:pPr>
      <w:r>
        <w:rPr>
          <w:rFonts w:hint="eastAsia"/>
        </w:rPr>
        <w:t>7</w:t>
      </w:r>
      <w:r>
        <w:t>.</w:t>
      </w:r>
      <w:r>
        <w:rPr>
          <w:rFonts w:hint="eastAsia"/>
        </w:rPr>
        <w:t>5</w:t>
      </w:r>
      <w:r>
        <w:t>.</w:t>
      </w:r>
      <w:r>
        <w:rPr>
          <w:rFonts w:hint="eastAsia"/>
        </w:rPr>
        <w:t>2营运期固体废物污染防治措施</w:t>
      </w:r>
    </w:p>
    <w:p>
      <w:pPr>
        <w:ind w:firstLine="480"/>
      </w:pPr>
      <w:r>
        <w:t>营运期公路路面产生的固废极少，可能会有少量运输车辆撒落的物料，可以安排清洁人员定期打扫，保持路面清洁并防止扬尘产生。只要加强管理，采取切实可行的措施，本工程营运期的固体废物不会对周围环境产生影响。</w:t>
      </w:r>
    </w:p>
    <w:p>
      <w:pPr>
        <w:ind w:firstLine="468"/>
        <w:rPr>
          <w:rFonts w:cs="宋体"/>
        </w:rPr>
      </w:pPr>
      <w:r>
        <w:rPr>
          <w:rFonts w:cs="宋体"/>
          <w:spacing w:val="-3"/>
        </w:rPr>
        <w:t>通过以上措施，本工程产生的固体废物均得到了妥善处置，不会对环境产生</w:t>
      </w:r>
      <w:r>
        <w:rPr>
          <w:rFonts w:cs="宋体"/>
        </w:rPr>
        <w:t>明显影响，固废治理措施可行。</w:t>
      </w:r>
    </w:p>
    <w:p>
      <w:pPr>
        <w:pStyle w:val="5"/>
        <w:spacing w:beforeLines="0" w:afterLines="0"/>
      </w:pPr>
      <w:bookmarkStart w:id="112" w:name="_Toc141284086"/>
      <w:r>
        <w:rPr>
          <w:rFonts w:hint="eastAsia"/>
        </w:rPr>
        <w:t>7</w:t>
      </w:r>
      <w:r>
        <w:t>.</w:t>
      </w:r>
      <w:r>
        <w:rPr>
          <w:rFonts w:hint="eastAsia"/>
        </w:rPr>
        <w:t>6遵化市堡子店水源地保护措施</w:t>
      </w:r>
      <w:bookmarkEnd w:id="112"/>
    </w:p>
    <w:p>
      <w:pPr>
        <w:pStyle w:val="6"/>
        <w:spacing w:before="120" w:after="120"/>
      </w:pPr>
      <w:r>
        <w:rPr>
          <w:rFonts w:hint="eastAsia"/>
        </w:rPr>
        <w:t>7</w:t>
      </w:r>
      <w:r>
        <w:t>.</w:t>
      </w:r>
      <w:r>
        <w:rPr>
          <w:rFonts w:hint="eastAsia"/>
        </w:rPr>
        <w:t>6</w:t>
      </w:r>
      <w:r>
        <w:t>.</w:t>
      </w:r>
      <w:r>
        <w:rPr>
          <w:rFonts w:hint="eastAsia"/>
        </w:rPr>
        <w:t>1施工期水源地保护措施</w:t>
      </w:r>
    </w:p>
    <w:p>
      <w:pPr>
        <w:ind w:firstLine="480"/>
      </w:pPr>
      <w:r>
        <w:t>为</w:t>
      </w:r>
      <w:r>
        <w:rPr>
          <w:rFonts w:hint="eastAsia"/>
        </w:rPr>
        <w:t>避免</w:t>
      </w:r>
      <w:r>
        <w:t>项目施工</w:t>
      </w:r>
      <w:r>
        <w:rPr>
          <w:rFonts w:hint="eastAsia"/>
        </w:rPr>
        <w:t>对遵化市堡子店水源地的影响，</w:t>
      </w:r>
      <w:r>
        <w:t>施工中</w:t>
      </w:r>
      <w:r>
        <w:rPr>
          <w:rFonts w:hint="eastAsia"/>
        </w:rPr>
        <w:t>禁止施工原料、弃料对水源地内占用</w:t>
      </w:r>
      <w:r>
        <w:t>，</w:t>
      </w:r>
      <w:r>
        <w:rPr>
          <w:rFonts w:hint="eastAsia" w:cs="宋体"/>
        </w:rPr>
        <w:t>本项目施工生活区租赁学汉坨村民房，该村庄位于</w:t>
      </w:r>
      <w:r>
        <w:rPr>
          <w:rFonts w:cs="宋体"/>
        </w:rPr>
        <w:t>遵化市堡子店水源地保护区</w:t>
      </w:r>
      <w:r>
        <w:rPr>
          <w:rFonts w:hint="eastAsia" w:cs="宋体"/>
        </w:rPr>
        <w:t>外，避免生活污水对水源地水质产生影响。</w:t>
      </w:r>
    </w:p>
    <w:p>
      <w:pPr>
        <w:ind w:firstLine="480"/>
      </w:pPr>
      <w:r>
        <w:rPr>
          <w:rFonts w:hint="eastAsia"/>
        </w:rPr>
        <w:t>其他</w:t>
      </w:r>
      <w:r>
        <w:t>保护措施</w:t>
      </w:r>
      <w:r>
        <w:rPr>
          <w:rFonts w:hint="eastAsia"/>
        </w:rPr>
        <w:t>：</w:t>
      </w:r>
    </w:p>
    <w:p>
      <w:pPr>
        <w:ind w:firstLine="480"/>
      </w:pPr>
      <w:r>
        <w:t>（</w:t>
      </w:r>
      <w:r>
        <w:rPr>
          <w:rFonts w:eastAsia="Times New Roman"/>
        </w:rPr>
        <w:t>1</w:t>
      </w:r>
      <w:r>
        <w:t>）</w:t>
      </w:r>
      <w:r>
        <w:rPr>
          <w:rFonts w:hint="eastAsia"/>
        </w:rPr>
        <w:t>严控项目施工范围，禁止</w:t>
      </w:r>
      <w:r>
        <w:t>项目施工在</w:t>
      </w:r>
      <w:r>
        <w:rPr>
          <w:rFonts w:hint="eastAsia"/>
        </w:rPr>
        <w:t>道路红线范围外</w:t>
      </w:r>
      <w:r>
        <w:t>活动，极尽可能的</w:t>
      </w:r>
      <w:r>
        <w:rPr>
          <w:rFonts w:hint="eastAsia"/>
        </w:rPr>
        <w:t>项目施工对区域水环境影响</w:t>
      </w:r>
      <w:r>
        <w:t>影响。</w:t>
      </w:r>
    </w:p>
    <w:p>
      <w:pPr>
        <w:ind w:firstLine="480"/>
      </w:pPr>
      <w:r>
        <w:rPr>
          <w:rFonts w:hint="eastAsia" w:ascii="宋体" w:hAnsi="宋体" w:cs="宋体"/>
        </w:rPr>
        <w:t>（2）</w:t>
      </w:r>
      <w:r>
        <w:t>严格按设计文件的要求确定占用土地的范围，</w:t>
      </w:r>
      <w:r>
        <w:rPr>
          <w:rFonts w:hint="eastAsia"/>
        </w:rPr>
        <w:t>防止设计线路向水源地内供水井靠近。</w:t>
      </w:r>
    </w:p>
    <w:p>
      <w:pPr>
        <w:ind w:firstLine="480"/>
      </w:pPr>
      <w:r>
        <w:rPr>
          <w:rFonts w:hint="eastAsia" w:ascii="宋体" w:hAnsi="宋体" w:cs="宋体"/>
        </w:rPr>
        <w:t>（3）</w:t>
      </w:r>
      <w:r>
        <w:t>尽量减少施工作业面，严禁顺坡流放沙石和废弃物</w:t>
      </w:r>
      <w:r>
        <w:rPr>
          <w:rFonts w:hint="eastAsia"/>
        </w:rPr>
        <w:t>，避免污染物下渗对区域地下水影响。</w:t>
      </w:r>
    </w:p>
    <w:p>
      <w:pPr>
        <w:ind w:firstLine="480"/>
      </w:pPr>
      <w:r>
        <w:rPr>
          <w:rFonts w:hint="eastAsia"/>
        </w:rPr>
        <w:t>（4）</w:t>
      </w:r>
      <w:r>
        <w:t>采取适当的管理措施对于施工期生态保护具有事半功倍的效果，施工期监理是施工期最好的管理措施。在整个施工期内，应委派专职人员，采用巡检监理的方式，检查施工人员的</w:t>
      </w:r>
      <w:r>
        <w:rPr>
          <w:rFonts w:hint="eastAsia"/>
        </w:rPr>
        <w:t>环境保护</w:t>
      </w:r>
      <w:r>
        <w:t>行为。</w:t>
      </w:r>
    </w:p>
    <w:p>
      <w:pPr>
        <w:ind w:firstLine="480"/>
      </w:pPr>
      <w:r>
        <w:rPr>
          <w:rFonts w:hint="eastAsia"/>
        </w:rPr>
        <w:t>（5）</w:t>
      </w:r>
      <w:r>
        <w:t>施工进场前，应加强对施工人员的生态环境保护的宣传教育工作，在工地及周边地区，设立与环境保护有关的科普性宣传牌，包括生态保护的科普知识、相关法律、项目拟采用的</w:t>
      </w:r>
      <w:r>
        <w:rPr>
          <w:rFonts w:hint="eastAsia"/>
        </w:rPr>
        <w:t>水源地保护</w:t>
      </w:r>
      <w:r>
        <w:t>措施及意义等。</w:t>
      </w:r>
    </w:p>
    <w:p>
      <w:pPr>
        <w:pStyle w:val="6"/>
        <w:spacing w:before="120" w:after="120"/>
      </w:pPr>
      <w:r>
        <w:rPr>
          <w:rFonts w:hint="eastAsia"/>
        </w:rPr>
        <w:t>7</w:t>
      </w:r>
      <w:r>
        <w:t>.</w:t>
      </w:r>
      <w:r>
        <w:rPr>
          <w:rFonts w:hint="eastAsia"/>
        </w:rPr>
        <w:t>6</w:t>
      </w:r>
      <w:r>
        <w:t>.</w:t>
      </w:r>
      <w:r>
        <w:rPr>
          <w:rFonts w:hint="eastAsia"/>
        </w:rPr>
        <w:t>2营运期生态保护措施</w:t>
      </w:r>
    </w:p>
    <w:p>
      <w:pPr>
        <w:ind w:firstLine="480"/>
        <w:rPr>
          <w:highlight w:val="yellow"/>
        </w:rPr>
      </w:pPr>
      <w:r>
        <w:t>工程在营运期间，</w:t>
      </w:r>
      <w:r>
        <w:rPr>
          <w:rFonts w:hint="eastAsia"/>
        </w:rPr>
        <w:t>水源地</w:t>
      </w:r>
      <w:r>
        <w:t>影响较施工期大大减少</w:t>
      </w:r>
      <w:r>
        <w:rPr>
          <w:rFonts w:hint="eastAsia"/>
        </w:rPr>
        <w:t>，</w:t>
      </w:r>
      <w:r>
        <w:rPr>
          <w:rFonts w:hint="eastAsia" w:cs="宋体"/>
          <w:kern w:val="0"/>
        </w:rPr>
        <w:t>正常运输状态下，不会影响到地下水环境。</w:t>
      </w:r>
    </w:p>
    <w:p>
      <w:pPr>
        <w:ind w:firstLine="480"/>
      </w:pPr>
      <w:r>
        <w:t>（</w:t>
      </w:r>
      <w:r>
        <w:rPr>
          <w:rFonts w:eastAsia="Times New Roman"/>
        </w:rPr>
        <w:t>1</w:t>
      </w:r>
      <w:r>
        <w:t>）加强管理，确保正常运行。加强营运期管理，</w:t>
      </w:r>
      <w:r>
        <w:rPr>
          <w:rFonts w:hint="eastAsia"/>
        </w:rPr>
        <w:t>减少车辆事故发生概率</w:t>
      </w:r>
      <w:r>
        <w:t>。</w:t>
      </w:r>
    </w:p>
    <w:p>
      <w:pPr>
        <w:ind w:firstLine="480"/>
        <w:rPr>
          <w:highlight w:val="yellow"/>
        </w:rPr>
      </w:pPr>
      <w:r>
        <w:t>（</w:t>
      </w:r>
      <w:r>
        <w:rPr>
          <w:rFonts w:hint="eastAsia"/>
        </w:rPr>
        <w:t>2</w:t>
      </w:r>
      <w:r>
        <w:t>）</w:t>
      </w:r>
      <w:r>
        <w:rPr>
          <w:rFonts w:hint="eastAsia" w:cs="宋体"/>
          <w:kern w:val="0"/>
        </w:rPr>
        <w:t>穿越遵化市堡子店饮用水水源地路段设置禁止</w:t>
      </w:r>
      <w:r>
        <w:rPr>
          <w:rFonts w:cs="宋体"/>
          <w:kern w:val="0"/>
        </w:rPr>
        <w:t>运输危险化学品、剧毒化学品</w:t>
      </w:r>
      <w:r>
        <w:rPr>
          <w:rFonts w:hint="eastAsia" w:cs="宋体"/>
          <w:kern w:val="0"/>
        </w:rPr>
        <w:t>上路标识牌</w:t>
      </w:r>
      <w:r>
        <w:t>。</w:t>
      </w:r>
    </w:p>
    <w:p>
      <w:pPr>
        <w:ind w:firstLine="480"/>
      </w:pPr>
      <w:r>
        <w:t>（</w:t>
      </w:r>
      <w:r>
        <w:rPr>
          <w:rFonts w:hint="eastAsia"/>
        </w:rPr>
        <w:t>3</w:t>
      </w:r>
      <w:r>
        <w:t>）</w:t>
      </w:r>
      <w:r>
        <w:rPr>
          <w:rFonts w:hint="eastAsia" w:cs="宋体"/>
          <w:kern w:val="0"/>
        </w:rPr>
        <w:t>穿越遵化市堡子店饮用水水源地路段，设置减速、安全驾驶的警示标志</w:t>
      </w:r>
      <w:r>
        <w:rPr>
          <w:rFonts w:hint="eastAsia"/>
        </w:rPr>
        <w:t>。</w:t>
      </w:r>
    </w:p>
    <w:p>
      <w:pPr>
        <w:ind w:firstLine="480"/>
        <w:rPr>
          <w:highlight w:val="yellow"/>
        </w:rPr>
      </w:pPr>
      <w:r>
        <w:rPr>
          <w:rFonts w:hint="eastAsia"/>
        </w:rPr>
        <w:t>（4）</w:t>
      </w:r>
      <w:r>
        <w:rPr>
          <w:rFonts w:hint="eastAsia" w:cs="宋体"/>
          <w:kern w:val="0"/>
        </w:rPr>
        <w:t>在公路两侧设置防撞护栏及道路两侧设置收集导排措施，在道路两侧设置事故池，收集道路事故废水。</w:t>
      </w:r>
    </w:p>
    <w:p>
      <w:pPr>
        <w:spacing w:before="72" w:beforeLines="30"/>
        <w:ind w:firstLine="480"/>
        <w:rPr>
          <w:szCs w:val="24"/>
          <w:highlight w:val="yellow"/>
        </w:rPr>
      </w:pPr>
    </w:p>
    <w:p>
      <w:pPr>
        <w:spacing w:before="72" w:beforeLines="30"/>
        <w:ind w:firstLine="480"/>
        <w:rPr>
          <w:szCs w:val="24"/>
          <w:highlight w:val="yellow"/>
        </w:rPr>
        <w:sectPr>
          <w:footerReference r:id="rId31" w:type="default"/>
          <w:pgSz w:w="11906" w:h="16838"/>
          <w:pgMar w:top="1418" w:right="1418" w:bottom="1418" w:left="1474" w:header="964" w:footer="964" w:gutter="0"/>
          <w:cols w:space="720" w:num="1"/>
          <w:docGrid w:linePitch="326" w:charSpace="0"/>
        </w:sectPr>
      </w:pPr>
    </w:p>
    <w:p>
      <w:pPr>
        <w:pStyle w:val="4"/>
        <w:spacing w:beforeLines="0" w:afterLines="0"/>
      </w:pPr>
      <w:bookmarkStart w:id="113" w:name="_Toc141284087"/>
      <w:r>
        <w:rPr>
          <w:rFonts w:hint="eastAsia"/>
        </w:rPr>
        <w:t>8环境影响经济损益分析</w:t>
      </w:r>
      <w:bookmarkEnd w:id="113"/>
    </w:p>
    <w:p>
      <w:pPr>
        <w:ind w:firstLine="480"/>
      </w:pPr>
      <w:r>
        <w:t>环境经济损益分析即是针对项目的性质和当地的具体情况，确定环境影响因子，从而对项目影响范围内的环境影响总体作出经济评价。即主要从项目的环境保护措施投资估算、环境影响经济损失、环境经济效益以及项目环境影响总体经济方面评价。</w:t>
      </w:r>
    </w:p>
    <w:p>
      <w:pPr>
        <w:ind w:firstLine="480"/>
      </w:pPr>
      <w:r>
        <w:t>本项目属于非污染型生态建设项目，可以通过改善交通条件、减少堵车、节省时间等获取较大的综合经济效益（运输效益、社会效益、生态效益）。</w:t>
      </w:r>
    </w:p>
    <w:p>
      <w:pPr>
        <w:pStyle w:val="5"/>
        <w:spacing w:beforeLines="0" w:afterLines="0"/>
      </w:pPr>
      <w:bookmarkStart w:id="114" w:name="_Toc141284088"/>
      <w:r>
        <w:rPr>
          <w:rFonts w:hint="eastAsia"/>
        </w:rPr>
        <w:t>8</w:t>
      </w:r>
      <w:r>
        <w:t>.1</w:t>
      </w:r>
      <w:r>
        <w:rPr>
          <w:rFonts w:hint="eastAsia"/>
        </w:rPr>
        <w:t>环保投资估算</w:t>
      </w:r>
      <w:bookmarkEnd w:id="114"/>
    </w:p>
    <w:p>
      <w:pPr>
        <w:pStyle w:val="204"/>
        <w:spacing w:line="480" w:lineRule="exact"/>
        <w:ind w:firstLine="0" w:firstLineChars="0"/>
        <w:outlineLvl w:val="2"/>
        <w:rPr>
          <w:b/>
          <w:sz w:val="28"/>
          <w:szCs w:val="28"/>
        </w:rPr>
      </w:pPr>
      <w:r>
        <w:rPr>
          <w:rFonts w:hint="eastAsia"/>
          <w:b/>
          <w:sz w:val="28"/>
          <w:szCs w:val="28"/>
        </w:rPr>
        <w:t>8.1.1施工期环保措施费用估算</w:t>
      </w:r>
    </w:p>
    <w:p>
      <w:pPr>
        <w:ind w:firstLine="480"/>
      </w:pPr>
      <w:r>
        <w:t>本项目施工阶段采取的主要环保措施及费用估算列于表</w:t>
      </w:r>
      <w:r>
        <w:rPr>
          <w:rFonts w:hint="eastAsia"/>
        </w:rPr>
        <w:t>8.1-1</w:t>
      </w:r>
    </w:p>
    <w:p>
      <w:pPr>
        <w:adjustRightInd w:val="0"/>
        <w:snapToGrid w:val="0"/>
        <w:ind w:firstLine="0" w:firstLineChars="0"/>
        <w:jc w:val="center"/>
        <w:rPr>
          <w:b/>
          <w:sz w:val="21"/>
        </w:rPr>
      </w:pPr>
      <w:r>
        <w:rPr>
          <w:b/>
          <w:sz w:val="21"/>
        </w:rPr>
        <w:t>表</w:t>
      </w:r>
      <w:r>
        <w:rPr>
          <w:rFonts w:hint="eastAsia"/>
          <w:b/>
          <w:sz w:val="21"/>
        </w:rPr>
        <w:t xml:space="preserve">8.1-1 </w:t>
      </w:r>
      <w:r>
        <w:rPr>
          <w:b/>
          <w:sz w:val="21"/>
        </w:rPr>
        <w:t>施工期主要环保措施及费用估算表</w:t>
      </w:r>
    </w:p>
    <w:tbl>
      <w:tblPr>
        <w:tblStyle w:val="52"/>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65"/>
        <w:gridCol w:w="3960"/>
        <w:gridCol w:w="993"/>
        <w:gridCol w:w="751"/>
        <w:gridCol w:w="24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环境问题</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环保措施</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金额</w:t>
            </w:r>
          </w:p>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（万元）</w:t>
            </w:r>
          </w:p>
        </w:tc>
        <w:tc>
          <w:tcPr>
            <w:tcW w:w="416" w:type="pct"/>
            <w:vAlign w:val="center"/>
          </w:tcPr>
          <w:p>
            <w:pPr>
              <w:pStyle w:val="18"/>
              <w:spacing w:after="0" w:line="240" w:lineRule="auto"/>
              <w:ind w:firstLine="0" w:firstLineChars="0"/>
              <w:jc w:val="center"/>
              <w:rPr>
                <w:rStyle w:val="652"/>
                <w:rFonts w:ascii="Times New Roman" w:hAnsi="宋体"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eastAsia="zh-TW"/>
              </w:rPr>
              <w:t>执行</w:t>
            </w:r>
          </w:p>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单位</w:t>
            </w: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restar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rPr>
              <w:t>声环境</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eastAsia="zh-TW"/>
              </w:rPr>
              <w:t>控制施工时间</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eastAsia="宋体" w:cs="Times New Roman"/>
                <w:spacing w:val="0"/>
                <w:kern w:val="2"/>
                <w:sz w:val="21"/>
                <w:szCs w:val="21"/>
                <w:lang w:val="zh-TW"/>
              </w:rPr>
              <w:t>/</w:t>
            </w:r>
          </w:p>
        </w:tc>
        <w:tc>
          <w:tcPr>
            <w:tcW w:w="416" w:type="pct"/>
            <w:vMerge w:val="restar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总监办施工承包单位</w:t>
            </w: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敏感点附近在</w:t>
            </w:r>
            <w:r>
              <w:rPr>
                <w:rStyle w:val="652"/>
                <w:rFonts w:ascii="Times New Roman" w:eastAsia="宋体" w:cs="Times New Roman"/>
                <w:spacing w:val="0"/>
                <w:kern w:val="2"/>
                <w:sz w:val="21"/>
                <w:szCs w:val="21"/>
                <w:lang w:val="zh-TW" w:eastAsia="zh-TW"/>
              </w:rPr>
              <w:t>22</w:t>
            </w:r>
            <w:r>
              <w:rPr>
                <w:rStyle w:val="652"/>
                <w:rFonts w:ascii="Times New Roman" w:eastAsia="宋体" w:cs="Times New Roman"/>
                <w:spacing w:val="0"/>
                <w:kern w:val="2"/>
                <w:sz w:val="21"/>
                <w:szCs w:val="21"/>
                <w:lang w:val="zh-TW"/>
              </w:rPr>
              <w:t>:</w:t>
            </w:r>
            <w:r>
              <w:rPr>
                <w:rStyle w:val="652"/>
                <w:rFonts w:ascii="Times New Roman" w:eastAsia="宋体" w:cs="Times New Roman"/>
                <w:spacing w:val="0"/>
                <w:kern w:val="2"/>
                <w:sz w:val="21"/>
                <w:szCs w:val="21"/>
                <w:lang w:val="zh-TW" w:eastAsia="zh-TW"/>
              </w:rPr>
              <w:t>00</w:t>
            </w:r>
            <w:r>
              <w:rPr>
                <w:rStyle w:val="652"/>
                <w:rFonts w:ascii="Times New Roman" w:hAnsi="宋体" w:eastAsia="宋体" w:cs="Times New Roman"/>
                <w:spacing w:val="0"/>
                <w:kern w:val="2"/>
                <w:sz w:val="21"/>
                <w:szCs w:val="21"/>
                <w:lang w:val="zh-TW" w:eastAsia="zh-TW"/>
              </w:rPr>
              <w:t>～</w:t>
            </w:r>
          </w:p>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eastAsia="宋体" w:cs="Times New Roman"/>
                <w:spacing w:val="0"/>
                <w:kern w:val="2"/>
                <w:sz w:val="21"/>
                <w:szCs w:val="21"/>
                <w:lang w:val="zh-TW" w:eastAsia="zh-TW"/>
              </w:rPr>
              <w:t>6</w:t>
            </w:r>
            <w:r>
              <w:rPr>
                <w:rStyle w:val="652"/>
                <w:rFonts w:ascii="Times New Roman" w:eastAsia="宋体" w:cs="Times New Roman"/>
                <w:spacing w:val="0"/>
                <w:kern w:val="2"/>
                <w:sz w:val="21"/>
                <w:szCs w:val="21"/>
                <w:lang w:val="zh-TW"/>
              </w:rPr>
              <w:t>:</w:t>
            </w:r>
            <w:r>
              <w:rPr>
                <w:rStyle w:val="652"/>
                <w:rFonts w:ascii="Times New Roman" w:eastAsia="宋体" w:cs="Times New Roman"/>
                <w:spacing w:val="0"/>
                <w:kern w:val="2"/>
                <w:sz w:val="21"/>
                <w:szCs w:val="21"/>
                <w:lang w:val="zh-TW" w:eastAsia="zh-TW"/>
              </w:rPr>
              <w:t>00</w:t>
            </w:r>
            <w:r>
              <w:rPr>
                <w:rStyle w:val="652"/>
                <w:rFonts w:ascii="Times New Roman" w:hAnsi="宋体" w:eastAsia="宋体" w:cs="Times New Roman"/>
                <w:spacing w:val="0"/>
                <w:kern w:val="2"/>
                <w:sz w:val="21"/>
                <w:szCs w:val="21"/>
                <w:lang w:val="zh-TW" w:eastAsia="zh-TW"/>
              </w:rPr>
              <w:t>停止噪声机械施工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eastAsia="zh-TW"/>
              </w:rPr>
              <w:t>施工</w:t>
            </w:r>
            <w:r>
              <w:rPr>
                <w:rStyle w:val="652"/>
                <w:rFonts w:hint="eastAsia" w:ascii="Times New Roman" w:hAnsi="宋体" w:eastAsia="宋体" w:cs="Times New Roman"/>
                <w:spacing w:val="0"/>
                <w:kern w:val="2"/>
                <w:sz w:val="21"/>
                <w:szCs w:val="21"/>
                <w:lang w:val="zh-TW"/>
              </w:rPr>
              <w:t>路段增设</w:t>
            </w:r>
            <w:r>
              <w:rPr>
                <w:rStyle w:val="652"/>
                <w:rFonts w:ascii="Times New Roman" w:hAnsi="宋体" w:eastAsia="宋体" w:cs="Times New Roman"/>
                <w:spacing w:val="0"/>
                <w:kern w:val="2"/>
                <w:sz w:val="21"/>
                <w:szCs w:val="21"/>
                <w:lang w:val="zh-TW"/>
              </w:rPr>
              <w:t>施工围挡</w:t>
            </w:r>
          </w:p>
        </w:tc>
        <w:tc>
          <w:tcPr>
            <w:tcW w:w="550" w:type="pct"/>
            <w:vAlign w:val="center"/>
          </w:tcPr>
          <w:p>
            <w:pPr>
              <w:pStyle w:val="18"/>
              <w:spacing w:after="0" w:line="240" w:lineRule="auto"/>
              <w:ind w:firstLine="0" w:firstLineChars="0"/>
              <w:jc w:val="center"/>
              <w:rPr>
                <w:rStyle w:val="652"/>
                <w:rFonts w:ascii="Times New Roman" w:eastAsia="PMingLiU" w:cs="Times New Roman"/>
                <w:spacing w:val="0"/>
                <w:kern w:val="2"/>
                <w:sz w:val="21"/>
                <w:szCs w:val="21"/>
                <w:lang w:val="zh-TW" w:eastAsia="zh-TW"/>
              </w:rPr>
            </w:pPr>
            <w:r>
              <w:rPr>
                <w:rStyle w:val="652"/>
                <w:rFonts w:ascii="Times New Roman" w:eastAsia="PMingLiU" w:cs="Times New Roman"/>
                <w:spacing w:val="0"/>
                <w:kern w:val="2"/>
                <w:sz w:val="21"/>
                <w:szCs w:val="21"/>
                <w:lang w:val="zh-TW" w:eastAsia="zh-TW"/>
              </w:rPr>
              <w:t>7</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hint="eastAsia" w:ascii="Times New Roman" w:hAnsi="宋体" w:eastAsia="宋体" w:cs="Times New Roman"/>
                <w:spacing w:val="0"/>
                <w:kern w:val="2"/>
                <w:sz w:val="21"/>
                <w:szCs w:val="21"/>
                <w:lang w:val="zh-TW"/>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restar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水环境</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施工</w:t>
            </w:r>
            <w:r>
              <w:rPr>
                <w:rStyle w:val="652"/>
                <w:rFonts w:hint="eastAsia" w:ascii="Times New Roman" w:hAnsi="宋体" w:eastAsia="宋体" w:cs="Times New Roman"/>
                <w:spacing w:val="0"/>
                <w:kern w:val="2"/>
                <w:sz w:val="21"/>
                <w:szCs w:val="21"/>
                <w:lang w:val="zh-TW"/>
              </w:rPr>
              <w:t>过程</w:t>
            </w:r>
            <w:r>
              <w:rPr>
                <w:rStyle w:val="652"/>
                <w:rFonts w:ascii="Times New Roman" w:hAnsi="宋体" w:eastAsia="宋体" w:cs="Times New Roman"/>
                <w:spacing w:val="0"/>
                <w:kern w:val="2"/>
                <w:sz w:val="21"/>
                <w:szCs w:val="21"/>
                <w:lang w:val="zh-TW" w:eastAsia="zh-TW"/>
              </w:rPr>
              <w:t>设沉淀池、垃圾清运</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eastAsia="宋体" w:cs="Times New Roman"/>
                <w:spacing w:val="0"/>
                <w:kern w:val="2"/>
                <w:sz w:val="21"/>
                <w:szCs w:val="21"/>
                <w:lang w:val="zh-TW" w:eastAsia="zh-TW"/>
              </w:rPr>
              <w:t>10</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eastAsia="宋体" w:cs="Times New Roman"/>
                <w:spacing w:val="0"/>
                <w:kern w:val="2"/>
                <w:sz w:val="21"/>
                <w:szCs w:val="21"/>
                <w:lang w:val="zh-TW"/>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通道、桥梁施工防止污染</w:t>
            </w:r>
            <w:r>
              <w:rPr>
                <w:rStyle w:val="652"/>
                <w:rFonts w:hint="eastAsia" w:ascii="Times New Roman" w:hAnsi="宋体" w:eastAsia="宋体" w:cs="Times New Roman"/>
                <w:spacing w:val="0"/>
                <w:kern w:val="2"/>
                <w:sz w:val="21"/>
                <w:szCs w:val="21"/>
                <w:lang w:val="zh-TW"/>
              </w:rPr>
              <w:t>；</w:t>
            </w:r>
            <w:r>
              <w:rPr>
                <w:rStyle w:val="652"/>
                <w:rFonts w:ascii="Times New Roman" w:hAnsi="宋体" w:eastAsia="宋体" w:cs="Times New Roman"/>
                <w:spacing w:val="0"/>
                <w:kern w:val="2"/>
                <w:sz w:val="21"/>
                <w:szCs w:val="21"/>
                <w:lang w:val="zh-TW" w:eastAsia="zh-TW"/>
              </w:rPr>
              <w:t>建材堆放防雨水冲刷措施</w:t>
            </w:r>
            <w:r>
              <w:rPr>
                <w:rStyle w:val="652"/>
                <w:rFonts w:hint="eastAsia" w:ascii="Times New Roman" w:hAnsi="宋体" w:eastAsia="宋体" w:cs="Times New Roman"/>
                <w:spacing w:val="0"/>
                <w:kern w:val="2"/>
                <w:sz w:val="21"/>
                <w:szCs w:val="21"/>
                <w:lang w:val="zh-TW"/>
              </w:rPr>
              <w:t>；</w:t>
            </w:r>
            <w:r>
              <w:rPr>
                <w:rStyle w:val="652"/>
                <w:rFonts w:ascii="Times New Roman" w:hAnsi="宋体" w:eastAsia="宋体" w:cs="Times New Roman"/>
                <w:spacing w:val="0"/>
                <w:kern w:val="2"/>
                <w:sz w:val="21"/>
                <w:szCs w:val="21"/>
                <w:lang w:val="zh-TW" w:eastAsia="zh-TW"/>
              </w:rPr>
              <w:t>施工现场清理</w:t>
            </w:r>
          </w:p>
        </w:tc>
        <w:tc>
          <w:tcPr>
            <w:tcW w:w="550" w:type="pct"/>
            <w:vAlign w:val="center"/>
          </w:tcPr>
          <w:p>
            <w:pPr>
              <w:pStyle w:val="18"/>
              <w:spacing w:after="0" w:line="240" w:lineRule="auto"/>
              <w:ind w:firstLine="0" w:firstLineChars="0"/>
              <w:jc w:val="center"/>
              <w:rPr>
                <w:rStyle w:val="652"/>
                <w:rFonts w:ascii="Times New Roman" w:eastAsia="PMingLiU" w:cs="Times New Roman"/>
                <w:spacing w:val="0"/>
                <w:kern w:val="2"/>
                <w:sz w:val="21"/>
                <w:szCs w:val="21"/>
                <w:lang w:val="zh-TW" w:eastAsia="zh-TW"/>
              </w:rPr>
            </w:pPr>
            <w:r>
              <w:rPr>
                <w:rStyle w:val="652"/>
                <w:rFonts w:ascii="Times New Roman" w:eastAsia="PMingLiU" w:cs="Times New Roman"/>
                <w:spacing w:val="0"/>
                <w:kern w:val="2"/>
                <w:sz w:val="21"/>
                <w:szCs w:val="21"/>
                <w:lang w:val="zh-TW" w:eastAsia="zh-TW"/>
              </w:rPr>
              <w:t>40</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保护河流水质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restar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环境空气</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施工现场适时洒水</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eastAsia="宋体" w:cs="Times New Roman"/>
                <w:spacing w:val="0"/>
                <w:kern w:val="2"/>
                <w:sz w:val="21"/>
                <w:szCs w:val="21"/>
                <w:lang w:val="zh-TW" w:eastAsia="zh-TW"/>
              </w:rPr>
              <w:t>10</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Merge w:val="restar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rPr>
              <w:t>降低对大气环境的影响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粉状材料，袋装或罐装运输，堆放</w:t>
            </w:r>
          </w:p>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设篷</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eastAsia="宋体" w:cs="Times New Roman"/>
                <w:spacing w:val="0"/>
                <w:kern w:val="2"/>
                <w:sz w:val="21"/>
                <w:szCs w:val="21"/>
                <w:lang w:val="zh-TW" w:eastAsia="zh-TW"/>
              </w:rPr>
              <w:t>10</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hint="eastAsia" w:ascii="Times New Roman" w:hAnsi="宋体" w:eastAsia="宋体" w:cs="Times New Roman"/>
                <w:spacing w:val="0"/>
                <w:kern w:val="2"/>
                <w:sz w:val="21"/>
                <w:szCs w:val="21"/>
                <w:lang w:val="zh-TW"/>
              </w:rPr>
              <w:t>原料</w:t>
            </w:r>
            <w:r>
              <w:rPr>
                <w:rStyle w:val="652"/>
                <w:rFonts w:ascii="Times New Roman" w:hAnsi="宋体" w:eastAsia="宋体" w:cs="Times New Roman"/>
                <w:spacing w:val="0"/>
                <w:kern w:val="2"/>
                <w:sz w:val="21"/>
                <w:szCs w:val="21"/>
                <w:lang w:val="zh-TW" w:eastAsia="zh-TW"/>
              </w:rPr>
              <w:t>运输不得超出车厢板高度，防止散落</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eastAsia="宋体" w:cs="Times New Roman"/>
                <w:spacing w:val="0"/>
                <w:kern w:val="2"/>
                <w:sz w:val="21"/>
                <w:szCs w:val="21"/>
                <w:lang w:val="zh-TW"/>
              </w:rPr>
              <w:t>/</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生态环境</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r>
              <w:rPr>
                <w:rStyle w:val="652"/>
                <w:rFonts w:ascii="Times New Roman" w:hAnsi="宋体" w:eastAsia="宋体" w:cs="Times New Roman"/>
                <w:spacing w:val="0"/>
                <w:kern w:val="2"/>
                <w:sz w:val="21"/>
                <w:szCs w:val="21"/>
                <w:lang w:val="zh-TW" w:eastAsia="zh-TW"/>
              </w:rPr>
              <w:t>临时占地尽量少占耕地、</w:t>
            </w:r>
            <w:r>
              <w:rPr>
                <w:rStyle w:val="652"/>
                <w:rFonts w:ascii="Times New Roman" w:hAnsi="宋体" w:eastAsia="宋体" w:cs="Times New Roman"/>
                <w:spacing w:val="0"/>
                <w:kern w:val="2"/>
                <w:sz w:val="21"/>
                <w:szCs w:val="21"/>
                <w:lang w:val="zh-TW"/>
              </w:rPr>
              <w:t>植被密集</w:t>
            </w:r>
            <w:r>
              <w:rPr>
                <w:rStyle w:val="652"/>
                <w:rFonts w:ascii="Times New Roman" w:hAnsi="宋体" w:eastAsia="宋体" w:cs="Times New Roman"/>
                <w:spacing w:val="0"/>
                <w:kern w:val="2"/>
                <w:sz w:val="21"/>
                <w:szCs w:val="21"/>
                <w:lang w:val="zh-TW" w:eastAsia="zh-TW"/>
              </w:rPr>
              <w:t>林地</w:t>
            </w:r>
            <w:r>
              <w:rPr>
                <w:rStyle w:val="652"/>
                <w:rFonts w:hint="eastAsia" w:ascii="Times New Roman" w:hAnsi="宋体" w:eastAsia="宋体" w:cs="Times New Roman"/>
                <w:spacing w:val="0"/>
                <w:kern w:val="2"/>
                <w:sz w:val="21"/>
                <w:szCs w:val="21"/>
                <w:lang w:val="zh-TW"/>
              </w:rPr>
              <w:t>；</w:t>
            </w:r>
            <w:r>
              <w:rPr>
                <w:rStyle w:val="652"/>
                <w:rFonts w:ascii="Times New Roman" w:hAnsi="宋体" w:eastAsia="宋体" w:cs="Times New Roman"/>
                <w:spacing w:val="0"/>
                <w:kern w:val="2"/>
                <w:sz w:val="21"/>
                <w:szCs w:val="21"/>
                <w:lang w:val="zh-TW" w:eastAsia="zh-TW"/>
              </w:rPr>
              <w:t>施工人员不得毁树林、破坏农田</w:t>
            </w:r>
            <w:r>
              <w:rPr>
                <w:rStyle w:val="652"/>
                <w:rFonts w:hint="eastAsia" w:ascii="Times New Roman" w:hAnsi="宋体" w:eastAsia="宋体" w:cs="Times New Roman"/>
                <w:spacing w:val="0"/>
                <w:kern w:val="2"/>
                <w:sz w:val="21"/>
                <w:szCs w:val="21"/>
                <w:lang w:val="zh-TW"/>
              </w:rPr>
              <w:t>；</w:t>
            </w:r>
            <w:r>
              <w:rPr>
                <w:rStyle w:val="652"/>
                <w:rFonts w:ascii="Times New Roman" w:hAnsi="宋体" w:eastAsia="宋体" w:cs="Times New Roman"/>
                <w:spacing w:val="0"/>
                <w:kern w:val="2"/>
                <w:sz w:val="21"/>
                <w:szCs w:val="21"/>
                <w:lang w:val="zh-TW" w:eastAsia="zh-TW"/>
              </w:rPr>
              <w:t>禁止破坏水土保持设施</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eastAsia="宋体" w:cs="Times New Roman"/>
                <w:spacing w:val="0"/>
                <w:kern w:val="2"/>
                <w:sz w:val="21"/>
                <w:szCs w:val="21"/>
                <w:lang w:val="zh-TW"/>
              </w:rPr>
              <w:t>/</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eastAsia="zh-TW"/>
              </w:rPr>
            </w:pPr>
          </w:p>
        </w:tc>
        <w:tc>
          <w:tcPr>
            <w:tcW w:w="1360" w:type="pct"/>
            <w:vAlign w:val="center"/>
          </w:tcPr>
          <w:p>
            <w:pPr>
              <w:pStyle w:val="18"/>
              <w:spacing w:after="0" w:line="240" w:lineRule="auto"/>
              <w:ind w:firstLine="0" w:firstLineChars="0"/>
              <w:jc w:val="center"/>
              <w:rPr>
                <w:rStyle w:val="652"/>
                <w:rFonts w:ascii="Times New Roman" w:eastAsia="宋体" w:cs="Times New Roman"/>
                <w:spacing w:val="0"/>
                <w:kern w:val="2"/>
                <w:sz w:val="21"/>
                <w:szCs w:val="21"/>
                <w:lang w:val="zh-TW"/>
              </w:rPr>
            </w:pPr>
            <w:r>
              <w:rPr>
                <w:rStyle w:val="652"/>
                <w:rFonts w:ascii="Times New Roman" w:hAnsi="宋体" w:eastAsia="宋体" w:cs="Times New Roman"/>
                <w:spacing w:val="0"/>
                <w:kern w:val="2"/>
                <w:sz w:val="21"/>
                <w:szCs w:val="21"/>
                <w:lang w:val="zh-TW"/>
              </w:rPr>
              <w:t>极尽减少对区域生态环境影响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Align w:val="center"/>
          </w:tcPr>
          <w:p>
            <w:pPr>
              <w:pStyle w:val="18"/>
              <w:spacing w:after="0" w:line="240" w:lineRule="auto"/>
              <w:ind w:firstLine="0" w:firstLineChars="0"/>
              <w:jc w:val="center"/>
              <w:rPr>
                <w:rStyle w:val="652"/>
                <w:rFonts w:ascii="Times New Roman" w:eastAsia="宋体" w:cs="Times New Roman"/>
                <w:spacing w:val="0"/>
                <w:sz w:val="21"/>
                <w:szCs w:val="21"/>
                <w:lang w:val="zh-TW" w:eastAsia="zh-TW"/>
              </w:rPr>
            </w:pPr>
            <w:r>
              <w:rPr>
                <w:rFonts w:hAnsi="宋体"/>
                <w:sz w:val="21"/>
                <w:szCs w:val="22"/>
                <w:lang w:eastAsia="en-US"/>
              </w:rPr>
              <w:t>固体废物</w:t>
            </w:r>
          </w:p>
        </w:tc>
        <w:tc>
          <w:tcPr>
            <w:tcW w:w="2194" w:type="pct"/>
            <w:vAlign w:val="center"/>
          </w:tcPr>
          <w:p>
            <w:pPr>
              <w:pStyle w:val="18"/>
              <w:spacing w:after="0" w:line="240" w:lineRule="auto"/>
              <w:ind w:firstLine="0" w:firstLineChars="0"/>
              <w:jc w:val="center"/>
              <w:rPr>
                <w:rStyle w:val="652"/>
                <w:rFonts w:ascii="Times New Roman" w:eastAsia="宋体" w:cs="Times New Roman"/>
                <w:spacing w:val="0"/>
                <w:sz w:val="21"/>
                <w:szCs w:val="22"/>
              </w:rPr>
            </w:pPr>
            <w:r>
              <w:rPr>
                <w:rFonts w:hAnsi="宋体"/>
                <w:sz w:val="21"/>
                <w:szCs w:val="22"/>
              </w:rPr>
              <w:t>施工期生活垃圾收集后，由专门负责步</w:t>
            </w:r>
            <w:r>
              <w:rPr>
                <w:rFonts w:hint="eastAsia" w:hAnsi="宋体"/>
                <w:sz w:val="21"/>
                <w:szCs w:val="22"/>
              </w:rPr>
              <w:t>学汉坨村</w:t>
            </w:r>
            <w:r>
              <w:rPr>
                <w:rFonts w:hAnsi="宋体"/>
                <w:sz w:val="21"/>
                <w:szCs w:val="22"/>
              </w:rPr>
              <w:t>的环卫人员处理。施工、拆迁、拆除临建设施产生的建筑垃圾尽量回收再利用，不能利用的送垃圾填埋场填埋。旧路改建时挖除沥青废石交有资质单位处理</w:t>
            </w:r>
            <w:r>
              <w:rPr>
                <w:rFonts w:hint="eastAsia" w:hAnsi="宋体"/>
                <w:sz w:val="21"/>
                <w:szCs w:val="22"/>
              </w:rPr>
              <w:t>。</w:t>
            </w:r>
          </w:p>
        </w:tc>
        <w:tc>
          <w:tcPr>
            <w:tcW w:w="550" w:type="pct"/>
            <w:vAlign w:val="center"/>
          </w:tcPr>
          <w:p>
            <w:pPr>
              <w:pStyle w:val="18"/>
              <w:spacing w:after="0" w:line="240" w:lineRule="auto"/>
              <w:ind w:firstLine="0" w:firstLineChars="0"/>
              <w:jc w:val="center"/>
              <w:rPr>
                <w:rStyle w:val="652"/>
                <w:rFonts w:ascii="Times New Roman" w:eastAsia="宋体" w:cs="Times New Roman"/>
                <w:spacing w:val="0"/>
                <w:sz w:val="21"/>
                <w:szCs w:val="21"/>
                <w:lang w:val="zh-TW"/>
              </w:rPr>
            </w:pPr>
            <w:r>
              <w:rPr>
                <w:rStyle w:val="652"/>
                <w:rFonts w:ascii="Times New Roman" w:eastAsia="宋体" w:cs="Times New Roman"/>
                <w:spacing w:val="0"/>
                <w:sz w:val="21"/>
                <w:szCs w:val="21"/>
                <w:lang w:val="zh-TW"/>
              </w:rPr>
              <w:t>10</w:t>
            </w:r>
          </w:p>
        </w:tc>
        <w:tc>
          <w:tcPr>
            <w:tcW w:w="416" w:type="pct"/>
            <w:vMerge w:val="continue"/>
            <w:vAlign w:val="center"/>
          </w:tcPr>
          <w:p>
            <w:pPr>
              <w:pStyle w:val="18"/>
              <w:spacing w:after="0" w:line="240" w:lineRule="auto"/>
              <w:ind w:firstLine="0" w:firstLineChars="0"/>
              <w:jc w:val="center"/>
              <w:rPr>
                <w:rStyle w:val="652"/>
                <w:rFonts w:ascii="Times New Roman" w:eastAsia="宋体" w:cs="Times New Roman"/>
                <w:spacing w:val="0"/>
                <w:sz w:val="21"/>
                <w:szCs w:val="21"/>
                <w:lang w:val="zh-TW" w:eastAsia="zh-TW"/>
              </w:rPr>
            </w:pPr>
          </w:p>
        </w:tc>
        <w:tc>
          <w:tcPr>
            <w:tcW w:w="1360" w:type="pct"/>
            <w:vAlign w:val="center"/>
          </w:tcPr>
          <w:p>
            <w:pPr>
              <w:pStyle w:val="18"/>
              <w:spacing w:after="0" w:line="240" w:lineRule="auto"/>
              <w:ind w:firstLine="0" w:firstLineChars="0"/>
              <w:jc w:val="center"/>
              <w:rPr>
                <w:rStyle w:val="652"/>
                <w:rFonts w:ascii="Times New Roman" w:eastAsia="宋体" w:cs="Times New Roman"/>
                <w:spacing w:val="0"/>
                <w:sz w:val="21"/>
                <w:szCs w:val="21"/>
                <w:lang w:val="zh-T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restart"/>
            <w:vAlign w:val="center"/>
          </w:tcPr>
          <w:p>
            <w:pPr>
              <w:pStyle w:val="675"/>
              <w:jc w:val="center"/>
              <w:rPr>
                <w:rFonts w:ascii="Times New Roman" w:hAnsi="Times New Roman" w:cs="Times New Roman"/>
                <w:sz w:val="21"/>
                <w:szCs w:val="21"/>
              </w:rPr>
            </w:pPr>
            <w:r>
              <w:rPr>
                <w:rFonts w:ascii="Times New Roman" w:cs="Times New Roman"/>
                <w:sz w:val="21"/>
                <w:szCs w:val="21"/>
              </w:rPr>
              <w:t>风险事故</w:t>
            </w: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施工区安全设施及安全监督</w:t>
            </w:r>
          </w:p>
        </w:tc>
        <w:tc>
          <w:tcPr>
            <w:tcW w:w="5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10</w:t>
            </w:r>
          </w:p>
        </w:tc>
        <w:tc>
          <w:tcPr>
            <w:tcW w:w="416" w:type="pct"/>
            <w:vMerge w:val="continue"/>
            <w:vAlign w:val="center"/>
          </w:tcPr>
          <w:p>
            <w:pPr>
              <w:spacing w:line="240" w:lineRule="auto"/>
              <w:ind w:firstLine="0" w:firstLineChars="0"/>
              <w:jc w:val="center"/>
              <w:rPr>
                <w:kern w:val="0"/>
                <w:sz w:val="21"/>
                <w:szCs w:val="22"/>
                <w:lang w:eastAsia="en-US"/>
              </w:rPr>
            </w:pPr>
          </w:p>
        </w:tc>
        <w:tc>
          <w:tcPr>
            <w:tcW w:w="1360" w:type="pct"/>
            <w:vMerge w:val="restart"/>
            <w:vAlign w:val="center"/>
          </w:tcPr>
          <w:p>
            <w:pPr>
              <w:spacing w:line="240" w:lineRule="auto"/>
              <w:ind w:firstLine="0" w:firstLineChars="0"/>
              <w:jc w:val="center"/>
              <w:rPr>
                <w:kern w:val="0"/>
                <w:sz w:val="21"/>
                <w:szCs w:val="22"/>
              </w:rPr>
            </w:pPr>
            <w:r>
              <w:rPr>
                <w:kern w:val="0"/>
                <w:sz w:val="21"/>
                <w:szCs w:val="22"/>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spacing w:line="240" w:lineRule="auto"/>
              <w:ind w:firstLine="0" w:firstLineChars="0"/>
              <w:jc w:val="center"/>
              <w:rPr>
                <w:kern w:val="0"/>
                <w:sz w:val="21"/>
                <w:szCs w:val="22"/>
                <w:lang w:eastAsia="en-US"/>
              </w:rPr>
            </w:pP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建材运输避开运输高峰，减少现有道路的拥挤，防止交通事故</w:t>
            </w:r>
          </w:p>
        </w:tc>
        <w:tc>
          <w:tcPr>
            <w:tcW w:w="55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416" w:type="pct"/>
            <w:vMerge w:val="continue"/>
            <w:vAlign w:val="center"/>
          </w:tcPr>
          <w:p>
            <w:pPr>
              <w:spacing w:line="240" w:lineRule="auto"/>
              <w:ind w:firstLine="0" w:firstLineChars="0"/>
              <w:jc w:val="center"/>
              <w:rPr>
                <w:kern w:val="0"/>
                <w:sz w:val="21"/>
                <w:szCs w:val="22"/>
                <w:lang w:eastAsia="en-US"/>
              </w:rPr>
            </w:pPr>
          </w:p>
        </w:tc>
        <w:tc>
          <w:tcPr>
            <w:tcW w:w="1360" w:type="pct"/>
            <w:vMerge w:val="continue"/>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spacing w:line="240" w:lineRule="auto"/>
              <w:ind w:firstLine="0" w:firstLineChars="0"/>
              <w:jc w:val="center"/>
              <w:rPr>
                <w:kern w:val="0"/>
                <w:sz w:val="21"/>
                <w:szCs w:val="22"/>
                <w:lang w:eastAsia="en-US"/>
              </w:rPr>
            </w:pP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施工期设置道路安全警示牌</w:t>
            </w:r>
          </w:p>
        </w:tc>
        <w:tc>
          <w:tcPr>
            <w:tcW w:w="5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10</w:t>
            </w:r>
          </w:p>
        </w:tc>
        <w:tc>
          <w:tcPr>
            <w:tcW w:w="416" w:type="pct"/>
            <w:vMerge w:val="continue"/>
            <w:vAlign w:val="center"/>
          </w:tcPr>
          <w:p>
            <w:pPr>
              <w:spacing w:line="240" w:lineRule="auto"/>
              <w:ind w:firstLine="0" w:firstLineChars="0"/>
              <w:jc w:val="center"/>
              <w:rPr>
                <w:kern w:val="0"/>
                <w:sz w:val="21"/>
                <w:szCs w:val="22"/>
                <w:lang w:eastAsia="en-US"/>
              </w:rPr>
            </w:pPr>
          </w:p>
        </w:tc>
        <w:tc>
          <w:tcPr>
            <w:tcW w:w="1360" w:type="pct"/>
            <w:vMerge w:val="continue"/>
            <w:vAlign w:val="center"/>
          </w:tcPr>
          <w:p>
            <w:pPr>
              <w:spacing w:line="240" w:lineRule="auto"/>
              <w:ind w:firstLine="0" w:firstLineChars="0"/>
              <w:jc w:val="center"/>
              <w:rPr>
                <w:kern w:val="0"/>
                <w:sz w:val="21"/>
                <w:szCs w:val="22"/>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restart"/>
            <w:vAlign w:val="center"/>
          </w:tcPr>
          <w:p>
            <w:pPr>
              <w:pStyle w:val="675"/>
              <w:jc w:val="center"/>
              <w:rPr>
                <w:rFonts w:ascii="Times New Roman" w:hAnsi="Times New Roman" w:cs="Times New Roman"/>
                <w:sz w:val="21"/>
                <w:szCs w:val="21"/>
              </w:rPr>
            </w:pPr>
            <w:r>
              <w:rPr>
                <w:rFonts w:ascii="Times New Roman" w:cs="Times New Roman"/>
                <w:sz w:val="21"/>
                <w:szCs w:val="21"/>
              </w:rPr>
              <w:t>生态恢复</w:t>
            </w: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临时占地整治、绿化工程等生态保护与恢复措施</w:t>
            </w:r>
          </w:p>
        </w:tc>
        <w:tc>
          <w:tcPr>
            <w:tcW w:w="550" w:type="pct"/>
            <w:vMerge w:val="restar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50</w:t>
            </w:r>
          </w:p>
        </w:tc>
        <w:tc>
          <w:tcPr>
            <w:tcW w:w="416" w:type="pct"/>
            <w:vMerge w:val="continue"/>
            <w:vAlign w:val="center"/>
          </w:tcPr>
          <w:p>
            <w:pPr>
              <w:spacing w:line="240" w:lineRule="auto"/>
              <w:ind w:firstLine="0" w:firstLineChars="0"/>
              <w:jc w:val="center"/>
              <w:rPr>
                <w:kern w:val="0"/>
                <w:sz w:val="21"/>
                <w:szCs w:val="22"/>
                <w:lang w:eastAsia="en-US"/>
              </w:rPr>
            </w:pPr>
          </w:p>
        </w:tc>
        <w:tc>
          <w:tcPr>
            <w:tcW w:w="1360" w:type="pct"/>
            <w:vMerge w:val="restar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参照同类项目的实际环保投资情况，按生态恢复费用占工程总投资比例</w:t>
            </w:r>
            <w:r>
              <w:rPr>
                <w:rFonts w:ascii="Times New Roman" w:hAnsi="Times New Roman" w:cs="Times New Roman"/>
                <w:sz w:val="21"/>
                <w:szCs w:val="21"/>
                <w:lang w:eastAsia="zh-CN"/>
              </w:rPr>
              <w:t>0.3%</w:t>
            </w:r>
            <w:r>
              <w:rPr>
                <w:rFonts w:ascii="Times New Roman" w:cs="Times New Roman"/>
                <w:sz w:val="21"/>
                <w:szCs w:val="21"/>
                <w:lang w:eastAsia="zh-CN"/>
              </w:rPr>
              <w:t>估算预留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Merge w:val="continue"/>
            <w:vAlign w:val="center"/>
          </w:tcPr>
          <w:p>
            <w:pPr>
              <w:spacing w:line="240" w:lineRule="auto"/>
              <w:ind w:firstLine="0" w:firstLineChars="0"/>
              <w:jc w:val="center"/>
              <w:rPr>
                <w:kern w:val="0"/>
                <w:sz w:val="21"/>
                <w:szCs w:val="22"/>
              </w:rPr>
            </w:pP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施工期环境教育</w:t>
            </w:r>
          </w:p>
        </w:tc>
        <w:tc>
          <w:tcPr>
            <w:tcW w:w="550" w:type="pct"/>
            <w:vMerge w:val="continue"/>
            <w:vAlign w:val="center"/>
          </w:tcPr>
          <w:p>
            <w:pPr>
              <w:spacing w:line="240" w:lineRule="auto"/>
              <w:ind w:firstLine="0" w:firstLineChars="0"/>
              <w:jc w:val="center"/>
              <w:rPr>
                <w:kern w:val="0"/>
                <w:sz w:val="21"/>
                <w:szCs w:val="22"/>
              </w:rPr>
            </w:pPr>
          </w:p>
        </w:tc>
        <w:tc>
          <w:tcPr>
            <w:tcW w:w="416" w:type="pct"/>
            <w:vMerge w:val="continue"/>
            <w:vAlign w:val="center"/>
          </w:tcPr>
          <w:p>
            <w:pPr>
              <w:spacing w:line="240" w:lineRule="auto"/>
              <w:ind w:firstLine="0" w:firstLineChars="0"/>
              <w:jc w:val="center"/>
              <w:rPr>
                <w:kern w:val="0"/>
                <w:sz w:val="21"/>
                <w:szCs w:val="22"/>
              </w:rPr>
            </w:pPr>
          </w:p>
        </w:tc>
        <w:tc>
          <w:tcPr>
            <w:tcW w:w="1360" w:type="pct"/>
            <w:vMerge w:val="continue"/>
            <w:vAlign w:val="center"/>
          </w:tcPr>
          <w:p>
            <w:pPr>
              <w:spacing w:line="240" w:lineRule="auto"/>
              <w:ind w:firstLine="0" w:firstLineChars="0"/>
              <w:jc w:val="center"/>
              <w:rPr>
                <w:kern w:val="0"/>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Align w:val="center"/>
          </w:tcPr>
          <w:p>
            <w:pPr>
              <w:pStyle w:val="675"/>
              <w:jc w:val="center"/>
              <w:rPr>
                <w:rFonts w:ascii="Times New Roman" w:hAnsi="Times New Roman" w:cs="Times New Roman"/>
                <w:sz w:val="21"/>
                <w:szCs w:val="21"/>
              </w:rPr>
            </w:pPr>
            <w:r>
              <w:rPr>
                <w:rFonts w:ascii="Times New Roman" w:cs="Times New Roman"/>
                <w:sz w:val="21"/>
                <w:szCs w:val="21"/>
              </w:rPr>
              <w:t>工程环境监理</w:t>
            </w:r>
          </w:p>
        </w:tc>
        <w:tc>
          <w:tcPr>
            <w:tcW w:w="2194"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施工前期及施工期环境监理、环境管理</w:t>
            </w:r>
          </w:p>
        </w:tc>
        <w:tc>
          <w:tcPr>
            <w:tcW w:w="550" w:type="pct"/>
            <w:vAlign w:val="center"/>
          </w:tcPr>
          <w:p>
            <w:pPr>
              <w:pStyle w:val="675"/>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10</w:t>
            </w:r>
          </w:p>
        </w:tc>
        <w:tc>
          <w:tcPr>
            <w:tcW w:w="416" w:type="pct"/>
            <w:vAlign w:val="center"/>
          </w:tcPr>
          <w:p>
            <w:pPr>
              <w:pStyle w:val="675"/>
              <w:jc w:val="center"/>
              <w:rPr>
                <w:rFonts w:ascii="Times New Roman" w:hAnsi="Times New Roman" w:cs="Times New Roman"/>
                <w:sz w:val="21"/>
                <w:szCs w:val="21"/>
              </w:rPr>
            </w:pPr>
            <w:r>
              <w:rPr>
                <w:rFonts w:ascii="Times New Roman" w:cs="Times New Roman"/>
                <w:sz w:val="21"/>
                <w:szCs w:val="21"/>
              </w:rPr>
              <w:t>监理单位</w:t>
            </w:r>
          </w:p>
        </w:tc>
        <w:tc>
          <w:tcPr>
            <w:tcW w:w="1360" w:type="pct"/>
            <w:vAlign w:val="center"/>
          </w:tcPr>
          <w:p>
            <w:pPr>
              <w:pStyle w:val="675"/>
              <w:jc w:val="center"/>
              <w:rPr>
                <w:rFonts w:ascii="Times New Roman" w:hAnsi="Times New Roman" w:cs="Times New Roman"/>
                <w:sz w:val="21"/>
                <w:szCs w:val="21"/>
              </w:rPr>
            </w:pPr>
            <w:r>
              <w:rPr>
                <w:rFonts w:ascii="Times New Roman" w:cs="Times New Roman"/>
                <w:sz w:val="21"/>
                <w:szCs w:val="21"/>
              </w:rPr>
              <w:t>按施工期</w:t>
            </w:r>
            <w:r>
              <w:rPr>
                <w:rFonts w:ascii="Times New Roman" w:hAnsi="Times New Roman" w:cs="Times New Roman"/>
                <w:sz w:val="21"/>
                <w:szCs w:val="21"/>
                <w:lang w:eastAsia="zh-CN"/>
              </w:rPr>
              <w:t>2</w:t>
            </w:r>
            <w:r>
              <w:rPr>
                <w:rFonts w:ascii="Times New Roman" w:cs="Times New Roman"/>
                <w:sz w:val="21"/>
                <w:szCs w:val="21"/>
              </w:rPr>
              <w:t>年估算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480" w:type="pct"/>
            <w:vAlign w:val="center"/>
          </w:tcPr>
          <w:p>
            <w:pPr>
              <w:pStyle w:val="675"/>
              <w:jc w:val="center"/>
              <w:rPr>
                <w:rFonts w:ascii="Times New Roman" w:hAnsi="Times New Roman" w:cs="Times New Roman"/>
                <w:sz w:val="21"/>
                <w:szCs w:val="21"/>
                <w:lang w:eastAsia="zh-CN"/>
              </w:rPr>
            </w:pPr>
            <w:r>
              <w:rPr>
                <w:rFonts w:ascii="Times New Roman" w:cs="Times New Roman"/>
                <w:sz w:val="21"/>
                <w:szCs w:val="21"/>
                <w:lang w:eastAsia="zh-CN"/>
              </w:rPr>
              <w:t>合计</w:t>
            </w:r>
          </w:p>
        </w:tc>
        <w:tc>
          <w:tcPr>
            <w:tcW w:w="2194"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550"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167</w:t>
            </w:r>
          </w:p>
        </w:tc>
        <w:tc>
          <w:tcPr>
            <w:tcW w:w="41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1360" w:type="pct"/>
            <w:vAlign w:val="center"/>
          </w:tcPr>
          <w:p>
            <w:pPr>
              <w:pStyle w:val="675"/>
              <w:jc w:val="center"/>
              <w:rPr>
                <w:rFonts w:ascii="Times New Roman" w:hAnsi="Times New Roman" w:cs="Times New Roman"/>
                <w:bCs/>
                <w:sz w:val="21"/>
                <w:szCs w:val="21"/>
                <w:lang w:eastAsia="zh-CN"/>
              </w:rPr>
            </w:pPr>
            <w:r>
              <w:rPr>
                <w:rFonts w:hint="eastAsia" w:ascii="Times New Roman" w:hAnsi="Times New Roman" w:cs="Times New Roman"/>
                <w:bCs/>
                <w:sz w:val="21"/>
                <w:szCs w:val="21"/>
                <w:lang w:eastAsia="zh-CN"/>
              </w:rPr>
              <w:t>/</w:t>
            </w:r>
          </w:p>
        </w:tc>
      </w:tr>
    </w:tbl>
    <w:p>
      <w:pPr>
        <w:pStyle w:val="204"/>
        <w:spacing w:line="480" w:lineRule="exact"/>
        <w:ind w:firstLine="0" w:firstLineChars="0"/>
        <w:outlineLvl w:val="2"/>
        <w:rPr>
          <w:b/>
          <w:sz w:val="28"/>
          <w:szCs w:val="28"/>
        </w:rPr>
      </w:pPr>
      <w:r>
        <w:rPr>
          <w:rFonts w:hint="eastAsia"/>
          <w:b/>
          <w:sz w:val="28"/>
          <w:szCs w:val="28"/>
        </w:rPr>
        <w:t>8.1.2环保措施费用估算</w:t>
      </w:r>
    </w:p>
    <w:p>
      <w:pPr>
        <w:ind w:firstLine="480"/>
      </w:pPr>
      <w:r>
        <w:t>（</w:t>
      </w:r>
      <w:r>
        <w:rPr>
          <w:rFonts w:eastAsia="Times New Roman"/>
        </w:rPr>
        <w:t>1</w:t>
      </w:r>
      <w:r>
        <w:t>）非直接环保费用估算项目非直接环保费用包括公路沿线的绿化工程费用、征地拆迁引发的土地与青苗等补偿费用，此项费用应在工程预算中列入工程费用，不作为单独的环保投资。</w:t>
      </w:r>
    </w:p>
    <w:p>
      <w:pPr>
        <w:ind w:firstLine="480"/>
      </w:pPr>
      <w:r>
        <w:t>（</w:t>
      </w:r>
      <w:r>
        <w:rPr>
          <w:rFonts w:eastAsia="Times New Roman"/>
        </w:rPr>
        <w:t>2</w:t>
      </w:r>
      <w:r>
        <w:t>）直接环保费用估算项目直接环保工程措施及费用估算见表</w:t>
      </w:r>
      <w:r>
        <w:rPr>
          <w:rFonts w:hint="eastAsia"/>
        </w:rPr>
        <w:t>8.1-2</w:t>
      </w:r>
      <w:r>
        <w:t>。</w:t>
      </w:r>
    </w:p>
    <w:p>
      <w:pPr>
        <w:adjustRightInd w:val="0"/>
        <w:snapToGrid w:val="0"/>
        <w:ind w:firstLine="0" w:firstLineChars="0"/>
        <w:jc w:val="center"/>
        <w:rPr>
          <w:b/>
          <w:sz w:val="21"/>
        </w:rPr>
      </w:pPr>
      <w:r>
        <w:rPr>
          <w:b/>
          <w:sz w:val="21"/>
        </w:rPr>
        <w:t>表</w:t>
      </w:r>
      <w:r>
        <w:rPr>
          <w:rFonts w:hint="eastAsia"/>
          <w:b/>
          <w:sz w:val="21"/>
        </w:rPr>
        <w:t xml:space="preserve">8.1-2 </w:t>
      </w:r>
      <w:r>
        <w:rPr>
          <w:b/>
          <w:sz w:val="21"/>
        </w:rPr>
        <w:t>环保工程措施及费用估算表</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84"/>
        <w:gridCol w:w="812"/>
        <w:gridCol w:w="4523"/>
        <w:gridCol w:w="753"/>
        <w:gridCol w:w="911"/>
        <w:gridCol w:w="15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Align w:val="center"/>
          </w:tcPr>
          <w:p>
            <w:pPr>
              <w:pStyle w:val="675"/>
              <w:jc w:val="center"/>
              <w:rPr>
                <w:rFonts w:ascii="Times New Roman" w:hAnsi="Times New Roman" w:cs="Times New Roman"/>
                <w:kern w:val="2"/>
                <w:sz w:val="21"/>
                <w:szCs w:val="21"/>
              </w:rPr>
            </w:pPr>
            <w:r>
              <w:rPr>
                <w:rFonts w:ascii="Times New Roman" w:cs="Times New Roman"/>
                <w:bCs/>
                <w:kern w:val="2"/>
                <w:sz w:val="21"/>
                <w:szCs w:val="21"/>
              </w:rPr>
              <w:t>序号</w:t>
            </w:r>
          </w:p>
        </w:tc>
        <w:tc>
          <w:tcPr>
            <w:tcW w:w="450" w:type="pct"/>
            <w:vAlign w:val="center"/>
          </w:tcPr>
          <w:p>
            <w:pPr>
              <w:pStyle w:val="675"/>
              <w:jc w:val="center"/>
              <w:rPr>
                <w:rFonts w:ascii="Times New Roman" w:cs="Times New Roman"/>
                <w:bCs/>
                <w:kern w:val="2"/>
                <w:sz w:val="21"/>
                <w:szCs w:val="21"/>
                <w:lang w:eastAsia="zh-CN"/>
              </w:rPr>
            </w:pPr>
            <w:r>
              <w:rPr>
                <w:rFonts w:ascii="Times New Roman" w:cs="Times New Roman"/>
                <w:bCs/>
                <w:kern w:val="2"/>
                <w:sz w:val="21"/>
                <w:szCs w:val="21"/>
              </w:rPr>
              <w:t>保护</w:t>
            </w:r>
          </w:p>
          <w:p>
            <w:pPr>
              <w:pStyle w:val="675"/>
              <w:jc w:val="center"/>
              <w:rPr>
                <w:rFonts w:ascii="Times New Roman" w:hAnsi="Times New Roman" w:cs="Times New Roman"/>
                <w:kern w:val="2"/>
                <w:sz w:val="21"/>
                <w:szCs w:val="21"/>
              </w:rPr>
            </w:pPr>
            <w:r>
              <w:rPr>
                <w:rFonts w:ascii="Times New Roman" w:cs="Times New Roman"/>
                <w:bCs/>
                <w:kern w:val="2"/>
                <w:sz w:val="21"/>
                <w:szCs w:val="21"/>
              </w:rPr>
              <w:t>对象</w:t>
            </w:r>
          </w:p>
        </w:tc>
        <w:tc>
          <w:tcPr>
            <w:tcW w:w="2506" w:type="pct"/>
            <w:vAlign w:val="center"/>
          </w:tcPr>
          <w:p>
            <w:pPr>
              <w:pStyle w:val="675"/>
              <w:jc w:val="center"/>
              <w:rPr>
                <w:rFonts w:ascii="Times New Roman" w:hAnsi="Times New Roman" w:cs="Times New Roman"/>
                <w:kern w:val="2"/>
                <w:sz w:val="21"/>
                <w:szCs w:val="21"/>
              </w:rPr>
            </w:pPr>
            <w:r>
              <w:rPr>
                <w:rFonts w:ascii="Times New Roman" w:cs="Times New Roman"/>
                <w:bCs/>
                <w:kern w:val="2"/>
                <w:sz w:val="21"/>
                <w:szCs w:val="21"/>
              </w:rPr>
              <w:t>环保措施</w:t>
            </w:r>
          </w:p>
        </w:tc>
        <w:tc>
          <w:tcPr>
            <w:tcW w:w="417" w:type="pct"/>
            <w:vAlign w:val="center"/>
          </w:tcPr>
          <w:p>
            <w:pPr>
              <w:pStyle w:val="675"/>
              <w:jc w:val="center"/>
              <w:rPr>
                <w:rFonts w:ascii="Times New Roman" w:hAnsi="Times New Roman" w:cs="Times New Roman"/>
                <w:kern w:val="2"/>
                <w:sz w:val="21"/>
                <w:szCs w:val="21"/>
              </w:rPr>
            </w:pPr>
            <w:r>
              <w:rPr>
                <w:rFonts w:ascii="Times New Roman" w:cs="Times New Roman"/>
                <w:bCs/>
                <w:kern w:val="2"/>
                <w:sz w:val="21"/>
                <w:szCs w:val="21"/>
              </w:rPr>
              <w:t>数量</w:t>
            </w:r>
          </w:p>
        </w:tc>
        <w:tc>
          <w:tcPr>
            <w:tcW w:w="505" w:type="pct"/>
            <w:vAlign w:val="center"/>
          </w:tcPr>
          <w:p>
            <w:pPr>
              <w:pStyle w:val="675"/>
              <w:jc w:val="center"/>
              <w:rPr>
                <w:rFonts w:ascii="Times New Roman" w:hAnsi="Times New Roman" w:cs="Times New Roman"/>
                <w:kern w:val="2"/>
                <w:sz w:val="21"/>
                <w:szCs w:val="21"/>
              </w:rPr>
            </w:pPr>
            <w:r>
              <w:rPr>
                <w:rFonts w:ascii="Times New Roman" w:cs="Times New Roman"/>
                <w:bCs/>
                <w:kern w:val="2"/>
                <w:sz w:val="21"/>
                <w:szCs w:val="21"/>
              </w:rPr>
              <w:t>金额</w:t>
            </w:r>
          </w:p>
          <w:p>
            <w:pPr>
              <w:pStyle w:val="675"/>
              <w:jc w:val="center"/>
              <w:rPr>
                <w:rFonts w:ascii="Times New Roman" w:hAnsi="Times New Roman" w:cs="Times New Roman"/>
                <w:kern w:val="2"/>
                <w:sz w:val="21"/>
                <w:szCs w:val="21"/>
              </w:rPr>
            </w:pPr>
            <w:r>
              <w:rPr>
                <w:rFonts w:ascii="Times New Roman" w:cs="Times New Roman"/>
                <w:bCs/>
                <w:kern w:val="2"/>
                <w:sz w:val="21"/>
                <w:szCs w:val="21"/>
              </w:rPr>
              <w:t>（万元）</w:t>
            </w:r>
          </w:p>
        </w:tc>
        <w:tc>
          <w:tcPr>
            <w:tcW w:w="854" w:type="pct"/>
            <w:vAlign w:val="center"/>
          </w:tcPr>
          <w:p>
            <w:pPr>
              <w:pStyle w:val="675"/>
              <w:jc w:val="center"/>
              <w:rPr>
                <w:rFonts w:ascii="Times New Roman" w:hAnsi="Times New Roman" w:cs="Times New Roman"/>
                <w:kern w:val="2"/>
                <w:sz w:val="21"/>
                <w:szCs w:val="21"/>
              </w:rPr>
            </w:pPr>
            <w:r>
              <w:rPr>
                <w:rFonts w:ascii="Times New Roman" w:cs="Times New Roman"/>
                <w:bCs/>
                <w:kern w:val="2"/>
                <w:sz w:val="21"/>
                <w:szCs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1</w:t>
            </w:r>
          </w:p>
        </w:tc>
        <w:tc>
          <w:tcPr>
            <w:tcW w:w="450" w:type="pct"/>
            <w:vAlign w:val="center"/>
          </w:tcPr>
          <w:p>
            <w:pPr>
              <w:pStyle w:val="675"/>
              <w:jc w:val="center"/>
              <w:rPr>
                <w:rFonts w:ascii="Times New Roman" w:cs="Times New Roman"/>
                <w:kern w:val="2"/>
                <w:sz w:val="21"/>
                <w:szCs w:val="21"/>
                <w:lang w:eastAsia="zh-CN"/>
              </w:rPr>
            </w:pPr>
            <w:r>
              <w:rPr>
                <w:rFonts w:hint="eastAsia" w:ascii="Times New Roman" w:cs="Times New Roman"/>
                <w:kern w:val="2"/>
                <w:sz w:val="21"/>
                <w:szCs w:val="21"/>
                <w:lang w:eastAsia="zh-CN"/>
              </w:rPr>
              <w:t>公路</w:t>
            </w:r>
          </w:p>
          <w:p>
            <w:pPr>
              <w:pStyle w:val="675"/>
              <w:jc w:val="center"/>
              <w:rPr>
                <w:rFonts w:ascii="Times New Roman" w:hAnsi="Times New Roman" w:cs="Times New Roman"/>
                <w:kern w:val="2"/>
                <w:sz w:val="21"/>
                <w:szCs w:val="21"/>
              </w:rPr>
            </w:pPr>
            <w:r>
              <w:rPr>
                <w:rFonts w:ascii="Times New Roman" w:cs="Times New Roman"/>
                <w:kern w:val="2"/>
                <w:sz w:val="21"/>
                <w:szCs w:val="21"/>
              </w:rPr>
              <w:t>沿线</w:t>
            </w:r>
          </w:p>
        </w:tc>
        <w:tc>
          <w:tcPr>
            <w:tcW w:w="2506"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rPr>
              <w:t>通风隔声窗</w:t>
            </w:r>
            <w:r>
              <w:rPr>
                <w:rFonts w:hint="eastAsia" w:ascii="Times New Roman" w:cs="Times New Roman"/>
                <w:kern w:val="2"/>
                <w:sz w:val="21"/>
                <w:szCs w:val="21"/>
                <w:lang w:eastAsia="zh-CN"/>
              </w:rPr>
              <w:t>等</w:t>
            </w:r>
          </w:p>
        </w:tc>
        <w:tc>
          <w:tcPr>
            <w:tcW w:w="417" w:type="pct"/>
            <w:vAlign w:val="center"/>
          </w:tcPr>
          <w:p>
            <w:pPr>
              <w:pStyle w:val="675"/>
              <w:jc w:val="center"/>
              <w:rPr>
                <w:rFonts w:ascii="Times New Roman" w:hAnsi="Times New Roman" w:cs="Times New Roman"/>
                <w:kern w:val="2"/>
                <w:sz w:val="21"/>
                <w:szCs w:val="21"/>
                <w:vertAlign w:val="superscript"/>
                <w:lang w:eastAsia="zh-CN"/>
              </w:rPr>
            </w:pPr>
            <w:r>
              <w:rPr>
                <w:rFonts w:hint="eastAsia" w:ascii="Times New Roman" w:hAnsi="Times New Roman" w:cs="Times New Roman"/>
                <w:kern w:val="2"/>
                <w:sz w:val="21"/>
                <w:szCs w:val="21"/>
                <w:lang w:eastAsia="zh-CN"/>
              </w:rPr>
              <w:t>/</w:t>
            </w:r>
          </w:p>
        </w:tc>
        <w:tc>
          <w:tcPr>
            <w:tcW w:w="505"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396.96</w:t>
            </w:r>
          </w:p>
        </w:tc>
        <w:tc>
          <w:tcPr>
            <w:tcW w:w="854" w:type="pct"/>
            <w:vAlign w:val="center"/>
          </w:tcPr>
          <w:p>
            <w:pPr>
              <w:pStyle w:val="675"/>
              <w:jc w:val="center"/>
              <w:rPr>
                <w:rFonts w:ascii="Times New Roman" w:hAnsi="Times New Roman" w:cs="Times New Roman"/>
                <w:kern w:val="2"/>
                <w:sz w:val="21"/>
                <w:szCs w:val="21"/>
              </w:rPr>
            </w:pPr>
            <w:r>
              <w:rPr>
                <w:rFonts w:ascii="Times New Roman" w:cs="Times New Roman"/>
                <w:kern w:val="2"/>
                <w:sz w:val="21"/>
                <w:szCs w:val="21"/>
              </w:rPr>
              <w:t>噪声污染防治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restart"/>
            <w:vAlign w:val="center"/>
          </w:tcPr>
          <w:p>
            <w:pPr>
              <w:pStyle w:val="675"/>
              <w:jc w:val="center"/>
              <w:rPr>
                <w:rFonts w:ascii="Times New Roman" w:hAnsi="Times New Roman" w:cs="Times New Roman"/>
                <w:kern w:val="2"/>
                <w:sz w:val="21"/>
                <w:szCs w:val="21"/>
                <w:highlight w:val="yellow"/>
                <w:lang w:eastAsia="zh-CN"/>
              </w:rPr>
            </w:pPr>
            <w:r>
              <w:rPr>
                <w:rFonts w:hint="eastAsia" w:ascii="Times New Roman" w:hAnsi="Times New Roman" w:cs="Times New Roman"/>
                <w:kern w:val="2"/>
                <w:sz w:val="21"/>
                <w:szCs w:val="21"/>
                <w:lang w:eastAsia="zh-CN"/>
              </w:rPr>
              <w:t>2</w:t>
            </w:r>
          </w:p>
        </w:tc>
        <w:tc>
          <w:tcPr>
            <w:tcW w:w="450" w:type="pct"/>
            <w:vMerge w:val="restart"/>
            <w:vAlign w:val="center"/>
          </w:tcPr>
          <w:p>
            <w:pPr>
              <w:pStyle w:val="675"/>
              <w:jc w:val="center"/>
              <w:rPr>
                <w:rFonts w:ascii="Times New Roman" w:hAnsi="Times New Roman" w:cs="Times New Roman"/>
                <w:kern w:val="2"/>
                <w:sz w:val="21"/>
                <w:szCs w:val="21"/>
                <w:lang w:eastAsia="zh-CN"/>
              </w:rPr>
            </w:pPr>
            <w:r>
              <w:rPr>
                <w:lang w:eastAsia="zh-CN"/>
              </w:rPr>
              <w:t>冷咀头河</w:t>
            </w:r>
            <w:r>
              <w:rPr>
                <w:rFonts w:hint="eastAsia"/>
                <w:lang w:eastAsia="zh-CN"/>
              </w:rPr>
              <w:t>、</w:t>
            </w:r>
            <w:r>
              <w:rPr>
                <w:lang w:eastAsia="zh-CN"/>
              </w:rPr>
              <w:t>清水河、沙河</w:t>
            </w:r>
            <w:r>
              <w:rPr>
                <w:rFonts w:hint="eastAsia"/>
                <w:lang w:eastAsia="zh-CN"/>
              </w:rPr>
              <w:t>、黎河</w:t>
            </w:r>
          </w:p>
        </w:tc>
        <w:tc>
          <w:tcPr>
            <w:tcW w:w="2506" w:type="pct"/>
            <w:vAlign w:val="center"/>
          </w:tcPr>
          <w:p>
            <w:pPr>
              <w:pStyle w:val="675"/>
              <w:jc w:val="center"/>
              <w:rPr>
                <w:rFonts w:ascii="Times New Roman" w:hAnsi="Times New Roman" w:cs="Times New Roman"/>
                <w:kern w:val="2"/>
                <w:sz w:val="21"/>
                <w:szCs w:val="21"/>
                <w:lang w:eastAsia="zh-CN"/>
              </w:rPr>
            </w:pPr>
            <w:r>
              <w:rPr>
                <w:rFonts w:hint="eastAsia" w:ascii="Times New Roman" w:cs="Times New Roman"/>
                <w:kern w:val="2"/>
                <w:sz w:val="21"/>
                <w:szCs w:val="21"/>
                <w:lang w:eastAsia="zh-CN"/>
              </w:rPr>
              <w:t>桥梁</w:t>
            </w:r>
            <w:r>
              <w:rPr>
                <w:rFonts w:ascii="Times New Roman" w:cs="Times New Roman"/>
                <w:kern w:val="2"/>
                <w:sz w:val="21"/>
                <w:szCs w:val="21"/>
                <w:lang w:eastAsia="zh-CN"/>
              </w:rPr>
              <w:t>及临近</w:t>
            </w:r>
            <w:r>
              <w:rPr>
                <w:lang w:eastAsia="zh-CN"/>
              </w:rPr>
              <w:t>冷咀头河</w:t>
            </w:r>
            <w:r>
              <w:rPr>
                <w:rFonts w:ascii="Times New Roman" w:cs="Times New Roman"/>
                <w:kern w:val="2"/>
                <w:sz w:val="21"/>
                <w:szCs w:val="21"/>
                <w:lang w:eastAsia="zh-CN"/>
              </w:rPr>
              <w:t>段设置驶入警示牌及驶离告知牌</w:t>
            </w:r>
          </w:p>
        </w:tc>
        <w:tc>
          <w:tcPr>
            <w:tcW w:w="417"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若干块</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w:t>
            </w:r>
          </w:p>
        </w:tc>
        <w:tc>
          <w:tcPr>
            <w:tcW w:w="854" w:type="pct"/>
            <w:vMerge w:val="restart"/>
            <w:vAlign w:val="center"/>
          </w:tcPr>
          <w:p>
            <w:pPr>
              <w:pStyle w:val="675"/>
              <w:jc w:val="center"/>
              <w:rPr>
                <w:rFonts w:ascii="Times New Roman" w:hAnsi="Times New Roman" w:cs="Times New Roman"/>
                <w:kern w:val="2"/>
                <w:sz w:val="21"/>
                <w:szCs w:val="21"/>
                <w:highlight w:val="yellow"/>
                <w:lang w:eastAsia="zh-CN"/>
              </w:rPr>
            </w:pPr>
            <w:r>
              <w:rPr>
                <w:rFonts w:ascii="Times New Roman" w:cs="Times New Roman"/>
                <w:kern w:val="2"/>
                <w:sz w:val="21"/>
                <w:szCs w:val="21"/>
                <w:lang w:eastAsia="zh-CN"/>
              </w:rPr>
              <w:t>水环境保护及风险事故预防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highlight w:val="yellow"/>
              </w:rPr>
            </w:pPr>
          </w:p>
        </w:tc>
        <w:tc>
          <w:tcPr>
            <w:tcW w:w="450" w:type="pct"/>
            <w:vMerge w:val="continue"/>
            <w:vAlign w:val="center"/>
          </w:tcPr>
          <w:p>
            <w:pPr>
              <w:spacing w:line="240" w:lineRule="auto"/>
              <w:ind w:firstLine="0" w:firstLineChars="0"/>
              <w:jc w:val="center"/>
              <w:rPr>
                <w:sz w:val="21"/>
                <w:szCs w:val="22"/>
              </w:rPr>
            </w:pPr>
          </w:p>
        </w:tc>
        <w:tc>
          <w:tcPr>
            <w:tcW w:w="2506"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临近</w:t>
            </w:r>
            <w:r>
              <w:rPr>
                <w:lang w:eastAsia="zh-CN"/>
              </w:rPr>
              <w:t>冷咀头河</w:t>
            </w:r>
            <w:r>
              <w:rPr>
                <w:rFonts w:ascii="Times New Roman" w:cs="Times New Roman"/>
                <w:kern w:val="2"/>
                <w:sz w:val="21"/>
                <w:szCs w:val="21"/>
                <w:lang w:eastAsia="zh-CN"/>
              </w:rPr>
              <w:t>路段设置岸边防撞护栏</w:t>
            </w:r>
            <w:r>
              <w:rPr>
                <w:rFonts w:hint="eastAsia" w:ascii="Times New Roman" w:cs="Times New Roman"/>
                <w:kern w:val="2"/>
                <w:sz w:val="21"/>
                <w:szCs w:val="21"/>
                <w:lang w:eastAsia="zh-CN"/>
              </w:rPr>
              <w:t>（工程内容）</w:t>
            </w:r>
          </w:p>
        </w:tc>
        <w:tc>
          <w:tcPr>
            <w:tcW w:w="417"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w:t>
            </w:r>
          </w:p>
        </w:tc>
        <w:tc>
          <w:tcPr>
            <w:tcW w:w="854" w:type="pct"/>
            <w:vMerge w:val="continue"/>
            <w:vAlign w:val="center"/>
          </w:tcPr>
          <w:p>
            <w:pPr>
              <w:spacing w:line="240" w:lineRule="auto"/>
              <w:ind w:firstLine="0" w:firstLineChars="0"/>
              <w:jc w:val="center"/>
              <w:rPr>
                <w:sz w:val="21"/>
                <w:szCs w:val="22"/>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highlight w:val="yellow"/>
                <w:lang w:eastAsia="en-US"/>
              </w:rPr>
            </w:pPr>
          </w:p>
        </w:tc>
        <w:tc>
          <w:tcPr>
            <w:tcW w:w="450" w:type="pct"/>
            <w:vMerge w:val="continue"/>
            <w:vAlign w:val="center"/>
          </w:tcPr>
          <w:p>
            <w:pPr>
              <w:spacing w:line="240" w:lineRule="auto"/>
              <w:ind w:firstLine="0" w:firstLineChars="0"/>
              <w:jc w:val="center"/>
              <w:rPr>
                <w:sz w:val="21"/>
                <w:szCs w:val="22"/>
                <w:lang w:eastAsia="en-US"/>
              </w:rPr>
            </w:pPr>
          </w:p>
        </w:tc>
        <w:tc>
          <w:tcPr>
            <w:tcW w:w="2506" w:type="pct"/>
            <w:vAlign w:val="center"/>
          </w:tcPr>
          <w:p>
            <w:pPr>
              <w:pStyle w:val="675"/>
              <w:jc w:val="center"/>
              <w:rPr>
                <w:rFonts w:ascii="Times New Roman" w:hAnsi="Times New Roman" w:cs="Times New Roman"/>
                <w:kern w:val="2"/>
                <w:sz w:val="21"/>
                <w:szCs w:val="21"/>
                <w:lang w:eastAsia="zh-CN"/>
              </w:rPr>
            </w:pPr>
            <w:r>
              <w:rPr>
                <w:rFonts w:hint="eastAsia"/>
                <w:kern w:val="2"/>
                <w:sz w:val="21"/>
                <w:szCs w:val="21"/>
                <w:lang w:eastAsia="zh-CN"/>
              </w:rPr>
              <w:t>桥梁</w:t>
            </w:r>
            <w:r>
              <w:rPr>
                <w:kern w:val="2"/>
                <w:sz w:val="21"/>
                <w:szCs w:val="21"/>
                <w:lang w:eastAsia="zh-CN"/>
              </w:rPr>
              <w:t>采用钢筋混凝土防撞护栏，跨越</w:t>
            </w:r>
            <w:r>
              <w:rPr>
                <w:lang w:eastAsia="zh-CN"/>
              </w:rPr>
              <w:t>清水河、沙河</w:t>
            </w:r>
            <w:r>
              <w:rPr>
                <w:rFonts w:hint="eastAsia"/>
                <w:lang w:eastAsia="zh-CN"/>
              </w:rPr>
              <w:t>、黎河主河道</w:t>
            </w:r>
            <w:r>
              <w:rPr>
                <w:kern w:val="2"/>
                <w:sz w:val="21"/>
                <w:szCs w:val="21"/>
                <w:lang w:eastAsia="zh-CN"/>
              </w:rPr>
              <w:t>常水位主河槽的部分加装防落网</w:t>
            </w:r>
          </w:p>
        </w:tc>
        <w:tc>
          <w:tcPr>
            <w:tcW w:w="417" w:type="pct"/>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10</w:t>
            </w:r>
          </w:p>
        </w:tc>
        <w:tc>
          <w:tcPr>
            <w:tcW w:w="854" w:type="pct"/>
            <w:vMerge w:val="continue"/>
            <w:vAlign w:val="center"/>
          </w:tcPr>
          <w:p>
            <w:pPr>
              <w:spacing w:line="240" w:lineRule="auto"/>
              <w:ind w:firstLine="0" w:firstLineChars="0"/>
              <w:jc w:val="center"/>
              <w:rPr>
                <w:sz w:val="21"/>
                <w:szCs w:val="22"/>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highlight w:val="yellow"/>
                <w:lang w:eastAsia="en-US"/>
              </w:rPr>
            </w:pPr>
          </w:p>
        </w:tc>
        <w:tc>
          <w:tcPr>
            <w:tcW w:w="450" w:type="pct"/>
            <w:vMerge w:val="continue"/>
            <w:vAlign w:val="center"/>
          </w:tcPr>
          <w:p>
            <w:pPr>
              <w:spacing w:line="240" w:lineRule="auto"/>
              <w:ind w:firstLine="0" w:firstLineChars="0"/>
              <w:jc w:val="center"/>
              <w:rPr>
                <w:sz w:val="21"/>
                <w:szCs w:val="22"/>
                <w:highlight w:val="yellow"/>
                <w:lang w:eastAsia="en-US"/>
              </w:rPr>
            </w:pPr>
          </w:p>
        </w:tc>
        <w:tc>
          <w:tcPr>
            <w:tcW w:w="2506" w:type="pct"/>
            <w:vAlign w:val="center"/>
          </w:tcPr>
          <w:p>
            <w:pPr>
              <w:pStyle w:val="675"/>
              <w:jc w:val="center"/>
              <w:rPr>
                <w:rFonts w:ascii="Times New Roman" w:hAnsi="Times New Roman" w:cs="Times New Roman"/>
                <w:kern w:val="2"/>
                <w:sz w:val="21"/>
                <w:szCs w:val="21"/>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大桥设置桥面径流收集系统及大桥</w:t>
            </w:r>
            <w:r>
              <w:rPr>
                <w:rFonts w:hint="eastAsia" w:ascii="Times New Roman" w:cs="Times New Roman"/>
                <w:kern w:val="2"/>
                <w:sz w:val="21"/>
                <w:szCs w:val="21"/>
                <w:lang w:eastAsia="zh-CN"/>
              </w:rPr>
              <w:t>两头</w:t>
            </w:r>
            <w:r>
              <w:rPr>
                <w:rFonts w:ascii="Times New Roman" w:cs="Times New Roman"/>
                <w:kern w:val="2"/>
                <w:sz w:val="21"/>
                <w:szCs w:val="21"/>
                <w:lang w:eastAsia="zh-CN"/>
              </w:rPr>
              <w:t>设置防渗事故池</w:t>
            </w:r>
            <w:r>
              <w:rPr>
                <w:rFonts w:hint="eastAsia" w:ascii="Times New Roman" w:cs="Times New Roman"/>
                <w:kern w:val="2"/>
                <w:sz w:val="21"/>
                <w:szCs w:val="21"/>
                <w:lang w:eastAsia="zh-CN"/>
              </w:rPr>
              <w:t>，共6座，容积分别为2座1</w:t>
            </w:r>
            <w:r>
              <w:rPr>
                <w:rFonts w:ascii="Times New Roman" w:cs="Times New Roman"/>
                <w:kern w:val="2"/>
                <w:sz w:val="21"/>
                <w:szCs w:val="21"/>
                <w:lang w:eastAsia="zh-CN"/>
              </w:rPr>
              <w:t>02</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r>
              <w:rPr>
                <w:rFonts w:hint="eastAsia" w:ascii="Times New Roman" w:cs="Times New Roman"/>
                <w:kern w:val="2"/>
                <w:sz w:val="21"/>
                <w:szCs w:val="21"/>
                <w:lang w:eastAsia="zh-CN"/>
              </w:rPr>
              <w:t>、2座1</w:t>
            </w:r>
            <w:r>
              <w:rPr>
                <w:rFonts w:ascii="Times New Roman" w:cs="Times New Roman"/>
                <w:kern w:val="2"/>
                <w:sz w:val="21"/>
                <w:szCs w:val="21"/>
                <w:lang w:eastAsia="zh-CN"/>
              </w:rPr>
              <w:t>09</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r>
              <w:rPr>
                <w:rFonts w:hint="eastAsia" w:ascii="Times New Roman" w:cs="Times New Roman"/>
                <w:kern w:val="2"/>
                <w:sz w:val="21"/>
                <w:szCs w:val="21"/>
                <w:lang w:eastAsia="zh-CN"/>
              </w:rPr>
              <w:t>、2座1</w:t>
            </w:r>
            <w:r>
              <w:rPr>
                <w:rFonts w:ascii="Times New Roman" w:cs="Times New Roman"/>
                <w:kern w:val="2"/>
                <w:sz w:val="21"/>
                <w:szCs w:val="21"/>
                <w:lang w:eastAsia="zh-CN"/>
              </w:rPr>
              <w:t>45</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p>
        </w:tc>
        <w:tc>
          <w:tcPr>
            <w:tcW w:w="417" w:type="pct"/>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102.5</w:t>
            </w:r>
          </w:p>
        </w:tc>
        <w:tc>
          <w:tcPr>
            <w:tcW w:w="854" w:type="pct"/>
            <w:vMerge w:val="continue"/>
            <w:vAlign w:val="center"/>
          </w:tcPr>
          <w:p>
            <w:pPr>
              <w:spacing w:line="240" w:lineRule="auto"/>
              <w:ind w:firstLine="0" w:firstLineChars="0"/>
              <w:jc w:val="center"/>
              <w:rPr>
                <w:sz w:val="21"/>
                <w:szCs w:val="22"/>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highlight w:val="yellow"/>
                <w:lang w:eastAsia="en-US"/>
              </w:rPr>
            </w:pPr>
          </w:p>
        </w:tc>
        <w:tc>
          <w:tcPr>
            <w:tcW w:w="450" w:type="pct"/>
            <w:vMerge w:val="continue"/>
            <w:vAlign w:val="center"/>
          </w:tcPr>
          <w:p>
            <w:pPr>
              <w:spacing w:line="240" w:lineRule="auto"/>
              <w:ind w:firstLine="0" w:firstLineChars="0"/>
              <w:jc w:val="center"/>
              <w:rPr>
                <w:sz w:val="21"/>
                <w:szCs w:val="22"/>
                <w:highlight w:val="yellow"/>
                <w:lang w:eastAsia="en-US"/>
              </w:rPr>
            </w:pPr>
          </w:p>
        </w:tc>
        <w:tc>
          <w:tcPr>
            <w:tcW w:w="2506" w:type="pct"/>
            <w:vAlign w:val="center"/>
          </w:tcPr>
          <w:p>
            <w:pPr>
              <w:pStyle w:val="675"/>
              <w:jc w:val="center"/>
              <w:rPr>
                <w:rFonts w:ascii="Times New Roman" w:cs="Times New Roman"/>
                <w:kern w:val="2"/>
                <w:sz w:val="21"/>
                <w:szCs w:val="21"/>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w:t>
            </w:r>
            <w:r>
              <w:rPr>
                <w:kern w:val="2"/>
                <w:sz w:val="21"/>
                <w:szCs w:val="21"/>
                <w:lang w:eastAsia="zh-CN"/>
              </w:rPr>
              <w:t>安装限速监控</w:t>
            </w:r>
          </w:p>
        </w:tc>
        <w:tc>
          <w:tcPr>
            <w:tcW w:w="417" w:type="pct"/>
            <w:vAlign w:val="center"/>
          </w:tcPr>
          <w:p>
            <w:pPr>
              <w:pStyle w:val="675"/>
              <w:jc w:val="center"/>
              <w:rPr>
                <w:rFonts w:ascii="Times New Roman" w:hAnsi="Times New Roman" w:cs="Times New Roman"/>
                <w:kern w:val="2"/>
                <w:sz w:val="21"/>
                <w:szCs w:val="21"/>
                <w:lang w:eastAsia="zh-CN"/>
              </w:rPr>
            </w:pP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30</w:t>
            </w:r>
          </w:p>
        </w:tc>
        <w:tc>
          <w:tcPr>
            <w:tcW w:w="854" w:type="pct"/>
            <w:vMerge w:val="continue"/>
            <w:vAlign w:val="center"/>
          </w:tcPr>
          <w:p>
            <w:pPr>
              <w:spacing w:line="240" w:lineRule="auto"/>
              <w:ind w:firstLine="0" w:firstLineChars="0"/>
              <w:jc w:val="center"/>
              <w:rPr>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highlight w:val="yellow"/>
              </w:rPr>
            </w:pPr>
          </w:p>
        </w:tc>
        <w:tc>
          <w:tcPr>
            <w:tcW w:w="450" w:type="pct"/>
            <w:vMerge w:val="continue"/>
            <w:vAlign w:val="center"/>
          </w:tcPr>
          <w:p>
            <w:pPr>
              <w:spacing w:line="240" w:lineRule="auto"/>
              <w:ind w:firstLine="0" w:firstLineChars="0"/>
              <w:jc w:val="center"/>
              <w:rPr>
                <w:sz w:val="21"/>
                <w:szCs w:val="22"/>
                <w:highlight w:val="yellow"/>
              </w:rPr>
            </w:pPr>
          </w:p>
        </w:tc>
        <w:tc>
          <w:tcPr>
            <w:tcW w:w="2506" w:type="pct"/>
            <w:vAlign w:val="center"/>
          </w:tcPr>
          <w:p>
            <w:pPr>
              <w:pStyle w:val="675"/>
              <w:jc w:val="center"/>
              <w:rPr>
                <w:rFonts w:ascii="Times New Roman" w:hAnsi="Times New Roman" w:cs="Times New Roman"/>
                <w:kern w:val="2"/>
                <w:sz w:val="21"/>
                <w:szCs w:val="21"/>
                <w:highlight w:val="yellow"/>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大桥及临近</w:t>
            </w:r>
            <w:r>
              <w:rPr>
                <w:lang w:eastAsia="zh-CN"/>
              </w:rPr>
              <w:t>冷咀头河</w:t>
            </w:r>
            <w:r>
              <w:rPr>
                <w:rFonts w:ascii="Times New Roman" w:cs="Times New Roman"/>
                <w:kern w:val="2"/>
                <w:sz w:val="21"/>
                <w:szCs w:val="21"/>
                <w:lang w:eastAsia="zh-CN"/>
              </w:rPr>
              <w:t>段设置紧急报警电话标牌</w:t>
            </w:r>
          </w:p>
        </w:tc>
        <w:tc>
          <w:tcPr>
            <w:tcW w:w="417" w:type="pct"/>
            <w:vAlign w:val="center"/>
          </w:tcPr>
          <w:p>
            <w:pPr>
              <w:pStyle w:val="675"/>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0.5</w:t>
            </w:r>
          </w:p>
        </w:tc>
        <w:tc>
          <w:tcPr>
            <w:tcW w:w="854" w:type="pct"/>
            <w:vMerge w:val="continue"/>
            <w:vAlign w:val="center"/>
          </w:tcPr>
          <w:p>
            <w:pPr>
              <w:spacing w:line="240" w:lineRule="auto"/>
              <w:ind w:firstLine="0" w:firstLineChars="0"/>
              <w:jc w:val="center"/>
              <w:rPr>
                <w:sz w:val="21"/>
                <w:szCs w:val="22"/>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restart"/>
            <w:vAlign w:val="center"/>
          </w:tcPr>
          <w:p>
            <w:pPr>
              <w:spacing w:line="240" w:lineRule="auto"/>
              <w:ind w:firstLine="0" w:firstLineChars="0"/>
              <w:jc w:val="center"/>
              <w:rPr>
                <w:sz w:val="21"/>
                <w:szCs w:val="22"/>
              </w:rPr>
            </w:pPr>
            <w:r>
              <w:rPr>
                <w:sz w:val="21"/>
                <w:szCs w:val="22"/>
              </w:rPr>
              <w:t>4</w:t>
            </w:r>
          </w:p>
        </w:tc>
        <w:tc>
          <w:tcPr>
            <w:tcW w:w="450" w:type="pct"/>
            <w:vMerge w:val="restart"/>
            <w:vAlign w:val="center"/>
          </w:tcPr>
          <w:p>
            <w:pPr>
              <w:spacing w:line="240" w:lineRule="auto"/>
              <w:ind w:firstLine="0" w:firstLineChars="0"/>
              <w:jc w:val="center"/>
              <w:rPr>
                <w:sz w:val="21"/>
              </w:rPr>
            </w:pPr>
            <w:r>
              <w:rPr>
                <w:rFonts w:hint="eastAsia"/>
                <w:kern w:val="24"/>
                <w:sz w:val="21"/>
              </w:rPr>
              <w:t>遵化市堡子店水源地</w:t>
            </w:r>
          </w:p>
        </w:tc>
        <w:tc>
          <w:tcPr>
            <w:tcW w:w="2506"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双向进、出</w:t>
            </w:r>
            <w:r>
              <w:rPr>
                <w:rFonts w:hint="eastAsia"/>
                <w:kern w:val="24"/>
                <w:sz w:val="21"/>
                <w:szCs w:val="21"/>
                <w:lang w:eastAsia="zh-CN"/>
              </w:rPr>
              <w:t>遵化市堡子店水源地</w:t>
            </w:r>
            <w:r>
              <w:rPr>
                <w:rFonts w:ascii="Times New Roman" w:cs="Times New Roman"/>
                <w:kern w:val="2"/>
                <w:sz w:val="21"/>
                <w:szCs w:val="21"/>
                <w:lang w:eastAsia="zh-CN"/>
              </w:rPr>
              <w:t>路段设置</w:t>
            </w:r>
            <w:r>
              <w:rPr>
                <w:rFonts w:ascii="Times New Roman" w:hAnsi="Times New Roman" w:cs="Times New Roman"/>
                <w:kern w:val="2"/>
                <w:sz w:val="21"/>
                <w:szCs w:val="21"/>
                <w:lang w:eastAsia="zh-CN"/>
              </w:rPr>
              <w:t>“</w:t>
            </w:r>
            <w:r>
              <w:rPr>
                <w:rFonts w:ascii="Times New Roman" w:cs="Times New Roman"/>
                <w:kern w:val="2"/>
                <w:sz w:val="21"/>
                <w:szCs w:val="21"/>
                <w:lang w:eastAsia="zh-CN"/>
              </w:rPr>
              <w:t>驶入、驶出</w:t>
            </w:r>
            <w:r>
              <w:rPr>
                <w:rFonts w:ascii="Times New Roman" w:hAnsi="Times New Roman" w:cs="Times New Roman"/>
                <w:kern w:val="2"/>
                <w:sz w:val="21"/>
                <w:szCs w:val="21"/>
                <w:lang w:eastAsia="zh-CN"/>
              </w:rPr>
              <w:t>”</w:t>
            </w:r>
            <w:r>
              <w:rPr>
                <w:rFonts w:ascii="Times New Roman" w:cs="Times New Roman"/>
                <w:kern w:val="2"/>
                <w:sz w:val="21"/>
                <w:szCs w:val="21"/>
                <w:lang w:eastAsia="zh-CN"/>
              </w:rPr>
              <w:t>标识</w:t>
            </w:r>
          </w:p>
        </w:tc>
        <w:tc>
          <w:tcPr>
            <w:tcW w:w="417"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0.4</w:t>
            </w:r>
          </w:p>
        </w:tc>
        <w:tc>
          <w:tcPr>
            <w:tcW w:w="854" w:type="pct"/>
            <w:vMerge w:val="restart"/>
            <w:vAlign w:val="center"/>
          </w:tcPr>
          <w:p>
            <w:pPr>
              <w:spacing w:line="240" w:lineRule="auto"/>
              <w:ind w:firstLine="0" w:firstLineChars="0"/>
              <w:jc w:val="center"/>
              <w:rPr>
                <w:sz w:val="21"/>
                <w:szCs w:val="22"/>
                <w:highlight w:val="yellow"/>
              </w:rPr>
            </w:pPr>
            <w:r>
              <w:rPr>
                <w:rFonts w:hint="eastAsia"/>
                <w:kern w:val="24"/>
                <w:sz w:val="21"/>
              </w:rPr>
              <w:t>遵化市堡子店水源地</w:t>
            </w:r>
            <w:r>
              <w:rPr>
                <w:rFonts w:hint="eastAsia" w:hAnsi="宋体"/>
                <w:sz w:val="21"/>
                <w:szCs w:val="22"/>
              </w:rPr>
              <w:t>水质</w:t>
            </w:r>
            <w:r>
              <w:rPr>
                <w:rFonts w:hAnsi="宋体"/>
                <w:sz w:val="21"/>
                <w:szCs w:val="22"/>
              </w:rPr>
              <w:t>保护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rPr>
            </w:pPr>
          </w:p>
        </w:tc>
        <w:tc>
          <w:tcPr>
            <w:tcW w:w="450" w:type="pct"/>
            <w:vMerge w:val="continue"/>
            <w:vAlign w:val="center"/>
          </w:tcPr>
          <w:p>
            <w:pPr>
              <w:spacing w:line="240" w:lineRule="auto"/>
              <w:ind w:firstLine="0" w:firstLineChars="0"/>
              <w:jc w:val="center"/>
              <w:rPr>
                <w:kern w:val="24"/>
                <w:sz w:val="21"/>
              </w:rPr>
            </w:pPr>
          </w:p>
        </w:tc>
        <w:tc>
          <w:tcPr>
            <w:tcW w:w="2506" w:type="pct"/>
            <w:vAlign w:val="center"/>
          </w:tcPr>
          <w:p>
            <w:pPr>
              <w:pStyle w:val="675"/>
              <w:jc w:val="center"/>
              <w:rPr>
                <w:rFonts w:ascii="Times New Roman" w:cs="Times New Roman"/>
                <w:kern w:val="2"/>
                <w:sz w:val="21"/>
                <w:szCs w:val="21"/>
                <w:lang w:eastAsia="zh-CN"/>
              </w:rPr>
            </w:pPr>
            <w:r>
              <w:rPr>
                <w:rFonts w:hint="eastAsia" w:ascii="Times New Roman" w:cs="Times New Roman"/>
                <w:kern w:val="2"/>
                <w:sz w:val="21"/>
                <w:szCs w:val="21"/>
                <w:lang w:eastAsia="zh-CN"/>
              </w:rPr>
              <w:t>穿越水源地二级保护区设置事故油池1</w:t>
            </w:r>
            <w:r>
              <w:rPr>
                <w:rFonts w:ascii="Times New Roman" w:cs="Times New Roman"/>
                <w:kern w:val="2"/>
                <w:sz w:val="21"/>
                <w:szCs w:val="21"/>
                <w:lang w:eastAsia="zh-CN"/>
              </w:rPr>
              <w:t>0</w:t>
            </w:r>
            <w:r>
              <w:rPr>
                <w:rFonts w:hint="eastAsia" w:ascii="Times New Roman" w:cs="Times New Roman"/>
                <w:kern w:val="2"/>
                <w:sz w:val="21"/>
                <w:szCs w:val="21"/>
                <w:lang w:eastAsia="zh-CN"/>
              </w:rPr>
              <w:t>座，容积分别为7</w:t>
            </w:r>
            <w:r>
              <w:rPr>
                <w:rFonts w:ascii="Times New Roman" w:cs="Times New Roman"/>
                <w:kern w:val="2"/>
                <w:sz w:val="21"/>
                <w:szCs w:val="21"/>
                <w:lang w:eastAsia="zh-CN"/>
              </w:rPr>
              <w:t>26</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p>
        </w:tc>
        <w:tc>
          <w:tcPr>
            <w:tcW w:w="417"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1</w:t>
            </w:r>
            <w:r>
              <w:rPr>
                <w:rFonts w:ascii="Times New Roman" w:hAnsi="Times New Roman" w:cs="Times New Roman"/>
                <w:kern w:val="2"/>
                <w:sz w:val="21"/>
                <w:szCs w:val="21"/>
                <w:lang w:eastAsia="zh-CN"/>
              </w:rPr>
              <w:t>0</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157.14</w:t>
            </w:r>
          </w:p>
        </w:tc>
        <w:tc>
          <w:tcPr>
            <w:tcW w:w="854" w:type="pct"/>
            <w:vMerge w:val="continue"/>
            <w:vAlign w:val="center"/>
          </w:tcPr>
          <w:p>
            <w:pPr>
              <w:spacing w:line="240" w:lineRule="auto"/>
              <w:ind w:firstLine="0" w:firstLineChars="0"/>
              <w:jc w:val="center"/>
              <w:rPr>
                <w:kern w:val="24"/>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rPr>
            </w:pPr>
          </w:p>
        </w:tc>
        <w:tc>
          <w:tcPr>
            <w:tcW w:w="450" w:type="pct"/>
            <w:vMerge w:val="continue"/>
            <w:vAlign w:val="center"/>
          </w:tcPr>
          <w:p>
            <w:pPr>
              <w:spacing w:line="240" w:lineRule="auto"/>
              <w:ind w:firstLine="0" w:firstLineChars="0"/>
              <w:jc w:val="center"/>
              <w:rPr>
                <w:sz w:val="21"/>
                <w:szCs w:val="22"/>
              </w:rPr>
            </w:pPr>
          </w:p>
        </w:tc>
        <w:tc>
          <w:tcPr>
            <w:tcW w:w="2506"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设置减速等标识设施</w:t>
            </w:r>
          </w:p>
        </w:tc>
        <w:tc>
          <w:tcPr>
            <w:tcW w:w="417"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2</w:t>
            </w:r>
          </w:p>
        </w:tc>
        <w:tc>
          <w:tcPr>
            <w:tcW w:w="505"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0.4</w:t>
            </w:r>
          </w:p>
        </w:tc>
        <w:tc>
          <w:tcPr>
            <w:tcW w:w="854" w:type="pct"/>
            <w:vMerge w:val="continue"/>
            <w:vAlign w:val="center"/>
          </w:tcPr>
          <w:p>
            <w:pPr>
              <w:spacing w:line="240" w:lineRule="auto"/>
              <w:ind w:firstLine="0" w:firstLineChars="0"/>
              <w:jc w:val="center"/>
              <w:rPr>
                <w:sz w:val="21"/>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restart"/>
            <w:vAlign w:val="center"/>
          </w:tcPr>
          <w:p>
            <w:pPr>
              <w:spacing w:line="240" w:lineRule="auto"/>
              <w:ind w:firstLine="0" w:firstLineChars="0"/>
              <w:jc w:val="center"/>
              <w:rPr>
                <w:sz w:val="21"/>
                <w:szCs w:val="22"/>
              </w:rPr>
            </w:pPr>
            <w:r>
              <w:rPr>
                <w:rFonts w:hint="eastAsia"/>
                <w:sz w:val="21"/>
                <w:szCs w:val="22"/>
              </w:rPr>
              <w:t>5</w:t>
            </w:r>
          </w:p>
        </w:tc>
        <w:tc>
          <w:tcPr>
            <w:tcW w:w="2956" w:type="pct"/>
            <w:gridSpan w:val="2"/>
            <w:vAlign w:val="center"/>
          </w:tcPr>
          <w:p>
            <w:pPr>
              <w:pStyle w:val="675"/>
              <w:jc w:val="center"/>
              <w:rPr>
                <w:kern w:val="2"/>
                <w:sz w:val="21"/>
                <w:szCs w:val="21"/>
                <w:lang w:eastAsia="zh-CN"/>
              </w:rPr>
            </w:pPr>
            <w:r>
              <w:rPr>
                <w:kern w:val="2"/>
                <w:sz w:val="21"/>
                <w:szCs w:val="21"/>
                <w:lang w:eastAsia="zh-CN"/>
              </w:rPr>
              <w:t>安全警示标牌、限速标志等</w:t>
            </w:r>
          </w:p>
        </w:tc>
        <w:tc>
          <w:tcPr>
            <w:tcW w:w="417"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若干</w:t>
            </w:r>
          </w:p>
        </w:tc>
        <w:tc>
          <w:tcPr>
            <w:tcW w:w="505"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10</w:t>
            </w:r>
          </w:p>
        </w:tc>
        <w:tc>
          <w:tcPr>
            <w:tcW w:w="854" w:type="pct"/>
            <w:vAlign w:val="center"/>
          </w:tcPr>
          <w:p>
            <w:pPr>
              <w:spacing w:line="240" w:lineRule="auto"/>
              <w:ind w:firstLine="0" w:firstLineChars="0"/>
              <w:jc w:val="center"/>
              <w:rPr>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Merge w:val="continue"/>
            <w:vAlign w:val="center"/>
          </w:tcPr>
          <w:p>
            <w:pPr>
              <w:spacing w:line="240" w:lineRule="auto"/>
              <w:ind w:firstLine="0" w:firstLineChars="0"/>
              <w:jc w:val="center"/>
              <w:rPr>
                <w:sz w:val="21"/>
                <w:szCs w:val="22"/>
              </w:rPr>
            </w:pPr>
          </w:p>
        </w:tc>
        <w:tc>
          <w:tcPr>
            <w:tcW w:w="2956" w:type="pct"/>
            <w:gridSpan w:val="2"/>
            <w:vAlign w:val="center"/>
          </w:tcPr>
          <w:p>
            <w:pPr>
              <w:pStyle w:val="675"/>
              <w:jc w:val="center"/>
              <w:rPr>
                <w:kern w:val="2"/>
                <w:sz w:val="21"/>
                <w:szCs w:val="21"/>
                <w:lang w:eastAsia="zh-CN"/>
              </w:rPr>
            </w:pPr>
            <w:r>
              <w:rPr>
                <w:kern w:val="2"/>
                <w:sz w:val="21"/>
                <w:szCs w:val="21"/>
                <w:lang w:eastAsia="zh-CN"/>
              </w:rPr>
              <w:t>制定风险事故应急预案</w:t>
            </w:r>
          </w:p>
        </w:tc>
        <w:tc>
          <w:tcPr>
            <w:tcW w:w="417"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w:t>
            </w:r>
          </w:p>
        </w:tc>
        <w:tc>
          <w:tcPr>
            <w:tcW w:w="505"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5</w:t>
            </w:r>
          </w:p>
        </w:tc>
        <w:tc>
          <w:tcPr>
            <w:tcW w:w="854" w:type="pct"/>
            <w:vAlign w:val="center"/>
          </w:tcPr>
          <w:p>
            <w:pPr>
              <w:spacing w:line="240" w:lineRule="auto"/>
              <w:ind w:firstLine="0" w:firstLineChars="0"/>
              <w:jc w:val="center"/>
              <w:rPr>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8" w:type="pct"/>
            <w:vAlign w:val="center"/>
          </w:tcPr>
          <w:p>
            <w:pPr>
              <w:spacing w:line="240" w:lineRule="auto"/>
              <w:ind w:firstLine="0" w:firstLineChars="0"/>
              <w:jc w:val="center"/>
              <w:rPr>
                <w:sz w:val="21"/>
                <w:szCs w:val="22"/>
              </w:rPr>
            </w:pPr>
            <w:r>
              <w:rPr>
                <w:rFonts w:hint="eastAsia"/>
                <w:sz w:val="21"/>
                <w:szCs w:val="22"/>
              </w:rPr>
              <w:t>6</w:t>
            </w:r>
          </w:p>
        </w:tc>
        <w:tc>
          <w:tcPr>
            <w:tcW w:w="2956" w:type="pct"/>
            <w:gridSpan w:val="2"/>
            <w:vAlign w:val="center"/>
          </w:tcPr>
          <w:p>
            <w:pPr>
              <w:pStyle w:val="675"/>
              <w:jc w:val="center"/>
              <w:rPr>
                <w:kern w:val="2"/>
                <w:sz w:val="21"/>
                <w:szCs w:val="21"/>
                <w:lang w:eastAsia="zh-CN"/>
              </w:rPr>
            </w:pPr>
            <w:r>
              <w:rPr>
                <w:kern w:val="2"/>
                <w:sz w:val="21"/>
                <w:szCs w:val="21"/>
                <w:lang w:eastAsia="zh-CN"/>
              </w:rPr>
              <w:t>公路上行驶车辆洒落的固体废物，由专职的公路环卫工人定期清理</w:t>
            </w:r>
          </w:p>
        </w:tc>
        <w:tc>
          <w:tcPr>
            <w:tcW w:w="417"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w:t>
            </w:r>
          </w:p>
        </w:tc>
        <w:tc>
          <w:tcPr>
            <w:tcW w:w="505"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4.2</w:t>
            </w:r>
          </w:p>
        </w:tc>
        <w:tc>
          <w:tcPr>
            <w:tcW w:w="854" w:type="pct"/>
            <w:vAlign w:val="center"/>
          </w:tcPr>
          <w:p>
            <w:pPr>
              <w:spacing w:line="240" w:lineRule="auto"/>
              <w:ind w:firstLine="0" w:firstLineChars="0"/>
              <w:jc w:val="center"/>
              <w:rPr>
                <w:sz w:val="21"/>
                <w:szCs w:val="2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18" w:type="pct"/>
            <w:gridSpan w:val="2"/>
            <w:vAlign w:val="center"/>
          </w:tcPr>
          <w:p>
            <w:pPr>
              <w:spacing w:line="240" w:lineRule="auto"/>
              <w:ind w:firstLine="0" w:firstLineChars="0"/>
              <w:jc w:val="center"/>
              <w:rPr>
                <w:sz w:val="21"/>
                <w:szCs w:val="22"/>
              </w:rPr>
            </w:pPr>
            <w:r>
              <w:rPr>
                <w:rFonts w:hint="eastAsia"/>
                <w:sz w:val="21"/>
                <w:szCs w:val="22"/>
              </w:rPr>
              <w:t>合计</w:t>
            </w:r>
          </w:p>
        </w:tc>
        <w:tc>
          <w:tcPr>
            <w:tcW w:w="2506" w:type="pct"/>
            <w:vAlign w:val="center"/>
          </w:tcPr>
          <w:p>
            <w:pPr>
              <w:pStyle w:val="675"/>
              <w:jc w:val="center"/>
              <w:rPr>
                <w:rFonts w:ascii="Times New Roman" w:cs="Times New Roman"/>
                <w:kern w:val="2"/>
                <w:sz w:val="21"/>
                <w:szCs w:val="21"/>
                <w:lang w:eastAsia="zh-CN"/>
              </w:rPr>
            </w:pPr>
            <w:r>
              <w:rPr>
                <w:rFonts w:hint="eastAsia" w:ascii="Times New Roman" w:cs="Times New Roman"/>
                <w:kern w:val="2"/>
                <w:sz w:val="21"/>
                <w:szCs w:val="21"/>
                <w:lang w:eastAsia="zh-CN"/>
              </w:rPr>
              <w:t>/</w:t>
            </w:r>
          </w:p>
        </w:tc>
        <w:tc>
          <w:tcPr>
            <w:tcW w:w="417"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w:t>
            </w:r>
          </w:p>
        </w:tc>
        <w:tc>
          <w:tcPr>
            <w:tcW w:w="505"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718.1</w:t>
            </w:r>
          </w:p>
        </w:tc>
        <w:tc>
          <w:tcPr>
            <w:tcW w:w="854" w:type="pct"/>
            <w:vAlign w:val="center"/>
          </w:tcPr>
          <w:p>
            <w:pPr>
              <w:spacing w:line="240" w:lineRule="auto"/>
              <w:ind w:firstLine="0" w:firstLineChars="0"/>
              <w:jc w:val="center"/>
              <w:rPr>
                <w:sz w:val="21"/>
                <w:szCs w:val="22"/>
              </w:rPr>
            </w:pPr>
            <w:r>
              <w:rPr>
                <w:rFonts w:hint="eastAsia"/>
                <w:sz w:val="21"/>
                <w:szCs w:val="22"/>
              </w:rPr>
              <w:t>/</w:t>
            </w:r>
          </w:p>
        </w:tc>
      </w:tr>
    </w:tbl>
    <w:p>
      <w:pPr>
        <w:pStyle w:val="204"/>
        <w:spacing w:line="480" w:lineRule="exact"/>
        <w:ind w:firstLine="0" w:firstLineChars="0"/>
        <w:outlineLvl w:val="2"/>
        <w:rPr>
          <w:b/>
          <w:sz w:val="28"/>
          <w:szCs w:val="28"/>
        </w:rPr>
      </w:pPr>
      <w:r>
        <w:rPr>
          <w:rFonts w:hint="eastAsia"/>
          <w:b/>
          <w:sz w:val="28"/>
          <w:szCs w:val="28"/>
        </w:rPr>
        <w:t>8.1.3营运期环保措施费用估算</w:t>
      </w:r>
    </w:p>
    <w:p>
      <w:pPr>
        <w:ind w:firstLine="480"/>
      </w:pPr>
      <w:r>
        <w:t>项目营运期环保管理及费用估算见表</w:t>
      </w:r>
      <w:r>
        <w:rPr>
          <w:rFonts w:hint="eastAsia"/>
        </w:rPr>
        <w:t>8.1-3</w:t>
      </w:r>
      <w:r>
        <w:t>。</w:t>
      </w:r>
    </w:p>
    <w:p>
      <w:pPr>
        <w:adjustRightInd w:val="0"/>
        <w:snapToGrid w:val="0"/>
        <w:ind w:firstLine="0" w:firstLineChars="0"/>
        <w:jc w:val="center"/>
        <w:rPr>
          <w:b/>
          <w:sz w:val="21"/>
        </w:rPr>
      </w:pPr>
      <w:r>
        <w:rPr>
          <w:b/>
          <w:sz w:val="21"/>
        </w:rPr>
        <w:t>表</w:t>
      </w:r>
      <w:r>
        <w:rPr>
          <w:rFonts w:hint="eastAsia"/>
          <w:b/>
          <w:sz w:val="21"/>
        </w:rPr>
        <w:t>8.1-3</w:t>
      </w:r>
      <w:r>
        <w:rPr>
          <w:b/>
          <w:sz w:val="21"/>
        </w:rPr>
        <w:tab/>
      </w:r>
      <w:r>
        <w:rPr>
          <w:b/>
          <w:sz w:val="21"/>
        </w:rPr>
        <w:t>营运期环保管理及费用估算表</w:t>
      </w:r>
    </w:p>
    <w:tbl>
      <w:tblPr>
        <w:tblStyle w:val="52"/>
        <w:tblW w:w="0" w:type="auto"/>
        <w:tblInd w:w="11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6"/>
        <w:gridCol w:w="3952"/>
        <w:gridCol w:w="31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Align w:val="center"/>
          </w:tcPr>
          <w:p>
            <w:pPr>
              <w:pStyle w:val="675"/>
              <w:jc w:val="center"/>
              <w:rPr>
                <w:kern w:val="21"/>
                <w:sz w:val="21"/>
                <w:szCs w:val="21"/>
              </w:rPr>
            </w:pPr>
            <w:r>
              <w:rPr>
                <w:bCs/>
                <w:kern w:val="21"/>
                <w:sz w:val="21"/>
                <w:szCs w:val="21"/>
              </w:rPr>
              <w:t>项目</w:t>
            </w:r>
          </w:p>
        </w:tc>
        <w:tc>
          <w:tcPr>
            <w:tcW w:w="3952" w:type="dxa"/>
            <w:vAlign w:val="center"/>
          </w:tcPr>
          <w:p>
            <w:pPr>
              <w:pStyle w:val="675"/>
              <w:jc w:val="center"/>
              <w:rPr>
                <w:kern w:val="21"/>
                <w:sz w:val="21"/>
                <w:szCs w:val="21"/>
              </w:rPr>
            </w:pPr>
            <w:r>
              <w:rPr>
                <w:bCs/>
                <w:kern w:val="21"/>
                <w:sz w:val="21"/>
                <w:szCs w:val="21"/>
              </w:rPr>
              <w:t>环保工作</w:t>
            </w:r>
          </w:p>
        </w:tc>
        <w:tc>
          <w:tcPr>
            <w:tcW w:w="3171" w:type="dxa"/>
            <w:vAlign w:val="center"/>
          </w:tcPr>
          <w:p>
            <w:pPr>
              <w:pStyle w:val="675"/>
              <w:jc w:val="center"/>
              <w:rPr>
                <w:kern w:val="21"/>
                <w:sz w:val="21"/>
                <w:szCs w:val="21"/>
              </w:rPr>
            </w:pPr>
            <w:r>
              <w:rPr>
                <w:bCs/>
                <w:kern w:val="21"/>
                <w:sz w:val="21"/>
                <w:szCs w:val="21"/>
              </w:rPr>
              <w:t>金额（万元）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Merge w:val="restart"/>
            <w:vAlign w:val="center"/>
          </w:tcPr>
          <w:p>
            <w:pPr>
              <w:pStyle w:val="675"/>
              <w:jc w:val="center"/>
              <w:rPr>
                <w:kern w:val="21"/>
                <w:sz w:val="21"/>
                <w:szCs w:val="21"/>
              </w:rPr>
            </w:pPr>
            <w:r>
              <w:rPr>
                <w:kern w:val="21"/>
                <w:sz w:val="21"/>
                <w:szCs w:val="21"/>
              </w:rPr>
              <w:t>环保管理</w:t>
            </w:r>
          </w:p>
        </w:tc>
        <w:tc>
          <w:tcPr>
            <w:tcW w:w="3952" w:type="dxa"/>
            <w:vAlign w:val="center"/>
          </w:tcPr>
          <w:p>
            <w:pPr>
              <w:pStyle w:val="675"/>
              <w:jc w:val="center"/>
              <w:rPr>
                <w:kern w:val="21"/>
                <w:sz w:val="21"/>
                <w:szCs w:val="21"/>
              </w:rPr>
            </w:pPr>
            <w:r>
              <w:rPr>
                <w:kern w:val="21"/>
                <w:sz w:val="21"/>
                <w:szCs w:val="21"/>
              </w:rPr>
              <w:t>日常环保工作管理</w:t>
            </w:r>
          </w:p>
        </w:tc>
        <w:tc>
          <w:tcPr>
            <w:tcW w:w="3171" w:type="dxa"/>
            <w:vAlign w:val="center"/>
          </w:tcPr>
          <w:p>
            <w:pPr>
              <w:pStyle w:val="675"/>
              <w:jc w:val="center"/>
              <w:rPr>
                <w:rFonts w:ascii="Times New Roman" w:hAnsi="Times New Roman" w:eastAsia="Times New Roman" w:cs="Times New Roman"/>
                <w:kern w:val="21"/>
                <w:sz w:val="21"/>
                <w:szCs w:val="21"/>
                <w:lang w:eastAsia="zh-CN"/>
              </w:rPr>
            </w:pPr>
            <w:r>
              <w:rPr>
                <w:rFonts w:hint="eastAsia" w:ascii="Times New Roman"/>
                <w:kern w:val="21"/>
                <w:sz w:val="21"/>
                <w:lang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Merge w:val="continue"/>
            <w:vAlign w:val="center"/>
          </w:tcPr>
          <w:p>
            <w:pPr>
              <w:spacing w:line="240" w:lineRule="auto"/>
              <w:ind w:firstLine="0" w:firstLineChars="0"/>
              <w:jc w:val="center"/>
              <w:rPr>
                <w:kern w:val="21"/>
                <w:szCs w:val="22"/>
                <w:lang w:eastAsia="en-US"/>
              </w:rPr>
            </w:pPr>
          </w:p>
        </w:tc>
        <w:tc>
          <w:tcPr>
            <w:tcW w:w="3952" w:type="dxa"/>
            <w:vAlign w:val="center"/>
          </w:tcPr>
          <w:p>
            <w:pPr>
              <w:pStyle w:val="675"/>
              <w:jc w:val="center"/>
              <w:rPr>
                <w:kern w:val="21"/>
                <w:sz w:val="21"/>
                <w:szCs w:val="21"/>
              </w:rPr>
            </w:pPr>
            <w:r>
              <w:rPr>
                <w:kern w:val="21"/>
                <w:sz w:val="21"/>
                <w:szCs w:val="21"/>
              </w:rPr>
              <w:t>环保工程维护</w:t>
            </w:r>
          </w:p>
        </w:tc>
        <w:tc>
          <w:tcPr>
            <w:tcW w:w="3171" w:type="dxa"/>
            <w:vAlign w:val="center"/>
          </w:tcPr>
          <w:p>
            <w:pPr>
              <w:pStyle w:val="675"/>
              <w:jc w:val="center"/>
              <w:rPr>
                <w:rFonts w:ascii="Times New Roman" w:hAnsi="Times New Roman" w:eastAsia="Times New Roman" w:cs="Times New Roman"/>
                <w:kern w:val="21"/>
                <w:sz w:val="21"/>
                <w:szCs w:val="21"/>
                <w:lang w:eastAsia="zh-CN"/>
              </w:rPr>
            </w:pPr>
            <w:r>
              <w:rPr>
                <w:rFonts w:hint="eastAsia" w:ascii="Times New Roman"/>
                <w:kern w:val="21"/>
                <w:sz w:val="21"/>
                <w:lang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Align w:val="center"/>
          </w:tcPr>
          <w:p>
            <w:pPr>
              <w:pStyle w:val="675"/>
              <w:jc w:val="center"/>
              <w:rPr>
                <w:kern w:val="21"/>
                <w:sz w:val="21"/>
                <w:szCs w:val="21"/>
              </w:rPr>
            </w:pPr>
            <w:r>
              <w:rPr>
                <w:kern w:val="21"/>
                <w:sz w:val="21"/>
                <w:szCs w:val="21"/>
              </w:rPr>
              <w:t>环保工程</w:t>
            </w:r>
          </w:p>
        </w:tc>
        <w:tc>
          <w:tcPr>
            <w:tcW w:w="3952" w:type="dxa"/>
            <w:vAlign w:val="center"/>
          </w:tcPr>
          <w:p>
            <w:pPr>
              <w:pStyle w:val="675"/>
              <w:jc w:val="center"/>
              <w:rPr>
                <w:kern w:val="21"/>
                <w:sz w:val="21"/>
                <w:szCs w:val="21"/>
                <w:lang w:eastAsia="zh-CN"/>
              </w:rPr>
            </w:pPr>
            <w:r>
              <w:rPr>
                <w:kern w:val="21"/>
                <w:sz w:val="21"/>
                <w:szCs w:val="21"/>
                <w:lang w:eastAsia="zh-CN"/>
              </w:rPr>
              <w:t>营运后期环保工程（预留补充费用）</w:t>
            </w:r>
          </w:p>
        </w:tc>
        <w:tc>
          <w:tcPr>
            <w:tcW w:w="3171" w:type="dxa"/>
            <w:vAlign w:val="center"/>
          </w:tcPr>
          <w:p>
            <w:pPr>
              <w:pStyle w:val="675"/>
              <w:jc w:val="center"/>
              <w:rPr>
                <w:kern w:val="21"/>
                <w:sz w:val="21"/>
                <w:szCs w:val="21"/>
                <w:lang w:eastAsia="zh-CN"/>
              </w:rPr>
            </w:pPr>
            <w:r>
              <w:rPr>
                <w:rFonts w:hint="eastAsia" w:ascii="Times New Roman" w:hAnsi="Times New Roman" w:cs="Times New Roman"/>
                <w:kern w:val="21"/>
                <w:sz w:val="21"/>
                <w:szCs w:val="21"/>
                <w:lang w:eastAsia="zh-CN"/>
              </w:rPr>
              <w:t>250</w:t>
            </w:r>
            <w:r>
              <w:rPr>
                <w:kern w:val="21"/>
                <w:sz w:val="21"/>
                <w:szCs w:val="21"/>
                <w:lang w:eastAsia="zh-CN"/>
              </w:rPr>
              <w:t>（其中降噪措施预留</w:t>
            </w:r>
            <w:r>
              <w:rPr>
                <w:rFonts w:hint="eastAsia" w:ascii="Times New Roman" w:hAnsi="Times New Roman" w:cs="Times New Roman" w:eastAsiaTheme="minorEastAsia"/>
                <w:kern w:val="21"/>
                <w:sz w:val="21"/>
                <w:szCs w:val="21"/>
                <w:lang w:eastAsia="zh-CN"/>
              </w:rPr>
              <w:t>200</w:t>
            </w:r>
            <w:r>
              <w:rPr>
                <w:kern w:val="21"/>
                <w:sz w:val="21"/>
                <w:szCs w:val="21"/>
                <w:lang w:eastAsia="zh-CN"/>
              </w:rPr>
              <w:t>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Align w:val="center"/>
          </w:tcPr>
          <w:p>
            <w:pPr>
              <w:pStyle w:val="675"/>
              <w:jc w:val="center"/>
              <w:rPr>
                <w:kern w:val="21"/>
                <w:sz w:val="21"/>
                <w:szCs w:val="21"/>
              </w:rPr>
            </w:pPr>
            <w:r>
              <w:rPr>
                <w:kern w:val="21"/>
                <w:sz w:val="21"/>
                <w:szCs w:val="21"/>
              </w:rPr>
              <w:t>环境监测</w:t>
            </w:r>
          </w:p>
        </w:tc>
        <w:tc>
          <w:tcPr>
            <w:tcW w:w="3952" w:type="dxa"/>
            <w:vAlign w:val="center"/>
          </w:tcPr>
          <w:p>
            <w:pPr>
              <w:pStyle w:val="675"/>
              <w:jc w:val="center"/>
              <w:rPr>
                <w:kern w:val="21"/>
                <w:sz w:val="21"/>
                <w:szCs w:val="21"/>
                <w:lang w:eastAsia="zh-CN"/>
              </w:rPr>
            </w:pPr>
            <w:r>
              <w:rPr>
                <w:kern w:val="21"/>
                <w:sz w:val="21"/>
                <w:szCs w:val="21"/>
                <w:lang w:eastAsia="zh-CN"/>
              </w:rPr>
              <w:t>声环境</w:t>
            </w:r>
          </w:p>
        </w:tc>
        <w:tc>
          <w:tcPr>
            <w:tcW w:w="3171" w:type="dxa"/>
            <w:vAlign w:val="center"/>
          </w:tcPr>
          <w:p>
            <w:pPr>
              <w:pStyle w:val="675"/>
              <w:jc w:val="center"/>
              <w:rPr>
                <w:rFonts w:ascii="Times New Roman" w:hAnsi="Times New Roman" w:eastAsia="Times New Roman" w:cs="Times New Roman"/>
                <w:kern w:val="21"/>
                <w:sz w:val="21"/>
                <w:szCs w:val="21"/>
                <w:lang w:eastAsia="zh-CN"/>
              </w:rPr>
            </w:pPr>
            <w:r>
              <w:rPr>
                <w:rFonts w:hint="eastAsia" w:ascii="Times New Roman"/>
                <w:kern w:val="21"/>
                <w:sz w:val="21"/>
                <w:lang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Align w:val="center"/>
          </w:tcPr>
          <w:p>
            <w:pPr>
              <w:pStyle w:val="675"/>
              <w:jc w:val="center"/>
              <w:rPr>
                <w:kern w:val="21"/>
                <w:sz w:val="21"/>
                <w:szCs w:val="21"/>
              </w:rPr>
            </w:pPr>
            <w:r>
              <w:rPr>
                <w:kern w:val="21"/>
                <w:sz w:val="21"/>
                <w:szCs w:val="21"/>
              </w:rPr>
              <w:t>人员培训费</w:t>
            </w:r>
          </w:p>
        </w:tc>
        <w:tc>
          <w:tcPr>
            <w:tcW w:w="3952" w:type="dxa"/>
            <w:vAlign w:val="center"/>
          </w:tcPr>
          <w:p>
            <w:pPr>
              <w:spacing w:line="240" w:lineRule="auto"/>
              <w:ind w:firstLine="0" w:firstLineChars="0"/>
              <w:jc w:val="center"/>
              <w:rPr>
                <w:kern w:val="21"/>
                <w:szCs w:val="22"/>
                <w:lang w:eastAsia="en-US"/>
              </w:rPr>
            </w:pPr>
          </w:p>
        </w:tc>
        <w:tc>
          <w:tcPr>
            <w:tcW w:w="3171" w:type="dxa"/>
            <w:vAlign w:val="center"/>
          </w:tcPr>
          <w:p>
            <w:pPr>
              <w:pStyle w:val="675"/>
              <w:jc w:val="center"/>
              <w:rPr>
                <w:rFonts w:ascii="Times New Roman" w:hAnsi="Times New Roman" w:eastAsia="Times New Roman" w:cs="Times New Roman"/>
                <w:kern w:val="21"/>
                <w:sz w:val="21"/>
                <w:szCs w:val="21"/>
                <w:lang w:eastAsia="zh-CN"/>
              </w:rPr>
            </w:pPr>
            <w:r>
              <w:rPr>
                <w:rFonts w:hint="eastAsia" w:ascii="Times New Roman"/>
                <w:kern w:val="21"/>
                <w:sz w:val="21"/>
                <w:lang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406" w:type="dxa"/>
            <w:vAlign w:val="center"/>
          </w:tcPr>
          <w:p>
            <w:pPr>
              <w:pStyle w:val="675"/>
              <w:jc w:val="center"/>
              <w:rPr>
                <w:kern w:val="21"/>
                <w:sz w:val="21"/>
                <w:szCs w:val="21"/>
              </w:rPr>
            </w:pPr>
            <w:r>
              <w:rPr>
                <w:kern w:val="21"/>
                <w:sz w:val="21"/>
                <w:szCs w:val="21"/>
              </w:rPr>
              <w:t>合计</w:t>
            </w:r>
          </w:p>
        </w:tc>
        <w:tc>
          <w:tcPr>
            <w:tcW w:w="3952" w:type="dxa"/>
            <w:vAlign w:val="center"/>
          </w:tcPr>
          <w:p>
            <w:pPr>
              <w:pStyle w:val="675"/>
              <w:jc w:val="center"/>
              <w:rPr>
                <w:kern w:val="21"/>
                <w:sz w:val="21"/>
                <w:szCs w:val="21"/>
              </w:rPr>
            </w:pPr>
            <w:r>
              <w:rPr>
                <w:kern w:val="21"/>
                <w:sz w:val="21"/>
                <w:szCs w:val="21"/>
              </w:rPr>
              <w:t>营运期</w:t>
            </w:r>
            <w:r>
              <w:rPr>
                <w:rFonts w:ascii="Times New Roman" w:hAnsi="Times New Roman" w:eastAsia="Times New Roman" w:cs="Times New Roman"/>
                <w:kern w:val="21"/>
                <w:sz w:val="21"/>
                <w:szCs w:val="21"/>
              </w:rPr>
              <w:t>20</w:t>
            </w:r>
            <w:r>
              <w:rPr>
                <w:kern w:val="21"/>
                <w:sz w:val="21"/>
                <w:szCs w:val="21"/>
              </w:rPr>
              <w:t>年</w:t>
            </w:r>
          </w:p>
        </w:tc>
        <w:tc>
          <w:tcPr>
            <w:tcW w:w="3171" w:type="dxa"/>
            <w:vAlign w:val="center"/>
          </w:tcPr>
          <w:p>
            <w:pPr>
              <w:pStyle w:val="675"/>
              <w:jc w:val="center"/>
              <w:rPr>
                <w:rFonts w:ascii="Times New Roman" w:hAnsi="Times New Roman" w:eastAsia="Times New Roman" w:cs="Times New Roman"/>
                <w:kern w:val="21"/>
                <w:sz w:val="21"/>
                <w:szCs w:val="21"/>
                <w:lang w:eastAsia="zh-CN"/>
              </w:rPr>
            </w:pPr>
            <w:r>
              <w:rPr>
                <w:rFonts w:hint="eastAsia" w:ascii="Times New Roman"/>
                <w:kern w:val="21"/>
                <w:sz w:val="21"/>
                <w:lang w:eastAsia="zh-CN"/>
              </w:rPr>
              <w:t>280</w:t>
            </w:r>
          </w:p>
        </w:tc>
      </w:tr>
    </w:tbl>
    <w:p>
      <w:pPr>
        <w:pStyle w:val="204"/>
        <w:spacing w:line="480" w:lineRule="exact"/>
        <w:ind w:firstLine="0" w:firstLineChars="0"/>
        <w:outlineLvl w:val="2"/>
        <w:rPr>
          <w:b/>
          <w:sz w:val="28"/>
          <w:szCs w:val="28"/>
        </w:rPr>
      </w:pPr>
      <w:r>
        <w:rPr>
          <w:rFonts w:hint="eastAsia"/>
          <w:b/>
          <w:sz w:val="28"/>
          <w:szCs w:val="28"/>
        </w:rPr>
        <w:t>8.1.</w:t>
      </w:r>
      <w:r>
        <w:rPr>
          <w:b/>
          <w:sz w:val="28"/>
          <w:szCs w:val="28"/>
        </w:rPr>
        <w:t>4</w:t>
      </w:r>
      <w:r>
        <w:rPr>
          <w:rFonts w:hint="eastAsia"/>
          <w:b/>
          <w:sz w:val="28"/>
          <w:szCs w:val="28"/>
        </w:rPr>
        <w:t>环境</w:t>
      </w:r>
      <w:r>
        <w:rPr>
          <w:b/>
          <w:sz w:val="28"/>
          <w:szCs w:val="28"/>
        </w:rPr>
        <w:t>投资</w:t>
      </w:r>
      <w:r>
        <w:rPr>
          <w:rFonts w:hint="eastAsia"/>
          <w:b/>
          <w:sz w:val="28"/>
          <w:szCs w:val="28"/>
        </w:rPr>
        <w:t>费用估算</w:t>
      </w:r>
    </w:p>
    <w:p>
      <w:pPr>
        <w:ind w:firstLine="480"/>
      </w:pPr>
      <w:r>
        <w:t>本工程环保费用包括环保工程设计费、环保工程费、施工期环保措施和营运期环保管理费等，估算结果如下：</w:t>
      </w:r>
    </w:p>
    <w:p>
      <w:pPr>
        <w:ind w:firstLine="480"/>
      </w:pPr>
      <w:r>
        <w:rPr>
          <w:rFonts w:hint="eastAsia"/>
        </w:rPr>
        <w:t>（1）</w:t>
      </w:r>
      <w:r>
        <w:t>环保工程费</w:t>
      </w:r>
      <w:r>
        <w:rPr>
          <w:rFonts w:hint="eastAsia"/>
        </w:rPr>
        <w:t>718.1</w:t>
      </w:r>
      <w:r>
        <w:t>万元</w:t>
      </w:r>
    </w:p>
    <w:p>
      <w:pPr>
        <w:ind w:firstLine="480"/>
      </w:pPr>
      <w:r>
        <w:t>（2）施工期环保措施费</w:t>
      </w:r>
      <w:r>
        <w:rPr>
          <w:rFonts w:hint="eastAsia"/>
        </w:rPr>
        <w:t>167</w:t>
      </w:r>
      <w:r>
        <w:t>万元</w:t>
      </w:r>
    </w:p>
    <w:p>
      <w:pPr>
        <w:ind w:firstLine="480"/>
      </w:pPr>
      <w:r>
        <w:t>（3）营运期环保管理费</w:t>
      </w:r>
      <w:r>
        <w:rPr>
          <w:rFonts w:hint="eastAsia"/>
        </w:rPr>
        <w:t>280</w:t>
      </w:r>
      <w:r>
        <w:t>万元</w:t>
      </w:r>
    </w:p>
    <w:p>
      <w:pPr>
        <w:ind w:firstLine="480"/>
      </w:pPr>
      <w:r>
        <w:t>以上环保经费总额约</w:t>
      </w:r>
      <w:r>
        <w:rPr>
          <w:rFonts w:hint="eastAsia"/>
        </w:rPr>
        <w:t>1165.1</w:t>
      </w:r>
      <w:r>
        <w:t>万元，工程总投资</w:t>
      </w:r>
      <w:r>
        <w:rPr>
          <w:rFonts w:hint="eastAsia"/>
        </w:rPr>
        <w:t>70900万</w:t>
      </w:r>
      <w:r>
        <w:t>元</w:t>
      </w:r>
      <w:r>
        <w:rPr>
          <w:rFonts w:hint="eastAsia"/>
        </w:rPr>
        <w:t>，环保投资占总投资</w:t>
      </w:r>
      <w:r>
        <w:t>的1.</w:t>
      </w:r>
      <w:r>
        <w:rPr>
          <w:rFonts w:hint="eastAsia"/>
        </w:rPr>
        <w:t>64</w:t>
      </w:r>
      <w:r>
        <w:t>%。</w:t>
      </w:r>
    </w:p>
    <w:p>
      <w:pPr>
        <w:pStyle w:val="5"/>
        <w:spacing w:beforeLines="0" w:afterLines="0"/>
      </w:pPr>
      <w:bookmarkStart w:id="115" w:name="_Toc141284089"/>
      <w:r>
        <w:rPr>
          <w:rFonts w:hint="eastAsia"/>
        </w:rPr>
        <w:t>8</w:t>
      </w:r>
      <w:r>
        <w:t>.2</w:t>
      </w:r>
      <w:r>
        <w:rPr>
          <w:rFonts w:hint="eastAsia"/>
        </w:rPr>
        <w:t>环境影响</w:t>
      </w:r>
      <w:r>
        <w:t>分析</w:t>
      </w:r>
      <w:bookmarkEnd w:id="115"/>
    </w:p>
    <w:p>
      <w:pPr>
        <w:ind w:firstLine="480"/>
      </w:pPr>
      <w:r>
        <w:rPr>
          <w:rFonts w:hint="eastAsia"/>
        </w:rPr>
        <w:t>本项目实施后环境影响预测与环境质量现状对比情况见表</w:t>
      </w:r>
      <w:r>
        <w:t>8.2-1</w:t>
      </w:r>
      <w:r>
        <w:rPr>
          <w:rFonts w:hint="eastAsia"/>
        </w:rPr>
        <w:t>。</w:t>
      </w:r>
    </w:p>
    <w:p>
      <w:pPr>
        <w:adjustRightInd w:val="0"/>
        <w:snapToGrid w:val="0"/>
        <w:ind w:firstLine="0" w:firstLineChars="0"/>
        <w:jc w:val="center"/>
        <w:rPr>
          <w:b/>
          <w:sz w:val="21"/>
        </w:rPr>
      </w:pPr>
      <w:r>
        <w:rPr>
          <w:rFonts w:hint="eastAsia"/>
          <w:b/>
          <w:sz w:val="21"/>
        </w:rPr>
        <w:t>表</w:t>
      </w:r>
      <w:r>
        <w:rPr>
          <w:b/>
          <w:sz w:val="21"/>
        </w:rPr>
        <w:t>8.2</w:t>
      </w:r>
      <w:r>
        <w:rPr>
          <w:rFonts w:hint="eastAsia"/>
          <w:b/>
          <w:sz w:val="21"/>
        </w:rPr>
        <w:t>-1本项目实施后环境质量现状对比情况一览表</w:t>
      </w:r>
    </w:p>
    <w:tbl>
      <w:tblPr>
        <w:tblStyle w:val="5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03"/>
        <w:gridCol w:w="3078"/>
        <w:gridCol w:w="3686"/>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63" w:type="pct"/>
            <w:vAlign w:val="center"/>
          </w:tcPr>
          <w:p>
            <w:pPr>
              <w:spacing w:line="240" w:lineRule="auto"/>
              <w:ind w:firstLine="0" w:firstLineChars="0"/>
              <w:jc w:val="center"/>
              <w:rPr>
                <w:sz w:val="21"/>
              </w:rPr>
            </w:pPr>
            <w:r>
              <w:rPr>
                <w:rFonts w:hint="eastAsia"/>
                <w:sz w:val="21"/>
              </w:rPr>
              <w:t>环境要素</w:t>
            </w:r>
          </w:p>
        </w:tc>
        <w:tc>
          <w:tcPr>
            <w:tcW w:w="1697" w:type="pct"/>
            <w:vAlign w:val="center"/>
          </w:tcPr>
          <w:p>
            <w:pPr>
              <w:spacing w:line="240" w:lineRule="auto"/>
              <w:ind w:firstLine="0" w:firstLineChars="0"/>
              <w:jc w:val="center"/>
              <w:rPr>
                <w:sz w:val="21"/>
              </w:rPr>
            </w:pPr>
            <w:r>
              <w:rPr>
                <w:rFonts w:hint="eastAsia"/>
                <w:sz w:val="21"/>
              </w:rPr>
              <w:t>环境质量现状</w:t>
            </w:r>
          </w:p>
        </w:tc>
        <w:tc>
          <w:tcPr>
            <w:tcW w:w="2032" w:type="pct"/>
            <w:vAlign w:val="center"/>
          </w:tcPr>
          <w:p>
            <w:pPr>
              <w:spacing w:line="240" w:lineRule="auto"/>
              <w:ind w:firstLine="0" w:firstLineChars="0"/>
              <w:jc w:val="center"/>
              <w:rPr>
                <w:sz w:val="21"/>
              </w:rPr>
            </w:pPr>
            <w:r>
              <w:rPr>
                <w:rFonts w:hint="eastAsia"/>
                <w:sz w:val="21"/>
              </w:rPr>
              <w:t>环境影响预测结果</w:t>
            </w:r>
          </w:p>
        </w:tc>
        <w:tc>
          <w:tcPr>
            <w:tcW w:w="608" w:type="pct"/>
            <w:vAlign w:val="center"/>
          </w:tcPr>
          <w:p>
            <w:pPr>
              <w:spacing w:line="240" w:lineRule="auto"/>
              <w:ind w:firstLine="0" w:firstLineChars="0"/>
              <w:jc w:val="center"/>
              <w:rPr>
                <w:sz w:val="21"/>
              </w:rPr>
            </w:pPr>
            <w:r>
              <w:rPr>
                <w:rFonts w:hint="eastAsia"/>
                <w:sz w:val="21"/>
              </w:rPr>
              <w:t>环境功能</w:t>
            </w:r>
          </w:p>
          <w:p>
            <w:pPr>
              <w:spacing w:line="240" w:lineRule="auto"/>
              <w:ind w:firstLine="0" w:firstLineChars="0"/>
              <w:jc w:val="center"/>
              <w:rPr>
                <w:sz w:val="21"/>
              </w:rPr>
            </w:pPr>
            <w:r>
              <w:rPr>
                <w:rFonts w:hint="eastAsia"/>
                <w:sz w:val="21"/>
              </w:rPr>
              <w:t>是否降低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63" w:type="pct"/>
            <w:vAlign w:val="center"/>
          </w:tcPr>
          <w:p>
            <w:pPr>
              <w:spacing w:line="240" w:lineRule="auto"/>
              <w:ind w:firstLine="0" w:firstLineChars="0"/>
              <w:jc w:val="center"/>
              <w:rPr>
                <w:sz w:val="21"/>
              </w:rPr>
            </w:pPr>
            <w:r>
              <w:rPr>
                <w:rFonts w:hint="eastAsia"/>
                <w:sz w:val="21"/>
              </w:rPr>
              <w:t>环境空气</w:t>
            </w:r>
          </w:p>
        </w:tc>
        <w:tc>
          <w:tcPr>
            <w:tcW w:w="1697" w:type="pct"/>
            <w:vAlign w:val="center"/>
          </w:tcPr>
          <w:p>
            <w:pPr>
              <w:spacing w:line="240" w:lineRule="auto"/>
              <w:ind w:firstLine="0" w:firstLineChars="0"/>
              <w:jc w:val="center"/>
              <w:rPr>
                <w:sz w:val="21"/>
              </w:rPr>
            </w:pPr>
            <w:r>
              <w:rPr>
                <w:rFonts w:hint="eastAsia"/>
                <w:sz w:val="21"/>
              </w:rPr>
              <w:t>《环境空气质量标准》（GB3095-2012）二级标准</w:t>
            </w:r>
          </w:p>
        </w:tc>
        <w:tc>
          <w:tcPr>
            <w:tcW w:w="2032" w:type="pct"/>
            <w:vAlign w:val="center"/>
          </w:tcPr>
          <w:p>
            <w:pPr>
              <w:spacing w:line="240" w:lineRule="auto"/>
              <w:ind w:firstLine="0" w:firstLineChars="0"/>
              <w:jc w:val="center"/>
              <w:rPr>
                <w:sz w:val="21"/>
              </w:rPr>
            </w:pPr>
            <w:r>
              <w:rPr>
                <w:rFonts w:hint="eastAsia"/>
                <w:sz w:val="21"/>
              </w:rPr>
              <w:t>运营期汽车尾气和道路扬尘对周围大气环境影响较小</w:t>
            </w:r>
          </w:p>
        </w:tc>
        <w:tc>
          <w:tcPr>
            <w:tcW w:w="608" w:type="pct"/>
            <w:vAlign w:val="center"/>
          </w:tcPr>
          <w:p>
            <w:pPr>
              <w:spacing w:line="240" w:lineRule="auto"/>
              <w:ind w:firstLine="0" w:firstLineChars="0"/>
              <w:jc w:val="center"/>
              <w:rPr>
                <w:sz w:val="21"/>
              </w:rPr>
            </w:pPr>
            <w:r>
              <w:rPr>
                <w:rFonts w:hint="eastAsia"/>
                <w:sz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63" w:type="pct"/>
            <w:vAlign w:val="center"/>
          </w:tcPr>
          <w:p>
            <w:pPr>
              <w:spacing w:line="240" w:lineRule="auto"/>
              <w:ind w:firstLine="0" w:firstLineChars="0"/>
              <w:jc w:val="center"/>
              <w:rPr>
                <w:sz w:val="21"/>
              </w:rPr>
            </w:pPr>
            <w:r>
              <w:rPr>
                <w:rFonts w:hint="eastAsia"/>
                <w:sz w:val="21"/>
              </w:rPr>
              <w:t>地表水</w:t>
            </w:r>
          </w:p>
        </w:tc>
        <w:tc>
          <w:tcPr>
            <w:tcW w:w="1697" w:type="pct"/>
            <w:vAlign w:val="center"/>
          </w:tcPr>
          <w:p>
            <w:pPr>
              <w:spacing w:line="240" w:lineRule="auto"/>
              <w:ind w:firstLine="0" w:firstLineChars="0"/>
              <w:jc w:val="center"/>
              <w:rPr>
                <w:sz w:val="21"/>
              </w:rPr>
            </w:pPr>
            <w:r>
              <w:rPr>
                <w:rFonts w:hint="eastAsia"/>
                <w:sz w:val="21"/>
              </w:rPr>
              <w:t>《地表水环境质量标准》（GB3838-2002）</w:t>
            </w:r>
            <w:r>
              <w:rPr>
                <w:rFonts w:hint="eastAsia" w:ascii="宋体" w:hAnsi="宋体"/>
                <w:sz w:val="21"/>
              </w:rPr>
              <w:t>Ⅲ</w:t>
            </w:r>
            <w:r>
              <w:rPr>
                <w:rFonts w:hint="eastAsia"/>
                <w:sz w:val="21"/>
              </w:rPr>
              <w:t>类标准</w:t>
            </w:r>
          </w:p>
        </w:tc>
        <w:tc>
          <w:tcPr>
            <w:tcW w:w="2032" w:type="pct"/>
            <w:vAlign w:val="center"/>
          </w:tcPr>
          <w:p>
            <w:pPr>
              <w:spacing w:line="240" w:lineRule="auto"/>
              <w:ind w:firstLine="0" w:firstLineChars="0"/>
              <w:jc w:val="center"/>
              <w:rPr>
                <w:sz w:val="21"/>
              </w:rPr>
            </w:pPr>
            <w:r>
              <w:rPr>
                <w:rFonts w:hint="eastAsia"/>
                <w:sz w:val="21"/>
              </w:rPr>
              <w:t>运营期主要路面径流污染物排放，不会对沿线水环境产生明显影响</w:t>
            </w:r>
          </w:p>
        </w:tc>
        <w:tc>
          <w:tcPr>
            <w:tcW w:w="608" w:type="pct"/>
            <w:vAlign w:val="center"/>
          </w:tcPr>
          <w:p>
            <w:pPr>
              <w:spacing w:line="240" w:lineRule="auto"/>
              <w:ind w:firstLine="0" w:firstLineChars="0"/>
              <w:jc w:val="center"/>
              <w:rPr>
                <w:sz w:val="21"/>
              </w:rPr>
            </w:pPr>
            <w:r>
              <w:rPr>
                <w:rFonts w:hint="eastAsia"/>
                <w:sz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663" w:type="pct"/>
            <w:vAlign w:val="center"/>
          </w:tcPr>
          <w:p>
            <w:pPr>
              <w:spacing w:line="240" w:lineRule="auto"/>
              <w:ind w:firstLine="0" w:firstLineChars="0"/>
              <w:jc w:val="center"/>
              <w:rPr>
                <w:sz w:val="21"/>
              </w:rPr>
            </w:pPr>
            <w:r>
              <w:rPr>
                <w:rFonts w:hint="eastAsia"/>
                <w:sz w:val="21"/>
              </w:rPr>
              <w:t>声环境</w:t>
            </w:r>
          </w:p>
        </w:tc>
        <w:tc>
          <w:tcPr>
            <w:tcW w:w="1697" w:type="pct"/>
            <w:vAlign w:val="center"/>
          </w:tcPr>
          <w:p>
            <w:pPr>
              <w:spacing w:line="240" w:lineRule="auto"/>
              <w:ind w:firstLine="0" w:firstLineChars="0"/>
              <w:jc w:val="center"/>
              <w:rPr>
                <w:sz w:val="21"/>
              </w:rPr>
            </w:pPr>
            <w:r>
              <w:rPr>
                <w:rFonts w:hint="eastAsia"/>
                <w:sz w:val="21"/>
              </w:rPr>
              <w:t>《声环境质量标准》(GB3096-2008)4a、2类标准</w:t>
            </w:r>
          </w:p>
        </w:tc>
        <w:tc>
          <w:tcPr>
            <w:tcW w:w="2032" w:type="pct"/>
            <w:vAlign w:val="center"/>
          </w:tcPr>
          <w:p>
            <w:pPr>
              <w:spacing w:line="240" w:lineRule="auto"/>
              <w:ind w:firstLine="0" w:firstLineChars="0"/>
              <w:jc w:val="center"/>
              <w:rPr>
                <w:sz w:val="21"/>
              </w:rPr>
            </w:pPr>
            <w:r>
              <w:rPr>
                <w:rFonts w:hint="eastAsia"/>
                <w:sz w:val="21"/>
              </w:rPr>
              <w:t>运营期对超标敏感点采取管理措施及安装通风隔声窗后声环境满足相应质量标准或室内标准</w:t>
            </w:r>
          </w:p>
        </w:tc>
        <w:tc>
          <w:tcPr>
            <w:tcW w:w="608" w:type="pct"/>
            <w:vAlign w:val="center"/>
          </w:tcPr>
          <w:p>
            <w:pPr>
              <w:spacing w:line="240" w:lineRule="auto"/>
              <w:ind w:firstLine="0" w:firstLineChars="0"/>
              <w:jc w:val="center"/>
              <w:rPr>
                <w:sz w:val="21"/>
              </w:rPr>
            </w:pPr>
            <w:r>
              <w:rPr>
                <w:rFonts w:hint="eastAsia"/>
                <w:sz w:val="21"/>
              </w:rPr>
              <w:t>否</w:t>
            </w:r>
          </w:p>
        </w:tc>
      </w:tr>
    </w:tbl>
    <w:p>
      <w:pPr>
        <w:ind w:firstLine="480"/>
      </w:pPr>
      <w:r>
        <w:rPr>
          <w:rFonts w:hint="eastAsia"/>
        </w:rPr>
        <w:t>由上表可知，本项目实施后对周边环境质量影响较小。</w:t>
      </w:r>
    </w:p>
    <w:p>
      <w:pPr>
        <w:pStyle w:val="5"/>
        <w:spacing w:beforeLines="0" w:afterLines="0"/>
      </w:pPr>
      <w:bookmarkStart w:id="116" w:name="_Toc141284090"/>
      <w:r>
        <w:rPr>
          <w:rFonts w:hint="eastAsia"/>
        </w:rPr>
        <w:t>8</w:t>
      </w:r>
      <w:r>
        <w:t>.3</w:t>
      </w:r>
      <w:r>
        <w:rPr>
          <w:rFonts w:hint="eastAsia"/>
        </w:rPr>
        <w:t>环境</w:t>
      </w:r>
      <w:r>
        <w:t>经济损益分析</w:t>
      </w:r>
      <w:bookmarkEnd w:id="116"/>
    </w:p>
    <w:p>
      <w:pPr>
        <w:pStyle w:val="204"/>
        <w:spacing w:line="480" w:lineRule="exact"/>
        <w:ind w:firstLine="0" w:firstLineChars="0"/>
        <w:outlineLvl w:val="2"/>
        <w:rPr>
          <w:b/>
          <w:sz w:val="28"/>
          <w:szCs w:val="28"/>
        </w:rPr>
      </w:pPr>
      <w:r>
        <w:rPr>
          <w:rFonts w:hint="eastAsia"/>
          <w:b/>
          <w:sz w:val="28"/>
          <w:szCs w:val="28"/>
        </w:rPr>
        <w:t>8.</w:t>
      </w:r>
      <w:r>
        <w:rPr>
          <w:b/>
          <w:sz w:val="28"/>
          <w:szCs w:val="28"/>
        </w:rPr>
        <w:t>3</w:t>
      </w:r>
      <w:r>
        <w:rPr>
          <w:rFonts w:hint="eastAsia"/>
          <w:b/>
          <w:sz w:val="28"/>
          <w:szCs w:val="28"/>
        </w:rPr>
        <w:t>.</w:t>
      </w:r>
      <w:r>
        <w:rPr>
          <w:b/>
          <w:sz w:val="28"/>
          <w:szCs w:val="28"/>
        </w:rPr>
        <w:t>1</w:t>
      </w:r>
      <w:r>
        <w:rPr>
          <w:rFonts w:hint="eastAsia"/>
          <w:b/>
          <w:sz w:val="28"/>
          <w:szCs w:val="28"/>
        </w:rPr>
        <w:t>社会</w:t>
      </w:r>
      <w:r>
        <w:rPr>
          <w:b/>
          <w:sz w:val="28"/>
          <w:szCs w:val="28"/>
        </w:rPr>
        <w:t>效益分析</w:t>
      </w:r>
    </w:p>
    <w:p>
      <w:pPr>
        <w:pStyle w:val="190"/>
        <w:spacing w:beforeLines="0" w:afterLines="0"/>
      </w:pPr>
      <w:r>
        <w:t>8.3.1.</w:t>
      </w:r>
      <w:r>
        <w:rPr>
          <w:rFonts w:hint="eastAsia"/>
        </w:rPr>
        <w:t>1对区域路网总体</w:t>
      </w:r>
      <w:r>
        <w:t>规划的影响</w:t>
      </w:r>
    </w:p>
    <w:p>
      <w:pPr>
        <w:ind w:firstLine="480"/>
        <w:rPr>
          <w:rFonts w:cs="宋体"/>
        </w:rPr>
      </w:pPr>
      <w:r>
        <w:rPr>
          <w:rFonts w:hint="eastAsia"/>
          <w:szCs w:val="24"/>
        </w:rPr>
        <w:t>本项目建设线路路径符合河北省普通干线公路网布局，目前项目已经取得河北省交通运输厅</w:t>
      </w:r>
      <w:r>
        <w:rPr>
          <w:rFonts w:hint="eastAsia"/>
        </w:rPr>
        <w:t>关于国道G112遵化城区段改建工程可行性研究报告的审查意见，同意项目建设</w:t>
      </w:r>
      <w:r>
        <w:rPr>
          <w:rFonts w:hint="eastAsia"/>
          <w:szCs w:val="24"/>
        </w:rPr>
        <w:t>，因此，本项目选址符合河北省普通干线公路网布局的要求</w:t>
      </w:r>
      <w:r>
        <w:rPr>
          <w:rFonts w:hint="eastAsia"/>
          <w:spacing w:val="-2"/>
        </w:rPr>
        <w:t>，对于完善区域路网结构，提高路网的综合运输能力及整体服务水平有着极其重要的现实意义</w:t>
      </w:r>
      <w:r>
        <w:rPr>
          <w:rFonts w:hint="eastAsia"/>
          <w:szCs w:val="24"/>
        </w:rPr>
        <w:t>。</w:t>
      </w:r>
    </w:p>
    <w:p>
      <w:pPr>
        <w:pStyle w:val="190"/>
        <w:spacing w:beforeLines="0" w:afterLines="0"/>
      </w:pPr>
      <w:r>
        <w:t>8.3.1.2</w:t>
      </w:r>
      <w:r>
        <w:rPr>
          <w:rFonts w:hint="eastAsia"/>
        </w:rPr>
        <w:t>对区域旅游</w:t>
      </w:r>
      <w:r>
        <w:t>发展的影响</w:t>
      </w:r>
    </w:p>
    <w:p>
      <w:pPr>
        <w:spacing w:line="430" w:lineRule="exact"/>
        <w:ind w:firstLine="480"/>
        <w:jc w:val="left"/>
        <w:rPr>
          <w:szCs w:val="24"/>
          <w:highlight w:val="yellow"/>
        </w:rPr>
      </w:pPr>
      <w:r>
        <w:rPr>
          <w:rFonts w:hint="eastAsia"/>
          <w:bCs/>
          <w:szCs w:val="24"/>
        </w:rPr>
        <w:t>本项目</w:t>
      </w:r>
      <w:r>
        <w:rPr>
          <w:bCs/>
          <w:szCs w:val="24"/>
        </w:rPr>
        <w:t>建设是</w:t>
      </w:r>
      <w:r>
        <w:rPr>
          <w:szCs w:val="24"/>
        </w:rPr>
        <w:t>为促进</w:t>
      </w:r>
      <w:r>
        <w:rPr>
          <w:rFonts w:hint="eastAsia"/>
          <w:szCs w:val="24"/>
        </w:rPr>
        <w:t>遵化市</w:t>
      </w:r>
      <w:r>
        <w:rPr>
          <w:szCs w:val="24"/>
        </w:rPr>
        <w:t>的经济发展及旅游产业的开发</w:t>
      </w:r>
      <w:r>
        <w:rPr>
          <w:rFonts w:hint="eastAsia"/>
          <w:szCs w:val="24"/>
        </w:rPr>
        <w:t>。</w:t>
      </w:r>
      <w:r>
        <w:rPr>
          <w:rFonts w:hint="eastAsia"/>
        </w:rPr>
        <w:t>随着各个</w:t>
      </w:r>
      <w:r>
        <w:t>景区旅游业的发展，</w:t>
      </w:r>
      <w:r>
        <w:rPr>
          <w:rFonts w:hint="eastAsia"/>
          <w:szCs w:val="24"/>
        </w:rPr>
        <w:t>使区域内交通量不断增加，小客车、公交车及过境的重载车辆均集中在此路段，导致过境交通与城区交通车辆混杂，交通秩序混乱，车速缓慢，交通拥堵常有发生，影响了过境交通通行，形成景区</w:t>
      </w:r>
      <w:r>
        <w:rPr>
          <w:szCs w:val="24"/>
        </w:rPr>
        <w:t>进一步发展</w:t>
      </w:r>
      <w:r>
        <w:rPr>
          <w:rFonts w:hint="eastAsia"/>
          <w:szCs w:val="24"/>
        </w:rPr>
        <w:t>瓶颈问题。</w:t>
      </w:r>
    </w:p>
    <w:p>
      <w:pPr>
        <w:spacing w:line="430" w:lineRule="exact"/>
        <w:ind w:firstLine="480"/>
        <w:jc w:val="left"/>
        <w:rPr>
          <w:bCs/>
          <w:szCs w:val="24"/>
        </w:rPr>
      </w:pPr>
      <w:r>
        <w:rPr>
          <w:rFonts w:hint="eastAsia"/>
          <w:szCs w:val="24"/>
        </w:rPr>
        <w:t>本项目</w:t>
      </w:r>
      <w:r>
        <w:rPr>
          <w:szCs w:val="24"/>
        </w:rPr>
        <w:t>建设</w:t>
      </w:r>
      <w:r>
        <w:rPr>
          <w:rFonts w:hint="eastAsia"/>
          <w:bCs/>
          <w:szCs w:val="24"/>
        </w:rPr>
        <w:t>可</w:t>
      </w:r>
      <w:r>
        <w:rPr>
          <w:bCs/>
          <w:szCs w:val="24"/>
        </w:rPr>
        <w:t>提高</w:t>
      </w:r>
      <w:r>
        <w:rPr>
          <w:rFonts w:hint="eastAsia"/>
          <w:bCs/>
          <w:szCs w:val="24"/>
        </w:rPr>
        <w:t>景区的发展空间，增加</w:t>
      </w:r>
      <w:r>
        <w:rPr>
          <w:bCs/>
          <w:szCs w:val="24"/>
        </w:rPr>
        <w:t>景区客流量</w:t>
      </w:r>
      <w:r>
        <w:rPr>
          <w:rFonts w:hint="eastAsia"/>
          <w:bCs/>
          <w:szCs w:val="24"/>
        </w:rPr>
        <w:t>，</w:t>
      </w:r>
      <w:r>
        <w:rPr>
          <w:bCs/>
          <w:szCs w:val="24"/>
        </w:rPr>
        <w:t>提高游客的出游舒适度</w:t>
      </w:r>
      <w:r>
        <w:rPr>
          <w:rFonts w:hint="eastAsia"/>
          <w:bCs/>
          <w:szCs w:val="24"/>
        </w:rPr>
        <w:t>，</w:t>
      </w:r>
      <w:r>
        <w:rPr>
          <w:bCs/>
          <w:szCs w:val="24"/>
        </w:rPr>
        <w:t>促进当地旅游</w:t>
      </w:r>
      <w:r>
        <w:rPr>
          <w:rFonts w:hint="eastAsia"/>
          <w:bCs/>
          <w:szCs w:val="24"/>
        </w:rPr>
        <w:t>业</w:t>
      </w:r>
      <w:r>
        <w:rPr>
          <w:bCs/>
          <w:szCs w:val="24"/>
        </w:rPr>
        <w:t>发展</w:t>
      </w:r>
      <w:r>
        <w:rPr>
          <w:rFonts w:hint="eastAsia"/>
          <w:bCs/>
          <w:szCs w:val="24"/>
        </w:rPr>
        <w:t>。</w:t>
      </w:r>
    </w:p>
    <w:p>
      <w:pPr>
        <w:pStyle w:val="190"/>
        <w:spacing w:beforeLines="0" w:afterLines="0"/>
      </w:pPr>
      <w:r>
        <w:t>8.3.1.3</w:t>
      </w:r>
      <w:r>
        <w:rPr>
          <w:rFonts w:hint="eastAsia"/>
        </w:rPr>
        <w:t>对区域社会</w:t>
      </w:r>
      <w:r>
        <w:t>经济发展的影响</w:t>
      </w:r>
    </w:p>
    <w:p>
      <w:pPr>
        <w:spacing w:line="430" w:lineRule="exact"/>
        <w:ind w:firstLine="480"/>
        <w:jc w:val="left"/>
        <w:rPr>
          <w:bCs/>
          <w:szCs w:val="24"/>
        </w:rPr>
      </w:pPr>
      <w:r>
        <w:rPr>
          <w:szCs w:val="24"/>
        </w:rPr>
        <w:t>本项目是河北省普通干线公路网布局规划的</w:t>
      </w:r>
      <w:r>
        <w:rPr>
          <w:rFonts w:hint="eastAsia"/>
          <w:szCs w:val="24"/>
        </w:rPr>
        <w:t>路线</w:t>
      </w:r>
      <w:r>
        <w:rPr>
          <w:rFonts w:hint="eastAsia"/>
          <w:bCs/>
          <w:szCs w:val="24"/>
        </w:rPr>
        <w:t>，本项目建设将增加</w:t>
      </w:r>
      <w:r>
        <w:rPr>
          <w:bCs/>
          <w:szCs w:val="24"/>
        </w:rPr>
        <w:t>区域车流量，增加区域游客来往量</w:t>
      </w:r>
      <w:r>
        <w:rPr>
          <w:rFonts w:hint="eastAsia"/>
          <w:bCs/>
          <w:szCs w:val="24"/>
        </w:rPr>
        <w:t>，有利于道路沿线经济的快速发展。同时新线周边</w:t>
      </w:r>
      <w:r>
        <w:rPr>
          <w:bCs/>
          <w:szCs w:val="24"/>
        </w:rPr>
        <w:t>村庄较多</w:t>
      </w:r>
      <w:r>
        <w:rPr>
          <w:rFonts w:hint="eastAsia"/>
          <w:bCs/>
          <w:szCs w:val="24"/>
        </w:rPr>
        <w:t>，没有高等级公路，本项目的建设拉动了沿线村镇交流</w:t>
      </w:r>
      <w:r>
        <w:rPr>
          <w:bCs/>
          <w:szCs w:val="24"/>
        </w:rPr>
        <w:t>与经济发展，</w:t>
      </w:r>
      <w:r>
        <w:rPr>
          <w:rFonts w:hint="eastAsia"/>
          <w:bCs/>
          <w:szCs w:val="24"/>
        </w:rPr>
        <w:t>加快沿线群众脱贫致富的步伐。</w:t>
      </w:r>
    </w:p>
    <w:p>
      <w:pPr>
        <w:ind w:firstLine="480"/>
        <w:rPr>
          <w:szCs w:val="24"/>
        </w:rPr>
      </w:pPr>
      <w:r>
        <w:rPr>
          <w:szCs w:val="24"/>
        </w:rPr>
        <w:t>综上，本项目建设具有显著、良好的社会效益</w:t>
      </w:r>
      <w:r>
        <w:rPr>
          <w:rFonts w:hint="eastAsia"/>
          <w:szCs w:val="24"/>
        </w:rPr>
        <w:t>。</w:t>
      </w:r>
    </w:p>
    <w:p>
      <w:pPr>
        <w:pStyle w:val="204"/>
        <w:spacing w:line="480" w:lineRule="exact"/>
        <w:ind w:firstLine="0" w:firstLineChars="0"/>
        <w:outlineLvl w:val="2"/>
        <w:rPr>
          <w:b/>
          <w:sz w:val="28"/>
          <w:szCs w:val="28"/>
        </w:rPr>
      </w:pPr>
      <w:r>
        <w:rPr>
          <w:rFonts w:hint="eastAsia"/>
          <w:b/>
          <w:sz w:val="28"/>
          <w:szCs w:val="28"/>
        </w:rPr>
        <w:t>8.</w:t>
      </w:r>
      <w:r>
        <w:rPr>
          <w:b/>
          <w:sz w:val="28"/>
          <w:szCs w:val="28"/>
        </w:rPr>
        <w:t>3</w:t>
      </w:r>
      <w:r>
        <w:rPr>
          <w:rFonts w:hint="eastAsia"/>
          <w:b/>
          <w:sz w:val="28"/>
          <w:szCs w:val="28"/>
        </w:rPr>
        <w:t>.</w:t>
      </w:r>
      <w:r>
        <w:rPr>
          <w:b/>
          <w:sz w:val="28"/>
          <w:szCs w:val="28"/>
        </w:rPr>
        <w:t>2</w:t>
      </w:r>
      <w:r>
        <w:rPr>
          <w:rFonts w:hint="eastAsia"/>
          <w:b/>
          <w:sz w:val="28"/>
          <w:szCs w:val="28"/>
        </w:rPr>
        <w:t>经济</w:t>
      </w:r>
      <w:r>
        <w:rPr>
          <w:b/>
          <w:sz w:val="28"/>
          <w:szCs w:val="28"/>
        </w:rPr>
        <w:t>效益分析</w:t>
      </w:r>
    </w:p>
    <w:p>
      <w:pPr>
        <w:pStyle w:val="190"/>
        <w:spacing w:beforeLines="0" w:afterLines="0"/>
      </w:pPr>
      <w:r>
        <w:t>8.3.2.1</w:t>
      </w:r>
      <w:r>
        <w:rPr>
          <w:rFonts w:hint="eastAsia"/>
        </w:rPr>
        <w:t>效益分析</w:t>
      </w:r>
    </w:p>
    <w:p>
      <w:pPr>
        <w:ind w:firstLine="480"/>
      </w:pPr>
      <w:r>
        <w:rPr>
          <w:rFonts w:hint="eastAsia"/>
        </w:rPr>
        <w:t>（1）直接经济效益分析</w:t>
      </w:r>
    </w:p>
    <w:p>
      <w:pPr>
        <w:ind w:firstLine="480"/>
      </w:pPr>
      <w:r>
        <w:t>本公路工程属地方公路建设，项目实施的直接经济效益表现为：</w:t>
      </w:r>
    </w:p>
    <w:p>
      <w:pPr>
        <w:ind w:firstLine="480"/>
      </w:pPr>
      <w:r>
        <w:rPr>
          <w:rFonts w:hint="eastAsia"/>
        </w:rPr>
        <w:t>①</w:t>
      </w:r>
      <w:r>
        <w:t>降低营运成本效益：包括项目经济效益和</w:t>
      </w:r>
      <w:r>
        <w:rPr>
          <w:rFonts w:hint="eastAsia"/>
        </w:rPr>
        <w:t>原G112</w:t>
      </w:r>
      <w:r>
        <w:t>减少拥挤效益。</w:t>
      </w:r>
    </w:p>
    <w:p>
      <w:pPr>
        <w:ind w:firstLine="480"/>
      </w:pPr>
      <w:r>
        <w:rPr>
          <w:rFonts w:hint="eastAsia"/>
        </w:rPr>
        <w:t>②</w:t>
      </w:r>
      <w:r>
        <w:t>旅客时间节约效益：包括使用项目和</w:t>
      </w:r>
      <w:r>
        <w:rPr>
          <w:rFonts w:hint="eastAsia"/>
        </w:rPr>
        <w:t>原G112</w:t>
      </w:r>
      <w:r>
        <w:t>旅客时间节约效益。</w:t>
      </w:r>
    </w:p>
    <w:p>
      <w:pPr>
        <w:ind w:firstLine="480"/>
      </w:pPr>
      <w:r>
        <w:rPr>
          <w:rFonts w:hint="eastAsia"/>
        </w:rPr>
        <w:t>③</w:t>
      </w:r>
      <w:r>
        <w:t>交通事故减少效益：包括项目和</w:t>
      </w:r>
      <w:r>
        <w:rPr>
          <w:rFonts w:hint="eastAsia"/>
        </w:rPr>
        <w:t>原G112</w:t>
      </w:r>
      <w:r>
        <w:t>交通事故减少产生效益。</w:t>
      </w:r>
    </w:p>
    <w:p>
      <w:pPr>
        <w:ind w:firstLine="480"/>
      </w:pPr>
      <w:r>
        <w:t>本项目的建设由于路况改善，必将带来使用该项目用户的汽车运输成本的降低；公路旅客在途时间将大幅度的缩短，从而使得旅客中的有生产、工作能力的人员能够利用部分节约时间进行生产，从而创造更高的国内生产总值。</w:t>
      </w:r>
    </w:p>
    <w:p>
      <w:pPr>
        <w:ind w:firstLine="480"/>
      </w:pPr>
      <w:r>
        <w:rPr>
          <w:rFonts w:hint="eastAsia"/>
        </w:rPr>
        <w:t>（2）间接经济效益分析</w:t>
      </w:r>
    </w:p>
    <w:p>
      <w:pPr>
        <w:ind w:firstLine="480"/>
      </w:pPr>
      <w:r>
        <w:t>从中长期看项目建设将不可避免的产生间接地经济效益，如下：</w:t>
      </w:r>
    </w:p>
    <w:p>
      <w:pPr>
        <w:ind w:firstLine="480"/>
      </w:pPr>
      <w:r>
        <w:t>加强区域间的沟通、交流，促进区域经济发展；</w:t>
      </w:r>
    </w:p>
    <w:p>
      <w:pPr>
        <w:ind w:firstLine="480"/>
      </w:pPr>
      <w:r>
        <w:rPr>
          <w:rFonts w:hint="eastAsia"/>
        </w:rPr>
        <w:t>②</w:t>
      </w:r>
      <w:r>
        <w:t>使</w:t>
      </w:r>
      <w:r>
        <w:rPr>
          <w:rFonts w:hint="eastAsia"/>
        </w:rPr>
        <w:t>遵化市公路</w:t>
      </w:r>
      <w:r>
        <w:t>网</w:t>
      </w:r>
      <w:r>
        <w:rPr>
          <w:rFonts w:hint="eastAsia"/>
        </w:rPr>
        <w:t>化</w:t>
      </w:r>
      <w:r>
        <w:t>布局更加趋于合理和完善；</w:t>
      </w:r>
    </w:p>
    <w:p>
      <w:pPr>
        <w:ind w:firstLine="480"/>
      </w:pPr>
      <w:r>
        <w:rPr>
          <w:rFonts w:hint="eastAsia"/>
        </w:rPr>
        <w:t>③</w:t>
      </w:r>
      <w:r>
        <w:t>增加交通出行的快捷程度和舒适性；</w:t>
      </w:r>
    </w:p>
    <w:p>
      <w:pPr>
        <w:ind w:firstLine="480"/>
      </w:pPr>
      <w:r>
        <w:rPr>
          <w:rFonts w:hint="eastAsia"/>
        </w:rPr>
        <w:t>④</w:t>
      </w:r>
      <w:r>
        <w:t>减少运输货物的损伤、节约包装费用；</w:t>
      </w:r>
    </w:p>
    <w:p>
      <w:pPr>
        <w:ind w:firstLine="480"/>
      </w:pPr>
      <w:r>
        <w:rPr>
          <w:rFonts w:hint="eastAsia"/>
        </w:rPr>
        <w:t>⑤</w:t>
      </w:r>
      <w:r>
        <w:t>提高生产运输的效率化，使物资流通趋于合理化和现代化；</w:t>
      </w:r>
    </w:p>
    <w:p>
      <w:pPr>
        <w:ind w:firstLine="480"/>
      </w:pPr>
      <w:r>
        <w:rPr>
          <w:rFonts w:hint="eastAsia"/>
        </w:rPr>
        <w:t>⑥</w:t>
      </w:r>
      <w:r>
        <w:t>缓解</w:t>
      </w:r>
      <w:r>
        <w:rPr>
          <w:rFonts w:hint="eastAsia"/>
        </w:rPr>
        <w:t>区域</w:t>
      </w:r>
      <w:r>
        <w:t>交通</w:t>
      </w:r>
      <w:r>
        <w:rPr>
          <w:rFonts w:hint="eastAsia"/>
        </w:rPr>
        <w:t>的</w:t>
      </w:r>
      <w:r>
        <w:t>拥挤</w:t>
      </w:r>
      <w:r>
        <w:rPr>
          <w:rFonts w:hint="eastAsia"/>
        </w:rPr>
        <w:t>状态</w:t>
      </w:r>
      <w:r>
        <w:t>；</w:t>
      </w:r>
    </w:p>
    <w:p>
      <w:pPr>
        <w:ind w:firstLine="480"/>
      </w:pPr>
      <w:r>
        <w:rPr>
          <w:rFonts w:hint="eastAsia"/>
        </w:rPr>
        <w:t>⑦</w:t>
      </w:r>
      <w:r>
        <w:t>由于公路建设需要大量的物资和材料，这会进一步引起对其他部门的派生需要，诱发并波及其他相关产业的发展。</w:t>
      </w:r>
    </w:p>
    <w:p>
      <w:pPr>
        <w:pStyle w:val="190"/>
        <w:spacing w:beforeLines="0" w:afterLines="0"/>
      </w:pPr>
      <w:r>
        <w:t>8</w:t>
      </w:r>
      <w:r>
        <w:rPr>
          <w:rFonts w:hint="eastAsia"/>
        </w:rPr>
        <w:t>.3.2</w:t>
      </w:r>
      <w:r>
        <w:t>.2</w:t>
      </w:r>
      <w:r>
        <w:rPr>
          <w:rFonts w:hint="eastAsia"/>
        </w:rPr>
        <w:t>国民</w:t>
      </w:r>
      <w:r>
        <w:t>经济分析</w:t>
      </w:r>
    </w:p>
    <w:p>
      <w:pPr>
        <w:ind w:firstLine="480"/>
      </w:pPr>
      <w:r>
        <w:t>根据《公路建设项目经济评价方法与参数》（住房设城乡建设部、交通部，2010）及项目可行性研究报告，</w:t>
      </w:r>
      <w:r>
        <w:rPr>
          <w:spacing w:val="20"/>
        </w:rPr>
        <w:t>本项目经济费用与效益分析结果：本项目推荐方案的经济净现值</w:t>
      </w:r>
      <w:r>
        <w:rPr>
          <w:rFonts w:eastAsia="Times New Roman"/>
        </w:rPr>
        <w:t>ENPV=</w:t>
      </w:r>
      <w:r>
        <w:rPr>
          <w:rFonts w:hint="eastAsia" w:eastAsiaTheme="minorEastAsia"/>
        </w:rPr>
        <w:t>29874.43</w:t>
      </w:r>
      <w:r>
        <w:t>万元，经济内部收益率</w:t>
      </w:r>
      <w:r>
        <w:rPr>
          <w:rFonts w:eastAsia="Times New Roman"/>
        </w:rPr>
        <w:t>EIRR=</w:t>
      </w:r>
      <w:r>
        <w:rPr>
          <w:rFonts w:hint="eastAsia" w:eastAsiaTheme="minorEastAsia"/>
        </w:rPr>
        <w:t>12.45</w:t>
      </w:r>
      <w:r>
        <w:rPr>
          <w:rFonts w:eastAsia="Times New Roman"/>
        </w:rPr>
        <w:t>%</w:t>
      </w:r>
      <w:r>
        <w:t>，大于社会折现率</w:t>
      </w:r>
      <w:r>
        <w:rPr>
          <w:rFonts w:eastAsia="Times New Roman"/>
        </w:rPr>
        <w:t>8%</w:t>
      </w:r>
      <w:r>
        <w:t>，投资回收期</w:t>
      </w:r>
      <w:r>
        <w:rPr>
          <w:rFonts w:eastAsia="Times New Roman"/>
        </w:rPr>
        <w:t>EN=16.</w:t>
      </w:r>
      <w:r>
        <w:rPr>
          <w:rFonts w:hint="eastAsia" w:eastAsiaTheme="minorEastAsia"/>
        </w:rPr>
        <w:t>26</w:t>
      </w:r>
      <w:r>
        <w:rPr>
          <w:spacing w:val="-4"/>
        </w:rPr>
        <w:t>年，效益费用比</w:t>
      </w:r>
      <w:r>
        <w:rPr>
          <w:rFonts w:eastAsia="Times New Roman"/>
        </w:rPr>
        <w:t>EBCR=1.</w:t>
      </w:r>
      <w:r>
        <w:rPr>
          <w:rFonts w:hint="eastAsia" w:eastAsiaTheme="minorEastAsia"/>
        </w:rPr>
        <w:t>52</w:t>
      </w:r>
      <w:r>
        <w:t>，说明项目国民经济效益分析可行。</w:t>
      </w:r>
    </w:p>
    <w:p>
      <w:pPr>
        <w:pStyle w:val="190"/>
        <w:spacing w:beforeLines="0" w:afterLines="0"/>
      </w:pPr>
      <w:r>
        <w:t>8</w:t>
      </w:r>
      <w:r>
        <w:rPr>
          <w:rFonts w:hint="eastAsia"/>
        </w:rPr>
        <w:t>.3.2</w:t>
      </w:r>
      <w:r>
        <w:t>.3敏感性分析</w:t>
      </w:r>
    </w:p>
    <w:p>
      <w:pPr>
        <w:ind w:firstLine="480"/>
      </w:pPr>
      <w:r>
        <w:t>敏感性分析是分析项目建设费用和效益计算中，主要影响因素的变化对评价指标的影响。经济费用效益分析时，原则上应选取建设投资、效益等可能发生变化的因素，重点测算这些因素变化对内部收益率的影响。</w:t>
      </w:r>
    </w:p>
    <w:p>
      <w:pPr>
        <w:ind w:firstLine="480"/>
        <w:rPr>
          <w:szCs w:val="24"/>
        </w:rPr>
      </w:pPr>
      <w:r>
        <w:t>根据《公路建设项目经济评价方法与参数》（住房设城乡建设部、交通部，2010）及项目可行性研究报告，</w:t>
      </w:r>
      <w:r>
        <w:rPr>
          <w:rFonts w:hint="eastAsia"/>
          <w:szCs w:val="24"/>
        </w:rPr>
        <w:t>敏感性分析表明，在费用增加20％、效益下降20％的最不利条件下，内部收益率为8.10%，说明本项目具有一定的</w:t>
      </w:r>
      <w:r>
        <w:rPr>
          <w:szCs w:val="24"/>
        </w:rPr>
        <w:t>抗风险能力。</w:t>
      </w:r>
    </w:p>
    <w:p>
      <w:pPr>
        <w:pStyle w:val="204"/>
        <w:spacing w:line="480" w:lineRule="exact"/>
        <w:ind w:firstLine="0" w:firstLineChars="0"/>
        <w:outlineLvl w:val="2"/>
        <w:rPr>
          <w:b/>
          <w:sz w:val="28"/>
          <w:szCs w:val="28"/>
        </w:rPr>
      </w:pPr>
      <w:r>
        <w:rPr>
          <w:rFonts w:hint="eastAsia"/>
          <w:b/>
          <w:sz w:val="28"/>
          <w:szCs w:val="28"/>
        </w:rPr>
        <w:t>8.</w:t>
      </w:r>
      <w:r>
        <w:rPr>
          <w:b/>
          <w:sz w:val="28"/>
          <w:szCs w:val="28"/>
        </w:rPr>
        <w:t>3</w:t>
      </w:r>
      <w:r>
        <w:rPr>
          <w:rFonts w:hint="eastAsia"/>
          <w:b/>
          <w:sz w:val="28"/>
          <w:szCs w:val="28"/>
        </w:rPr>
        <w:t>.</w:t>
      </w:r>
      <w:r>
        <w:rPr>
          <w:b/>
          <w:sz w:val="28"/>
          <w:szCs w:val="28"/>
        </w:rPr>
        <w:t>3</w:t>
      </w:r>
      <w:r>
        <w:rPr>
          <w:rFonts w:hint="eastAsia"/>
          <w:b/>
          <w:sz w:val="28"/>
          <w:szCs w:val="28"/>
        </w:rPr>
        <w:t>环境</w:t>
      </w:r>
      <w:r>
        <w:rPr>
          <w:b/>
          <w:sz w:val="28"/>
          <w:szCs w:val="28"/>
        </w:rPr>
        <w:t>效益分析</w:t>
      </w:r>
    </w:p>
    <w:p>
      <w:pPr>
        <w:ind w:firstLine="480"/>
        <w:rPr>
          <w:szCs w:val="24"/>
        </w:rPr>
      </w:pPr>
      <w:r>
        <w:rPr>
          <w:szCs w:val="24"/>
        </w:rPr>
        <w:t>通过施工期扬尘污染控制、水环境污染控制和施工噪声污染控制等环保措施的实施，可减轻施工对区域环境的影响。道路建成后，</w:t>
      </w:r>
      <w:r>
        <w:rPr>
          <w:rFonts w:hint="eastAsia"/>
          <w:szCs w:val="24"/>
        </w:rPr>
        <w:t>道路两侧</w:t>
      </w:r>
      <w:r>
        <w:rPr>
          <w:szCs w:val="24"/>
        </w:rPr>
        <w:t>恢复原有生态环境</w:t>
      </w:r>
      <w:r>
        <w:rPr>
          <w:rFonts w:hint="eastAsia"/>
          <w:szCs w:val="24"/>
        </w:rPr>
        <w:t>；路基边坡</w:t>
      </w:r>
      <w:r>
        <w:rPr>
          <w:szCs w:val="24"/>
        </w:rPr>
        <w:t>植被绿化也可减少由于道路建设占地而造成的生态影响</w:t>
      </w:r>
      <w:r>
        <w:rPr>
          <w:rFonts w:hint="eastAsia"/>
          <w:szCs w:val="24"/>
        </w:rPr>
        <w:t>；</w:t>
      </w:r>
      <w:r>
        <w:rPr>
          <w:szCs w:val="24"/>
        </w:rPr>
        <w:t>施工期征占的土地按有关规定进行补偿，可减轻道路建设对被征地居民的影响</w:t>
      </w:r>
      <w:r>
        <w:rPr>
          <w:rFonts w:hint="eastAsia"/>
          <w:szCs w:val="24"/>
        </w:rPr>
        <w:t>。</w:t>
      </w:r>
    </w:p>
    <w:p>
      <w:pPr>
        <w:pStyle w:val="5"/>
        <w:spacing w:beforeLines="0" w:afterLines="0"/>
      </w:pPr>
      <w:bookmarkStart w:id="117" w:name="_Toc141284091"/>
      <w:r>
        <w:rPr>
          <w:rFonts w:hint="eastAsia"/>
        </w:rPr>
        <w:t>8</w:t>
      </w:r>
      <w:r>
        <w:t>.4</w:t>
      </w:r>
      <w:r>
        <w:rPr>
          <w:rFonts w:hint="eastAsia"/>
        </w:rPr>
        <w:t>结论</w:t>
      </w:r>
      <w:bookmarkEnd w:id="117"/>
    </w:p>
    <w:p>
      <w:pPr>
        <w:ind w:firstLine="480"/>
        <w:rPr>
          <w:szCs w:val="24"/>
        </w:rPr>
      </w:pPr>
      <w:r>
        <w:rPr>
          <w:szCs w:val="24"/>
        </w:rPr>
        <w:t>综上</w:t>
      </w:r>
      <w:r>
        <w:rPr>
          <w:rFonts w:hint="eastAsia"/>
          <w:szCs w:val="24"/>
        </w:rPr>
        <w:t>所</w:t>
      </w:r>
      <w:r>
        <w:rPr>
          <w:szCs w:val="24"/>
        </w:rPr>
        <w:t>述，项目建设对社会和经济的正效益远大于其环境损失，其综合效益较为明显。从环境</w:t>
      </w:r>
      <w:r>
        <w:rPr>
          <w:rFonts w:hint="eastAsia"/>
          <w:szCs w:val="24"/>
        </w:rPr>
        <w:t>影响</w:t>
      </w:r>
      <w:r>
        <w:rPr>
          <w:szCs w:val="24"/>
        </w:rPr>
        <w:t>经济损益方面分析，项目建设是可行的</w:t>
      </w:r>
      <w:r>
        <w:rPr>
          <w:rFonts w:hint="eastAsia"/>
          <w:szCs w:val="24"/>
        </w:rPr>
        <w:t>。</w:t>
      </w:r>
    </w:p>
    <w:p>
      <w:pPr>
        <w:ind w:firstLine="480"/>
        <w:rPr>
          <w:szCs w:val="24"/>
        </w:rPr>
        <w:sectPr>
          <w:pgSz w:w="11906" w:h="16838"/>
          <w:pgMar w:top="1418" w:right="1418" w:bottom="1418" w:left="1474" w:header="964" w:footer="964" w:gutter="0"/>
          <w:cols w:space="720" w:num="1"/>
          <w:docGrid w:linePitch="326" w:charSpace="0"/>
        </w:sectPr>
      </w:pPr>
    </w:p>
    <w:p>
      <w:pPr>
        <w:pStyle w:val="4"/>
        <w:spacing w:beforeLines="0" w:afterLines="0"/>
      </w:pPr>
      <w:bookmarkStart w:id="118" w:name="_Toc141284092"/>
      <w:r>
        <w:t>9环境管理及监测计划</w:t>
      </w:r>
      <w:bookmarkEnd w:id="118"/>
    </w:p>
    <w:p>
      <w:pPr>
        <w:pStyle w:val="5"/>
        <w:spacing w:beforeLines="0" w:afterLines="0"/>
      </w:pPr>
      <w:bookmarkStart w:id="119" w:name="_Toc141284093"/>
      <w:bookmarkStart w:id="120" w:name="_Toc64612004"/>
      <w:bookmarkStart w:id="121" w:name="_Toc286612394"/>
      <w:bookmarkStart w:id="122" w:name="_Toc286603849"/>
      <w:bookmarkStart w:id="123" w:name="_Toc64613032"/>
      <w:bookmarkStart w:id="124" w:name="_Toc214953429"/>
      <w:bookmarkStart w:id="125" w:name="_Toc64613461"/>
      <w:bookmarkStart w:id="126" w:name="_Toc60544589"/>
      <w:r>
        <w:t>9.</w:t>
      </w:r>
      <w:r>
        <w:rPr>
          <w:rFonts w:hint="eastAsia"/>
        </w:rPr>
        <w:t>1环境保护管理</w:t>
      </w:r>
      <w:r>
        <w:t>计划</w:t>
      </w:r>
      <w:bookmarkEnd w:id="119"/>
    </w:p>
    <w:p>
      <w:pPr>
        <w:pStyle w:val="204"/>
        <w:spacing w:line="480" w:lineRule="exact"/>
        <w:ind w:firstLine="0" w:firstLineChars="0"/>
        <w:outlineLvl w:val="2"/>
        <w:rPr>
          <w:b/>
          <w:sz w:val="28"/>
          <w:szCs w:val="28"/>
        </w:rPr>
      </w:pPr>
      <w:r>
        <w:rPr>
          <w:b/>
          <w:sz w:val="28"/>
          <w:szCs w:val="28"/>
        </w:rPr>
        <w:t>9</w:t>
      </w:r>
      <w:r>
        <w:rPr>
          <w:rFonts w:hint="eastAsia"/>
          <w:b/>
          <w:sz w:val="28"/>
          <w:szCs w:val="28"/>
        </w:rPr>
        <w:t>.1.1环境管理目标</w:t>
      </w:r>
    </w:p>
    <w:p>
      <w:pPr>
        <w:ind w:firstLine="492"/>
        <w:rPr>
          <w:spacing w:val="3"/>
        </w:rPr>
      </w:pPr>
      <w:r>
        <w:rPr>
          <w:spacing w:val="3"/>
        </w:rPr>
        <w:t>通过制定系统科学的环境管理计划，使拟建公路的建设和营运符合</w:t>
      </w:r>
      <w:r>
        <w:rPr>
          <w:rFonts w:hint="eastAsia"/>
          <w:spacing w:val="3"/>
        </w:rPr>
        <w:t>项目区域</w:t>
      </w:r>
      <w:r>
        <w:rPr>
          <w:spacing w:val="3"/>
        </w:rPr>
        <w:t>经济建设与环境同步计划、同步发展和同步实施的</w:t>
      </w:r>
      <w:r>
        <w:rPr>
          <w:rFonts w:hint="eastAsia"/>
          <w:spacing w:val="3"/>
        </w:rPr>
        <w:t>“</w:t>
      </w:r>
      <w:r>
        <w:rPr>
          <w:spacing w:val="3"/>
        </w:rPr>
        <w:t>三同时</w:t>
      </w:r>
      <w:r>
        <w:rPr>
          <w:rFonts w:hint="eastAsia"/>
          <w:spacing w:val="3"/>
        </w:rPr>
        <w:t>”</w:t>
      </w:r>
      <w:r>
        <w:rPr>
          <w:spacing w:val="3"/>
        </w:rPr>
        <w:t>的基本指导思想，为环境保护措施得以有计划的落实，地方环保部门对其进行监督提供依据。</w:t>
      </w:r>
    </w:p>
    <w:p>
      <w:pPr>
        <w:ind w:firstLine="492"/>
        <w:rPr>
          <w:spacing w:val="3"/>
        </w:rPr>
      </w:pPr>
      <w:r>
        <w:rPr>
          <w:spacing w:val="3"/>
        </w:rPr>
        <w:t>通过实施环境管理计划，力图将拟建公路对环境带来的不利影响减缓到最低限度，使公路建设的经济效益和环境效益得到协调、持续和稳定的发展。</w:t>
      </w:r>
    </w:p>
    <w:p>
      <w:pPr>
        <w:pStyle w:val="204"/>
        <w:spacing w:line="480" w:lineRule="exact"/>
        <w:ind w:firstLine="0" w:firstLineChars="0"/>
        <w:outlineLvl w:val="2"/>
        <w:rPr>
          <w:b/>
          <w:sz w:val="28"/>
          <w:szCs w:val="28"/>
        </w:rPr>
      </w:pPr>
      <w:r>
        <w:rPr>
          <w:b/>
          <w:sz w:val="28"/>
          <w:szCs w:val="28"/>
        </w:rPr>
        <w:t>9</w:t>
      </w:r>
      <w:r>
        <w:rPr>
          <w:rFonts w:hint="eastAsia"/>
          <w:b/>
          <w:sz w:val="28"/>
          <w:szCs w:val="28"/>
        </w:rPr>
        <w:t>.1.2环境管理体系</w:t>
      </w:r>
    </w:p>
    <w:p>
      <w:pPr>
        <w:ind w:firstLine="492"/>
        <w:rPr>
          <w:spacing w:val="3"/>
        </w:rPr>
      </w:pPr>
      <w:r>
        <w:rPr>
          <w:spacing w:val="3"/>
        </w:rPr>
        <w:t>本工程环境保护工作的相关机构可分为：管理机构和监督机构，如图</w:t>
      </w:r>
      <w:r>
        <w:rPr>
          <w:rFonts w:hint="eastAsia"/>
          <w:spacing w:val="3"/>
        </w:rPr>
        <w:t>9.1-1</w:t>
      </w:r>
      <w:r>
        <w:rPr>
          <w:spacing w:val="3"/>
        </w:rPr>
        <w:t>所示</w:t>
      </w:r>
      <w:r>
        <w:rPr>
          <w:rFonts w:hint="eastAsia"/>
          <w:spacing w:val="3"/>
        </w:rPr>
        <w:t>。</w:t>
      </w:r>
    </w:p>
    <w:p>
      <w:pPr>
        <w:pStyle w:val="185"/>
        <w:spacing w:line="360" w:lineRule="auto"/>
      </w:pPr>
      <w:r>
        <w:object>
          <v:shape id="_x0000_i1030" o:spt="75" type="#_x0000_t75" style="height:180pt;width:338.25pt;" o:ole="t" filled="f" o:preferrelative="t" stroked="f" coordsize="21600,21600">
            <v:path/>
            <v:fill on="f" focussize="0,0"/>
            <v:stroke on="f" joinstyle="miter"/>
            <v:imagedata r:id="rId107" o:title=""/>
            <o:lock v:ext="edit" aspectratio="t"/>
            <w10:wrap type="none"/>
            <w10:anchorlock/>
          </v:shape>
          <o:OLEObject Type="Embed" ProgID="Visio.Drawing.11" ShapeID="_x0000_i1030" DrawAspect="Content" ObjectID="_1468075730" r:id="rId106">
            <o:LockedField>false</o:LockedField>
          </o:OLEObject>
        </w:object>
      </w:r>
    </w:p>
    <w:p>
      <w:pPr>
        <w:adjustRightInd w:val="0"/>
        <w:snapToGrid w:val="0"/>
        <w:ind w:firstLine="0" w:firstLineChars="0"/>
        <w:jc w:val="center"/>
        <w:rPr>
          <w:b/>
          <w:sz w:val="21"/>
        </w:rPr>
      </w:pPr>
      <w:r>
        <w:rPr>
          <w:rFonts w:hint="eastAsia"/>
          <w:b/>
          <w:sz w:val="21"/>
        </w:rPr>
        <w:t>图</w:t>
      </w:r>
      <w:r>
        <w:rPr>
          <w:b/>
          <w:sz w:val="21"/>
        </w:rPr>
        <w:t>9.</w:t>
      </w:r>
      <w:r>
        <w:rPr>
          <w:rFonts w:hint="eastAsia"/>
          <w:b/>
          <w:sz w:val="21"/>
        </w:rPr>
        <w:t>1</w:t>
      </w:r>
      <w:r>
        <w:rPr>
          <w:b/>
          <w:sz w:val="21"/>
        </w:rPr>
        <w:t>-1国道G112遵化城区段改建工程环境管理体系</w:t>
      </w:r>
    </w:p>
    <w:p>
      <w:pPr>
        <w:pStyle w:val="204"/>
        <w:spacing w:line="480" w:lineRule="exact"/>
        <w:ind w:firstLine="0" w:firstLineChars="0"/>
        <w:outlineLvl w:val="2"/>
        <w:rPr>
          <w:b/>
          <w:sz w:val="28"/>
          <w:szCs w:val="28"/>
        </w:rPr>
      </w:pPr>
      <w:r>
        <w:rPr>
          <w:b/>
          <w:sz w:val="28"/>
          <w:szCs w:val="28"/>
        </w:rPr>
        <w:t>9</w:t>
      </w:r>
      <w:r>
        <w:rPr>
          <w:rFonts w:hint="eastAsia"/>
          <w:b/>
          <w:sz w:val="28"/>
          <w:szCs w:val="28"/>
        </w:rPr>
        <w:t>.1.3环境管理与监控计划</w:t>
      </w:r>
    </w:p>
    <w:p>
      <w:pPr>
        <w:ind w:firstLine="480"/>
      </w:pPr>
      <w:r>
        <w:rPr>
          <w:rFonts w:cs="宋体"/>
        </w:rPr>
        <w:t>施工期和营运期环境管理与监控计划见表</w:t>
      </w:r>
      <w:r>
        <w:rPr>
          <w:rFonts w:hint="eastAsia" w:cs="宋体"/>
        </w:rPr>
        <w:t>9.1-1、表9.1-2</w:t>
      </w:r>
      <w:r>
        <w:t>。</w:t>
      </w:r>
    </w:p>
    <w:p>
      <w:pPr>
        <w:adjustRightInd w:val="0"/>
        <w:snapToGrid w:val="0"/>
        <w:ind w:firstLine="0" w:firstLineChars="0"/>
        <w:jc w:val="center"/>
        <w:rPr>
          <w:b/>
          <w:sz w:val="21"/>
        </w:rPr>
      </w:pPr>
      <w:r>
        <w:rPr>
          <w:b/>
          <w:sz w:val="21"/>
        </w:rPr>
        <w:t>表</w:t>
      </w:r>
      <w:r>
        <w:rPr>
          <w:rFonts w:hint="eastAsia"/>
          <w:b/>
          <w:sz w:val="21"/>
        </w:rPr>
        <w:t>9.1-1</w:t>
      </w:r>
      <w:r>
        <w:rPr>
          <w:b/>
          <w:sz w:val="21"/>
        </w:rPr>
        <w:tab/>
      </w:r>
      <w:r>
        <w:rPr>
          <w:b/>
          <w:sz w:val="21"/>
        </w:rPr>
        <w:t>施工期环境管理与监控计划</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72"/>
        <w:gridCol w:w="6181"/>
        <w:gridCol w:w="709"/>
        <w:gridCol w:w="709"/>
        <w:gridCol w:w="6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rPr>
            </w:pPr>
            <w:r>
              <w:rPr>
                <w:bCs/>
                <w:sz w:val="21"/>
                <w:szCs w:val="21"/>
              </w:rPr>
              <w:t>环境</w:t>
            </w:r>
          </w:p>
          <w:p>
            <w:pPr>
              <w:pStyle w:val="675"/>
              <w:jc w:val="center"/>
              <w:rPr>
                <w:sz w:val="21"/>
                <w:szCs w:val="21"/>
              </w:rPr>
            </w:pPr>
            <w:r>
              <w:rPr>
                <w:bCs/>
                <w:sz w:val="21"/>
                <w:szCs w:val="21"/>
              </w:rPr>
              <w:t>要素</w:t>
            </w:r>
          </w:p>
        </w:tc>
        <w:tc>
          <w:tcPr>
            <w:tcW w:w="3425" w:type="pct"/>
            <w:vAlign w:val="center"/>
          </w:tcPr>
          <w:p>
            <w:pPr>
              <w:pStyle w:val="675"/>
              <w:jc w:val="center"/>
              <w:rPr>
                <w:sz w:val="21"/>
                <w:szCs w:val="21"/>
              </w:rPr>
            </w:pPr>
            <w:r>
              <w:rPr>
                <w:bCs/>
                <w:sz w:val="21"/>
                <w:szCs w:val="21"/>
              </w:rPr>
              <w:t>环境保护措施与对策</w:t>
            </w:r>
          </w:p>
        </w:tc>
        <w:tc>
          <w:tcPr>
            <w:tcW w:w="393" w:type="pct"/>
            <w:vAlign w:val="center"/>
          </w:tcPr>
          <w:p>
            <w:pPr>
              <w:pStyle w:val="675"/>
              <w:jc w:val="center"/>
              <w:rPr>
                <w:sz w:val="21"/>
                <w:szCs w:val="21"/>
              </w:rPr>
            </w:pPr>
            <w:r>
              <w:rPr>
                <w:bCs/>
                <w:sz w:val="21"/>
                <w:szCs w:val="21"/>
              </w:rPr>
              <w:t>执行</w:t>
            </w:r>
          </w:p>
          <w:p>
            <w:pPr>
              <w:pStyle w:val="675"/>
              <w:jc w:val="center"/>
              <w:rPr>
                <w:sz w:val="21"/>
                <w:szCs w:val="21"/>
              </w:rPr>
            </w:pPr>
            <w:r>
              <w:rPr>
                <w:bCs/>
                <w:sz w:val="21"/>
                <w:szCs w:val="21"/>
              </w:rPr>
              <w:t>单位</w:t>
            </w:r>
          </w:p>
        </w:tc>
        <w:tc>
          <w:tcPr>
            <w:tcW w:w="393" w:type="pct"/>
            <w:vAlign w:val="center"/>
          </w:tcPr>
          <w:p>
            <w:pPr>
              <w:pStyle w:val="675"/>
              <w:jc w:val="center"/>
              <w:rPr>
                <w:sz w:val="21"/>
                <w:szCs w:val="21"/>
              </w:rPr>
            </w:pPr>
            <w:r>
              <w:rPr>
                <w:bCs/>
                <w:sz w:val="21"/>
                <w:szCs w:val="21"/>
              </w:rPr>
              <w:t>管理</w:t>
            </w:r>
          </w:p>
          <w:p>
            <w:pPr>
              <w:pStyle w:val="675"/>
              <w:jc w:val="center"/>
              <w:rPr>
                <w:sz w:val="21"/>
                <w:szCs w:val="21"/>
              </w:rPr>
            </w:pPr>
            <w:r>
              <w:rPr>
                <w:bCs/>
                <w:sz w:val="21"/>
                <w:szCs w:val="21"/>
              </w:rPr>
              <w:t>单位</w:t>
            </w:r>
          </w:p>
        </w:tc>
        <w:tc>
          <w:tcPr>
            <w:tcW w:w="361" w:type="pct"/>
            <w:vAlign w:val="center"/>
          </w:tcPr>
          <w:p>
            <w:pPr>
              <w:pStyle w:val="675"/>
              <w:jc w:val="center"/>
              <w:rPr>
                <w:sz w:val="21"/>
                <w:szCs w:val="21"/>
              </w:rPr>
            </w:pPr>
            <w:r>
              <w:rPr>
                <w:bCs/>
                <w:sz w:val="21"/>
                <w:szCs w:val="21"/>
              </w:rPr>
              <w:t>监督</w:t>
            </w:r>
          </w:p>
          <w:p>
            <w:pPr>
              <w:pStyle w:val="675"/>
              <w:jc w:val="center"/>
              <w:rPr>
                <w:sz w:val="21"/>
                <w:szCs w:val="21"/>
              </w:rPr>
            </w:pPr>
            <w:r>
              <w:rPr>
                <w:bCs/>
                <w:sz w:val="21"/>
                <w:szCs w:val="21"/>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lang w:eastAsia="zh-CN"/>
              </w:rPr>
            </w:pPr>
            <w:r>
              <w:rPr>
                <w:sz w:val="21"/>
                <w:szCs w:val="21"/>
              </w:rPr>
              <w:t>社会</w:t>
            </w:r>
          </w:p>
          <w:p>
            <w:pPr>
              <w:pStyle w:val="675"/>
              <w:jc w:val="center"/>
              <w:rPr>
                <w:sz w:val="21"/>
                <w:szCs w:val="21"/>
              </w:rPr>
            </w:pPr>
            <w:r>
              <w:rPr>
                <w:sz w:val="21"/>
                <w:szCs w:val="21"/>
              </w:rPr>
              <w:t>环境</w:t>
            </w:r>
          </w:p>
        </w:tc>
        <w:tc>
          <w:tcPr>
            <w:tcW w:w="3425"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、统一组织交通管理；</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、路线设计应方便当地群众、动物及车辆通过；</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、施工开始前应对主要运输道路做加固改造。</w:t>
            </w:r>
          </w:p>
        </w:tc>
        <w:tc>
          <w:tcPr>
            <w:tcW w:w="393" w:type="pct"/>
            <w:vMerge w:val="restart"/>
            <w:vAlign w:val="center"/>
          </w:tcPr>
          <w:p>
            <w:pPr>
              <w:pStyle w:val="675"/>
              <w:jc w:val="center"/>
              <w:rPr>
                <w:sz w:val="21"/>
                <w:szCs w:val="21"/>
                <w:lang w:eastAsia="zh-CN"/>
              </w:rPr>
            </w:pPr>
            <w:r>
              <w:rPr>
                <w:rFonts w:hint="eastAsia"/>
                <w:sz w:val="21"/>
                <w:szCs w:val="21"/>
                <w:lang w:eastAsia="zh-CN"/>
              </w:rPr>
              <w:t>遵化市交通运输局</w:t>
            </w:r>
          </w:p>
        </w:tc>
        <w:tc>
          <w:tcPr>
            <w:tcW w:w="393" w:type="pct"/>
            <w:vMerge w:val="restart"/>
            <w:vAlign w:val="center"/>
          </w:tcPr>
          <w:p>
            <w:pPr>
              <w:pStyle w:val="675"/>
              <w:jc w:val="center"/>
              <w:rPr>
                <w:sz w:val="21"/>
                <w:szCs w:val="21"/>
                <w:lang w:eastAsia="zh-CN"/>
              </w:rPr>
            </w:pPr>
            <w:r>
              <w:rPr>
                <w:rFonts w:hint="eastAsia"/>
                <w:sz w:val="21"/>
                <w:szCs w:val="21"/>
                <w:lang w:eastAsia="zh-CN"/>
              </w:rPr>
              <w:t>遵化市交通运输局</w:t>
            </w:r>
          </w:p>
        </w:tc>
        <w:tc>
          <w:tcPr>
            <w:tcW w:w="361" w:type="pct"/>
            <w:vMerge w:val="restart"/>
            <w:vAlign w:val="center"/>
          </w:tcPr>
          <w:p>
            <w:pPr>
              <w:pStyle w:val="675"/>
              <w:jc w:val="center"/>
              <w:rPr>
                <w:sz w:val="21"/>
                <w:szCs w:val="21"/>
                <w:highlight w:val="yellow"/>
                <w:lang w:eastAsia="zh-CN"/>
              </w:rPr>
            </w:pPr>
            <w:r>
              <w:rPr>
                <w:rFonts w:hint="eastAsia"/>
                <w:sz w:val="21"/>
                <w:szCs w:val="21"/>
                <w:lang w:eastAsia="zh-CN"/>
              </w:rPr>
              <w:t>唐山市生态环境局遵化市分局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lang w:eastAsia="zh-CN"/>
              </w:rPr>
            </w:pPr>
            <w:r>
              <w:rPr>
                <w:sz w:val="21"/>
                <w:szCs w:val="21"/>
              </w:rPr>
              <w:t>生态</w:t>
            </w:r>
          </w:p>
          <w:p>
            <w:pPr>
              <w:pStyle w:val="675"/>
              <w:jc w:val="center"/>
              <w:rPr>
                <w:sz w:val="21"/>
                <w:szCs w:val="21"/>
              </w:rPr>
            </w:pPr>
            <w:r>
              <w:rPr>
                <w:sz w:val="21"/>
                <w:szCs w:val="21"/>
              </w:rPr>
              <w:t>环境</w:t>
            </w:r>
          </w:p>
        </w:tc>
        <w:tc>
          <w:tcPr>
            <w:tcW w:w="3425"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、施工生活区的生态保护措施；</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w:t>
            </w:r>
            <w:r>
              <w:rPr>
                <w:rFonts w:hint="eastAsia"/>
                <w:sz w:val="21"/>
                <w:szCs w:val="21"/>
                <w:lang w:eastAsia="zh-CN"/>
              </w:rPr>
              <w:t>施工道路区域</w:t>
            </w:r>
            <w:r>
              <w:rPr>
                <w:sz w:val="21"/>
                <w:szCs w:val="21"/>
                <w:lang w:eastAsia="zh-CN"/>
              </w:rPr>
              <w:t>治理措施：植被恢复、排水措施、挡水措施和临时防护措施；</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、防治水土流失措施：设临时拦挡、土质排水沟，做好排水及防护工程、播撒草籽；</w:t>
            </w:r>
          </w:p>
          <w:p>
            <w:pPr>
              <w:pStyle w:val="675"/>
              <w:rPr>
                <w:sz w:val="21"/>
                <w:szCs w:val="21"/>
                <w:lang w:eastAsia="zh-CN"/>
              </w:rPr>
            </w:pPr>
            <w:r>
              <w:rPr>
                <w:rFonts w:ascii="Times New Roman" w:hAnsi="Times New Roman" w:eastAsia="Times New Roman" w:cs="Times New Roman"/>
                <w:sz w:val="21"/>
                <w:szCs w:val="21"/>
                <w:lang w:eastAsia="zh-CN"/>
              </w:rPr>
              <w:t>4</w:t>
            </w:r>
            <w:r>
              <w:rPr>
                <w:sz w:val="21"/>
                <w:szCs w:val="21"/>
                <w:lang w:eastAsia="zh-CN"/>
              </w:rPr>
              <w:t>、</w:t>
            </w:r>
            <w:r>
              <w:rPr>
                <w:rFonts w:hint="eastAsia"/>
                <w:sz w:val="21"/>
                <w:szCs w:val="21"/>
                <w:lang w:eastAsia="zh-CN"/>
              </w:rPr>
              <w:t>施工道路两侧</w:t>
            </w:r>
            <w:r>
              <w:rPr>
                <w:sz w:val="21"/>
                <w:szCs w:val="21"/>
                <w:lang w:eastAsia="zh-CN"/>
              </w:rPr>
              <w:t>生态恢复措施：场地平整</w:t>
            </w:r>
            <w:r>
              <w:rPr>
                <w:rFonts w:hint="eastAsia" w:ascii="Times New Roman" w:hAnsi="Times New Roman" w:cs="Times New Roman"/>
                <w:sz w:val="21"/>
                <w:szCs w:val="21"/>
                <w:lang w:eastAsia="zh-CN"/>
              </w:rPr>
              <w:t>，</w:t>
            </w:r>
            <w:r>
              <w:rPr>
                <w:sz w:val="21"/>
                <w:szCs w:val="21"/>
                <w:lang w:eastAsia="zh-CN"/>
              </w:rPr>
              <w:t>恢复土地使用功能；</w:t>
            </w:r>
          </w:p>
          <w:p>
            <w:pPr>
              <w:pStyle w:val="675"/>
              <w:rPr>
                <w:sz w:val="21"/>
                <w:szCs w:val="21"/>
                <w:lang w:eastAsia="zh-CN"/>
              </w:rPr>
            </w:pPr>
            <w:r>
              <w:rPr>
                <w:rFonts w:hint="eastAsia" w:ascii="Times New Roman" w:hAnsi="Times New Roman" w:cs="Times New Roman"/>
                <w:sz w:val="21"/>
                <w:szCs w:val="21"/>
                <w:lang w:eastAsia="zh-CN"/>
              </w:rPr>
              <w:t>5</w:t>
            </w:r>
            <w:r>
              <w:rPr>
                <w:sz w:val="21"/>
                <w:szCs w:val="21"/>
                <w:lang w:eastAsia="zh-CN"/>
              </w:rPr>
              <w:t>、其它生态环境保护措施。</w:t>
            </w:r>
          </w:p>
        </w:tc>
        <w:tc>
          <w:tcPr>
            <w:tcW w:w="393"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1"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highlight w:val="yellow"/>
              </w:rPr>
            </w:pPr>
            <w:r>
              <w:rPr>
                <w:sz w:val="21"/>
                <w:szCs w:val="21"/>
              </w:rPr>
              <w:t>水环境</w:t>
            </w:r>
          </w:p>
        </w:tc>
        <w:tc>
          <w:tcPr>
            <w:tcW w:w="3425"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、施工人员生活区应远离河道</w:t>
            </w:r>
            <w:r>
              <w:rPr>
                <w:rFonts w:hint="eastAsia"/>
                <w:sz w:val="21"/>
                <w:szCs w:val="21"/>
                <w:lang w:eastAsia="zh-CN"/>
              </w:rPr>
              <w:t>及遵化市</w:t>
            </w:r>
            <w:r>
              <w:rPr>
                <w:rFonts w:hint="eastAsia"/>
                <w:kern w:val="24"/>
                <w:lang w:eastAsia="zh-CN"/>
              </w:rPr>
              <w:t>堡子店水源地</w:t>
            </w:r>
            <w:r>
              <w:rPr>
                <w:sz w:val="21"/>
                <w:szCs w:val="21"/>
                <w:lang w:eastAsia="zh-CN"/>
              </w:rPr>
              <w:t>，严禁向河道排放生活废物</w:t>
            </w:r>
            <w:r>
              <w:rPr>
                <w:rFonts w:hint="eastAsia"/>
                <w:sz w:val="21"/>
                <w:szCs w:val="21"/>
                <w:lang w:eastAsia="zh-CN"/>
              </w:rPr>
              <w:t>及垃圾随便丢弃</w:t>
            </w:r>
            <w:r>
              <w:rPr>
                <w:sz w:val="21"/>
                <w:szCs w:val="21"/>
                <w:lang w:eastAsia="zh-CN"/>
              </w:rPr>
              <w:t>；</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、施工废弃物要有组织地堆放，及时清运，不得弃入河道；</w:t>
            </w:r>
            <w:r>
              <w:rPr>
                <w:rFonts w:hint="eastAsia"/>
                <w:sz w:val="21"/>
                <w:szCs w:val="21"/>
                <w:lang w:eastAsia="zh-CN"/>
              </w:rPr>
              <w:t>不得在遵化市</w:t>
            </w:r>
            <w:r>
              <w:rPr>
                <w:rFonts w:hint="eastAsia"/>
                <w:kern w:val="24"/>
                <w:lang w:eastAsia="zh-CN"/>
              </w:rPr>
              <w:t>堡子店水源地范围内堆存；</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、文明安全施工，保护沿线河流的水质</w:t>
            </w:r>
            <w:r>
              <w:rPr>
                <w:rFonts w:hint="eastAsia"/>
                <w:sz w:val="21"/>
                <w:szCs w:val="21"/>
                <w:lang w:eastAsia="zh-CN"/>
              </w:rPr>
              <w:t>及遵化市</w:t>
            </w:r>
            <w:r>
              <w:rPr>
                <w:rFonts w:hint="eastAsia"/>
                <w:kern w:val="24"/>
                <w:lang w:eastAsia="zh-CN"/>
              </w:rPr>
              <w:t>堡子店</w:t>
            </w:r>
            <w:r>
              <w:rPr>
                <w:rFonts w:hint="eastAsia"/>
                <w:sz w:val="21"/>
                <w:szCs w:val="21"/>
                <w:lang w:eastAsia="zh-CN"/>
              </w:rPr>
              <w:t>水源地水质</w:t>
            </w:r>
            <w:r>
              <w:rPr>
                <w:sz w:val="21"/>
                <w:szCs w:val="21"/>
                <w:lang w:eastAsia="zh-CN"/>
              </w:rPr>
              <w:t>，禁止施工污水直接排入河渠</w:t>
            </w:r>
            <w:r>
              <w:rPr>
                <w:rFonts w:hint="eastAsia"/>
                <w:sz w:val="21"/>
                <w:szCs w:val="21"/>
                <w:lang w:eastAsia="zh-CN"/>
              </w:rPr>
              <w:t>，禁止在遵化市</w:t>
            </w:r>
            <w:r>
              <w:rPr>
                <w:rFonts w:hint="eastAsia"/>
                <w:kern w:val="24"/>
                <w:lang w:eastAsia="zh-CN"/>
              </w:rPr>
              <w:t>堡子店</w:t>
            </w:r>
            <w:r>
              <w:rPr>
                <w:rFonts w:hint="eastAsia"/>
                <w:sz w:val="21"/>
                <w:szCs w:val="21"/>
                <w:lang w:eastAsia="zh-CN"/>
              </w:rPr>
              <w:t>水源地范围内设置沉淀池等施工设施及施工材料堆存。</w:t>
            </w:r>
          </w:p>
          <w:p>
            <w:pPr>
              <w:pStyle w:val="675"/>
              <w:rPr>
                <w:sz w:val="21"/>
                <w:szCs w:val="21"/>
                <w:highlight w:val="yellow"/>
                <w:lang w:eastAsia="zh-CN"/>
              </w:rPr>
            </w:pPr>
            <w:r>
              <w:rPr>
                <w:rFonts w:ascii="Times New Roman" w:hAnsi="Times New Roman" w:eastAsia="Times New Roman" w:cs="Times New Roman"/>
                <w:sz w:val="21"/>
                <w:szCs w:val="21"/>
                <w:lang w:eastAsia="zh-CN"/>
              </w:rPr>
              <w:t>4</w:t>
            </w:r>
            <w:r>
              <w:rPr>
                <w:sz w:val="21"/>
                <w:szCs w:val="21"/>
                <w:lang w:eastAsia="zh-CN"/>
              </w:rPr>
              <w:t>、在</w:t>
            </w:r>
            <w:r>
              <w:rPr>
                <w:rFonts w:hint="eastAsia"/>
                <w:sz w:val="21"/>
                <w:szCs w:val="21"/>
                <w:lang w:eastAsia="zh-CN"/>
              </w:rPr>
              <w:t>临近河道</w:t>
            </w:r>
            <w:r>
              <w:rPr>
                <w:sz w:val="21"/>
                <w:szCs w:val="21"/>
                <w:lang w:eastAsia="zh-CN"/>
              </w:rPr>
              <w:t>施工路段，</w:t>
            </w:r>
            <w:r>
              <w:rPr>
                <w:spacing w:val="-4"/>
                <w:sz w:val="21"/>
                <w:szCs w:val="21"/>
                <w:lang w:eastAsia="zh-CN"/>
              </w:rPr>
              <w:t>施工中的废油、废沥青和其它固体废物不得倾倒或抛</w:t>
            </w:r>
            <w:r>
              <w:rPr>
                <w:sz w:val="21"/>
                <w:szCs w:val="21"/>
                <w:lang w:eastAsia="zh-CN"/>
              </w:rPr>
              <w:t>入水体，也不得堆放在</w:t>
            </w:r>
            <w:r>
              <w:rPr>
                <w:rFonts w:hint="eastAsia"/>
                <w:sz w:val="21"/>
                <w:szCs w:val="21"/>
                <w:lang w:eastAsia="zh-CN"/>
              </w:rPr>
              <w:t>遵化市</w:t>
            </w:r>
            <w:r>
              <w:rPr>
                <w:rFonts w:hint="eastAsia"/>
                <w:kern w:val="24"/>
                <w:lang w:eastAsia="zh-CN"/>
              </w:rPr>
              <w:t>堡子店</w:t>
            </w:r>
            <w:r>
              <w:rPr>
                <w:rFonts w:hint="eastAsia"/>
                <w:sz w:val="21"/>
                <w:szCs w:val="21"/>
                <w:lang w:eastAsia="zh-CN"/>
              </w:rPr>
              <w:t>水源地</w:t>
            </w:r>
            <w:r>
              <w:rPr>
                <w:sz w:val="21"/>
                <w:szCs w:val="21"/>
                <w:lang w:eastAsia="zh-CN"/>
              </w:rPr>
              <w:t>保护区范围内；</w:t>
            </w:r>
            <w:r>
              <w:rPr>
                <w:sz w:val="21"/>
                <w:szCs w:val="21"/>
                <w:highlight w:val="yellow"/>
                <w:lang w:eastAsia="zh-CN"/>
              </w:rPr>
              <w:t xml:space="preserve"> </w:t>
            </w:r>
          </w:p>
          <w:p>
            <w:pPr>
              <w:pStyle w:val="675"/>
              <w:rPr>
                <w:sz w:val="21"/>
                <w:szCs w:val="21"/>
                <w:highlight w:val="yellow"/>
                <w:lang w:eastAsia="zh-CN"/>
              </w:rPr>
            </w:pPr>
            <w:r>
              <w:rPr>
                <w:rFonts w:ascii="Times New Roman" w:hAnsi="Times New Roman" w:eastAsia="Times New Roman" w:cs="Times New Roman"/>
                <w:sz w:val="21"/>
                <w:szCs w:val="21"/>
                <w:lang w:eastAsia="zh-CN"/>
              </w:rPr>
              <w:t>5</w:t>
            </w:r>
            <w:r>
              <w:rPr>
                <w:sz w:val="21"/>
                <w:szCs w:val="21"/>
                <w:lang w:eastAsia="zh-CN"/>
              </w:rPr>
              <w:t>、施工人员的生活污水、生活垃圾的合理处置。</w:t>
            </w:r>
          </w:p>
        </w:tc>
        <w:tc>
          <w:tcPr>
            <w:tcW w:w="393"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1"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lang w:eastAsia="zh-CN"/>
              </w:rPr>
            </w:pPr>
            <w:r>
              <w:rPr>
                <w:sz w:val="21"/>
                <w:szCs w:val="21"/>
              </w:rPr>
              <w:t>大气</w:t>
            </w:r>
          </w:p>
          <w:p>
            <w:pPr>
              <w:pStyle w:val="675"/>
              <w:jc w:val="center"/>
              <w:rPr>
                <w:sz w:val="21"/>
                <w:szCs w:val="21"/>
              </w:rPr>
            </w:pPr>
            <w:r>
              <w:rPr>
                <w:sz w:val="21"/>
                <w:szCs w:val="21"/>
              </w:rPr>
              <w:t>环境</w:t>
            </w:r>
          </w:p>
        </w:tc>
        <w:tc>
          <w:tcPr>
            <w:tcW w:w="3425"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、加强对施工机械的科学管理，合理安排运行时间；</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、加强运输管理，保证汽车安全、文明、中速行驶；</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、加强汽车维护，保证汽车正常、安全运行；</w:t>
            </w:r>
          </w:p>
          <w:p>
            <w:pPr>
              <w:pStyle w:val="675"/>
              <w:rPr>
                <w:sz w:val="21"/>
                <w:szCs w:val="21"/>
                <w:lang w:eastAsia="zh-CN"/>
              </w:rPr>
            </w:pPr>
            <w:r>
              <w:rPr>
                <w:rFonts w:ascii="Times New Roman" w:hAnsi="Times New Roman" w:eastAsia="Times New Roman" w:cs="Times New Roman"/>
                <w:sz w:val="21"/>
                <w:szCs w:val="21"/>
                <w:lang w:eastAsia="zh-CN"/>
              </w:rPr>
              <w:t>4</w:t>
            </w:r>
            <w:r>
              <w:rPr>
                <w:sz w:val="21"/>
                <w:szCs w:val="21"/>
                <w:lang w:eastAsia="zh-CN"/>
              </w:rPr>
              <w:t>、科学选择运输路线，运输道路应定时洒水，每天至少两次；</w:t>
            </w:r>
          </w:p>
          <w:p>
            <w:pPr>
              <w:pStyle w:val="675"/>
              <w:rPr>
                <w:sz w:val="21"/>
                <w:szCs w:val="21"/>
                <w:lang w:eastAsia="zh-CN"/>
              </w:rPr>
            </w:pPr>
            <w:r>
              <w:rPr>
                <w:rFonts w:ascii="Times New Roman" w:hAnsi="Times New Roman" w:eastAsia="Times New Roman" w:cs="Times New Roman"/>
                <w:sz w:val="21"/>
                <w:szCs w:val="21"/>
                <w:lang w:eastAsia="zh-CN"/>
              </w:rPr>
              <w:t>5</w:t>
            </w:r>
            <w:r>
              <w:rPr>
                <w:sz w:val="21"/>
                <w:szCs w:val="21"/>
                <w:lang w:eastAsia="zh-CN"/>
              </w:rPr>
              <w:t>、运送散装含尘物料的车辆，要用蓬布苫盖，以防物料飞扬；</w:t>
            </w:r>
          </w:p>
          <w:p>
            <w:pPr>
              <w:pStyle w:val="675"/>
              <w:rPr>
                <w:sz w:val="21"/>
                <w:szCs w:val="21"/>
                <w:lang w:eastAsia="zh-CN"/>
              </w:rPr>
            </w:pPr>
            <w:r>
              <w:rPr>
                <w:rFonts w:ascii="Times New Roman" w:hAnsi="Times New Roman" w:eastAsia="Times New Roman" w:cs="Times New Roman"/>
                <w:sz w:val="21"/>
                <w:szCs w:val="21"/>
                <w:lang w:eastAsia="zh-CN"/>
              </w:rPr>
              <w:t>6</w:t>
            </w:r>
            <w:r>
              <w:rPr>
                <w:sz w:val="21"/>
                <w:szCs w:val="21"/>
                <w:lang w:eastAsia="zh-CN"/>
              </w:rPr>
              <w:t>、筑路材料堆放地点选在环境敏感点下风向，遇恶劣天气加蓬覆盖；</w:t>
            </w:r>
          </w:p>
          <w:p>
            <w:pPr>
              <w:pStyle w:val="675"/>
              <w:rPr>
                <w:sz w:val="21"/>
                <w:szCs w:val="21"/>
                <w:lang w:eastAsia="zh-CN"/>
              </w:rPr>
            </w:pPr>
            <w:r>
              <w:rPr>
                <w:rFonts w:ascii="Times New Roman" w:hAnsi="Times New Roman" w:eastAsia="Times New Roman" w:cs="Times New Roman"/>
                <w:sz w:val="21"/>
                <w:szCs w:val="21"/>
                <w:lang w:eastAsia="zh-CN"/>
              </w:rPr>
              <w:t>7</w:t>
            </w:r>
            <w:r>
              <w:rPr>
                <w:sz w:val="21"/>
                <w:szCs w:val="21"/>
                <w:lang w:eastAsia="zh-CN"/>
              </w:rPr>
              <w:t>、拆迁建筑物时，必须采用围挡隔离、洒水抑尘等措施；</w:t>
            </w:r>
          </w:p>
        </w:tc>
        <w:tc>
          <w:tcPr>
            <w:tcW w:w="393"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1"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8" w:type="pct"/>
            <w:vAlign w:val="center"/>
          </w:tcPr>
          <w:p>
            <w:pPr>
              <w:pStyle w:val="675"/>
              <w:jc w:val="center"/>
              <w:rPr>
                <w:sz w:val="21"/>
                <w:szCs w:val="21"/>
                <w:lang w:eastAsia="zh-CN"/>
              </w:rPr>
            </w:pPr>
            <w:r>
              <w:rPr>
                <w:rFonts w:hint="eastAsia"/>
                <w:sz w:val="21"/>
                <w:szCs w:val="21"/>
                <w:lang w:eastAsia="zh-CN"/>
              </w:rPr>
              <w:t>声环境</w:t>
            </w:r>
          </w:p>
        </w:tc>
        <w:tc>
          <w:tcPr>
            <w:tcW w:w="3425"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、施工</w:t>
            </w:r>
            <w:r>
              <w:rPr>
                <w:rFonts w:hint="eastAsia"/>
                <w:sz w:val="21"/>
                <w:szCs w:val="21"/>
                <w:lang w:eastAsia="zh-CN"/>
              </w:rPr>
              <w:t>生活区</w:t>
            </w:r>
            <w:r>
              <w:rPr>
                <w:sz w:val="21"/>
                <w:szCs w:val="21"/>
                <w:lang w:eastAsia="zh-CN"/>
              </w:rPr>
              <w:t>应远离环境保护目标；</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、合理安排施工时间，减少施工噪声影响时间；</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、施工中注意选用效率高、噪声低的机械设备，并注意维修养护和正确使用；</w:t>
            </w:r>
          </w:p>
          <w:p>
            <w:pPr>
              <w:pStyle w:val="675"/>
              <w:rPr>
                <w:sz w:val="21"/>
                <w:szCs w:val="21"/>
                <w:lang w:eastAsia="zh-CN"/>
              </w:rPr>
            </w:pPr>
            <w:r>
              <w:rPr>
                <w:rFonts w:ascii="Times New Roman" w:hAnsi="Times New Roman" w:eastAsia="Times New Roman" w:cs="Times New Roman"/>
                <w:sz w:val="21"/>
                <w:szCs w:val="21"/>
                <w:lang w:eastAsia="zh-CN"/>
              </w:rPr>
              <w:t>4</w:t>
            </w:r>
            <w:r>
              <w:rPr>
                <w:sz w:val="21"/>
                <w:szCs w:val="21"/>
                <w:lang w:eastAsia="zh-CN"/>
              </w:rPr>
              <w:t>、在路线近距内有学校的路段，施工单位应与校方协商大型机械施工作业时间，尽量利用假期施工；</w:t>
            </w:r>
          </w:p>
          <w:p>
            <w:pPr>
              <w:pStyle w:val="675"/>
              <w:rPr>
                <w:sz w:val="21"/>
                <w:szCs w:val="21"/>
                <w:lang w:eastAsia="zh-CN"/>
              </w:rPr>
            </w:pPr>
            <w:r>
              <w:rPr>
                <w:rFonts w:ascii="Times New Roman" w:hAnsi="Times New Roman" w:eastAsia="Times New Roman" w:cs="Times New Roman"/>
                <w:sz w:val="21"/>
                <w:szCs w:val="21"/>
                <w:lang w:eastAsia="zh-CN"/>
              </w:rPr>
              <w:t>5</w:t>
            </w:r>
            <w:r>
              <w:rPr>
                <w:sz w:val="21"/>
                <w:szCs w:val="21"/>
                <w:lang w:eastAsia="zh-CN"/>
              </w:rPr>
              <w:t>、推土机、挖掘机等强噪声源设备的操作人员应配备耳塞，加强防护；</w:t>
            </w:r>
          </w:p>
          <w:p>
            <w:pPr>
              <w:pStyle w:val="675"/>
              <w:rPr>
                <w:sz w:val="21"/>
                <w:szCs w:val="21"/>
                <w:lang w:eastAsia="zh-CN"/>
              </w:rPr>
            </w:pPr>
            <w:r>
              <w:rPr>
                <w:rFonts w:ascii="Times New Roman" w:hAnsi="Times New Roman" w:eastAsia="Times New Roman" w:cs="Times New Roman"/>
                <w:sz w:val="21"/>
                <w:szCs w:val="21"/>
                <w:lang w:eastAsia="zh-CN"/>
              </w:rPr>
              <w:t>6</w:t>
            </w:r>
            <w:r>
              <w:rPr>
                <w:sz w:val="21"/>
                <w:szCs w:val="21"/>
                <w:lang w:eastAsia="zh-CN"/>
              </w:rPr>
              <w:t>、选择主要运输道路应尽可能远离村镇、学校和医院等敏感点；</w:t>
            </w:r>
          </w:p>
          <w:p>
            <w:pPr>
              <w:pStyle w:val="675"/>
              <w:rPr>
                <w:rFonts w:ascii="Times New Roman" w:hAnsi="Times New Roman" w:eastAsia="Times New Roman" w:cs="Times New Roman"/>
                <w:sz w:val="21"/>
                <w:szCs w:val="21"/>
                <w:lang w:eastAsia="zh-CN"/>
              </w:rPr>
            </w:pPr>
            <w:r>
              <w:rPr>
                <w:rFonts w:ascii="Times New Roman" w:hAnsi="Times New Roman" w:eastAsia="Times New Roman" w:cs="Times New Roman"/>
                <w:spacing w:val="-4"/>
                <w:sz w:val="21"/>
                <w:szCs w:val="21"/>
                <w:lang w:eastAsia="zh-CN"/>
              </w:rPr>
              <w:t>7</w:t>
            </w:r>
            <w:r>
              <w:rPr>
                <w:spacing w:val="-4"/>
                <w:sz w:val="21"/>
                <w:szCs w:val="21"/>
                <w:lang w:eastAsia="zh-CN"/>
              </w:rPr>
              <w:t>、地方道路交通高峰时间停止或减少施工运输车辆运行。</w:t>
            </w:r>
          </w:p>
        </w:tc>
        <w:tc>
          <w:tcPr>
            <w:tcW w:w="393"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1" w:type="pct"/>
            <w:vMerge w:val="continue"/>
            <w:vAlign w:val="center"/>
          </w:tcPr>
          <w:p>
            <w:pPr>
              <w:spacing w:line="240" w:lineRule="auto"/>
              <w:ind w:firstLine="0" w:firstLineChars="0"/>
              <w:jc w:val="center"/>
              <w:rPr>
                <w:kern w:val="0"/>
                <w:szCs w:val="22"/>
                <w:highlight w:val="yellow"/>
              </w:rPr>
            </w:pPr>
          </w:p>
        </w:tc>
      </w:tr>
    </w:tbl>
    <w:p>
      <w:pPr>
        <w:ind w:firstLine="0" w:firstLineChars="0"/>
        <w:jc w:val="center"/>
        <w:rPr>
          <w:b/>
          <w:sz w:val="21"/>
        </w:rPr>
      </w:pPr>
      <w:r>
        <w:rPr>
          <w:b/>
          <w:sz w:val="21"/>
        </w:rPr>
        <w:t>表</w:t>
      </w:r>
      <w:r>
        <w:rPr>
          <w:rFonts w:hint="eastAsia"/>
          <w:b/>
          <w:sz w:val="21"/>
        </w:rPr>
        <w:t xml:space="preserve">9.1-2 </w:t>
      </w:r>
      <w:r>
        <w:rPr>
          <w:b/>
          <w:sz w:val="21"/>
        </w:rPr>
        <w:t>营运期环境管理与监控计划</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47"/>
        <w:gridCol w:w="6207"/>
        <w:gridCol w:w="711"/>
        <w:gridCol w:w="709"/>
        <w:gridCol w:w="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rPr>
            </w:pPr>
            <w:r>
              <w:rPr>
                <w:bCs/>
                <w:sz w:val="21"/>
                <w:szCs w:val="21"/>
              </w:rPr>
              <w:t>环境</w:t>
            </w:r>
          </w:p>
          <w:p>
            <w:pPr>
              <w:pStyle w:val="675"/>
              <w:jc w:val="center"/>
              <w:rPr>
                <w:sz w:val="21"/>
                <w:szCs w:val="21"/>
              </w:rPr>
            </w:pPr>
            <w:r>
              <w:rPr>
                <w:bCs/>
                <w:sz w:val="21"/>
                <w:szCs w:val="21"/>
              </w:rPr>
              <w:t>要素</w:t>
            </w:r>
          </w:p>
        </w:tc>
        <w:tc>
          <w:tcPr>
            <w:tcW w:w="3439" w:type="pct"/>
            <w:vAlign w:val="center"/>
          </w:tcPr>
          <w:p>
            <w:pPr>
              <w:pStyle w:val="675"/>
              <w:jc w:val="center"/>
              <w:rPr>
                <w:sz w:val="21"/>
                <w:szCs w:val="21"/>
              </w:rPr>
            </w:pPr>
            <w:r>
              <w:rPr>
                <w:bCs/>
                <w:sz w:val="21"/>
                <w:szCs w:val="21"/>
              </w:rPr>
              <w:t>环境保护措施与对策</w:t>
            </w:r>
          </w:p>
        </w:tc>
        <w:tc>
          <w:tcPr>
            <w:tcW w:w="394" w:type="pct"/>
            <w:vAlign w:val="center"/>
          </w:tcPr>
          <w:p>
            <w:pPr>
              <w:pStyle w:val="675"/>
              <w:jc w:val="center"/>
              <w:rPr>
                <w:sz w:val="21"/>
                <w:szCs w:val="21"/>
              </w:rPr>
            </w:pPr>
            <w:r>
              <w:rPr>
                <w:bCs/>
                <w:sz w:val="21"/>
                <w:szCs w:val="21"/>
              </w:rPr>
              <w:t>执行</w:t>
            </w:r>
          </w:p>
          <w:p>
            <w:pPr>
              <w:pStyle w:val="675"/>
              <w:jc w:val="center"/>
              <w:rPr>
                <w:sz w:val="21"/>
                <w:szCs w:val="21"/>
              </w:rPr>
            </w:pPr>
            <w:r>
              <w:rPr>
                <w:bCs/>
                <w:sz w:val="21"/>
                <w:szCs w:val="21"/>
              </w:rPr>
              <w:t>单位</w:t>
            </w:r>
          </w:p>
        </w:tc>
        <w:tc>
          <w:tcPr>
            <w:tcW w:w="393" w:type="pct"/>
            <w:vAlign w:val="center"/>
          </w:tcPr>
          <w:p>
            <w:pPr>
              <w:pStyle w:val="675"/>
              <w:jc w:val="center"/>
              <w:rPr>
                <w:sz w:val="21"/>
                <w:szCs w:val="21"/>
              </w:rPr>
            </w:pPr>
            <w:r>
              <w:rPr>
                <w:bCs/>
                <w:sz w:val="21"/>
                <w:szCs w:val="21"/>
              </w:rPr>
              <w:t>管理</w:t>
            </w:r>
          </w:p>
          <w:p>
            <w:pPr>
              <w:pStyle w:val="675"/>
              <w:jc w:val="center"/>
              <w:rPr>
                <w:sz w:val="21"/>
                <w:szCs w:val="21"/>
              </w:rPr>
            </w:pPr>
            <w:r>
              <w:rPr>
                <w:bCs/>
                <w:sz w:val="21"/>
                <w:szCs w:val="21"/>
              </w:rPr>
              <w:t>单位</w:t>
            </w:r>
          </w:p>
        </w:tc>
        <w:tc>
          <w:tcPr>
            <w:tcW w:w="360" w:type="pct"/>
            <w:vAlign w:val="center"/>
          </w:tcPr>
          <w:p>
            <w:pPr>
              <w:pStyle w:val="675"/>
              <w:jc w:val="center"/>
              <w:rPr>
                <w:sz w:val="21"/>
                <w:szCs w:val="21"/>
              </w:rPr>
            </w:pPr>
            <w:r>
              <w:rPr>
                <w:bCs/>
                <w:sz w:val="21"/>
                <w:szCs w:val="21"/>
              </w:rPr>
              <w:t>监督</w:t>
            </w:r>
          </w:p>
          <w:p>
            <w:pPr>
              <w:pStyle w:val="675"/>
              <w:jc w:val="center"/>
              <w:rPr>
                <w:sz w:val="21"/>
                <w:szCs w:val="21"/>
              </w:rPr>
            </w:pPr>
            <w:r>
              <w:rPr>
                <w:bCs/>
                <w:sz w:val="21"/>
                <w:szCs w:val="21"/>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lang w:eastAsia="zh-CN"/>
              </w:rPr>
            </w:pPr>
            <w:r>
              <w:rPr>
                <w:sz w:val="21"/>
                <w:szCs w:val="21"/>
              </w:rPr>
              <w:t>生态</w:t>
            </w:r>
          </w:p>
          <w:p>
            <w:pPr>
              <w:pStyle w:val="675"/>
              <w:jc w:val="center"/>
              <w:rPr>
                <w:sz w:val="21"/>
                <w:szCs w:val="21"/>
              </w:rPr>
            </w:pPr>
            <w:r>
              <w:rPr>
                <w:sz w:val="21"/>
                <w:szCs w:val="21"/>
              </w:rPr>
              <w:t>环境</w:t>
            </w:r>
          </w:p>
        </w:tc>
        <w:tc>
          <w:tcPr>
            <w:tcW w:w="3439"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、生态环境恢复措施：恢复植被、施工</w:t>
            </w:r>
            <w:r>
              <w:rPr>
                <w:rFonts w:hint="eastAsia"/>
                <w:sz w:val="21"/>
                <w:szCs w:val="21"/>
                <w:lang w:eastAsia="zh-CN"/>
              </w:rPr>
              <w:t>区域周边</w:t>
            </w:r>
            <w:r>
              <w:rPr>
                <w:sz w:val="21"/>
                <w:szCs w:val="21"/>
                <w:lang w:eastAsia="zh-CN"/>
              </w:rPr>
              <w:t>整治等；</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、加强公路两侧的绿化。</w:t>
            </w:r>
          </w:p>
        </w:tc>
        <w:tc>
          <w:tcPr>
            <w:tcW w:w="394" w:type="pct"/>
            <w:vMerge w:val="restart"/>
            <w:vAlign w:val="center"/>
          </w:tcPr>
          <w:p>
            <w:pPr>
              <w:pStyle w:val="675"/>
              <w:jc w:val="center"/>
              <w:rPr>
                <w:sz w:val="21"/>
                <w:szCs w:val="21"/>
                <w:lang w:eastAsia="zh-CN"/>
              </w:rPr>
            </w:pPr>
            <w:r>
              <w:rPr>
                <w:rFonts w:hint="eastAsia"/>
                <w:sz w:val="21"/>
                <w:szCs w:val="21"/>
                <w:lang w:eastAsia="zh-CN"/>
              </w:rPr>
              <w:t>遵化市交通运输局</w:t>
            </w:r>
          </w:p>
        </w:tc>
        <w:tc>
          <w:tcPr>
            <w:tcW w:w="393" w:type="pct"/>
            <w:vMerge w:val="restart"/>
            <w:vAlign w:val="center"/>
          </w:tcPr>
          <w:p>
            <w:pPr>
              <w:pStyle w:val="675"/>
              <w:jc w:val="center"/>
              <w:rPr>
                <w:sz w:val="21"/>
                <w:szCs w:val="21"/>
                <w:lang w:eastAsia="zh-CN"/>
              </w:rPr>
            </w:pPr>
            <w:r>
              <w:rPr>
                <w:rFonts w:hint="eastAsia"/>
                <w:sz w:val="21"/>
                <w:szCs w:val="21"/>
                <w:lang w:eastAsia="zh-CN"/>
              </w:rPr>
              <w:t>遵化市交通运输局</w:t>
            </w:r>
          </w:p>
        </w:tc>
        <w:tc>
          <w:tcPr>
            <w:tcW w:w="360" w:type="pct"/>
            <w:vMerge w:val="restart"/>
            <w:vAlign w:val="center"/>
          </w:tcPr>
          <w:p>
            <w:pPr>
              <w:pStyle w:val="675"/>
              <w:jc w:val="center"/>
              <w:rPr>
                <w:sz w:val="21"/>
                <w:szCs w:val="21"/>
                <w:highlight w:val="yellow"/>
                <w:lang w:eastAsia="zh-CN"/>
              </w:rPr>
            </w:pPr>
            <w:r>
              <w:rPr>
                <w:rFonts w:hint="eastAsia"/>
                <w:sz w:val="21"/>
                <w:szCs w:val="21"/>
                <w:lang w:eastAsia="zh-CN"/>
              </w:rPr>
              <w:t>唐山市生态环境局遵化市分局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rPr>
            </w:pPr>
            <w:r>
              <w:rPr>
                <w:sz w:val="21"/>
                <w:szCs w:val="21"/>
              </w:rPr>
              <w:t>水环境</w:t>
            </w:r>
          </w:p>
        </w:tc>
        <w:tc>
          <w:tcPr>
            <w:tcW w:w="3439" w:type="pct"/>
            <w:vAlign w:val="center"/>
          </w:tcPr>
          <w:p>
            <w:pPr>
              <w:pStyle w:val="675"/>
              <w:rPr>
                <w:sz w:val="21"/>
                <w:szCs w:val="21"/>
                <w:lang w:eastAsia="zh-CN"/>
              </w:rPr>
            </w:pPr>
            <w:r>
              <w:rPr>
                <w:rFonts w:hint="eastAsia"/>
                <w:sz w:val="21"/>
                <w:szCs w:val="21"/>
                <w:lang w:eastAsia="zh-CN"/>
              </w:rPr>
              <w:t>清水河大桥、沙河大桥、黎河大桥</w:t>
            </w:r>
            <w:r>
              <w:rPr>
                <w:sz w:val="21"/>
                <w:szCs w:val="21"/>
                <w:lang w:eastAsia="zh-CN"/>
              </w:rPr>
              <w:t>设置防撞护栏、桥面径流收集系统及事故池</w:t>
            </w:r>
            <w:r>
              <w:rPr>
                <w:rFonts w:hint="eastAsia"/>
                <w:sz w:val="21"/>
                <w:szCs w:val="21"/>
                <w:lang w:eastAsia="zh-CN"/>
              </w:rPr>
              <w:t>；</w:t>
            </w:r>
            <w:r>
              <w:rPr>
                <w:rFonts w:ascii="Times New Roman" w:cs="Times New Roman"/>
                <w:kern w:val="2"/>
                <w:sz w:val="21"/>
                <w:szCs w:val="21"/>
                <w:lang w:eastAsia="zh-CN"/>
              </w:rPr>
              <w:t>临近</w:t>
            </w:r>
            <w:r>
              <w:rPr>
                <w:rFonts w:hint="eastAsia"/>
                <w:szCs w:val="24"/>
                <w:lang w:eastAsia="zh-CN"/>
              </w:rPr>
              <w:t>冷咀头河</w:t>
            </w:r>
            <w:r>
              <w:rPr>
                <w:rFonts w:ascii="Times New Roman" w:cs="Times New Roman"/>
                <w:kern w:val="2"/>
                <w:sz w:val="21"/>
                <w:szCs w:val="21"/>
                <w:lang w:eastAsia="zh-CN"/>
              </w:rPr>
              <w:t>路段设置岸边防撞护栏</w:t>
            </w:r>
            <w:r>
              <w:rPr>
                <w:rFonts w:hint="eastAsia" w:ascii="Times New Roman" w:cs="Times New Roman"/>
                <w:kern w:val="2"/>
                <w:sz w:val="21"/>
                <w:szCs w:val="21"/>
                <w:lang w:eastAsia="zh-CN"/>
              </w:rPr>
              <w:t>，</w:t>
            </w:r>
            <w:r>
              <w:rPr>
                <w:sz w:val="21"/>
                <w:szCs w:val="21"/>
                <w:lang w:eastAsia="zh-CN"/>
              </w:rPr>
              <w:t>防止突发事故对河流水体的污染。</w:t>
            </w:r>
          </w:p>
        </w:tc>
        <w:tc>
          <w:tcPr>
            <w:tcW w:w="394"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0"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lang w:eastAsia="zh-CN"/>
              </w:rPr>
            </w:pPr>
            <w:r>
              <w:rPr>
                <w:sz w:val="21"/>
                <w:szCs w:val="21"/>
              </w:rPr>
              <w:t>大气</w:t>
            </w:r>
          </w:p>
          <w:p>
            <w:pPr>
              <w:pStyle w:val="675"/>
              <w:jc w:val="center"/>
              <w:rPr>
                <w:sz w:val="21"/>
                <w:szCs w:val="21"/>
              </w:rPr>
            </w:pPr>
            <w:r>
              <w:rPr>
                <w:sz w:val="21"/>
                <w:szCs w:val="21"/>
              </w:rPr>
              <w:t>环境</w:t>
            </w:r>
          </w:p>
        </w:tc>
        <w:tc>
          <w:tcPr>
            <w:tcW w:w="3439"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、严格执行国家制定的尾气排放标准，对路线上机动车辆尾气进行监测，超标车辆禁止上路。</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、加强公路两侧绿化。</w:t>
            </w:r>
          </w:p>
          <w:p>
            <w:pPr>
              <w:pStyle w:val="675"/>
              <w:rPr>
                <w:sz w:val="21"/>
                <w:szCs w:val="21"/>
                <w:lang w:eastAsia="zh-CN"/>
              </w:rPr>
            </w:pPr>
            <w:r>
              <w:rPr>
                <w:rFonts w:ascii="Times New Roman" w:hAnsi="Times New Roman" w:eastAsia="Times New Roman" w:cs="Times New Roman"/>
                <w:spacing w:val="-3"/>
                <w:sz w:val="21"/>
                <w:szCs w:val="21"/>
                <w:lang w:eastAsia="zh-CN"/>
              </w:rPr>
              <w:t>3</w:t>
            </w:r>
            <w:r>
              <w:rPr>
                <w:spacing w:val="-3"/>
                <w:sz w:val="21"/>
                <w:szCs w:val="21"/>
                <w:lang w:eastAsia="zh-CN"/>
              </w:rPr>
              <w:t>、加强道路管理及路面养护，保持道路良好营运状态，</w:t>
            </w:r>
            <w:r>
              <w:rPr>
                <w:sz w:val="21"/>
                <w:szCs w:val="21"/>
                <w:lang w:eastAsia="zh-CN"/>
              </w:rPr>
              <w:t>减少塞车现象发生。</w:t>
            </w:r>
          </w:p>
        </w:tc>
        <w:tc>
          <w:tcPr>
            <w:tcW w:w="394"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0"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rPr>
            </w:pPr>
            <w:r>
              <w:rPr>
                <w:sz w:val="21"/>
                <w:szCs w:val="21"/>
              </w:rPr>
              <w:t>声环境</w:t>
            </w:r>
          </w:p>
        </w:tc>
        <w:tc>
          <w:tcPr>
            <w:tcW w:w="3439" w:type="pct"/>
            <w:vAlign w:val="center"/>
          </w:tcPr>
          <w:p>
            <w:pPr>
              <w:pStyle w:val="675"/>
              <w:rPr>
                <w:sz w:val="21"/>
                <w:szCs w:val="21"/>
                <w:lang w:eastAsia="zh-CN"/>
              </w:rPr>
            </w:pPr>
            <w:r>
              <w:rPr>
                <w:rFonts w:ascii="Times New Roman" w:hAnsi="Times New Roman" w:eastAsia="Times New Roman" w:cs="Times New Roman"/>
                <w:sz w:val="21"/>
                <w:szCs w:val="21"/>
                <w:lang w:eastAsia="zh-CN"/>
              </w:rPr>
              <w:t>1</w:t>
            </w:r>
            <w:r>
              <w:rPr>
                <w:sz w:val="21"/>
                <w:szCs w:val="21"/>
                <w:lang w:eastAsia="zh-CN"/>
              </w:rPr>
              <w:t>、在公路两侧利用沟渠及闲散空地绿化；</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、对处在声环境敏感地区的路段，要有限速、禁止鸣喇叭等限制噪声的规定。</w:t>
            </w:r>
          </w:p>
          <w:p>
            <w:pPr>
              <w:pStyle w:val="675"/>
              <w:rPr>
                <w:sz w:val="21"/>
                <w:szCs w:val="21"/>
                <w:lang w:eastAsia="zh-CN"/>
              </w:rPr>
            </w:pPr>
            <w:r>
              <w:rPr>
                <w:rFonts w:ascii="Times New Roman" w:hAnsi="Times New Roman" w:eastAsia="Times New Roman" w:cs="Times New Roman"/>
                <w:sz w:val="21"/>
                <w:szCs w:val="21"/>
                <w:lang w:eastAsia="zh-CN"/>
              </w:rPr>
              <w:t>3</w:t>
            </w:r>
            <w:r>
              <w:rPr>
                <w:sz w:val="21"/>
                <w:szCs w:val="21"/>
                <w:lang w:eastAsia="zh-CN"/>
              </w:rPr>
              <w:t>、根据对项目沿线环境敏感点的位置、规模的调查结</w:t>
            </w:r>
            <w:r>
              <w:rPr>
                <w:spacing w:val="-3"/>
                <w:sz w:val="21"/>
                <w:szCs w:val="21"/>
                <w:lang w:eastAsia="zh-CN"/>
              </w:rPr>
              <w:t>果，结合公路噪声对其影响的程度、范围及其敏感程度和保护要求依据营运期噪声预测结果，执行拟建公路沿</w:t>
            </w:r>
            <w:r>
              <w:rPr>
                <w:sz w:val="21"/>
                <w:szCs w:val="21"/>
                <w:lang w:eastAsia="zh-CN"/>
              </w:rPr>
              <w:t>线敏感点噪声污染防治措施的建议方案。</w:t>
            </w:r>
          </w:p>
          <w:p>
            <w:pPr>
              <w:pStyle w:val="675"/>
              <w:rPr>
                <w:sz w:val="21"/>
                <w:szCs w:val="21"/>
                <w:lang w:eastAsia="zh-CN"/>
              </w:rPr>
            </w:pPr>
            <w:r>
              <w:rPr>
                <w:rFonts w:ascii="Times New Roman" w:hAnsi="Times New Roman" w:eastAsia="Times New Roman" w:cs="Times New Roman"/>
                <w:sz w:val="21"/>
                <w:szCs w:val="21"/>
                <w:lang w:eastAsia="zh-CN"/>
              </w:rPr>
              <w:t>4</w:t>
            </w:r>
            <w:r>
              <w:rPr>
                <w:sz w:val="21"/>
                <w:szCs w:val="21"/>
                <w:lang w:eastAsia="zh-CN"/>
              </w:rPr>
              <w:t>、本报告书确定的噪声影响较大范围内不再新建居民区、学校、医院等环境敏感设施。</w:t>
            </w:r>
          </w:p>
        </w:tc>
        <w:tc>
          <w:tcPr>
            <w:tcW w:w="394"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0" w:type="pct"/>
            <w:vMerge w:val="continue"/>
            <w:vAlign w:val="center"/>
          </w:tcPr>
          <w:p>
            <w:pPr>
              <w:spacing w:line="240" w:lineRule="auto"/>
              <w:ind w:firstLine="0" w:firstLineChars="0"/>
              <w:jc w:val="center"/>
              <w:rPr>
                <w:kern w:val="0"/>
                <w:szCs w:val="22"/>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14" w:type="pct"/>
            <w:vAlign w:val="center"/>
          </w:tcPr>
          <w:p>
            <w:pPr>
              <w:pStyle w:val="675"/>
              <w:jc w:val="center"/>
              <w:rPr>
                <w:sz w:val="21"/>
                <w:szCs w:val="21"/>
              </w:rPr>
            </w:pPr>
            <w:r>
              <w:rPr>
                <w:sz w:val="21"/>
                <w:szCs w:val="21"/>
              </w:rPr>
              <w:t>危险品运输</w:t>
            </w:r>
          </w:p>
        </w:tc>
        <w:tc>
          <w:tcPr>
            <w:tcW w:w="3439" w:type="pct"/>
            <w:vAlign w:val="center"/>
          </w:tcPr>
          <w:p>
            <w:pPr>
              <w:pStyle w:val="675"/>
              <w:rPr>
                <w:rFonts w:ascii="Times New Roman" w:cs="Times New Roman"/>
                <w:kern w:val="2"/>
                <w:sz w:val="21"/>
                <w:szCs w:val="21"/>
                <w:lang w:eastAsia="zh-CN"/>
              </w:rPr>
            </w:pPr>
            <w:r>
              <w:rPr>
                <w:rFonts w:ascii="Times New Roman" w:hAnsi="Times New Roman" w:eastAsia="Times New Roman" w:cs="Times New Roman"/>
                <w:spacing w:val="-3"/>
                <w:sz w:val="21"/>
                <w:szCs w:val="21"/>
                <w:lang w:eastAsia="zh-CN"/>
              </w:rPr>
              <w:t>1</w:t>
            </w:r>
            <w:r>
              <w:rPr>
                <w:spacing w:val="-3"/>
                <w:sz w:val="21"/>
                <w:szCs w:val="21"/>
                <w:lang w:eastAsia="zh-CN"/>
              </w:rPr>
              <w:t>、</w:t>
            </w:r>
            <w:r>
              <w:rPr>
                <w:rFonts w:hint="eastAsia"/>
                <w:sz w:val="21"/>
                <w:szCs w:val="21"/>
                <w:lang w:eastAsia="zh-CN"/>
              </w:rPr>
              <w:t>清水河大桥、沙河大桥、黎河大桥</w:t>
            </w:r>
            <w:r>
              <w:rPr>
                <w:spacing w:val="-3"/>
                <w:sz w:val="21"/>
                <w:szCs w:val="21"/>
                <w:lang w:eastAsia="zh-CN"/>
              </w:rPr>
              <w:t>设置防撞护栏，加装防落网，</w:t>
            </w:r>
            <w:r>
              <w:rPr>
                <w:sz w:val="21"/>
                <w:szCs w:val="21"/>
                <w:lang w:eastAsia="zh-CN"/>
              </w:rPr>
              <w:t>设置防渗事故池并设收集系统；</w:t>
            </w:r>
            <w:r>
              <w:rPr>
                <w:rFonts w:ascii="Times New Roman" w:cs="Times New Roman"/>
                <w:kern w:val="2"/>
                <w:sz w:val="21"/>
                <w:szCs w:val="21"/>
                <w:lang w:eastAsia="zh-CN"/>
              </w:rPr>
              <w:t>临近</w:t>
            </w:r>
            <w:r>
              <w:rPr>
                <w:rFonts w:hint="eastAsia"/>
                <w:szCs w:val="24"/>
                <w:lang w:eastAsia="zh-CN"/>
              </w:rPr>
              <w:t>冷咀头河</w:t>
            </w:r>
            <w:r>
              <w:rPr>
                <w:rFonts w:ascii="Times New Roman" w:cs="Times New Roman"/>
                <w:kern w:val="2"/>
                <w:sz w:val="21"/>
                <w:szCs w:val="21"/>
                <w:lang w:eastAsia="zh-CN"/>
              </w:rPr>
              <w:t>路段设置岸边防撞护栏</w:t>
            </w:r>
          </w:p>
          <w:p>
            <w:pPr>
              <w:pStyle w:val="675"/>
              <w:rPr>
                <w:sz w:val="21"/>
                <w:szCs w:val="21"/>
                <w:lang w:eastAsia="zh-CN"/>
              </w:rPr>
            </w:pPr>
            <w:r>
              <w:rPr>
                <w:rFonts w:ascii="Times New Roman" w:hAnsi="Times New Roman" w:eastAsia="Times New Roman" w:cs="Times New Roman"/>
                <w:sz w:val="21"/>
                <w:szCs w:val="21"/>
                <w:lang w:eastAsia="zh-CN"/>
              </w:rPr>
              <w:t>2</w:t>
            </w:r>
            <w:r>
              <w:rPr>
                <w:sz w:val="21"/>
                <w:szCs w:val="21"/>
                <w:lang w:eastAsia="zh-CN"/>
              </w:rPr>
              <w:t>、建立环境风险事故应急预案。</w:t>
            </w:r>
          </w:p>
        </w:tc>
        <w:tc>
          <w:tcPr>
            <w:tcW w:w="394" w:type="pct"/>
            <w:vMerge w:val="continue"/>
            <w:vAlign w:val="center"/>
          </w:tcPr>
          <w:p>
            <w:pPr>
              <w:spacing w:line="240" w:lineRule="auto"/>
              <w:ind w:firstLine="0" w:firstLineChars="0"/>
              <w:jc w:val="center"/>
              <w:rPr>
                <w:kern w:val="0"/>
                <w:szCs w:val="22"/>
                <w:highlight w:val="yellow"/>
              </w:rPr>
            </w:pPr>
          </w:p>
        </w:tc>
        <w:tc>
          <w:tcPr>
            <w:tcW w:w="393" w:type="pct"/>
            <w:vMerge w:val="continue"/>
            <w:vAlign w:val="center"/>
          </w:tcPr>
          <w:p>
            <w:pPr>
              <w:spacing w:line="240" w:lineRule="auto"/>
              <w:ind w:firstLine="0" w:firstLineChars="0"/>
              <w:jc w:val="center"/>
              <w:rPr>
                <w:kern w:val="0"/>
                <w:szCs w:val="22"/>
                <w:highlight w:val="yellow"/>
              </w:rPr>
            </w:pPr>
          </w:p>
        </w:tc>
        <w:tc>
          <w:tcPr>
            <w:tcW w:w="360" w:type="pct"/>
            <w:vMerge w:val="continue"/>
            <w:vAlign w:val="center"/>
          </w:tcPr>
          <w:p>
            <w:pPr>
              <w:spacing w:line="240" w:lineRule="auto"/>
              <w:ind w:firstLine="0" w:firstLineChars="0"/>
              <w:jc w:val="center"/>
              <w:rPr>
                <w:kern w:val="0"/>
                <w:szCs w:val="22"/>
                <w:highlight w:val="yellow"/>
              </w:rPr>
            </w:pPr>
          </w:p>
        </w:tc>
      </w:tr>
    </w:tbl>
    <w:p>
      <w:pPr>
        <w:pStyle w:val="5"/>
        <w:spacing w:beforeLines="0" w:afterLines="0"/>
      </w:pPr>
      <w:bookmarkStart w:id="127" w:name="_Toc141284094"/>
      <w:r>
        <w:t>9.</w:t>
      </w:r>
      <w:r>
        <w:rPr>
          <w:rFonts w:hint="eastAsia"/>
        </w:rPr>
        <w:t>2环境监测</w:t>
      </w:r>
      <w:r>
        <w:t>计划</w:t>
      </w:r>
      <w:bookmarkEnd w:id="127"/>
    </w:p>
    <w:p>
      <w:pPr>
        <w:pStyle w:val="204"/>
        <w:spacing w:line="480" w:lineRule="exact"/>
        <w:ind w:firstLine="0" w:firstLineChars="0"/>
        <w:outlineLvl w:val="2"/>
        <w:rPr>
          <w:b/>
          <w:sz w:val="28"/>
          <w:szCs w:val="28"/>
        </w:rPr>
      </w:pPr>
      <w:r>
        <w:rPr>
          <w:b/>
          <w:sz w:val="28"/>
          <w:szCs w:val="28"/>
        </w:rPr>
        <w:t>9</w:t>
      </w:r>
      <w:r>
        <w:rPr>
          <w:rFonts w:hint="eastAsia"/>
          <w:b/>
          <w:sz w:val="28"/>
          <w:szCs w:val="28"/>
        </w:rPr>
        <w:t>.2.1制定目的、原则</w:t>
      </w:r>
    </w:p>
    <w:p>
      <w:pPr>
        <w:ind w:firstLine="492"/>
        <w:rPr>
          <w:spacing w:val="3"/>
        </w:rPr>
      </w:pPr>
      <w:r>
        <w:rPr>
          <w:spacing w:val="3"/>
        </w:rPr>
        <w:t>制定环境监测计划的目的是为了监督各项措施的落实，根据监测结果适时调整环境保护行动计划，为环保措施的实施时间和实施方案提供依据，制定</w:t>
      </w:r>
      <w:r>
        <w:rPr>
          <w:rFonts w:hint="eastAsia"/>
          <w:spacing w:val="3"/>
        </w:rPr>
        <w:t>的</w:t>
      </w:r>
      <w:r>
        <w:rPr>
          <w:spacing w:val="3"/>
        </w:rPr>
        <w:t>原则是根据预期的各个时间的主要环境影响</w:t>
      </w:r>
      <w:r>
        <w:rPr>
          <w:rFonts w:hint="eastAsia"/>
          <w:spacing w:val="3"/>
        </w:rPr>
        <w:t>。</w:t>
      </w:r>
    </w:p>
    <w:p>
      <w:pPr>
        <w:pStyle w:val="204"/>
        <w:spacing w:line="480" w:lineRule="exact"/>
        <w:ind w:firstLine="0" w:firstLineChars="0"/>
        <w:outlineLvl w:val="2"/>
        <w:rPr>
          <w:b/>
          <w:sz w:val="28"/>
          <w:szCs w:val="28"/>
        </w:rPr>
      </w:pPr>
      <w:r>
        <w:rPr>
          <w:b/>
          <w:sz w:val="28"/>
          <w:szCs w:val="28"/>
        </w:rPr>
        <w:t>9</w:t>
      </w:r>
      <w:r>
        <w:rPr>
          <w:rFonts w:hint="eastAsia"/>
          <w:b/>
          <w:sz w:val="28"/>
          <w:szCs w:val="28"/>
        </w:rPr>
        <w:t>.2.2监测项目</w:t>
      </w:r>
    </w:p>
    <w:p>
      <w:pPr>
        <w:ind w:firstLine="492"/>
        <w:rPr>
          <w:spacing w:val="3"/>
          <w:highlight w:val="yellow"/>
        </w:rPr>
      </w:pPr>
      <w:r>
        <w:rPr>
          <w:spacing w:val="3"/>
        </w:rPr>
        <w:t>拟建公路环境影响主要在施工阶段和营运期，其中施工阶段的监测项目主要是TSP、</w:t>
      </w:r>
      <w:r>
        <w:rPr>
          <w:rFonts w:hint="eastAsia"/>
          <w:spacing w:val="3"/>
        </w:rPr>
        <w:t>沥青烟、</w:t>
      </w:r>
      <w:r>
        <w:rPr>
          <w:spacing w:val="3"/>
        </w:rPr>
        <w:t>噪声，营运期的监测项目主要是噪声</w:t>
      </w:r>
      <w:r>
        <w:rPr>
          <w:rFonts w:hint="eastAsia"/>
          <w:spacing w:val="3"/>
        </w:rPr>
        <w:t>。</w:t>
      </w:r>
    </w:p>
    <w:p>
      <w:pPr>
        <w:pStyle w:val="204"/>
        <w:spacing w:line="480" w:lineRule="exact"/>
        <w:ind w:firstLine="0" w:firstLineChars="0"/>
        <w:outlineLvl w:val="2"/>
        <w:rPr>
          <w:b/>
          <w:sz w:val="28"/>
          <w:szCs w:val="28"/>
        </w:rPr>
      </w:pPr>
      <w:r>
        <w:rPr>
          <w:b/>
          <w:sz w:val="28"/>
          <w:szCs w:val="28"/>
        </w:rPr>
        <w:t>9</w:t>
      </w:r>
      <w:r>
        <w:rPr>
          <w:rFonts w:hint="eastAsia"/>
          <w:b/>
          <w:sz w:val="28"/>
          <w:szCs w:val="28"/>
        </w:rPr>
        <w:t>.2.3监测计划</w:t>
      </w:r>
    </w:p>
    <w:p>
      <w:pPr>
        <w:ind w:firstLine="492"/>
        <w:rPr>
          <w:spacing w:val="3"/>
        </w:rPr>
      </w:pPr>
      <w:r>
        <w:rPr>
          <w:spacing w:val="3"/>
        </w:rPr>
        <w:t>提出施工期和工程营运期的监测计划，包括：监测点位、时段、频次、监测因子（大气、噪声、生态）及环境监测机构。环境管理部门可根据环境监测结果调整环境保护管理计划并监督各项环保措施的落实，对各项环保处理措施的效果进行分析。</w:t>
      </w:r>
    </w:p>
    <w:p>
      <w:pPr>
        <w:ind w:firstLine="492"/>
        <w:rPr>
          <w:spacing w:val="3"/>
        </w:rPr>
      </w:pPr>
      <w:r>
        <w:rPr>
          <w:spacing w:val="3"/>
        </w:rPr>
        <w:t>拟建公路环境监测计划见表</w:t>
      </w:r>
      <w:r>
        <w:rPr>
          <w:rFonts w:hint="eastAsia"/>
          <w:spacing w:val="3"/>
        </w:rPr>
        <w:t>9.2-1</w:t>
      </w:r>
      <w:r>
        <w:rPr>
          <w:spacing w:val="3"/>
        </w:rPr>
        <w:t>和表</w:t>
      </w:r>
      <w:r>
        <w:rPr>
          <w:rFonts w:hint="eastAsia"/>
          <w:spacing w:val="3"/>
        </w:rPr>
        <w:t>9.2-2</w:t>
      </w:r>
      <w:r>
        <w:rPr>
          <w:spacing w:val="3"/>
        </w:rPr>
        <w:t>。</w:t>
      </w:r>
    </w:p>
    <w:p>
      <w:pPr>
        <w:adjustRightInd w:val="0"/>
        <w:snapToGrid w:val="0"/>
        <w:ind w:firstLine="0" w:firstLineChars="0"/>
        <w:jc w:val="center"/>
        <w:rPr>
          <w:b/>
          <w:sz w:val="21"/>
        </w:rPr>
      </w:pPr>
      <w:r>
        <w:rPr>
          <w:b/>
          <w:sz w:val="21"/>
        </w:rPr>
        <w:t>表</w:t>
      </w:r>
      <w:r>
        <w:rPr>
          <w:rFonts w:hint="eastAsia"/>
          <w:b/>
          <w:sz w:val="21"/>
        </w:rPr>
        <w:t>9.2-1</w:t>
      </w:r>
      <w:r>
        <w:rPr>
          <w:b/>
          <w:sz w:val="21"/>
        </w:rPr>
        <w:tab/>
      </w:r>
      <w:r>
        <w:rPr>
          <w:b/>
          <w:sz w:val="21"/>
        </w:rPr>
        <w:t>施工期环境监测计划</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78"/>
        <w:gridCol w:w="2839"/>
        <w:gridCol w:w="1133"/>
        <w:gridCol w:w="1704"/>
        <w:gridCol w:w="709"/>
        <w:gridCol w:w="711"/>
        <w:gridCol w:w="6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8" w:type="pct"/>
            <w:vAlign w:val="center"/>
          </w:tcPr>
          <w:p>
            <w:pPr>
              <w:pStyle w:val="675"/>
              <w:jc w:val="center"/>
              <w:rPr>
                <w:sz w:val="21"/>
                <w:szCs w:val="21"/>
              </w:rPr>
            </w:pPr>
            <w:r>
              <w:rPr>
                <w:bCs/>
                <w:sz w:val="21"/>
                <w:szCs w:val="21"/>
              </w:rPr>
              <w:t>监测项目</w:t>
            </w:r>
          </w:p>
        </w:tc>
        <w:tc>
          <w:tcPr>
            <w:tcW w:w="1573" w:type="pct"/>
            <w:vAlign w:val="center"/>
          </w:tcPr>
          <w:p>
            <w:pPr>
              <w:pStyle w:val="675"/>
              <w:jc w:val="center"/>
              <w:rPr>
                <w:sz w:val="21"/>
                <w:szCs w:val="21"/>
              </w:rPr>
            </w:pPr>
            <w:r>
              <w:rPr>
                <w:bCs/>
                <w:sz w:val="21"/>
                <w:szCs w:val="21"/>
              </w:rPr>
              <w:t>监测站点</w:t>
            </w:r>
          </w:p>
        </w:tc>
        <w:tc>
          <w:tcPr>
            <w:tcW w:w="628" w:type="pct"/>
            <w:vAlign w:val="center"/>
          </w:tcPr>
          <w:p>
            <w:pPr>
              <w:pStyle w:val="675"/>
              <w:jc w:val="center"/>
              <w:rPr>
                <w:sz w:val="21"/>
                <w:szCs w:val="21"/>
              </w:rPr>
            </w:pPr>
            <w:r>
              <w:rPr>
                <w:bCs/>
                <w:sz w:val="21"/>
                <w:szCs w:val="21"/>
              </w:rPr>
              <w:t>监测频次</w:t>
            </w:r>
          </w:p>
        </w:tc>
        <w:tc>
          <w:tcPr>
            <w:tcW w:w="944" w:type="pct"/>
            <w:vAlign w:val="center"/>
          </w:tcPr>
          <w:p>
            <w:pPr>
              <w:pStyle w:val="675"/>
              <w:jc w:val="center"/>
              <w:rPr>
                <w:sz w:val="21"/>
                <w:szCs w:val="21"/>
              </w:rPr>
            </w:pPr>
            <w:r>
              <w:rPr>
                <w:bCs/>
                <w:sz w:val="21"/>
                <w:szCs w:val="21"/>
              </w:rPr>
              <w:t>采样时间</w:t>
            </w:r>
          </w:p>
        </w:tc>
        <w:tc>
          <w:tcPr>
            <w:tcW w:w="393" w:type="pct"/>
            <w:vAlign w:val="center"/>
          </w:tcPr>
          <w:p>
            <w:pPr>
              <w:pStyle w:val="675"/>
              <w:jc w:val="center"/>
              <w:rPr>
                <w:sz w:val="21"/>
                <w:szCs w:val="21"/>
              </w:rPr>
            </w:pPr>
            <w:r>
              <w:rPr>
                <w:bCs/>
                <w:sz w:val="21"/>
                <w:szCs w:val="21"/>
              </w:rPr>
              <w:t>实施</w:t>
            </w:r>
          </w:p>
          <w:p>
            <w:pPr>
              <w:pStyle w:val="675"/>
              <w:jc w:val="center"/>
              <w:rPr>
                <w:sz w:val="21"/>
                <w:szCs w:val="21"/>
              </w:rPr>
            </w:pPr>
            <w:r>
              <w:rPr>
                <w:bCs/>
                <w:sz w:val="21"/>
                <w:szCs w:val="21"/>
              </w:rPr>
              <w:t>机构</w:t>
            </w:r>
          </w:p>
        </w:tc>
        <w:tc>
          <w:tcPr>
            <w:tcW w:w="394" w:type="pct"/>
            <w:vAlign w:val="center"/>
          </w:tcPr>
          <w:p>
            <w:pPr>
              <w:pStyle w:val="675"/>
              <w:jc w:val="center"/>
              <w:rPr>
                <w:sz w:val="21"/>
                <w:szCs w:val="21"/>
              </w:rPr>
            </w:pPr>
            <w:r>
              <w:rPr>
                <w:bCs/>
                <w:sz w:val="21"/>
                <w:szCs w:val="21"/>
              </w:rPr>
              <w:t>负责</w:t>
            </w:r>
          </w:p>
          <w:p>
            <w:pPr>
              <w:pStyle w:val="675"/>
              <w:jc w:val="center"/>
              <w:rPr>
                <w:sz w:val="21"/>
                <w:szCs w:val="21"/>
              </w:rPr>
            </w:pPr>
            <w:r>
              <w:rPr>
                <w:bCs/>
                <w:sz w:val="21"/>
                <w:szCs w:val="21"/>
              </w:rPr>
              <w:t>机构</w:t>
            </w:r>
          </w:p>
        </w:tc>
        <w:tc>
          <w:tcPr>
            <w:tcW w:w="360" w:type="pct"/>
            <w:vAlign w:val="center"/>
          </w:tcPr>
          <w:p>
            <w:pPr>
              <w:pStyle w:val="675"/>
              <w:jc w:val="center"/>
              <w:rPr>
                <w:sz w:val="21"/>
                <w:szCs w:val="21"/>
              </w:rPr>
            </w:pPr>
            <w:r>
              <w:rPr>
                <w:bCs/>
                <w:sz w:val="21"/>
                <w:szCs w:val="21"/>
              </w:rPr>
              <w:t>监督</w:t>
            </w:r>
          </w:p>
          <w:p>
            <w:pPr>
              <w:pStyle w:val="675"/>
              <w:jc w:val="center"/>
              <w:rPr>
                <w:sz w:val="21"/>
                <w:szCs w:val="21"/>
              </w:rPr>
            </w:pPr>
            <w:r>
              <w:rPr>
                <w:bCs/>
                <w:sz w:val="21"/>
                <w:szCs w:val="21"/>
              </w:rPr>
              <w:t>机构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8" w:type="pct"/>
            <w:vAlign w:val="center"/>
          </w:tcPr>
          <w:p>
            <w:pPr>
              <w:pStyle w:val="675"/>
              <w:jc w:val="center"/>
              <w:rPr>
                <w:rFonts w:ascii="Times New Roman"/>
                <w:sz w:val="21"/>
                <w:szCs w:val="21"/>
                <w:lang w:eastAsia="zh-CN"/>
              </w:rPr>
            </w:pPr>
            <w:r>
              <w:rPr>
                <w:rFonts w:hint="eastAsia" w:ascii="Times New Roman"/>
                <w:sz w:val="21"/>
                <w:szCs w:val="21"/>
                <w:lang w:eastAsia="zh-CN"/>
              </w:rPr>
              <w:t>TSP、沥青烟</w:t>
            </w:r>
          </w:p>
        </w:tc>
        <w:tc>
          <w:tcPr>
            <w:tcW w:w="1573" w:type="pct"/>
            <w:vAlign w:val="center"/>
          </w:tcPr>
          <w:p>
            <w:pPr>
              <w:pStyle w:val="675"/>
              <w:jc w:val="center"/>
              <w:rPr>
                <w:sz w:val="21"/>
                <w:szCs w:val="21"/>
                <w:lang w:eastAsia="zh-CN"/>
              </w:rPr>
            </w:pPr>
            <w:r>
              <w:rPr>
                <w:sz w:val="21"/>
                <w:szCs w:val="21"/>
                <w:lang w:eastAsia="zh-CN"/>
              </w:rPr>
              <w:t>施工</w:t>
            </w:r>
            <w:r>
              <w:rPr>
                <w:rFonts w:hint="eastAsia"/>
                <w:sz w:val="21"/>
                <w:szCs w:val="21"/>
                <w:lang w:eastAsia="zh-CN"/>
              </w:rPr>
              <w:t>道路</w:t>
            </w:r>
            <w:r>
              <w:rPr>
                <w:sz w:val="21"/>
                <w:szCs w:val="21"/>
                <w:lang w:eastAsia="zh-CN"/>
              </w:rPr>
              <w:t>附近居民点</w:t>
            </w:r>
          </w:p>
        </w:tc>
        <w:tc>
          <w:tcPr>
            <w:tcW w:w="628" w:type="pct"/>
            <w:vAlign w:val="center"/>
          </w:tcPr>
          <w:p>
            <w:pPr>
              <w:pStyle w:val="675"/>
              <w:jc w:val="center"/>
              <w:rPr>
                <w:sz w:val="21"/>
                <w:szCs w:val="21"/>
                <w:lang w:eastAsia="zh-CN"/>
              </w:rPr>
            </w:pPr>
            <w:r>
              <w:rPr>
                <w:rFonts w:ascii="Times New Roman" w:hAnsi="Times New Roman" w:eastAsia="Times New Roman" w:cs="Times New Roman"/>
                <w:sz w:val="21"/>
                <w:szCs w:val="21"/>
              </w:rPr>
              <w:t>1</w:t>
            </w:r>
            <w:r>
              <w:rPr>
                <w:sz w:val="21"/>
                <w:szCs w:val="21"/>
              </w:rPr>
              <w:t>次</w:t>
            </w:r>
            <w:r>
              <w:rPr>
                <w:rFonts w:ascii="Times New Roman" w:hAnsi="Times New Roman" w:eastAsia="Times New Roman" w:cs="Times New Roman"/>
                <w:sz w:val="21"/>
                <w:szCs w:val="21"/>
              </w:rPr>
              <w:t>/</w:t>
            </w:r>
            <w:r>
              <w:rPr>
                <w:rFonts w:hint="eastAsia" w:ascii="Times New Roman" w:hAnsi="Times New Roman" w:cs="Times New Roman"/>
                <w:sz w:val="21"/>
                <w:szCs w:val="21"/>
                <w:lang w:eastAsia="zh-CN"/>
              </w:rPr>
              <w:t>季</w:t>
            </w:r>
          </w:p>
        </w:tc>
        <w:tc>
          <w:tcPr>
            <w:tcW w:w="944" w:type="pct"/>
            <w:vAlign w:val="center"/>
          </w:tcPr>
          <w:p>
            <w:pPr>
              <w:pStyle w:val="675"/>
              <w:jc w:val="center"/>
              <w:rPr>
                <w:sz w:val="21"/>
                <w:szCs w:val="21"/>
                <w:lang w:eastAsia="zh-CN"/>
              </w:rPr>
            </w:pPr>
            <w:r>
              <w:rPr>
                <w:sz w:val="21"/>
                <w:szCs w:val="21"/>
                <w:lang w:eastAsia="zh-CN"/>
              </w:rPr>
              <w:t>《空气和废气监测分析方法》</w:t>
            </w:r>
          </w:p>
        </w:tc>
        <w:tc>
          <w:tcPr>
            <w:tcW w:w="393" w:type="pct"/>
            <w:vMerge w:val="restart"/>
            <w:vAlign w:val="center"/>
          </w:tcPr>
          <w:p>
            <w:pPr>
              <w:pStyle w:val="675"/>
              <w:jc w:val="center"/>
              <w:rPr>
                <w:sz w:val="21"/>
                <w:szCs w:val="21"/>
              </w:rPr>
            </w:pPr>
            <w:r>
              <w:rPr>
                <w:sz w:val="21"/>
                <w:szCs w:val="21"/>
              </w:rPr>
              <w:t>有资质的监测单位</w:t>
            </w:r>
          </w:p>
        </w:tc>
        <w:tc>
          <w:tcPr>
            <w:tcW w:w="394" w:type="pct"/>
            <w:vMerge w:val="restart"/>
            <w:vAlign w:val="center"/>
          </w:tcPr>
          <w:p>
            <w:pPr>
              <w:pStyle w:val="675"/>
              <w:jc w:val="center"/>
              <w:rPr>
                <w:sz w:val="21"/>
                <w:szCs w:val="21"/>
                <w:lang w:eastAsia="zh-CN"/>
              </w:rPr>
            </w:pPr>
            <w:r>
              <w:rPr>
                <w:rFonts w:hint="eastAsia"/>
                <w:sz w:val="21"/>
                <w:szCs w:val="21"/>
                <w:lang w:eastAsia="zh-CN"/>
              </w:rPr>
              <w:t>遵化市交通运输局</w:t>
            </w:r>
          </w:p>
        </w:tc>
        <w:tc>
          <w:tcPr>
            <w:tcW w:w="360" w:type="pct"/>
            <w:vMerge w:val="restart"/>
            <w:vAlign w:val="center"/>
          </w:tcPr>
          <w:p>
            <w:pPr>
              <w:pStyle w:val="675"/>
              <w:jc w:val="center"/>
              <w:rPr>
                <w:sz w:val="21"/>
                <w:szCs w:val="21"/>
                <w:lang w:eastAsia="zh-CN"/>
              </w:rPr>
            </w:pPr>
            <w:r>
              <w:rPr>
                <w:rFonts w:hint="eastAsia"/>
                <w:sz w:val="21"/>
                <w:szCs w:val="21"/>
                <w:lang w:eastAsia="zh-CN"/>
              </w:rPr>
              <w:t>唐山市生态环境局遵化市分局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8" w:type="pct"/>
            <w:vAlign w:val="center"/>
          </w:tcPr>
          <w:p>
            <w:pPr>
              <w:pStyle w:val="675"/>
              <w:jc w:val="center"/>
              <w:rPr>
                <w:sz w:val="21"/>
                <w:szCs w:val="21"/>
              </w:rPr>
            </w:pPr>
            <w:r>
              <w:rPr>
                <w:sz w:val="21"/>
                <w:szCs w:val="21"/>
              </w:rPr>
              <w:t>噪声</w:t>
            </w:r>
          </w:p>
        </w:tc>
        <w:tc>
          <w:tcPr>
            <w:tcW w:w="1573" w:type="pct"/>
            <w:vAlign w:val="center"/>
          </w:tcPr>
          <w:p>
            <w:pPr>
              <w:pStyle w:val="675"/>
              <w:jc w:val="center"/>
              <w:rPr>
                <w:sz w:val="21"/>
                <w:szCs w:val="21"/>
                <w:lang w:eastAsia="zh-CN"/>
              </w:rPr>
            </w:pPr>
            <w:r>
              <w:rPr>
                <w:sz w:val="21"/>
                <w:szCs w:val="21"/>
                <w:lang w:eastAsia="zh-CN"/>
              </w:rPr>
              <w:t>施工</w:t>
            </w:r>
            <w:r>
              <w:rPr>
                <w:rFonts w:hint="eastAsia"/>
                <w:sz w:val="21"/>
                <w:szCs w:val="21"/>
                <w:lang w:eastAsia="zh-CN"/>
              </w:rPr>
              <w:t>区域</w:t>
            </w:r>
            <w:r>
              <w:rPr>
                <w:sz w:val="21"/>
                <w:szCs w:val="21"/>
                <w:lang w:eastAsia="zh-CN"/>
              </w:rPr>
              <w:t>附近居民点</w:t>
            </w:r>
          </w:p>
        </w:tc>
        <w:tc>
          <w:tcPr>
            <w:tcW w:w="628" w:type="pct"/>
            <w:vAlign w:val="center"/>
          </w:tcPr>
          <w:p>
            <w:pPr>
              <w:pStyle w:val="675"/>
              <w:jc w:val="center"/>
              <w:rPr>
                <w:sz w:val="21"/>
                <w:szCs w:val="21"/>
              </w:rPr>
            </w:pPr>
            <w:r>
              <w:rPr>
                <w:rFonts w:ascii="Times New Roman" w:hAnsi="Times New Roman" w:eastAsia="Times New Roman" w:cs="Times New Roman"/>
                <w:sz w:val="21"/>
                <w:szCs w:val="21"/>
              </w:rPr>
              <w:t>1</w:t>
            </w:r>
            <w:r>
              <w:rPr>
                <w:sz w:val="21"/>
                <w:szCs w:val="21"/>
              </w:rPr>
              <w:t>次</w:t>
            </w:r>
            <w:r>
              <w:rPr>
                <w:rFonts w:ascii="Times New Roman" w:hAnsi="Times New Roman" w:eastAsia="Times New Roman" w:cs="Times New Roman"/>
                <w:sz w:val="21"/>
                <w:szCs w:val="21"/>
              </w:rPr>
              <w:t>/</w:t>
            </w:r>
            <w:r>
              <w:rPr>
                <w:sz w:val="21"/>
                <w:szCs w:val="21"/>
              </w:rPr>
              <w:t>季</w:t>
            </w:r>
          </w:p>
        </w:tc>
        <w:tc>
          <w:tcPr>
            <w:tcW w:w="944" w:type="pct"/>
            <w:vAlign w:val="center"/>
          </w:tcPr>
          <w:p>
            <w:pPr>
              <w:pStyle w:val="675"/>
              <w:jc w:val="center"/>
              <w:rPr>
                <w:sz w:val="21"/>
                <w:szCs w:val="21"/>
                <w:lang w:eastAsia="zh-CN"/>
              </w:rPr>
            </w:pPr>
            <w:r>
              <w:rPr>
                <w:sz w:val="21"/>
                <w:szCs w:val="21"/>
                <w:lang w:eastAsia="zh-CN"/>
              </w:rPr>
              <w:t>《建筑施工场界环境噪声排放标准》</w:t>
            </w:r>
          </w:p>
        </w:tc>
        <w:tc>
          <w:tcPr>
            <w:tcW w:w="393" w:type="pct"/>
            <w:vMerge w:val="continue"/>
            <w:vAlign w:val="center"/>
          </w:tcPr>
          <w:p>
            <w:pPr>
              <w:pStyle w:val="675"/>
              <w:jc w:val="center"/>
              <w:rPr>
                <w:sz w:val="21"/>
                <w:szCs w:val="21"/>
                <w:highlight w:val="yellow"/>
                <w:lang w:eastAsia="zh-CN"/>
              </w:rPr>
            </w:pPr>
          </w:p>
        </w:tc>
        <w:tc>
          <w:tcPr>
            <w:tcW w:w="394" w:type="pct"/>
            <w:vMerge w:val="continue"/>
            <w:vAlign w:val="center"/>
          </w:tcPr>
          <w:p>
            <w:pPr>
              <w:pStyle w:val="675"/>
              <w:jc w:val="center"/>
              <w:rPr>
                <w:sz w:val="21"/>
                <w:szCs w:val="21"/>
                <w:highlight w:val="yellow"/>
                <w:lang w:eastAsia="zh-CN"/>
              </w:rPr>
            </w:pPr>
          </w:p>
        </w:tc>
        <w:tc>
          <w:tcPr>
            <w:tcW w:w="360" w:type="pct"/>
            <w:vMerge w:val="continue"/>
            <w:vAlign w:val="center"/>
          </w:tcPr>
          <w:p>
            <w:pPr>
              <w:pStyle w:val="675"/>
              <w:jc w:val="center"/>
              <w:rPr>
                <w:sz w:val="21"/>
                <w:szCs w:val="21"/>
                <w:highlight w:val="yellow"/>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708" w:type="pct"/>
            <w:vAlign w:val="center"/>
          </w:tcPr>
          <w:p>
            <w:pPr>
              <w:pStyle w:val="675"/>
              <w:jc w:val="center"/>
              <w:rPr>
                <w:sz w:val="21"/>
                <w:szCs w:val="21"/>
              </w:rPr>
            </w:pPr>
            <w:r>
              <w:rPr>
                <w:sz w:val="21"/>
                <w:szCs w:val="21"/>
              </w:rPr>
              <w:t>生态</w:t>
            </w:r>
          </w:p>
        </w:tc>
        <w:tc>
          <w:tcPr>
            <w:tcW w:w="1573" w:type="pct"/>
            <w:vAlign w:val="center"/>
          </w:tcPr>
          <w:p>
            <w:pPr>
              <w:pStyle w:val="675"/>
              <w:jc w:val="center"/>
              <w:rPr>
                <w:sz w:val="21"/>
                <w:szCs w:val="21"/>
                <w:lang w:eastAsia="zh-CN"/>
              </w:rPr>
            </w:pPr>
            <w:r>
              <w:rPr>
                <w:sz w:val="21"/>
                <w:szCs w:val="21"/>
                <w:lang w:eastAsia="zh-CN"/>
              </w:rPr>
              <w:t>施工现场、绿化区域</w:t>
            </w:r>
          </w:p>
        </w:tc>
        <w:tc>
          <w:tcPr>
            <w:tcW w:w="628" w:type="pct"/>
            <w:vAlign w:val="center"/>
          </w:tcPr>
          <w:p>
            <w:pPr>
              <w:pStyle w:val="675"/>
              <w:jc w:val="center"/>
              <w:rPr>
                <w:sz w:val="21"/>
                <w:szCs w:val="21"/>
              </w:rPr>
            </w:pPr>
            <w:r>
              <w:rPr>
                <w:sz w:val="21"/>
                <w:szCs w:val="21"/>
              </w:rPr>
              <w:t>监督</w:t>
            </w:r>
            <w:r>
              <w:rPr>
                <w:rFonts w:ascii="Times New Roman" w:hAnsi="Times New Roman" w:eastAsia="Times New Roman" w:cs="Times New Roman"/>
                <w:sz w:val="21"/>
                <w:szCs w:val="21"/>
              </w:rPr>
              <w:t>2</w:t>
            </w:r>
            <w:r>
              <w:rPr>
                <w:sz w:val="21"/>
                <w:szCs w:val="21"/>
              </w:rPr>
              <w:t>次</w:t>
            </w:r>
            <w:r>
              <w:rPr>
                <w:rFonts w:ascii="Times New Roman" w:hAnsi="Times New Roman" w:eastAsia="Times New Roman" w:cs="Times New Roman"/>
                <w:sz w:val="21"/>
                <w:szCs w:val="21"/>
              </w:rPr>
              <w:t>/</w:t>
            </w:r>
            <w:r>
              <w:rPr>
                <w:sz w:val="21"/>
                <w:szCs w:val="21"/>
              </w:rPr>
              <w:t>年</w:t>
            </w:r>
          </w:p>
        </w:tc>
        <w:tc>
          <w:tcPr>
            <w:tcW w:w="944" w:type="pct"/>
            <w:vAlign w:val="center"/>
          </w:tcPr>
          <w:p>
            <w:pPr>
              <w:pStyle w:val="675"/>
              <w:jc w:val="center"/>
              <w:rPr>
                <w:rFonts w:ascii="Times New Roman" w:hAnsi="Times New Roman" w:eastAsia="Times New Roman" w:cs="Times New Roman"/>
                <w:sz w:val="21"/>
                <w:szCs w:val="21"/>
              </w:rPr>
            </w:pPr>
            <w:r>
              <w:rPr>
                <w:rFonts w:ascii="Times New Roman"/>
                <w:w w:val="99"/>
                <w:sz w:val="21"/>
                <w:szCs w:val="21"/>
              </w:rPr>
              <w:t>/</w:t>
            </w:r>
          </w:p>
        </w:tc>
        <w:tc>
          <w:tcPr>
            <w:tcW w:w="393" w:type="pct"/>
            <w:vMerge w:val="continue"/>
            <w:vAlign w:val="center"/>
          </w:tcPr>
          <w:p>
            <w:pPr>
              <w:spacing w:line="240" w:lineRule="auto"/>
              <w:ind w:firstLine="0" w:firstLineChars="0"/>
              <w:jc w:val="center"/>
              <w:rPr>
                <w:kern w:val="0"/>
                <w:sz w:val="21"/>
                <w:szCs w:val="22"/>
                <w:highlight w:val="yellow"/>
                <w:lang w:eastAsia="en-US"/>
              </w:rPr>
            </w:pPr>
          </w:p>
        </w:tc>
        <w:tc>
          <w:tcPr>
            <w:tcW w:w="394" w:type="pct"/>
            <w:vMerge w:val="continue"/>
            <w:vAlign w:val="center"/>
          </w:tcPr>
          <w:p>
            <w:pPr>
              <w:spacing w:line="240" w:lineRule="auto"/>
              <w:ind w:firstLine="0" w:firstLineChars="0"/>
              <w:jc w:val="center"/>
              <w:rPr>
                <w:kern w:val="0"/>
                <w:sz w:val="21"/>
                <w:szCs w:val="22"/>
                <w:highlight w:val="yellow"/>
                <w:lang w:eastAsia="en-US"/>
              </w:rPr>
            </w:pPr>
          </w:p>
        </w:tc>
        <w:tc>
          <w:tcPr>
            <w:tcW w:w="360" w:type="pct"/>
            <w:vMerge w:val="continue"/>
            <w:vAlign w:val="center"/>
          </w:tcPr>
          <w:p>
            <w:pPr>
              <w:spacing w:line="240" w:lineRule="auto"/>
              <w:ind w:firstLine="0" w:firstLineChars="0"/>
              <w:jc w:val="center"/>
              <w:rPr>
                <w:kern w:val="0"/>
                <w:sz w:val="21"/>
                <w:szCs w:val="22"/>
                <w:highlight w:val="yellow"/>
                <w:lang w:eastAsia="en-US"/>
              </w:rPr>
            </w:pPr>
          </w:p>
        </w:tc>
      </w:tr>
    </w:tbl>
    <w:p>
      <w:pPr>
        <w:spacing w:line="240" w:lineRule="auto"/>
        <w:ind w:firstLine="361"/>
        <w:rPr>
          <w:rFonts w:ascii="宋体" w:hAnsi="宋体" w:cs="宋体"/>
          <w:b/>
          <w:sz w:val="18"/>
          <w:szCs w:val="18"/>
        </w:rPr>
      </w:pPr>
      <w:r>
        <w:rPr>
          <w:rFonts w:ascii="宋体" w:hAnsi="宋体" w:cs="宋体"/>
          <w:b/>
          <w:sz w:val="18"/>
          <w:szCs w:val="18"/>
        </w:rPr>
        <w:t>注：表中所列出的监测站点、监测时间和监测频次，可根据当地具体情况进行调整。根据监测结果，应适时采取相应环保措施</w:t>
      </w:r>
      <w:r>
        <w:rPr>
          <w:rFonts w:hint="eastAsia" w:ascii="宋体" w:hAnsi="宋体" w:cs="宋体"/>
          <w:b/>
          <w:sz w:val="18"/>
          <w:szCs w:val="18"/>
        </w:rPr>
        <w:t>。</w:t>
      </w:r>
    </w:p>
    <w:p>
      <w:pPr>
        <w:adjustRightInd w:val="0"/>
        <w:snapToGrid w:val="0"/>
        <w:ind w:firstLine="0" w:firstLineChars="0"/>
        <w:jc w:val="center"/>
        <w:rPr>
          <w:b/>
          <w:sz w:val="21"/>
        </w:rPr>
      </w:pPr>
      <w:r>
        <w:rPr>
          <w:b/>
          <w:sz w:val="21"/>
        </w:rPr>
        <w:t>表</w:t>
      </w:r>
      <w:r>
        <w:rPr>
          <w:rFonts w:hint="eastAsia"/>
          <w:b/>
          <w:sz w:val="21"/>
        </w:rPr>
        <w:t xml:space="preserve">9.2-2 </w:t>
      </w:r>
      <w:r>
        <w:rPr>
          <w:b/>
          <w:sz w:val="21"/>
        </w:rPr>
        <w:t>营运期环境监测计划</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74"/>
        <w:gridCol w:w="664"/>
        <w:gridCol w:w="5104"/>
        <w:gridCol w:w="637"/>
        <w:gridCol w:w="639"/>
        <w:gridCol w:w="639"/>
        <w:gridCol w:w="5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9" w:type="pct"/>
            <w:vAlign w:val="center"/>
          </w:tcPr>
          <w:p>
            <w:pPr>
              <w:pStyle w:val="675"/>
              <w:jc w:val="center"/>
              <w:rPr>
                <w:bCs/>
                <w:sz w:val="21"/>
                <w:szCs w:val="21"/>
                <w:lang w:eastAsia="zh-CN"/>
              </w:rPr>
            </w:pPr>
            <w:r>
              <w:rPr>
                <w:bCs/>
                <w:sz w:val="21"/>
                <w:szCs w:val="21"/>
              </w:rPr>
              <w:t>环境</w:t>
            </w:r>
          </w:p>
          <w:p>
            <w:pPr>
              <w:pStyle w:val="675"/>
              <w:jc w:val="center"/>
              <w:rPr>
                <w:sz w:val="21"/>
                <w:szCs w:val="21"/>
              </w:rPr>
            </w:pPr>
            <w:r>
              <w:rPr>
                <w:bCs/>
                <w:sz w:val="21"/>
                <w:szCs w:val="21"/>
              </w:rPr>
              <w:t>要素</w:t>
            </w:r>
          </w:p>
        </w:tc>
        <w:tc>
          <w:tcPr>
            <w:tcW w:w="368" w:type="pct"/>
            <w:vAlign w:val="center"/>
          </w:tcPr>
          <w:p>
            <w:pPr>
              <w:pStyle w:val="675"/>
              <w:jc w:val="center"/>
              <w:rPr>
                <w:bCs/>
                <w:sz w:val="21"/>
                <w:szCs w:val="21"/>
                <w:lang w:eastAsia="zh-CN"/>
              </w:rPr>
            </w:pPr>
            <w:r>
              <w:rPr>
                <w:bCs/>
                <w:sz w:val="21"/>
                <w:szCs w:val="21"/>
              </w:rPr>
              <w:t>监测</w:t>
            </w:r>
          </w:p>
          <w:p>
            <w:pPr>
              <w:pStyle w:val="675"/>
              <w:jc w:val="center"/>
              <w:rPr>
                <w:sz w:val="21"/>
                <w:szCs w:val="21"/>
              </w:rPr>
            </w:pPr>
            <w:r>
              <w:rPr>
                <w:bCs/>
                <w:sz w:val="21"/>
                <w:szCs w:val="21"/>
              </w:rPr>
              <w:t>项目</w:t>
            </w:r>
          </w:p>
        </w:tc>
        <w:tc>
          <w:tcPr>
            <w:tcW w:w="2828" w:type="pct"/>
            <w:vAlign w:val="center"/>
          </w:tcPr>
          <w:p>
            <w:pPr>
              <w:pStyle w:val="675"/>
              <w:jc w:val="center"/>
              <w:rPr>
                <w:sz w:val="21"/>
                <w:szCs w:val="21"/>
              </w:rPr>
            </w:pPr>
            <w:r>
              <w:rPr>
                <w:bCs/>
                <w:sz w:val="21"/>
                <w:szCs w:val="21"/>
              </w:rPr>
              <w:t>监测点</w:t>
            </w:r>
          </w:p>
        </w:tc>
        <w:tc>
          <w:tcPr>
            <w:tcW w:w="353" w:type="pct"/>
            <w:vAlign w:val="center"/>
          </w:tcPr>
          <w:p>
            <w:pPr>
              <w:pStyle w:val="675"/>
              <w:jc w:val="center"/>
              <w:rPr>
                <w:sz w:val="21"/>
                <w:szCs w:val="21"/>
              </w:rPr>
            </w:pPr>
            <w:r>
              <w:rPr>
                <w:bCs/>
                <w:sz w:val="21"/>
                <w:szCs w:val="21"/>
              </w:rPr>
              <w:t>监测频次</w:t>
            </w:r>
          </w:p>
        </w:tc>
        <w:tc>
          <w:tcPr>
            <w:tcW w:w="354" w:type="pct"/>
            <w:vAlign w:val="center"/>
          </w:tcPr>
          <w:p>
            <w:pPr>
              <w:pStyle w:val="675"/>
              <w:jc w:val="center"/>
              <w:rPr>
                <w:sz w:val="21"/>
                <w:szCs w:val="21"/>
              </w:rPr>
            </w:pPr>
            <w:r>
              <w:rPr>
                <w:bCs/>
                <w:sz w:val="21"/>
                <w:szCs w:val="21"/>
              </w:rPr>
              <w:t>实施机构</w:t>
            </w:r>
          </w:p>
        </w:tc>
        <w:tc>
          <w:tcPr>
            <w:tcW w:w="354" w:type="pct"/>
            <w:vAlign w:val="center"/>
          </w:tcPr>
          <w:p>
            <w:pPr>
              <w:pStyle w:val="675"/>
              <w:jc w:val="center"/>
              <w:rPr>
                <w:sz w:val="21"/>
                <w:szCs w:val="21"/>
              </w:rPr>
            </w:pPr>
            <w:r>
              <w:rPr>
                <w:bCs/>
                <w:sz w:val="21"/>
                <w:szCs w:val="21"/>
              </w:rPr>
              <w:t>负责机构</w:t>
            </w:r>
          </w:p>
        </w:tc>
        <w:tc>
          <w:tcPr>
            <w:tcW w:w="314" w:type="pct"/>
            <w:vAlign w:val="center"/>
          </w:tcPr>
          <w:p>
            <w:pPr>
              <w:pStyle w:val="675"/>
              <w:jc w:val="center"/>
              <w:rPr>
                <w:sz w:val="21"/>
                <w:szCs w:val="21"/>
              </w:rPr>
            </w:pPr>
            <w:r>
              <w:rPr>
                <w:bCs/>
                <w:sz w:val="21"/>
                <w:szCs w:val="21"/>
              </w:rPr>
              <w:t>监督机构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429" w:type="pct"/>
            <w:vAlign w:val="center"/>
          </w:tcPr>
          <w:p>
            <w:pPr>
              <w:pStyle w:val="675"/>
              <w:jc w:val="center"/>
              <w:rPr>
                <w:sz w:val="21"/>
                <w:szCs w:val="21"/>
              </w:rPr>
            </w:pPr>
            <w:r>
              <w:rPr>
                <w:sz w:val="21"/>
                <w:szCs w:val="21"/>
              </w:rPr>
              <w:t>声环境</w:t>
            </w:r>
          </w:p>
        </w:tc>
        <w:tc>
          <w:tcPr>
            <w:tcW w:w="368" w:type="pct"/>
            <w:vAlign w:val="center"/>
          </w:tcPr>
          <w:p>
            <w:pPr>
              <w:pStyle w:val="675"/>
              <w:jc w:val="center"/>
              <w:rPr>
                <w:sz w:val="21"/>
                <w:szCs w:val="21"/>
              </w:rPr>
            </w:pPr>
            <w:r>
              <w:rPr>
                <w:sz w:val="21"/>
                <w:szCs w:val="21"/>
              </w:rPr>
              <w:t>噪声</w:t>
            </w:r>
          </w:p>
        </w:tc>
        <w:tc>
          <w:tcPr>
            <w:tcW w:w="2828" w:type="pct"/>
            <w:vAlign w:val="center"/>
          </w:tcPr>
          <w:p>
            <w:pPr>
              <w:pStyle w:val="675"/>
              <w:jc w:val="center"/>
              <w:rPr>
                <w:sz w:val="21"/>
                <w:szCs w:val="21"/>
                <w:lang w:eastAsia="zh-CN"/>
              </w:rPr>
            </w:pPr>
            <w:r>
              <w:rPr>
                <w:rFonts w:hint="eastAsia"/>
                <w:bCs/>
                <w:sz w:val="21"/>
                <w:szCs w:val="21"/>
                <w:lang w:eastAsia="zh-CN"/>
              </w:rPr>
              <w:t>北黄土坡村、</w:t>
            </w:r>
            <w:r>
              <w:rPr>
                <w:rFonts w:hint="eastAsia" w:ascii="Times New Roman" w:hAnsi="Times New Roman" w:cs="Times New Roman"/>
                <w:sz w:val="21"/>
                <w:szCs w:val="21"/>
                <w:lang w:eastAsia="zh-CN"/>
              </w:rPr>
              <w:t>龙凤书香苑小区、遵化市第三中学、</w:t>
            </w:r>
            <w:r>
              <w:rPr>
                <w:rFonts w:hint="eastAsia"/>
                <w:sz w:val="21"/>
                <w:szCs w:val="21"/>
                <w:lang w:eastAsia="zh-CN"/>
              </w:rPr>
              <w:t>智慧城</w:t>
            </w:r>
            <w:r>
              <w:rPr>
                <w:rFonts w:hint="eastAsia"/>
                <w:sz w:val="21"/>
                <w:lang w:eastAsia="zh-CN"/>
              </w:rPr>
              <w:t>小区、</w:t>
            </w:r>
            <w:r>
              <w:rPr>
                <w:rFonts w:hint="eastAsia" w:ascii="Times New Roman" w:hAnsi="Times New Roman" w:cs="Times New Roman"/>
                <w:sz w:val="21"/>
                <w:szCs w:val="21"/>
                <w:lang w:eastAsia="zh-CN"/>
              </w:rPr>
              <w:t>张各庄村、</w:t>
            </w:r>
            <w:r>
              <w:rPr>
                <w:rFonts w:hint="eastAsia"/>
                <w:sz w:val="21"/>
                <w:lang w:eastAsia="zh-CN"/>
              </w:rPr>
              <w:t>西十里铺村、后王庄村、前辅村、白方寺村、学汉坨村、骆各庄村、吴家坑村、</w:t>
            </w:r>
            <w:r>
              <w:rPr>
                <w:rFonts w:hint="eastAsia"/>
                <w:szCs w:val="24"/>
                <w:lang w:eastAsia="zh-CN"/>
              </w:rPr>
              <w:t>圪塔坨村</w:t>
            </w:r>
          </w:p>
        </w:tc>
        <w:tc>
          <w:tcPr>
            <w:tcW w:w="353" w:type="pct"/>
            <w:vAlign w:val="center"/>
          </w:tcPr>
          <w:p>
            <w:pPr>
              <w:pStyle w:val="675"/>
              <w:jc w:val="center"/>
              <w:rPr>
                <w:rFonts w:ascii="Times New Roman" w:hAnsi="Times New Roman" w:cs="Times New Roman"/>
                <w:sz w:val="21"/>
                <w:szCs w:val="21"/>
                <w:lang w:eastAsia="zh-CN"/>
              </w:rPr>
            </w:pPr>
            <w:r>
              <w:rPr>
                <w:rFonts w:ascii="Times New Roman" w:hAnsi="Times New Roman" w:eastAsia="Times New Roman" w:cs="Times New Roman"/>
                <w:sz w:val="21"/>
                <w:szCs w:val="21"/>
              </w:rPr>
              <w:t>1</w:t>
            </w:r>
            <w:r>
              <w:rPr>
                <w:sz w:val="21"/>
                <w:szCs w:val="21"/>
              </w:rPr>
              <w:t>次</w:t>
            </w:r>
            <w:r>
              <w:rPr>
                <w:rFonts w:ascii="Times New Roman" w:hAnsi="Times New Roman" w:eastAsia="Times New Roman" w:cs="Times New Roman"/>
                <w:sz w:val="21"/>
                <w:szCs w:val="21"/>
              </w:rPr>
              <w:t>/</w:t>
            </w:r>
          </w:p>
          <w:p>
            <w:pPr>
              <w:pStyle w:val="675"/>
              <w:jc w:val="center"/>
              <w:rPr>
                <w:sz w:val="21"/>
                <w:szCs w:val="21"/>
              </w:rPr>
            </w:pPr>
            <w:r>
              <w:rPr>
                <w:sz w:val="21"/>
                <w:szCs w:val="21"/>
              </w:rPr>
              <w:t>季度</w:t>
            </w:r>
          </w:p>
        </w:tc>
        <w:tc>
          <w:tcPr>
            <w:tcW w:w="354" w:type="pct"/>
            <w:vAlign w:val="center"/>
          </w:tcPr>
          <w:p>
            <w:pPr>
              <w:pStyle w:val="675"/>
              <w:jc w:val="center"/>
              <w:rPr>
                <w:sz w:val="21"/>
                <w:szCs w:val="21"/>
              </w:rPr>
            </w:pPr>
            <w:r>
              <w:rPr>
                <w:sz w:val="21"/>
                <w:szCs w:val="21"/>
              </w:rPr>
              <w:t>有资质的监测单位</w:t>
            </w:r>
          </w:p>
        </w:tc>
        <w:tc>
          <w:tcPr>
            <w:tcW w:w="354" w:type="pct"/>
            <w:vAlign w:val="center"/>
          </w:tcPr>
          <w:p>
            <w:pPr>
              <w:pStyle w:val="675"/>
              <w:jc w:val="center"/>
              <w:rPr>
                <w:sz w:val="21"/>
                <w:szCs w:val="21"/>
                <w:lang w:eastAsia="zh-CN"/>
              </w:rPr>
            </w:pPr>
            <w:r>
              <w:rPr>
                <w:rFonts w:hint="eastAsia"/>
                <w:sz w:val="21"/>
                <w:szCs w:val="21"/>
                <w:lang w:eastAsia="zh-CN"/>
              </w:rPr>
              <w:t>遵化市交通运输局</w:t>
            </w:r>
          </w:p>
        </w:tc>
        <w:tc>
          <w:tcPr>
            <w:tcW w:w="314" w:type="pct"/>
            <w:vAlign w:val="center"/>
          </w:tcPr>
          <w:p>
            <w:pPr>
              <w:pStyle w:val="675"/>
              <w:jc w:val="center"/>
              <w:rPr>
                <w:sz w:val="21"/>
                <w:szCs w:val="21"/>
                <w:highlight w:val="yellow"/>
                <w:lang w:eastAsia="zh-CN"/>
              </w:rPr>
            </w:pPr>
            <w:r>
              <w:rPr>
                <w:rFonts w:hint="eastAsia"/>
                <w:sz w:val="21"/>
                <w:szCs w:val="21"/>
                <w:lang w:eastAsia="zh-CN"/>
              </w:rPr>
              <w:t>唐山市生态环境局遵化市分局</w:t>
            </w:r>
          </w:p>
        </w:tc>
      </w:tr>
    </w:tbl>
    <w:p>
      <w:pPr>
        <w:spacing w:line="240" w:lineRule="auto"/>
        <w:ind w:firstLine="361"/>
        <w:rPr>
          <w:rFonts w:ascii="宋体" w:hAnsi="宋体" w:cs="宋体"/>
          <w:b/>
          <w:sz w:val="18"/>
          <w:szCs w:val="18"/>
          <w:highlight w:val="yellow"/>
        </w:rPr>
      </w:pPr>
      <w:r>
        <w:rPr>
          <w:rFonts w:ascii="宋体" w:hAnsi="宋体" w:cs="宋体"/>
          <w:b/>
          <w:sz w:val="18"/>
          <w:szCs w:val="18"/>
        </w:rPr>
        <w:t>注：表中所列出的</w:t>
      </w:r>
      <w:r>
        <w:rPr>
          <w:rFonts w:hint="eastAsia" w:ascii="宋体" w:hAnsi="宋体" w:cs="宋体"/>
          <w:b/>
          <w:sz w:val="18"/>
          <w:szCs w:val="18"/>
        </w:rPr>
        <w:t>典型</w:t>
      </w:r>
      <w:r>
        <w:rPr>
          <w:rFonts w:ascii="宋体" w:hAnsi="宋体" w:cs="宋体"/>
          <w:b/>
          <w:sz w:val="18"/>
          <w:szCs w:val="18"/>
        </w:rPr>
        <w:t>监测</w:t>
      </w:r>
      <w:r>
        <w:rPr>
          <w:rFonts w:hint="eastAsia" w:ascii="宋体" w:hAnsi="宋体" w:cs="宋体"/>
          <w:b/>
          <w:sz w:val="18"/>
          <w:szCs w:val="18"/>
        </w:rPr>
        <w:t>点位</w:t>
      </w:r>
      <w:r>
        <w:rPr>
          <w:rFonts w:ascii="宋体" w:hAnsi="宋体" w:cs="宋体"/>
          <w:b/>
          <w:sz w:val="18"/>
          <w:szCs w:val="18"/>
        </w:rPr>
        <w:t>、监测时间和监测频次，可根据当地</w:t>
      </w:r>
      <w:r>
        <w:rPr>
          <w:rFonts w:hint="eastAsia" w:ascii="宋体" w:hAnsi="宋体" w:cs="宋体"/>
          <w:b/>
          <w:sz w:val="18"/>
          <w:szCs w:val="18"/>
        </w:rPr>
        <w:t>实际建设后</w:t>
      </w:r>
      <w:r>
        <w:rPr>
          <w:rFonts w:ascii="宋体" w:hAnsi="宋体" w:cs="宋体"/>
          <w:b/>
          <w:sz w:val="18"/>
          <w:szCs w:val="18"/>
        </w:rPr>
        <w:t>具体</w:t>
      </w:r>
      <w:r>
        <w:rPr>
          <w:rFonts w:hint="eastAsia" w:ascii="宋体" w:hAnsi="宋体" w:cs="宋体"/>
          <w:b/>
          <w:sz w:val="18"/>
          <w:szCs w:val="18"/>
        </w:rPr>
        <w:t>拆迁</w:t>
      </w:r>
      <w:r>
        <w:rPr>
          <w:rFonts w:ascii="宋体" w:hAnsi="宋体" w:cs="宋体"/>
          <w:b/>
          <w:sz w:val="18"/>
          <w:szCs w:val="18"/>
        </w:rPr>
        <w:t>情况进行调整。根据监测结果</w:t>
      </w:r>
      <w:r>
        <w:rPr>
          <w:rFonts w:hint="eastAsia" w:ascii="宋体" w:hAnsi="宋体" w:cs="宋体"/>
          <w:b/>
          <w:sz w:val="18"/>
          <w:szCs w:val="18"/>
        </w:rPr>
        <w:t>，</w:t>
      </w:r>
      <w:r>
        <w:rPr>
          <w:rFonts w:ascii="宋体" w:hAnsi="宋体" w:cs="宋体"/>
          <w:b/>
          <w:sz w:val="18"/>
          <w:szCs w:val="18"/>
        </w:rPr>
        <w:t>应适时采取相应环保措施</w:t>
      </w:r>
      <w:r>
        <w:rPr>
          <w:rFonts w:hint="eastAsia" w:ascii="宋体" w:hAnsi="宋体" w:cs="宋体"/>
          <w:b/>
          <w:sz w:val="18"/>
          <w:szCs w:val="18"/>
        </w:rPr>
        <w:t>。</w:t>
      </w:r>
    </w:p>
    <w:p>
      <w:pPr>
        <w:pStyle w:val="5"/>
        <w:spacing w:beforeLines="0" w:afterLines="0"/>
      </w:pPr>
      <w:bookmarkStart w:id="128" w:name="_Toc141284095"/>
      <w:r>
        <w:t>9.</w:t>
      </w:r>
      <w:bookmarkEnd w:id="120"/>
      <w:bookmarkEnd w:id="121"/>
      <w:bookmarkEnd w:id="122"/>
      <w:bookmarkEnd w:id="123"/>
      <w:bookmarkEnd w:id="124"/>
      <w:bookmarkEnd w:id="125"/>
      <w:bookmarkEnd w:id="126"/>
      <w:r>
        <w:t>3</w:t>
      </w:r>
      <w:r>
        <w:rPr>
          <w:rFonts w:hint="eastAsia"/>
        </w:rPr>
        <w:t>环境</w:t>
      </w:r>
      <w:r>
        <w:t>监理计划</w:t>
      </w:r>
      <w:bookmarkEnd w:id="128"/>
    </w:p>
    <w:p>
      <w:pPr>
        <w:ind w:firstLine="492"/>
      </w:pPr>
      <w:r>
        <w:rPr>
          <w:spacing w:val="3"/>
        </w:rPr>
        <w:t>根据交通部交环发</w:t>
      </w:r>
      <w:r>
        <w:rPr>
          <w:rFonts w:eastAsia="Times New Roman"/>
          <w:spacing w:val="3"/>
        </w:rPr>
        <w:t>[2004]314</w:t>
      </w:r>
      <w:r>
        <w:rPr>
          <w:spacing w:val="8"/>
        </w:rPr>
        <w:t>号文“关于开展交通工程环境监理工作的通</w:t>
      </w:r>
      <w:r>
        <w:t>知”以及“开展交通工程环境监理工作实施方案”，本项目需进行工程环境监理，该工作主要依据为国家和地方有关环境保护的法律法规和文件、环境影响报告书、有关的技术规范及设计文件等，工程环境监理包括生态保护、水土保持、绿化、污染物防治等环境保护工作的所有方面。工程环境监理工作应作为工程监理的一个重要组成部分，纳入工程监理体系统筹考虑。</w:t>
      </w:r>
    </w:p>
    <w:p>
      <w:pPr>
        <w:pStyle w:val="204"/>
        <w:spacing w:line="480" w:lineRule="exact"/>
        <w:ind w:firstLine="0" w:firstLineChars="0"/>
        <w:outlineLvl w:val="2"/>
        <w:rPr>
          <w:b/>
          <w:sz w:val="28"/>
          <w:szCs w:val="28"/>
        </w:rPr>
      </w:pPr>
      <w:r>
        <w:rPr>
          <w:b/>
          <w:sz w:val="28"/>
          <w:szCs w:val="28"/>
        </w:rPr>
        <w:t>9</w:t>
      </w:r>
      <w:r>
        <w:rPr>
          <w:rFonts w:hint="eastAsia"/>
          <w:b/>
          <w:sz w:val="28"/>
          <w:szCs w:val="28"/>
        </w:rPr>
        <w:t>.3.1工程</w:t>
      </w:r>
      <w:r>
        <w:rPr>
          <w:b/>
          <w:sz w:val="28"/>
          <w:szCs w:val="28"/>
        </w:rPr>
        <w:t>环境监理的组织与实施</w:t>
      </w:r>
    </w:p>
    <w:p>
      <w:pPr>
        <w:ind w:firstLine="480"/>
      </w:pPr>
      <w:r>
        <w:rPr>
          <w:rFonts w:hint="eastAsia"/>
        </w:rPr>
        <w:t>（1）</w:t>
      </w:r>
      <w:r>
        <w:t>工程环境监理单位和人员的资质</w:t>
      </w:r>
    </w:p>
    <w:p>
      <w:pPr>
        <w:ind w:firstLine="480"/>
      </w:pPr>
      <w:r>
        <w:t>建设单位应委托具有工程监理资质并经过环境保护专业培训的单位承担工程环境监理工作，工程环境监理单位和人员的资质按照交通部关于工程监理的有关规定执行</w:t>
      </w:r>
      <w:r>
        <w:rPr>
          <w:rFonts w:hint="eastAsia"/>
        </w:rPr>
        <w:t>。</w:t>
      </w:r>
    </w:p>
    <w:p>
      <w:pPr>
        <w:ind w:firstLine="480"/>
      </w:pPr>
      <w:r>
        <w:rPr>
          <w:rFonts w:hint="eastAsia"/>
        </w:rPr>
        <w:t>（2）</w:t>
      </w:r>
      <w:r>
        <w:t>工程招标、合同等文件的管理</w:t>
      </w:r>
    </w:p>
    <w:p>
      <w:pPr>
        <w:ind w:firstLine="480"/>
      </w:pPr>
      <w:r>
        <w:t>建设单位应依据本环境影响报告书、工程设计等文件的有关要求，制定施工期工程环境监理计划，并在施工招标文件、施工合同、工程监理招标文件和监理合同中明确施工单位和工程监理单位的环境保护责任和目标任务</w:t>
      </w:r>
      <w:r>
        <w:rPr>
          <w:rFonts w:hint="eastAsia"/>
        </w:rPr>
        <w:t>。</w:t>
      </w:r>
    </w:p>
    <w:p>
      <w:pPr>
        <w:ind w:firstLine="480"/>
      </w:pPr>
      <w:r>
        <w:rPr>
          <w:rFonts w:hint="eastAsia"/>
        </w:rPr>
        <w:t>（3）</w:t>
      </w:r>
      <w:r>
        <w:t>工程环境的原则要求</w:t>
      </w:r>
    </w:p>
    <w:p>
      <w:pPr>
        <w:ind w:firstLine="480"/>
      </w:pPr>
      <w:r>
        <w:rPr>
          <w:rFonts w:hint="eastAsia" w:ascii="宋体" w:hAnsi="宋体"/>
          <w:lang w:eastAsia="ja-JP"/>
        </w:rPr>
        <w:t>①</w:t>
      </w:r>
      <w:r>
        <w:t>环境监理的依据：国家和地方有关的环境保护法律、法规和文件，环境影响报告书或项目的环境行动计划、技术规范、设计文件，工程和环境质量标准等。</w:t>
      </w:r>
    </w:p>
    <w:p>
      <w:pPr>
        <w:ind w:firstLine="480"/>
      </w:pPr>
      <w:r>
        <w:rPr>
          <w:rFonts w:hint="eastAsia" w:ascii="宋体" w:hAnsi="宋体"/>
        </w:rPr>
        <w:t>②</w:t>
      </w:r>
      <w:r>
        <w:t>环境监理主要内容：主要包括环保达标监理和环保工程监理。环保达标监理是使主体工程的施工符合环境保护的要求，噪声、废气、污水等排放应达到本环境影响报告书中列出的标准；环保工程监理包括生态环境保护、水土保持等，同时包括污水处理设施、绿化等在内的环保设施建设的监理。</w:t>
      </w:r>
    </w:p>
    <w:p>
      <w:pPr>
        <w:ind w:firstLine="480"/>
      </w:pPr>
      <w:r>
        <w:rPr>
          <w:rFonts w:hint="eastAsia" w:ascii="宋体" w:hAnsi="宋体"/>
          <w:lang w:eastAsia="ja-JP"/>
        </w:rPr>
        <w:t>③</w:t>
      </w:r>
      <w:r>
        <w:t>环境监理机构：建设项目的工程总监办负责对工程和环境实施统一监理工作。一般可在总监办设置一名工程环境监理的兼职或专职的副总监，重点负责工程的环境监理工作。驻地办可任命一定数量的工程环境监理工程师（工程监理工程师兼任），具体落实各项工程的环境保护工作。</w:t>
      </w:r>
    </w:p>
    <w:p>
      <w:pPr>
        <w:ind w:firstLine="480"/>
      </w:pPr>
      <w:r>
        <w:rPr>
          <w:rFonts w:hint="eastAsia" w:ascii="宋体" w:hAnsi="宋体"/>
        </w:rPr>
        <w:t>④</w:t>
      </w:r>
      <w:r>
        <w:t>环境监理考核：工程监理考核内容中应包括工程环境监理的相应内容，并单独完成工程环境监理情况的总结报告，该总结报告应作为环保单项验收</w:t>
      </w:r>
      <w:r>
        <w:rPr>
          <w:rFonts w:hint="eastAsia"/>
        </w:rPr>
        <w:t>的</w:t>
      </w:r>
      <w:r>
        <w:t>资料之一。环境保护单项工程考核和验收时，应有交通管理部门负责环保工作的人员参加。</w:t>
      </w:r>
    </w:p>
    <w:p>
      <w:pPr>
        <w:ind w:firstLine="480"/>
      </w:pPr>
      <w:r>
        <w:rPr>
          <w:rFonts w:hint="eastAsia"/>
        </w:rPr>
        <w:t>（2）</w:t>
      </w:r>
      <w:r>
        <w:t>本项目施工期工程环境监理的具体工作内容项目施工期环境监理的具体内容见表</w:t>
      </w:r>
      <w:r>
        <w:rPr>
          <w:rFonts w:eastAsia="Times New Roman"/>
        </w:rPr>
        <w:t>9.3-1</w:t>
      </w:r>
      <w:r>
        <w:rPr>
          <w:rFonts w:hint="eastAsia"/>
        </w:rPr>
        <w:t>。</w:t>
      </w:r>
    </w:p>
    <w:p>
      <w:pPr>
        <w:ind w:firstLine="480"/>
        <w:sectPr>
          <w:pgSz w:w="11906" w:h="16838"/>
          <w:pgMar w:top="1418" w:right="1418" w:bottom="1418" w:left="1474" w:header="964" w:footer="964" w:gutter="0"/>
          <w:cols w:space="720" w:num="1"/>
          <w:docGrid w:linePitch="312" w:charSpace="0"/>
        </w:sectPr>
      </w:pPr>
    </w:p>
    <w:p>
      <w:pPr>
        <w:adjustRightInd w:val="0"/>
        <w:snapToGrid w:val="0"/>
        <w:ind w:firstLine="0" w:firstLineChars="0"/>
        <w:jc w:val="center"/>
        <w:rPr>
          <w:b/>
          <w:sz w:val="21"/>
        </w:rPr>
      </w:pPr>
      <w:r>
        <w:rPr>
          <w:b/>
          <w:sz w:val="21"/>
        </w:rPr>
        <w:t>表9.3-1 国道G112遵化城区段改建工程施工期主要环境监理内容</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21"/>
        <w:gridCol w:w="2819"/>
        <w:gridCol w:w="981"/>
        <w:gridCol w:w="5467"/>
        <w:gridCol w:w="2214"/>
        <w:gridCol w:w="17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bCs/>
                <w:sz w:val="21"/>
                <w:szCs w:val="21"/>
              </w:rPr>
            </w:pPr>
            <w:r>
              <w:rPr>
                <w:rFonts w:ascii="Times New Roman" w:hAnsi="Times New Roman" w:cs="Times New Roman"/>
                <w:bCs/>
                <w:sz w:val="21"/>
                <w:szCs w:val="21"/>
              </w:rPr>
              <w:t>环境</w:t>
            </w:r>
          </w:p>
          <w:p>
            <w:pPr>
              <w:pStyle w:val="675"/>
              <w:jc w:val="center"/>
              <w:rPr>
                <w:rFonts w:ascii="Times New Roman" w:hAnsi="Times New Roman" w:cs="Times New Roman"/>
                <w:sz w:val="21"/>
                <w:szCs w:val="21"/>
              </w:rPr>
            </w:pPr>
            <w:r>
              <w:rPr>
                <w:rFonts w:ascii="Times New Roman" w:hAnsi="Times New Roman" w:cs="Times New Roman"/>
                <w:bCs/>
                <w:sz w:val="21"/>
                <w:szCs w:val="21"/>
              </w:rPr>
              <w:t>要素</w:t>
            </w:r>
          </w:p>
        </w:tc>
        <w:tc>
          <w:tcPr>
            <w:tcW w:w="1006"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监理地点</w:t>
            </w:r>
          </w:p>
        </w:tc>
        <w:tc>
          <w:tcPr>
            <w:tcW w:w="350" w:type="pct"/>
            <w:vAlign w:val="center"/>
          </w:tcPr>
          <w:p>
            <w:pPr>
              <w:pStyle w:val="675"/>
              <w:jc w:val="center"/>
              <w:rPr>
                <w:rFonts w:ascii="Times New Roman" w:hAnsi="Times New Roman" w:cs="Times New Roman"/>
                <w:bCs/>
                <w:spacing w:val="1"/>
                <w:w w:val="99"/>
                <w:sz w:val="21"/>
                <w:szCs w:val="21"/>
              </w:rPr>
            </w:pPr>
            <w:r>
              <w:rPr>
                <w:rFonts w:ascii="Times New Roman" w:hAnsi="Times New Roman" w:cs="Times New Roman"/>
                <w:bCs/>
                <w:sz w:val="21"/>
                <w:szCs w:val="21"/>
              </w:rPr>
              <w:t>重点保护目标</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bCs/>
                <w:sz w:val="21"/>
                <w:szCs w:val="21"/>
                <w:lang w:eastAsia="zh-CN"/>
              </w:rPr>
              <w:t>主要工程环境监理内容</w:t>
            </w:r>
          </w:p>
        </w:tc>
        <w:tc>
          <w:tcPr>
            <w:tcW w:w="790" w:type="pct"/>
            <w:vAlign w:val="center"/>
          </w:tcPr>
          <w:p>
            <w:pPr>
              <w:pStyle w:val="675"/>
              <w:jc w:val="center"/>
              <w:rPr>
                <w:rFonts w:ascii="Times New Roman" w:hAnsi="Times New Roman" w:cs="Times New Roman"/>
                <w:sz w:val="21"/>
                <w:szCs w:val="21"/>
              </w:rPr>
            </w:pPr>
            <w:r>
              <w:rPr>
                <w:rFonts w:ascii="Times New Roman" w:hAnsi="Times New Roman" w:cs="Times New Roman"/>
                <w:bCs/>
                <w:sz w:val="21"/>
                <w:szCs w:val="21"/>
              </w:rPr>
              <w:t>主要监理方式</w:t>
            </w:r>
          </w:p>
        </w:tc>
        <w:tc>
          <w:tcPr>
            <w:tcW w:w="610" w:type="pct"/>
            <w:vAlign w:val="center"/>
          </w:tcPr>
          <w:p>
            <w:pPr>
              <w:pStyle w:val="675"/>
              <w:jc w:val="center"/>
              <w:rPr>
                <w:rFonts w:ascii="Times New Roman" w:hAnsi="Times New Roman" w:cs="Times New Roman"/>
                <w:bCs/>
                <w:sz w:val="21"/>
                <w:szCs w:val="21"/>
                <w:lang w:eastAsia="zh-CN"/>
              </w:rPr>
            </w:pPr>
            <w:r>
              <w:rPr>
                <w:rFonts w:ascii="Times New Roman" w:hAnsi="Times New Roman" w:cs="Times New Roman"/>
                <w:bCs/>
                <w:sz w:val="21"/>
                <w:szCs w:val="21"/>
                <w:lang w:eastAsia="zh-CN"/>
              </w:rPr>
              <w:t>出现超标或违规</w:t>
            </w:r>
          </w:p>
          <w:p>
            <w:pPr>
              <w:pStyle w:val="675"/>
              <w:jc w:val="center"/>
              <w:rPr>
                <w:rFonts w:ascii="Times New Roman" w:hAnsi="Times New Roman" w:cs="Times New Roman"/>
                <w:sz w:val="21"/>
                <w:szCs w:val="21"/>
                <w:lang w:eastAsia="zh-CN"/>
              </w:rPr>
            </w:pPr>
            <w:r>
              <w:rPr>
                <w:rFonts w:ascii="Times New Roman" w:hAnsi="Times New Roman" w:cs="Times New Roman"/>
                <w:bCs/>
                <w:sz w:val="21"/>
                <w:szCs w:val="21"/>
                <w:lang w:eastAsia="zh-CN"/>
              </w:rPr>
              <w:t>现象处置方案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水环境</w:t>
            </w:r>
          </w:p>
        </w:tc>
        <w:tc>
          <w:tcPr>
            <w:tcW w:w="1006"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主要的施工场地</w:t>
            </w:r>
          </w:p>
        </w:tc>
        <w:tc>
          <w:tcPr>
            <w:tcW w:w="350" w:type="pct"/>
            <w:vAlign w:val="center"/>
          </w:tcPr>
          <w:p>
            <w:pPr>
              <w:pStyle w:val="675"/>
              <w:jc w:val="center"/>
              <w:rPr>
                <w:rFonts w:ascii="Times New Roman" w:hAnsi="Times New Roman" w:cs="Times New Roman"/>
                <w:sz w:val="21"/>
                <w:szCs w:val="21"/>
                <w:highlight w:val="yellow"/>
                <w:lang w:eastAsia="zh-CN"/>
              </w:rPr>
            </w:pPr>
            <w:r>
              <w:rPr>
                <w:rFonts w:hint="eastAsia"/>
                <w:szCs w:val="24"/>
                <w:lang w:eastAsia="zh-CN"/>
              </w:rPr>
              <w:t>冷咀头河</w:t>
            </w:r>
            <w:r>
              <w:rPr>
                <w:szCs w:val="24"/>
                <w:lang w:eastAsia="zh-CN"/>
              </w:rPr>
              <w:t>、</w:t>
            </w:r>
            <w:r>
              <w:rPr>
                <w:rFonts w:hint="eastAsia"/>
                <w:szCs w:val="24"/>
                <w:lang w:eastAsia="zh-CN"/>
              </w:rPr>
              <w:t>清水河、</w:t>
            </w:r>
            <w:r>
              <w:rPr>
                <w:szCs w:val="24"/>
                <w:lang w:eastAsia="zh-CN"/>
              </w:rPr>
              <w:t>沙河、黎河</w:t>
            </w:r>
            <w:r>
              <w:rPr>
                <w:rFonts w:hint="eastAsia"/>
                <w:szCs w:val="24"/>
                <w:lang w:eastAsia="zh-CN"/>
              </w:rPr>
              <w:t>、遵化市堡子店</w:t>
            </w:r>
            <w:r>
              <w:rPr>
                <w:szCs w:val="24"/>
                <w:lang w:eastAsia="zh-CN"/>
              </w:rPr>
              <w:t>水源地</w:t>
            </w:r>
          </w:p>
        </w:tc>
        <w:tc>
          <w:tcPr>
            <w:tcW w:w="1951" w:type="pct"/>
            <w:vAlign w:val="center"/>
          </w:tcPr>
          <w:p>
            <w:pPr>
              <w:pStyle w:val="675"/>
              <w:jc w:val="center"/>
              <w:rPr>
                <w:rFonts w:ascii="Times New Roman" w:hAnsi="Times New Roman" w:cs="Times New Roman"/>
                <w:sz w:val="21"/>
                <w:szCs w:val="21"/>
                <w:highlight w:val="yellow"/>
                <w:lang w:eastAsia="zh-CN"/>
              </w:rPr>
            </w:pPr>
            <w:r>
              <w:rPr>
                <w:rFonts w:ascii="Times New Roman" w:hAnsi="Times New Roman" w:cs="Times New Roman"/>
                <w:sz w:val="21"/>
                <w:szCs w:val="21"/>
                <w:lang w:eastAsia="zh-CN"/>
              </w:rPr>
              <w:t>（1）不得向河道内排放施工废水和固体废物；</w:t>
            </w:r>
            <w:r>
              <w:rPr>
                <w:rFonts w:hint="eastAsia" w:ascii="Times New Roman" w:hAnsi="Times New Roman" w:cs="Times New Roman"/>
                <w:sz w:val="21"/>
                <w:szCs w:val="21"/>
                <w:lang w:eastAsia="zh-CN"/>
              </w:rPr>
              <w:t>不得在水源地内堆存材料及安置施工设备</w:t>
            </w:r>
          </w:p>
          <w:p>
            <w:pPr>
              <w:pStyle w:val="675"/>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（2）施工废水沉淀后回用；</w:t>
            </w:r>
            <w:r>
              <w:rPr>
                <w:rFonts w:hint="eastAsia"/>
                <w:szCs w:val="24"/>
                <w:lang w:eastAsia="zh-CN"/>
              </w:rPr>
              <w:t>清水河</w:t>
            </w:r>
            <w:r>
              <w:rPr>
                <w:rFonts w:hint="eastAsia" w:ascii="Times New Roman" w:hAnsi="Times New Roman" w:cs="Times New Roman"/>
                <w:spacing w:val="-2"/>
                <w:sz w:val="21"/>
                <w:szCs w:val="21"/>
                <w:lang w:eastAsia="zh-CN"/>
              </w:rPr>
              <w:t>大桥</w:t>
            </w:r>
            <w:r>
              <w:rPr>
                <w:rFonts w:hint="eastAsia"/>
                <w:szCs w:val="24"/>
                <w:lang w:eastAsia="zh-CN"/>
              </w:rPr>
              <w:t>、</w:t>
            </w:r>
            <w:r>
              <w:rPr>
                <w:szCs w:val="24"/>
                <w:lang w:eastAsia="zh-CN"/>
              </w:rPr>
              <w:t>沙河</w:t>
            </w:r>
            <w:r>
              <w:rPr>
                <w:rFonts w:hint="eastAsia" w:ascii="Times New Roman" w:hAnsi="Times New Roman" w:cs="Times New Roman"/>
                <w:spacing w:val="-2"/>
                <w:sz w:val="21"/>
                <w:szCs w:val="21"/>
                <w:lang w:eastAsia="zh-CN"/>
              </w:rPr>
              <w:t>大桥</w:t>
            </w:r>
            <w:r>
              <w:rPr>
                <w:szCs w:val="24"/>
                <w:lang w:eastAsia="zh-CN"/>
              </w:rPr>
              <w:t>、黎河</w:t>
            </w:r>
            <w:r>
              <w:rPr>
                <w:rFonts w:hint="eastAsia" w:ascii="Times New Roman" w:hAnsi="Times New Roman" w:cs="Times New Roman"/>
                <w:spacing w:val="-2"/>
                <w:sz w:val="21"/>
                <w:szCs w:val="21"/>
                <w:lang w:eastAsia="zh-CN"/>
              </w:rPr>
              <w:t>大桥</w:t>
            </w:r>
            <w:r>
              <w:rPr>
                <w:rFonts w:ascii="Times New Roman" w:hAnsi="Times New Roman" w:cs="Times New Roman"/>
                <w:spacing w:val="-2"/>
                <w:sz w:val="21"/>
                <w:szCs w:val="21"/>
                <w:lang w:eastAsia="zh-CN"/>
              </w:rPr>
              <w:t>基础选择在枯水</w:t>
            </w:r>
            <w:r>
              <w:rPr>
                <w:rFonts w:ascii="Times New Roman" w:hAnsi="Times New Roman" w:cs="Times New Roman"/>
                <w:sz w:val="21"/>
                <w:szCs w:val="21"/>
                <w:lang w:eastAsia="zh-CN"/>
              </w:rPr>
              <w:t>期，围堰法施工，泥浆岩屑干化后利用，不得排入水体；</w:t>
            </w:r>
          </w:p>
          <w:p>
            <w:pPr>
              <w:pStyle w:val="675"/>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（3）</w:t>
            </w:r>
            <w:r>
              <w:rPr>
                <w:rFonts w:hint="eastAsia" w:ascii="Times New Roman" w:hAnsi="Times New Roman" w:cs="Times New Roman"/>
                <w:spacing w:val="-2"/>
                <w:sz w:val="21"/>
                <w:szCs w:val="21"/>
                <w:lang w:eastAsia="zh-CN"/>
              </w:rPr>
              <w:t>跨越</w:t>
            </w:r>
            <w:r>
              <w:rPr>
                <w:rFonts w:hint="eastAsia"/>
                <w:szCs w:val="24"/>
                <w:lang w:eastAsia="zh-CN"/>
              </w:rPr>
              <w:t>遵化市堡子店</w:t>
            </w:r>
            <w:r>
              <w:rPr>
                <w:szCs w:val="24"/>
                <w:lang w:eastAsia="zh-CN"/>
              </w:rPr>
              <w:t>水源地</w:t>
            </w:r>
            <w:r>
              <w:rPr>
                <w:rFonts w:ascii="Times New Roman" w:hAnsi="Times New Roman" w:cs="Times New Roman"/>
                <w:spacing w:val="-2"/>
                <w:sz w:val="21"/>
                <w:szCs w:val="21"/>
                <w:lang w:eastAsia="zh-CN"/>
              </w:rPr>
              <w:t>范围内禁止设置</w:t>
            </w:r>
            <w:r>
              <w:rPr>
                <w:rFonts w:ascii="Times New Roman" w:hAnsi="Times New Roman" w:cs="Times New Roman"/>
                <w:sz w:val="21"/>
                <w:szCs w:val="21"/>
                <w:lang w:eastAsia="zh-CN"/>
              </w:rPr>
              <w:t>施工生活区</w:t>
            </w:r>
            <w:r>
              <w:rPr>
                <w:rFonts w:hint="eastAsia" w:ascii="Times New Roman" w:hAnsi="Times New Roman" w:cs="Times New Roman"/>
                <w:sz w:val="21"/>
                <w:szCs w:val="21"/>
                <w:lang w:eastAsia="zh-CN"/>
              </w:rPr>
              <w:t>，禁止设置泥浆堆存区域</w:t>
            </w:r>
            <w:r>
              <w:rPr>
                <w:rFonts w:ascii="Times New Roman" w:hAnsi="Times New Roman" w:cs="Times New Roman"/>
                <w:sz w:val="21"/>
                <w:szCs w:val="21"/>
                <w:lang w:eastAsia="zh-CN"/>
              </w:rPr>
              <w:t>；</w:t>
            </w:r>
          </w:p>
          <w:p>
            <w:pPr>
              <w:pStyle w:val="675"/>
              <w:jc w:val="center"/>
              <w:rPr>
                <w:rFonts w:ascii="Times New Roman" w:hAnsi="Times New Roman" w:cs="Times New Roman"/>
                <w:sz w:val="21"/>
                <w:szCs w:val="21"/>
                <w:highlight w:val="yellow"/>
                <w:lang w:eastAsia="zh-CN"/>
              </w:rPr>
            </w:pPr>
            <w:r>
              <w:rPr>
                <w:rFonts w:ascii="Times New Roman" w:hAnsi="Times New Roman" w:cs="Times New Roman"/>
                <w:spacing w:val="-6"/>
                <w:sz w:val="21"/>
                <w:szCs w:val="21"/>
                <w:lang w:eastAsia="zh-CN"/>
              </w:rPr>
              <w:t>（4）施工材料如沥青、油料、化学品不宜堆放在</w:t>
            </w:r>
            <w:r>
              <w:rPr>
                <w:rFonts w:hint="eastAsia"/>
                <w:szCs w:val="24"/>
                <w:lang w:eastAsia="zh-CN"/>
              </w:rPr>
              <w:t>冷咀头河</w:t>
            </w:r>
            <w:r>
              <w:rPr>
                <w:szCs w:val="24"/>
                <w:lang w:eastAsia="zh-CN"/>
              </w:rPr>
              <w:t>、</w:t>
            </w:r>
            <w:r>
              <w:rPr>
                <w:rFonts w:hint="eastAsia"/>
                <w:szCs w:val="24"/>
                <w:lang w:eastAsia="zh-CN"/>
              </w:rPr>
              <w:t>清水河、</w:t>
            </w:r>
            <w:r>
              <w:rPr>
                <w:szCs w:val="24"/>
                <w:lang w:eastAsia="zh-CN"/>
              </w:rPr>
              <w:t>沙河、黎河</w:t>
            </w:r>
            <w:r>
              <w:rPr>
                <w:rFonts w:hint="eastAsia"/>
                <w:szCs w:val="24"/>
                <w:lang w:eastAsia="zh-CN"/>
              </w:rPr>
              <w:t>、遵化市堡子店</w:t>
            </w:r>
            <w:r>
              <w:rPr>
                <w:szCs w:val="24"/>
                <w:lang w:eastAsia="zh-CN"/>
              </w:rPr>
              <w:t>水源地</w:t>
            </w:r>
            <w:r>
              <w:rPr>
                <w:rFonts w:hint="eastAsia"/>
                <w:szCs w:val="24"/>
                <w:lang w:eastAsia="zh-CN"/>
              </w:rPr>
              <w:t>等区域</w:t>
            </w:r>
            <w:r>
              <w:rPr>
                <w:rFonts w:ascii="Times New Roman" w:hAnsi="Times New Roman" w:cs="Times New Roman"/>
                <w:spacing w:val="-6"/>
                <w:sz w:val="21"/>
                <w:szCs w:val="21"/>
                <w:lang w:eastAsia="zh-CN"/>
              </w:rPr>
              <w:t>附近，</w:t>
            </w:r>
            <w:r>
              <w:rPr>
                <w:rFonts w:ascii="Times New Roman" w:hAnsi="Times New Roman" w:cs="Times New Roman"/>
                <w:spacing w:val="2"/>
                <w:sz w:val="21"/>
                <w:szCs w:val="21"/>
                <w:lang w:eastAsia="zh-CN"/>
              </w:rPr>
              <w:t>要远离河道</w:t>
            </w:r>
            <w:r>
              <w:rPr>
                <w:rFonts w:hint="eastAsia" w:ascii="Times New Roman" w:hAnsi="Times New Roman" w:cs="Times New Roman"/>
                <w:spacing w:val="2"/>
                <w:sz w:val="21"/>
                <w:szCs w:val="21"/>
                <w:lang w:eastAsia="zh-CN"/>
              </w:rPr>
              <w:t>及水源地</w:t>
            </w:r>
            <w:r>
              <w:rPr>
                <w:rFonts w:ascii="Times New Roman" w:hAnsi="Times New Roman" w:cs="Times New Roman"/>
                <w:sz w:val="21"/>
                <w:szCs w:val="21"/>
                <w:lang w:eastAsia="zh-CN"/>
              </w:rPr>
              <w:t>。</w:t>
            </w:r>
          </w:p>
        </w:tc>
        <w:tc>
          <w:tcPr>
            <w:tcW w:w="7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15"/>
                <w:sz w:val="21"/>
                <w:szCs w:val="21"/>
                <w:lang w:eastAsia="zh-CN"/>
              </w:rPr>
              <w:t>施工期水环境质量监</w:t>
            </w:r>
            <w:r>
              <w:rPr>
                <w:rFonts w:ascii="Times New Roman" w:hAnsi="Times New Roman" w:cs="Times New Roman"/>
                <w:spacing w:val="-8"/>
                <w:sz w:val="21"/>
                <w:szCs w:val="21"/>
                <w:lang w:eastAsia="zh-CN"/>
              </w:rPr>
              <w:t>测、巡视施工现</w:t>
            </w:r>
            <w:r>
              <w:rPr>
                <w:rFonts w:ascii="Times New Roman" w:hAnsi="Times New Roman" w:cs="Times New Roman"/>
                <w:sz w:val="21"/>
                <w:szCs w:val="21"/>
                <w:lang w:eastAsia="zh-CN"/>
              </w:rPr>
              <w:t>场</w:t>
            </w:r>
          </w:p>
        </w:tc>
        <w:tc>
          <w:tcPr>
            <w:tcW w:w="61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通知建设单位和施工单位立即停止施工、并采取</w:t>
            </w:r>
            <w:r>
              <w:rPr>
                <w:rFonts w:ascii="Times New Roman" w:hAnsi="Times New Roman" w:cs="Times New Roman"/>
                <w:sz w:val="21"/>
                <w:szCs w:val="21"/>
                <w:lang w:eastAsia="zh-CN"/>
              </w:rPr>
              <w:t>补救措施。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环境</w:t>
            </w:r>
          </w:p>
          <w:p>
            <w:pPr>
              <w:pStyle w:val="675"/>
              <w:jc w:val="center"/>
              <w:rPr>
                <w:rFonts w:ascii="Times New Roman" w:hAnsi="Times New Roman" w:cs="Times New Roman"/>
                <w:sz w:val="21"/>
                <w:szCs w:val="21"/>
              </w:rPr>
            </w:pPr>
            <w:r>
              <w:rPr>
                <w:rFonts w:ascii="Times New Roman" w:hAnsi="Times New Roman" w:cs="Times New Roman"/>
                <w:sz w:val="21"/>
                <w:szCs w:val="21"/>
              </w:rPr>
              <w:t>空气</w:t>
            </w:r>
          </w:p>
        </w:tc>
        <w:tc>
          <w:tcPr>
            <w:tcW w:w="100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施工运输道路</w:t>
            </w:r>
          </w:p>
        </w:tc>
        <w:tc>
          <w:tcPr>
            <w:tcW w:w="3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公路环境敏感点</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（1）筑路材料堆放苫盖、运输粉状物料加盖篷布；</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（2）敏感点附近的施工道路洒水抑尘；</w:t>
            </w:r>
          </w:p>
        </w:tc>
        <w:tc>
          <w:tcPr>
            <w:tcW w:w="7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施工期环境空气监测、</w:t>
            </w:r>
            <w:r>
              <w:rPr>
                <w:rFonts w:ascii="Times New Roman" w:hAnsi="Times New Roman" w:cs="Times New Roman"/>
                <w:spacing w:val="15"/>
                <w:sz w:val="21"/>
                <w:szCs w:val="21"/>
                <w:lang w:eastAsia="zh-CN"/>
              </w:rPr>
              <w:t>巡视施工现场</w:t>
            </w:r>
          </w:p>
        </w:tc>
        <w:tc>
          <w:tcPr>
            <w:tcW w:w="61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通知建设单位和施工单位立即停止施工、并采取</w:t>
            </w:r>
            <w:r>
              <w:rPr>
                <w:rFonts w:ascii="Times New Roman" w:hAnsi="Times New Roman" w:cs="Times New Roman"/>
                <w:sz w:val="21"/>
                <w:szCs w:val="21"/>
                <w:lang w:eastAsia="zh-CN"/>
              </w:rPr>
              <w:t>补救措施。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声</w:t>
            </w:r>
            <w:r>
              <w:rPr>
                <w:rFonts w:ascii="Times New Roman" w:hAnsi="Times New Roman" w:cs="Times New Roman"/>
                <w:sz w:val="21"/>
                <w:szCs w:val="21"/>
              </w:rPr>
              <w:t>环境</w:t>
            </w:r>
          </w:p>
        </w:tc>
        <w:tc>
          <w:tcPr>
            <w:tcW w:w="100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施工运输道路</w:t>
            </w:r>
          </w:p>
        </w:tc>
        <w:tc>
          <w:tcPr>
            <w:tcW w:w="3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公路沿线环境敏感点</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（1）合理安排施工时间，夜间敏感点附近禁止施工；</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（2）选用低噪声设备；</w:t>
            </w:r>
          </w:p>
        </w:tc>
        <w:tc>
          <w:tcPr>
            <w:tcW w:w="7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施工期声环境监测、巡</w:t>
            </w:r>
            <w:r>
              <w:rPr>
                <w:rFonts w:ascii="Times New Roman" w:hAnsi="Times New Roman" w:cs="Times New Roman"/>
                <w:spacing w:val="15"/>
                <w:sz w:val="21"/>
                <w:szCs w:val="21"/>
                <w:lang w:eastAsia="zh-CN"/>
              </w:rPr>
              <w:t>视施工现场</w:t>
            </w:r>
          </w:p>
        </w:tc>
        <w:tc>
          <w:tcPr>
            <w:tcW w:w="61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通知建设单位和施工单位立即停止施工</w:t>
            </w:r>
            <w:r>
              <w:rPr>
                <w:rFonts w:ascii="Times New Roman" w:hAnsi="Times New Roman" w:cs="Times New Roman"/>
                <w:sz w:val="21"/>
                <w:szCs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rPr>
              <w:t>社会</w:t>
            </w:r>
          </w:p>
          <w:p>
            <w:pPr>
              <w:pStyle w:val="675"/>
              <w:jc w:val="center"/>
              <w:rPr>
                <w:rFonts w:ascii="Times New Roman" w:hAnsi="Times New Roman" w:cs="Times New Roman"/>
                <w:sz w:val="21"/>
                <w:szCs w:val="21"/>
              </w:rPr>
            </w:pPr>
            <w:r>
              <w:rPr>
                <w:rFonts w:ascii="Times New Roman" w:hAnsi="Times New Roman" w:cs="Times New Roman"/>
                <w:sz w:val="21"/>
                <w:szCs w:val="21"/>
              </w:rPr>
              <w:t>环境</w:t>
            </w:r>
          </w:p>
        </w:tc>
        <w:tc>
          <w:tcPr>
            <w:tcW w:w="100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（1）</w:t>
            </w:r>
            <w:r>
              <w:rPr>
                <w:rFonts w:hint="eastAsia" w:ascii="Times New Roman" w:hAnsi="Times New Roman" w:cs="Times New Roman"/>
                <w:spacing w:val="-7"/>
                <w:sz w:val="21"/>
                <w:szCs w:val="21"/>
                <w:lang w:eastAsia="zh-CN"/>
              </w:rPr>
              <w:t>现有道路</w:t>
            </w:r>
            <w:r>
              <w:rPr>
                <w:rFonts w:ascii="Times New Roman" w:hAnsi="Times New Roman" w:cs="Times New Roman"/>
                <w:spacing w:val="-7"/>
                <w:sz w:val="21"/>
                <w:szCs w:val="21"/>
                <w:lang w:eastAsia="zh-CN"/>
              </w:rPr>
              <w:t>合理使用</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（2）主要施工地点</w:t>
            </w:r>
          </w:p>
        </w:tc>
        <w:tc>
          <w:tcPr>
            <w:tcW w:w="3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公共设施</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（1）施工过程中发现文物及时保护</w:t>
            </w:r>
            <w:r>
              <w:rPr>
                <w:rFonts w:ascii="Times New Roman" w:hAnsi="Times New Roman" w:cs="Times New Roman"/>
                <w:sz w:val="21"/>
                <w:szCs w:val="21"/>
                <w:lang w:eastAsia="zh-CN"/>
              </w:rPr>
              <w:t>；</w:t>
            </w:r>
          </w:p>
          <w:p>
            <w:pPr>
              <w:pStyle w:val="675"/>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（2）采取运输避开地方运输高峰时段等措施减少对所在地</w:t>
            </w:r>
            <w:r>
              <w:rPr>
                <w:rFonts w:ascii="Times New Roman" w:hAnsi="Times New Roman" w:cs="Times New Roman"/>
                <w:sz w:val="21"/>
                <w:szCs w:val="21"/>
                <w:lang w:eastAsia="zh-CN"/>
              </w:rPr>
              <w:t>交通的影响；</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（3）注意保护沿线现有公用设施</w:t>
            </w:r>
            <w:r>
              <w:rPr>
                <w:rFonts w:hint="eastAsia" w:ascii="Times New Roman" w:hAnsi="Times New Roman" w:cs="Times New Roman"/>
                <w:sz w:val="21"/>
                <w:szCs w:val="21"/>
                <w:lang w:eastAsia="zh-CN"/>
              </w:rPr>
              <w:t>；</w:t>
            </w:r>
          </w:p>
          <w:p>
            <w:pPr>
              <w:pStyle w:val="675"/>
              <w:jc w:val="center"/>
              <w:rPr>
                <w:rFonts w:ascii="Times New Roman" w:hAnsi="Times New Roman" w:cs="Times New Roman"/>
                <w:sz w:val="21"/>
                <w:szCs w:val="21"/>
                <w:highlight w:val="yellow"/>
                <w:lang w:eastAsia="zh-CN"/>
              </w:rPr>
            </w:pPr>
            <w:r>
              <w:rPr>
                <w:rFonts w:hint="eastAsia" w:ascii="Times New Roman" w:hAnsi="Times New Roman" w:cs="Times New Roman"/>
                <w:sz w:val="21"/>
                <w:szCs w:val="21"/>
                <w:lang w:eastAsia="zh-CN"/>
              </w:rPr>
              <w:t>（4）注意</w:t>
            </w:r>
            <w:r>
              <w:rPr>
                <w:rFonts w:ascii="Times New Roman" w:hAnsi="Times New Roman" w:cs="Times New Roman"/>
                <w:sz w:val="21"/>
                <w:szCs w:val="21"/>
                <w:lang w:eastAsia="zh-CN"/>
              </w:rPr>
              <w:t>沿线现有的</w:t>
            </w:r>
            <w:r>
              <w:rPr>
                <w:rFonts w:hint="eastAsia" w:ascii="Times New Roman" w:hAnsi="Times New Roman" w:cs="Times New Roman"/>
                <w:sz w:val="21"/>
                <w:szCs w:val="21"/>
                <w:lang w:eastAsia="zh-CN"/>
              </w:rPr>
              <w:t>村庄等</w:t>
            </w:r>
            <w:r>
              <w:rPr>
                <w:rFonts w:ascii="Times New Roman" w:hAnsi="Times New Roman" w:cs="Times New Roman"/>
                <w:sz w:val="21"/>
                <w:szCs w:val="21"/>
                <w:lang w:eastAsia="zh-CN"/>
              </w:rPr>
              <w:t>建筑物</w:t>
            </w:r>
          </w:p>
        </w:tc>
        <w:tc>
          <w:tcPr>
            <w:tcW w:w="7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15"/>
                <w:sz w:val="21"/>
                <w:szCs w:val="21"/>
                <w:lang w:eastAsia="zh-CN"/>
              </w:rPr>
              <w:t>施工期巡视各施工现</w:t>
            </w:r>
            <w:r>
              <w:rPr>
                <w:rFonts w:ascii="Times New Roman" w:hAnsi="Times New Roman" w:cs="Times New Roman"/>
                <w:spacing w:val="-8"/>
                <w:sz w:val="21"/>
                <w:szCs w:val="21"/>
                <w:lang w:eastAsia="zh-CN"/>
              </w:rPr>
              <w:t>场，了解沿线居民对项</w:t>
            </w:r>
            <w:r>
              <w:rPr>
                <w:rFonts w:ascii="Times New Roman" w:hAnsi="Times New Roman" w:cs="Times New Roman"/>
                <w:sz w:val="21"/>
                <w:szCs w:val="21"/>
                <w:lang w:eastAsia="zh-CN"/>
              </w:rPr>
              <w:t>目建设的反映。</w:t>
            </w:r>
          </w:p>
        </w:tc>
        <w:tc>
          <w:tcPr>
            <w:tcW w:w="61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通知建设单位和施工单位立即停止施工、并采取</w:t>
            </w:r>
            <w:r>
              <w:rPr>
                <w:rFonts w:ascii="Times New Roman" w:hAnsi="Times New Roman" w:cs="Times New Roman"/>
                <w:sz w:val="21"/>
                <w:szCs w:val="21"/>
                <w:lang w:eastAsia="zh-CN"/>
              </w:rPr>
              <w:t>补救措施。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rPr>
            </w:pPr>
            <w:r>
              <w:rPr>
                <w:rFonts w:hint="eastAsia" w:ascii="Times New Roman" w:hAnsi="Times New Roman" w:cs="Times New Roman"/>
                <w:sz w:val="21"/>
                <w:szCs w:val="21"/>
                <w:lang w:eastAsia="zh-CN"/>
              </w:rPr>
              <w:t>生</w:t>
            </w:r>
            <w:r>
              <w:rPr>
                <w:rFonts w:ascii="Times New Roman" w:hAnsi="Times New Roman" w:cs="Times New Roman"/>
                <w:sz w:val="21"/>
                <w:szCs w:val="21"/>
              </w:rPr>
              <w:t>态环境景观</w:t>
            </w:r>
          </w:p>
        </w:tc>
        <w:tc>
          <w:tcPr>
            <w:tcW w:w="1006" w:type="pct"/>
            <w:vAlign w:val="center"/>
          </w:tcPr>
          <w:p>
            <w:pPr>
              <w:pStyle w:val="675"/>
              <w:jc w:val="center"/>
              <w:rPr>
                <w:rFonts w:ascii="Times New Roman" w:hAnsi="Times New Roman" w:cs="Times New Roman"/>
                <w:spacing w:val="9"/>
                <w:sz w:val="21"/>
                <w:szCs w:val="21"/>
                <w:lang w:eastAsia="zh-CN"/>
              </w:rPr>
            </w:pPr>
            <w:r>
              <w:rPr>
                <w:rFonts w:ascii="Times New Roman" w:hAnsi="Times New Roman" w:cs="Times New Roman"/>
                <w:sz w:val="21"/>
                <w:szCs w:val="21"/>
                <w:lang w:eastAsia="zh-CN"/>
              </w:rPr>
              <w:t>（1）占用耕地、林地路段，</w:t>
            </w:r>
          </w:p>
        </w:tc>
        <w:tc>
          <w:tcPr>
            <w:tcW w:w="35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沿线的耕地和林地等</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（1）严格在施工范围内施工；</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（2）绿化选用乡土树种、草种；</w:t>
            </w:r>
          </w:p>
          <w:p>
            <w:pPr>
              <w:pStyle w:val="675"/>
              <w:jc w:val="center"/>
              <w:rPr>
                <w:rFonts w:ascii="Times New Roman" w:hAnsi="Times New Roman" w:cs="Times New Roman"/>
                <w:sz w:val="21"/>
                <w:szCs w:val="21"/>
                <w:lang w:eastAsia="zh-CN"/>
              </w:rPr>
            </w:pPr>
            <w:r>
              <w:rPr>
                <w:rFonts w:ascii="Times New Roman" w:hAnsi="Times New Roman" w:cs="Times New Roman"/>
                <w:sz w:val="21"/>
                <w:szCs w:val="21"/>
                <w:lang w:eastAsia="zh-CN"/>
              </w:rPr>
              <w:t>（3）</w:t>
            </w:r>
            <w:r>
              <w:rPr>
                <w:rFonts w:hint="eastAsia" w:ascii="Times New Roman" w:hAnsi="Times New Roman" w:cs="Times New Roman"/>
                <w:sz w:val="21"/>
                <w:szCs w:val="21"/>
                <w:lang w:eastAsia="zh-CN"/>
              </w:rPr>
              <w:t>施工结束后道路两侧生态</w:t>
            </w:r>
            <w:r>
              <w:rPr>
                <w:rFonts w:ascii="Times New Roman" w:hAnsi="Times New Roman" w:cs="Times New Roman"/>
                <w:sz w:val="21"/>
                <w:szCs w:val="21"/>
                <w:lang w:eastAsia="zh-CN"/>
              </w:rPr>
              <w:t>恢复；</w:t>
            </w:r>
          </w:p>
        </w:tc>
        <w:tc>
          <w:tcPr>
            <w:tcW w:w="79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15"/>
                <w:sz w:val="21"/>
                <w:szCs w:val="21"/>
                <w:lang w:eastAsia="zh-CN"/>
              </w:rPr>
              <w:t>施工前明确各标段</w:t>
            </w:r>
            <w:r>
              <w:rPr>
                <w:rFonts w:ascii="Times New Roman" w:hAnsi="Times New Roman" w:cs="Times New Roman"/>
                <w:spacing w:val="-8"/>
                <w:sz w:val="21"/>
                <w:szCs w:val="21"/>
                <w:lang w:eastAsia="zh-CN"/>
              </w:rPr>
              <w:t>施工期巡视，施工结束检查</w:t>
            </w:r>
            <w:r>
              <w:rPr>
                <w:rFonts w:hint="eastAsia" w:ascii="Times New Roman" w:hAnsi="Times New Roman" w:cs="Times New Roman"/>
                <w:spacing w:val="15"/>
                <w:sz w:val="21"/>
                <w:szCs w:val="21"/>
                <w:lang w:eastAsia="zh-CN"/>
              </w:rPr>
              <w:t>道路两侧生态</w:t>
            </w:r>
            <w:r>
              <w:rPr>
                <w:rFonts w:ascii="Times New Roman" w:hAnsi="Times New Roman" w:cs="Times New Roman"/>
                <w:sz w:val="21"/>
                <w:szCs w:val="21"/>
                <w:lang w:eastAsia="zh-CN"/>
              </w:rPr>
              <w:t>恢复情况。</w:t>
            </w:r>
          </w:p>
        </w:tc>
        <w:tc>
          <w:tcPr>
            <w:tcW w:w="610"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通知建设单位和施工单位立即停止施工、并采取</w:t>
            </w:r>
            <w:r>
              <w:rPr>
                <w:rFonts w:ascii="Times New Roman" w:hAnsi="Times New Roman" w:cs="Times New Roman"/>
                <w:sz w:val="21"/>
                <w:szCs w:val="21"/>
                <w:lang w:eastAsia="zh-CN"/>
              </w:rPr>
              <w:t>补救措施。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3"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环保设施施工</w:t>
            </w:r>
          </w:p>
        </w:tc>
        <w:tc>
          <w:tcPr>
            <w:tcW w:w="1006"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项目环境影响报告书、环保主</w:t>
            </w:r>
            <w:r>
              <w:rPr>
                <w:rFonts w:ascii="Times New Roman" w:hAnsi="Times New Roman" w:cs="Times New Roman"/>
                <w:spacing w:val="9"/>
                <w:sz w:val="21"/>
                <w:szCs w:val="21"/>
                <w:lang w:eastAsia="zh-CN"/>
              </w:rPr>
              <w:t>管部门的批复和工程设计中</w:t>
            </w:r>
            <w:r>
              <w:rPr>
                <w:rFonts w:ascii="Times New Roman" w:hAnsi="Times New Roman" w:cs="Times New Roman"/>
                <w:sz w:val="21"/>
                <w:szCs w:val="21"/>
                <w:lang w:eastAsia="zh-CN"/>
              </w:rPr>
              <w:t>提出的各项环保设施的建设。</w:t>
            </w:r>
          </w:p>
        </w:tc>
        <w:tc>
          <w:tcPr>
            <w:tcW w:w="350" w:type="pct"/>
            <w:vAlign w:val="center"/>
          </w:tcPr>
          <w:p>
            <w:pPr>
              <w:pStyle w:val="675"/>
              <w:jc w:val="center"/>
              <w:rPr>
                <w:rFonts w:ascii="Times New Roman" w:hAnsi="Times New Roman" w:cs="Times New Roman"/>
                <w:sz w:val="21"/>
                <w:szCs w:val="21"/>
                <w:highlight w:val="yellow"/>
              </w:rPr>
            </w:pPr>
            <w:r>
              <w:rPr>
                <w:rFonts w:ascii="Times New Roman" w:hAnsi="Times New Roman" w:cs="Times New Roman"/>
                <w:w w:val="99"/>
                <w:sz w:val="21"/>
                <w:szCs w:val="21"/>
              </w:rPr>
              <w:t>/</w:t>
            </w:r>
          </w:p>
        </w:tc>
        <w:tc>
          <w:tcPr>
            <w:tcW w:w="1951" w:type="pct"/>
            <w:vAlign w:val="center"/>
          </w:tcPr>
          <w:p>
            <w:pPr>
              <w:pStyle w:val="675"/>
              <w:jc w:val="center"/>
              <w:rPr>
                <w:rFonts w:ascii="Times New Roman" w:hAnsi="Times New Roman" w:cs="Times New Roman"/>
                <w:sz w:val="21"/>
                <w:szCs w:val="21"/>
                <w:lang w:eastAsia="zh-CN"/>
              </w:rPr>
            </w:pPr>
            <w:r>
              <w:rPr>
                <w:rFonts w:ascii="Times New Roman" w:hAnsi="Times New Roman" w:cs="Times New Roman"/>
                <w:spacing w:val="-13"/>
                <w:sz w:val="21"/>
                <w:szCs w:val="21"/>
                <w:lang w:eastAsia="zh-CN"/>
              </w:rPr>
              <w:t>（1）敏感点噪声防治措施落实（通风隔声窗、绿化等）；</w:t>
            </w:r>
          </w:p>
          <w:p>
            <w:pPr>
              <w:pStyle w:val="675"/>
              <w:jc w:val="center"/>
              <w:rPr>
                <w:rFonts w:ascii="Times New Roman" w:hAnsi="Times New Roman" w:cs="Times New Roman"/>
                <w:sz w:val="21"/>
                <w:szCs w:val="21"/>
                <w:highlight w:val="yellow"/>
                <w:lang w:eastAsia="zh-CN"/>
              </w:rPr>
            </w:pPr>
            <w:r>
              <w:rPr>
                <w:rFonts w:ascii="Times New Roman" w:hAnsi="Times New Roman" w:cs="Times New Roman"/>
                <w:spacing w:val="-2"/>
                <w:sz w:val="21"/>
                <w:szCs w:val="21"/>
                <w:lang w:eastAsia="zh-CN"/>
              </w:rPr>
              <w:t>（2）沿线桥梁防撞护栏、防渗事故池</w:t>
            </w:r>
            <w:r>
              <w:rPr>
                <w:rFonts w:hint="eastAsia" w:ascii="Times New Roman" w:hAnsi="Times New Roman" w:cs="Times New Roman"/>
                <w:spacing w:val="-2"/>
                <w:sz w:val="21"/>
                <w:szCs w:val="21"/>
                <w:lang w:eastAsia="zh-CN"/>
              </w:rPr>
              <w:t>，</w:t>
            </w:r>
            <w:r>
              <w:rPr>
                <w:rFonts w:ascii="Times New Roman" w:cs="Times New Roman"/>
                <w:kern w:val="2"/>
                <w:sz w:val="21"/>
                <w:szCs w:val="21"/>
                <w:lang w:eastAsia="zh-CN"/>
              </w:rPr>
              <w:t>临近</w:t>
            </w:r>
            <w:r>
              <w:rPr>
                <w:rFonts w:hint="eastAsia"/>
                <w:sz w:val="21"/>
                <w:szCs w:val="21"/>
                <w:lang w:eastAsia="zh-CN"/>
              </w:rPr>
              <w:t>冷咀头河</w:t>
            </w:r>
            <w:r>
              <w:rPr>
                <w:rFonts w:ascii="Times New Roman" w:cs="Times New Roman"/>
                <w:kern w:val="2"/>
                <w:sz w:val="21"/>
                <w:szCs w:val="21"/>
                <w:lang w:eastAsia="zh-CN"/>
              </w:rPr>
              <w:t>路段设置岸边防撞护栏</w:t>
            </w:r>
            <w:r>
              <w:rPr>
                <w:rFonts w:hint="eastAsia" w:ascii="Times New Roman" w:cs="Times New Roman"/>
                <w:kern w:val="2"/>
                <w:sz w:val="21"/>
                <w:szCs w:val="21"/>
                <w:lang w:eastAsia="zh-CN"/>
              </w:rPr>
              <w:t>、</w:t>
            </w:r>
            <w:r>
              <w:rPr>
                <w:rFonts w:ascii="Times New Roman" w:hAnsi="Times New Roman" w:cs="Times New Roman"/>
                <w:spacing w:val="-2"/>
                <w:sz w:val="21"/>
                <w:szCs w:val="21"/>
                <w:lang w:eastAsia="zh-CN"/>
              </w:rPr>
              <w:t>环保警示牌等环境</w:t>
            </w:r>
            <w:r>
              <w:rPr>
                <w:rFonts w:ascii="Times New Roman" w:hAnsi="Times New Roman" w:cs="Times New Roman"/>
                <w:sz w:val="21"/>
                <w:szCs w:val="21"/>
                <w:lang w:eastAsia="zh-CN"/>
              </w:rPr>
              <w:t>风险事故防范措施。</w:t>
            </w:r>
          </w:p>
        </w:tc>
        <w:tc>
          <w:tcPr>
            <w:tcW w:w="79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同工程监理</w:t>
            </w:r>
          </w:p>
        </w:tc>
        <w:tc>
          <w:tcPr>
            <w:tcW w:w="610" w:type="pct"/>
            <w:vAlign w:val="center"/>
          </w:tcPr>
          <w:p>
            <w:pPr>
              <w:pStyle w:val="675"/>
              <w:jc w:val="center"/>
              <w:rPr>
                <w:rFonts w:ascii="Times New Roman" w:hAnsi="Times New Roman" w:cs="Times New Roman"/>
                <w:sz w:val="21"/>
                <w:szCs w:val="21"/>
              </w:rPr>
            </w:pPr>
            <w:r>
              <w:rPr>
                <w:rFonts w:ascii="Times New Roman" w:hAnsi="Times New Roman" w:cs="Times New Roman"/>
                <w:sz w:val="21"/>
                <w:szCs w:val="21"/>
              </w:rPr>
              <w:t>同工程监理</w:t>
            </w:r>
          </w:p>
        </w:tc>
      </w:tr>
    </w:tbl>
    <w:p>
      <w:pPr>
        <w:pStyle w:val="5"/>
        <w:spacing w:beforeLines="0" w:afterLines="0"/>
      </w:pPr>
      <w:bookmarkStart w:id="129" w:name="_Toc141284096"/>
      <w:r>
        <w:t>9.4环境保护竣工验收</w:t>
      </w:r>
      <w:bookmarkEnd w:id="129"/>
    </w:p>
    <w:p>
      <w:pPr>
        <w:adjustRightInd w:val="0"/>
        <w:snapToGrid w:val="0"/>
        <w:ind w:firstLine="0" w:firstLineChars="0"/>
        <w:jc w:val="center"/>
        <w:rPr>
          <w:b/>
          <w:sz w:val="21"/>
        </w:rPr>
      </w:pPr>
      <w:r>
        <w:rPr>
          <w:b/>
          <w:sz w:val="21"/>
        </w:rPr>
        <w:t>表9.4-1</w:t>
      </w:r>
      <w:r>
        <w:rPr>
          <w:b/>
          <w:sz w:val="21"/>
        </w:rPr>
        <w:tab/>
      </w:r>
      <w:r>
        <w:rPr>
          <w:b/>
          <w:sz w:val="21"/>
        </w:rPr>
        <w:t>国道G112遵化城区段改建工程</w:t>
      </w:r>
      <w:r>
        <w:rPr>
          <w:rFonts w:ascii="宋体" w:hAnsi="宋体"/>
          <w:b/>
          <w:sz w:val="21"/>
        </w:rPr>
        <w:t>“</w:t>
      </w:r>
      <w:r>
        <w:rPr>
          <w:b/>
          <w:sz w:val="21"/>
        </w:rPr>
        <w:t>三同时</w:t>
      </w:r>
      <w:r>
        <w:rPr>
          <w:rFonts w:ascii="宋体" w:hAnsi="宋体"/>
          <w:b/>
          <w:sz w:val="21"/>
        </w:rPr>
        <w:t>”</w:t>
      </w:r>
      <w:r>
        <w:rPr>
          <w:b/>
          <w:sz w:val="21"/>
        </w:rPr>
        <w:t>验收一览表</w:t>
      </w:r>
    </w:p>
    <w:tbl>
      <w:tblPr>
        <w:tblStyle w:val="52"/>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67"/>
        <w:gridCol w:w="1040"/>
        <w:gridCol w:w="989"/>
        <w:gridCol w:w="1118"/>
        <w:gridCol w:w="5975"/>
        <w:gridCol w:w="852"/>
        <w:gridCol w:w="337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Align w:val="center"/>
          </w:tcPr>
          <w:p>
            <w:pPr>
              <w:pStyle w:val="675"/>
              <w:jc w:val="center"/>
              <w:rPr>
                <w:bCs/>
                <w:kern w:val="2"/>
                <w:sz w:val="21"/>
                <w:szCs w:val="21"/>
                <w:lang w:eastAsia="zh-CN"/>
              </w:rPr>
            </w:pPr>
            <w:r>
              <w:rPr>
                <w:bCs/>
                <w:kern w:val="2"/>
                <w:sz w:val="21"/>
                <w:szCs w:val="21"/>
              </w:rPr>
              <w:t>环境</w:t>
            </w:r>
          </w:p>
          <w:p>
            <w:pPr>
              <w:pStyle w:val="675"/>
              <w:jc w:val="center"/>
              <w:rPr>
                <w:kern w:val="2"/>
                <w:sz w:val="21"/>
                <w:szCs w:val="21"/>
              </w:rPr>
            </w:pPr>
            <w:r>
              <w:rPr>
                <w:bCs/>
                <w:kern w:val="2"/>
                <w:sz w:val="21"/>
                <w:szCs w:val="21"/>
              </w:rPr>
              <w:t>要素</w:t>
            </w:r>
          </w:p>
        </w:tc>
        <w:tc>
          <w:tcPr>
            <w:tcW w:w="371" w:type="pct"/>
            <w:vAlign w:val="center"/>
          </w:tcPr>
          <w:p>
            <w:pPr>
              <w:pStyle w:val="675"/>
              <w:jc w:val="center"/>
              <w:rPr>
                <w:kern w:val="2"/>
                <w:sz w:val="21"/>
                <w:szCs w:val="21"/>
              </w:rPr>
            </w:pPr>
            <w:r>
              <w:rPr>
                <w:bCs/>
                <w:kern w:val="2"/>
                <w:sz w:val="21"/>
                <w:szCs w:val="21"/>
              </w:rPr>
              <w:t>污染源</w:t>
            </w:r>
          </w:p>
        </w:tc>
        <w:tc>
          <w:tcPr>
            <w:tcW w:w="353" w:type="pct"/>
            <w:vAlign w:val="center"/>
          </w:tcPr>
          <w:p>
            <w:pPr>
              <w:pStyle w:val="675"/>
              <w:jc w:val="center"/>
              <w:rPr>
                <w:bCs/>
                <w:kern w:val="2"/>
                <w:sz w:val="21"/>
                <w:szCs w:val="21"/>
                <w:lang w:eastAsia="zh-CN"/>
              </w:rPr>
            </w:pPr>
            <w:r>
              <w:rPr>
                <w:bCs/>
                <w:kern w:val="2"/>
                <w:sz w:val="21"/>
                <w:szCs w:val="21"/>
              </w:rPr>
              <w:t>主要</w:t>
            </w:r>
          </w:p>
          <w:p>
            <w:pPr>
              <w:pStyle w:val="675"/>
              <w:jc w:val="center"/>
              <w:rPr>
                <w:kern w:val="2"/>
                <w:sz w:val="21"/>
                <w:szCs w:val="21"/>
              </w:rPr>
            </w:pPr>
            <w:r>
              <w:rPr>
                <w:bCs/>
                <w:kern w:val="2"/>
                <w:sz w:val="21"/>
                <w:szCs w:val="21"/>
              </w:rPr>
              <w:t>污染物</w:t>
            </w:r>
          </w:p>
        </w:tc>
        <w:tc>
          <w:tcPr>
            <w:tcW w:w="2531" w:type="pct"/>
            <w:gridSpan w:val="2"/>
            <w:vAlign w:val="center"/>
          </w:tcPr>
          <w:p>
            <w:pPr>
              <w:pStyle w:val="675"/>
              <w:jc w:val="center"/>
              <w:rPr>
                <w:kern w:val="2"/>
                <w:sz w:val="21"/>
                <w:szCs w:val="21"/>
              </w:rPr>
            </w:pPr>
            <w:r>
              <w:rPr>
                <w:bCs/>
                <w:kern w:val="2"/>
                <w:sz w:val="21"/>
                <w:szCs w:val="21"/>
              </w:rPr>
              <w:t>污染防治设施</w:t>
            </w:r>
          </w:p>
        </w:tc>
        <w:tc>
          <w:tcPr>
            <w:tcW w:w="304" w:type="pct"/>
            <w:vAlign w:val="center"/>
          </w:tcPr>
          <w:p>
            <w:pPr>
              <w:pStyle w:val="675"/>
              <w:jc w:val="center"/>
              <w:rPr>
                <w:kern w:val="2"/>
                <w:sz w:val="21"/>
                <w:szCs w:val="21"/>
              </w:rPr>
            </w:pPr>
            <w:r>
              <w:rPr>
                <w:bCs/>
                <w:kern w:val="2"/>
                <w:sz w:val="21"/>
                <w:szCs w:val="21"/>
              </w:rPr>
              <w:t>金额</w:t>
            </w:r>
          </w:p>
          <w:p>
            <w:pPr>
              <w:pStyle w:val="675"/>
              <w:jc w:val="center"/>
              <w:rPr>
                <w:kern w:val="2"/>
                <w:sz w:val="21"/>
                <w:szCs w:val="21"/>
              </w:rPr>
            </w:pPr>
            <w:r>
              <w:rPr>
                <w:bCs/>
                <w:kern w:val="2"/>
                <w:sz w:val="21"/>
                <w:szCs w:val="21"/>
              </w:rPr>
              <w:t>（万元）</w:t>
            </w:r>
          </w:p>
        </w:tc>
        <w:tc>
          <w:tcPr>
            <w:tcW w:w="1203" w:type="pct"/>
            <w:vAlign w:val="center"/>
          </w:tcPr>
          <w:p>
            <w:pPr>
              <w:pStyle w:val="675"/>
              <w:jc w:val="center"/>
              <w:rPr>
                <w:kern w:val="2"/>
                <w:sz w:val="21"/>
                <w:szCs w:val="21"/>
              </w:rPr>
            </w:pPr>
            <w:r>
              <w:rPr>
                <w:bCs/>
                <w:kern w:val="2"/>
                <w:sz w:val="21"/>
                <w:szCs w:val="21"/>
              </w:rPr>
              <w:t>验收标准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restart"/>
            <w:vAlign w:val="center"/>
          </w:tcPr>
          <w:p>
            <w:pPr>
              <w:pStyle w:val="675"/>
              <w:jc w:val="center"/>
              <w:rPr>
                <w:kern w:val="2"/>
                <w:sz w:val="21"/>
                <w:szCs w:val="21"/>
                <w:lang w:eastAsia="zh-CN"/>
              </w:rPr>
            </w:pPr>
            <w:r>
              <w:rPr>
                <w:kern w:val="2"/>
                <w:sz w:val="21"/>
                <w:szCs w:val="21"/>
              </w:rPr>
              <w:t>风险</w:t>
            </w:r>
          </w:p>
          <w:p>
            <w:pPr>
              <w:pStyle w:val="675"/>
              <w:jc w:val="center"/>
              <w:rPr>
                <w:kern w:val="2"/>
                <w:sz w:val="21"/>
                <w:szCs w:val="21"/>
              </w:rPr>
            </w:pPr>
            <w:r>
              <w:rPr>
                <w:kern w:val="2"/>
                <w:sz w:val="21"/>
                <w:szCs w:val="21"/>
              </w:rPr>
              <w:t>事故</w:t>
            </w:r>
          </w:p>
        </w:tc>
        <w:tc>
          <w:tcPr>
            <w:tcW w:w="371" w:type="pct"/>
            <w:vMerge w:val="restart"/>
            <w:vAlign w:val="center"/>
          </w:tcPr>
          <w:p>
            <w:pPr>
              <w:pStyle w:val="675"/>
              <w:jc w:val="center"/>
              <w:rPr>
                <w:kern w:val="2"/>
                <w:sz w:val="21"/>
                <w:szCs w:val="21"/>
              </w:rPr>
            </w:pPr>
            <w:r>
              <w:rPr>
                <w:kern w:val="2"/>
                <w:sz w:val="21"/>
                <w:szCs w:val="21"/>
              </w:rPr>
              <w:t>风险事故</w:t>
            </w:r>
          </w:p>
        </w:tc>
        <w:tc>
          <w:tcPr>
            <w:tcW w:w="353" w:type="pct"/>
            <w:vMerge w:val="restart"/>
            <w:vAlign w:val="center"/>
          </w:tcPr>
          <w:p>
            <w:pPr>
              <w:pStyle w:val="675"/>
              <w:jc w:val="center"/>
              <w:rPr>
                <w:rFonts w:ascii="Times New Roman" w:hAnsi="Times New Roman" w:eastAsia="Times New Roman" w:cs="Times New Roman"/>
                <w:kern w:val="2"/>
                <w:sz w:val="21"/>
                <w:szCs w:val="21"/>
              </w:rPr>
            </w:pPr>
            <w:r>
              <w:rPr>
                <w:rFonts w:ascii="Times New Roman"/>
                <w:kern w:val="2"/>
                <w:sz w:val="21"/>
                <w:szCs w:val="21"/>
              </w:rPr>
              <w:t>/</w:t>
            </w:r>
          </w:p>
        </w:tc>
        <w:tc>
          <w:tcPr>
            <w:tcW w:w="399" w:type="pct"/>
            <w:vMerge w:val="restart"/>
            <w:vAlign w:val="center"/>
          </w:tcPr>
          <w:p>
            <w:pPr>
              <w:pStyle w:val="675"/>
              <w:jc w:val="center"/>
              <w:rPr>
                <w:kern w:val="2"/>
                <w:sz w:val="21"/>
                <w:szCs w:val="21"/>
                <w:highlight w:val="yellow"/>
                <w:lang w:eastAsia="zh-CN"/>
              </w:rPr>
            </w:pPr>
            <w:r>
              <w:rPr>
                <w:lang w:eastAsia="zh-CN"/>
              </w:rPr>
              <w:t>冷咀头河</w:t>
            </w:r>
            <w:r>
              <w:rPr>
                <w:rFonts w:hint="eastAsia"/>
                <w:lang w:eastAsia="zh-CN"/>
              </w:rPr>
              <w:t>、</w:t>
            </w:r>
            <w:r>
              <w:rPr>
                <w:lang w:eastAsia="zh-CN"/>
              </w:rPr>
              <w:t>清水河、沙河</w:t>
            </w:r>
            <w:r>
              <w:rPr>
                <w:rFonts w:hint="eastAsia"/>
                <w:lang w:eastAsia="zh-CN"/>
              </w:rPr>
              <w:t>、黎河</w:t>
            </w:r>
          </w:p>
        </w:tc>
        <w:tc>
          <w:tcPr>
            <w:tcW w:w="2132" w:type="pct"/>
            <w:vAlign w:val="center"/>
          </w:tcPr>
          <w:p>
            <w:pPr>
              <w:pStyle w:val="675"/>
              <w:jc w:val="center"/>
              <w:rPr>
                <w:rFonts w:ascii="Times New Roman" w:hAnsi="Times New Roman" w:cs="Times New Roman"/>
                <w:kern w:val="2"/>
                <w:sz w:val="21"/>
                <w:szCs w:val="21"/>
                <w:lang w:eastAsia="zh-CN"/>
              </w:rPr>
            </w:pPr>
            <w:r>
              <w:rPr>
                <w:rFonts w:hint="eastAsia" w:ascii="Times New Roman" w:cs="Times New Roman"/>
                <w:kern w:val="2"/>
                <w:sz w:val="21"/>
                <w:szCs w:val="21"/>
                <w:lang w:eastAsia="zh-CN"/>
              </w:rPr>
              <w:t>桥梁</w:t>
            </w:r>
            <w:r>
              <w:rPr>
                <w:rFonts w:ascii="Times New Roman" w:cs="Times New Roman"/>
                <w:kern w:val="2"/>
                <w:sz w:val="21"/>
                <w:szCs w:val="21"/>
                <w:lang w:eastAsia="zh-CN"/>
              </w:rPr>
              <w:t>及临近</w:t>
            </w:r>
            <w:r>
              <w:rPr>
                <w:lang w:eastAsia="zh-CN"/>
              </w:rPr>
              <w:t>冷咀头河</w:t>
            </w:r>
            <w:r>
              <w:rPr>
                <w:rFonts w:ascii="Times New Roman" w:cs="Times New Roman"/>
                <w:kern w:val="2"/>
                <w:sz w:val="21"/>
                <w:szCs w:val="21"/>
                <w:lang w:eastAsia="zh-CN"/>
              </w:rPr>
              <w:t>段设置驶入警示牌及驶离告知牌</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w:t>
            </w:r>
          </w:p>
        </w:tc>
        <w:tc>
          <w:tcPr>
            <w:tcW w:w="1203" w:type="pct"/>
            <w:vMerge w:val="restart"/>
            <w:vAlign w:val="center"/>
          </w:tcPr>
          <w:p>
            <w:pPr>
              <w:pStyle w:val="675"/>
              <w:jc w:val="center"/>
              <w:rPr>
                <w:kern w:val="2"/>
                <w:sz w:val="21"/>
                <w:szCs w:val="21"/>
                <w:highlight w:val="yellow"/>
                <w:lang w:eastAsia="zh-CN"/>
              </w:rPr>
            </w:pPr>
            <w:r>
              <w:rPr>
                <w:rFonts w:hint="eastAsia"/>
                <w:kern w:val="2"/>
                <w:sz w:val="21"/>
                <w:szCs w:val="21"/>
                <w:lang w:eastAsia="zh-CN"/>
              </w:rPr>
              <w:t>避免风险事故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399" w:type="pct"/>
            <w:vMerge w:val="continue"/>
            <w:vAlign w:val="center"/>
          </w:tcPr>
          <w:p>
            <w:pPr>
              <w:spacing w:line="240" w:lineRule="auto"/>
              <w:ind w:firstLine="0" w:firstLineChars="0"/>
              <w:jc w:val="center"/>
              <w:rPr>
                <w:sz w:val="21"/>
                <w:highlight w:val="yellow"/>
              </w:rPr>
            </w:pPr>
          </w:p>
        </w:tc>
        <w:tc>
          <w:tcPr>
            <w:tcW w:w="2132"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临近</w:t>
            </w:r>
            <w:r>
              <w:rPr>
                <w:lang w:eastAsia="zh-CN"/>
              </w:rPr>
              <w:t>冷咀头河</w:t>
            </w:r>
            <w:r>
              <w:rPr>
                <w:rFonts w:ascii="Times New Roman" w:cs="Times New Roman"/>
                <w:kern w:val="2"/>
                <w:sz w:val="21"/>
                <w:szCs w:val="21"/>
                <w:lang w:eastAsia="zh-CN"/>
              </w:rPr>
              <w:t>路段设置岸边防撞护栏</w:t>
            </w:r>
            <w:r>
              <w:rPr>
                <w:rFonts w:hint="eastAsia" w:ascii="Times New Roman" w:cs="Times New Roman"/>
                <w:kern w:val="2"/>
                <w:sz w:val="21"/>
                <w:szCs w:val="21"/>
                <w:lang w:eastAsia="zh-CN"/>
              </w:rPr>
              <w:t>（工程内容）</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continue"/>
            <w:vAlign w:val="center"/>
          </w:tcPr>
          <w:p>
            <w:pPr>
              <w:spacing w:line="240" w:lineRule="auto"/>
              <w:ind w:firstLine="0" w:firstLineChars="0"/>
              <w:jc w:val="center"/>
              <w:rPr>
                <w:sz w:val="21"/>
                <w:highlight w:val="yellow"/>
                <w:lang w:eastAsia="en-US"/>
              </w:rPr>
            </w:pPr>
          </w:p>
        </w:tc>
        <w:tc>
          <w:tcPr>
            <w:tcW w:w="2132" w:type="pct"/>
            <w:vAlign w:val="center"/>
          </w:tcPr>
          <w:p>
            <w:pPr>
              <w:pStyle w:val="675"/>
              <w:jc w:val="center"/>
              <w:rPr>
                <w:rFonts w:ascii="Times New Roman" w:hAnsi="Times New Roman" w:cs="Times New Roman"/>
                <w:kern w:val="2"/>
                <w:sz w:val="21"/>
                <w:szCs w:val="21"/>
                <w:lang w:eastAsia="zh-CN"/>
              </w:rPr>
            </w:pPr>
            <w:r>
              <w:rPr>
                <w:rFonts w:hint="eastAsia"/>
                <w:kern w:val="2"/>
                <w:sz w:val="21"/>
                <w:szCs w:val="21"/>
                <w:lang w:eastAsia="zh-CN"/>
              </w:rPr>
              <w:t>桥梁</w:t>
            </w:r>
            <w:r>
              <w:rPr>
                <w:kern w:val="2"/>
                <w:sz w:val="21"/>
                <w:szCs w:val="21"/>
                <w:lang w:eastAsia="zh-CN"/>
              </w:rPr>
              <w:t>采用钢筋混凝土防撞护栏，跨越</w:t>
            </w:r>
            <w:r>
              <w:rPr>
                <w:lang w:eastAsia="zh-CN"/>
              </w:rPr>
              <w:t>清水河、沙河</w:t>
            </w:r>
            <w:r>
              <w:rPr>
                <w:rFonts w:hint="eastAsia"/>
                <w:lang w:eastAsia="zh-CN"/>
              </w:rPr>
              <w:t>、黎河主河道</w:t>
            </w:r>
            <w:r>
              <w:rPr>
                <w:kern w:val="2"/>
                <w:sz w:val="21"/>
                <w:szCs w:val="21"/>
                <w:lang w:eastAsia="zh-CN"/>
              </w:rPr>
              <w:t>常水位主河槽的部分加装防落网</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10</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continue"/>
            <w:vAlign w:val="center"/>
          </w:tcPr>
          <w:p>
            <w:pPr>
              <w:spacing w:line="240" w:lineRule="auto"/>
              <w:ind w:firstLine="0" w:firstLineChars="0"/>
              <w:jc w:val="center"/>
              <w:rPr>
                <w:sz w:val="21"/>
                <w:highlight w:val="yellow"/>
                <w:lang w:eastAsia="en-US"/>
              </w:rPr>
            </w:pPr>
          </w:p>
        </w:tc>
        <w:tc>
          <w:tcPr>
            <w:tcW w:w="2132" w:type="pct"/>
            <w:vAlign w:val="center"/>
          </w:tcPr>
          <w:p>
            <w:pPr>
              <w:pStyle w:val="675"/>
              <w:jc w:val="center"/>
              <w:rPr>
                <w:rFonts w:ascii="Times New Roman" w:hAnsi="Times New Roman" w:cs="Times New Roman"/>
                <w:kern w:val="2"/>
                <w:sz w:val="21"/>
                <w:szCs w:val="21"/>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大桥设置桥面径流收集系统及大桥</w:t>
            </w:r>
            <w:r>
              <w:rPr>
                <w:rFonts w:hint="eastAsia" w:ascii="Times New Roman" w:cs="Times New Roman"/>
                <w:kern w:val="2"/>
                <w:sz w:val="21"/>
                <w:szCs w:val="21"/>
                <w:lang w:eastAsia="zh-CN"/>
              </w:rPr>
              <w:t>两头</w:t>
            </w:r>
            <w:r>
              <w:rPr>
                <w:rFonts w:ascii="Times New Roman" w:cs="Times New Roman"/>
                <w:kern w:val="2"/>
                <w:sz w:val="21"/>
                <w:szCs w:val="21"/>
                <w:lang w:eastAsia="zh-CN"/>
              </w:rPr>
              <w:t>设置防渗事故池</w:t>
            </w:r>
            <w:r>
              <w:rPr>
                <w:rFonts w:hint="eastAsia" w:ascii="Times New Roman" w:cs="Times New Roman"/>
                <w:kern w:val="2"/>
                <w:sz w:val="21"/>
                <w:szCs w:val="21"/>
                <w:lang w:eastAsia="zh-CN"/>
              </w:rPr>
              <w:t>，共6座，容积分别为2座1</w:t>
            </w:r>
            <w:r>
              <w:rPr>
                <w:rFonts w:ascii="Times New Roman" w:cs="Times New Roman"/>
                <w:kern w:val="2"/>
                <w:sz w:val="21"/>
                <w:szCs w:val="21"/>
                <w:lang w:eastAsia="zh-CN"/>
              </w:rPr>
              <w:t>02</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r>
              <w:rPr>
                <w:rFonts w:hint="eastAsia" w:ascii="Times New Roman" w:cs="Times New Roman"/>
                <w:kern w:val="2"/>
                <w:sz w:val="21"/>
                <w:szCs w:val="21"/>
                <w:lang w:eastAsia="zh-CN"/>
              </w:rPr>
              <w:t>、2座1</w:t>
            </w:r>
            <w:r>
              <w:rPr>
                <w:rFonts w:ascii="Times New Roman" w:cs="Times New Roman"/>
                <w:kern w:val="2"/>
                <w:sz w:val="21"/>
                <w:szCs w:val="21"/>
                <w:lang w:eastAsia="zh-CN"/>
              </w:rPr>
              <w:t>09</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r>
              <w:rPr>
                <w:rFonts w:hint="eastAsia" w:ascii="Times New Roman" w:cs="Times New Roman"/>
                <w:kern w:val="2"/>
                <w:sz w:val="21"/>
                <w:szCs w:val="21"/>
                <w:lang w:eastAsia="zh-CN"/>
              </w:rPr>
              <w:t>、2座1</w:t>
            </w:r>
            <w:r>
              <w:rPr>
                <w:rFonts w:ascii="Times New Roman" w:cs="Times New Roman"/>
                <w:kern w:val="2"/>
                <w:sz w:val="21"/>
                <w:szCs w:val="21"/>
                <w:lang w:eastAsia="zh-CN"/>
              </w:rPr>
              <w:t>45</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102.5</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continue"/>
            <w:vAlign w:val="center"/>
          </w:tcPr>
          <w:p>
            <w:pPr>
              <w:spacing w:line="240" w:lineRule="auto"/>
              <w:ind w:firstLine="0" w:firstLineChars="0"/>
              <w:jc w:val="center"/>
              <w:rPr>
                <w:sz w:val="21"/>
                <w:highlight w:val="yellow"/>
                <w:lang w:eastAsia="en-US"/>
              </w:rPr>
            </w:pPr>
          </w:p>
        </w:tc>
        <w:tc>
          <w:tcPr>
            <w:tcW w:w="2132" w:type="pct"/>
            <w:vAlign w:val="center"/>
          </w:tcPr>
          <w:p>
            <w:pPr>
              <w:pStyle w:val="675"/>
              <w:jc w:val="center"/>
              <w:rPr>
                <w:rFonts w:ascii="Times New Roman" w:cs="Times New Roman"/>
                <w:kern w:val="2"/>
                <w:sz w:val="21"/>
                <w:szCs w:val="21"/>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w:t>
            </w:r>
            <w:r>
              <w:rPr>
                <w:kern w:val="2"/>
                <w:sz w:val="21"/>
                <w:szCs w:val="21"/>
                <w:lang w:eastAsia="zh-CN"/>
              </w:rPr>
              <w:t>安装限速监控</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30</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continue"/>
            <w:vAlign w:val="center"/>
          </w:tcPr>
          <w:p>
            <w:pPr>
              <w:spacing w:line="240" w:lineRule="auto"/>
              <w:ind w:firstLine="0" w:firstLineChars="0"/>
              <w:jc w:val="center"/>
              <w:rPr>
                <w:sz w:val="21"/>
                <w:highlight w:val="yellow"/>
                <w:lang w:eastAsia="en-US"/>
              </w:rPr>
            </w:pPr>
          </w:p>
        </w:tc>
        <w:tc>
          <w:tcPr>
            <w:tcW w:w="2132" w:type="pct"/>
            <w:vAlign w:val="center"/>
          </w:tcPr>
          <w:p>
            <w:pPr>
              <w:pStyle w:val="675"/>
              <w:jc w:val="center"/>
              <w:rPr>
                <w:rFonts w:ascii="Times New Roman" w:hAnsi="Times New Roman" w:cs="Times New Roman"/>
                <w:kern w:val="2"/>
                <w:sz w:val="21"/>
                <w:szCs w:val="21"/>
                <w:highlight w:val="yellow"/>
                <w:lang w:eastAsia="zh-CN"/>
              </w:rPr>
            </w:pPr>
            <w:r>
              <w:rPr>
                <w:lang w:eastAsia="zh-CN"/>
              </w:rPr>
              <w:t>清水河</w:t>
            </w:r>
            <w:r>
              <w:rPr>
                <w:rFonts w:ascii="Times New Roman" w:cs="Times New Roman"/>
                <w:kern w:val="2"/>
                <w:sz w:val="21"/>
                <w:szCs w:val="21"/>
                <w:lang w:eastAsia="zh-CN"/>
              </w:rPr>
              <w:t>大桥</w:t>
            </w:r>
            <w:r>
              <w:rPr>
                <w:lang w:eastAsia="zh-CN"/>
              </w:rPr>
              <w:t>、沙河</w:t>
            </w:r>
            <w:r>
              <w:rPr>
                <w:rFonts w:ascii="Times New Roman" w:cs="Times New Roman"/>
                <w:kern w:val="2"/>
                <w:sz w:val="21"/>
                <w:szCs w:val="21"/>
                <w:lang w:eastAsia="zh-CN"/>
              </w:rPr>
              <w:t>大桥</w:t>
            </w:r>
            <w:r>
              <w:rPr>
                <w:rFonts w:hint="eastAsia"/>
                <w:lang w:eastAsia="zh-CN"/>
              </w:rPr>
              <w:t>、黎河</w:t>
            </w:r>
            <w:r>
              <w:rPr>
                <w:rFonts w:ascii="Times New Roman" w:cs="Times New Roman"/>
                <w:kern w:val="2"/>
                <w:sz w:val="21"/>
                <w:szCs w:val="21"/>
                <w:lang w:eastAsia="zh-CN"/>
              </w:rPr>
              <w:t>大桥及临近</w:t>
            </w:r>
            <w:r>
              <w:rPr>
                <w:lang w:eastAsia="zh-CN"/>
              </w:rPr>
              <w:t>冷咀头河</w:t>
            </w:r>
            <w:r>
              <w:rPr>
                <w:rFonts w:ascii="Times New Roman" w:cs="Times New Roman"/>
                <w:kern w:val="2"/>
                <w:sz w:val="21"/>
                <w:szCs w:val="21"/>
                <w:lang w:eastAsia="zh-CN"/>
              </w:rPr>
              <w:t>段设置紧急报警电话标牌</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0.5</w:t>
            </w: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restart"/>
            <w:vAlign w:val="center"/>
          </w:tcPr>
          <w:p>
            <w:pPr>
              <w:pStyle w:val="675"/>
              <w:jc w:val="center"/>
              <w:rPr>
                <w:kern w:val="2"/>
                <w:sz w:val="21"/>
                <w:szCs w:val="21"/>
                <w:highlight w:val="yellow"/>
                <w:lang w:eastAsia="zh-CN"/>
              </w:rPr>
            </w:pPr>
            <w:r>
              <w:rPr>
                <w:rFonts w:hint="eastAsia"/>
                <w:kern w:val="24"/>
                <w:sz w:val="21"/>
              </w:rPr>
              <w:t>遵化市堡子店水源地</w:t>
            </w:r>
          </w:p>
        </w:tc>
        <w:tc>
          <w:tcPr>
            <w:tcW w:w="2132"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双向进、出</w:t>
            </w:r>
            <w:r>
              <w:rPr>
                <w:rFonts w:hint="eastAsia"/>
                <w:kern w:val="24"/>
                <w:sz w:val="21"/>
                <w:szCs w:val="21"/>
                <w:lang w:eastAsia="zh-CN"/>
              </w:rPr>
              <w:t>遵化市堡子店水源地</w:t>
            </w:r>
            <w:r>
              <w:rPr>
                <w:rFonts w:ascii="Times New Roman" w:cs="Times New Roman"/>
                <w:kern w:val="2"/>
                <w:sz w:val="21"/>
                <w:szCs w:val="21"/>
                <w:lang w:eastAsia="zh-CN"/>
              </w:rPr>
              <w:t>路段设置</w:t>
            </w:r>
            <w:r>
              <w:rPr>
                <w:rFonts w:ascii="Times New Roman" w:hAnsi="Times New Roman" w:cs="Times New Roman"/>
                <w:kern w:val="2"/>
                <w:sz w:val="21"/>
                <w:szCs w:val="21"/>
                <w:lang w:eastAsia="zh-CN"/>
              </w:rPr>
              <w:t>“</w:t>
            </w:r>
            <w:r>
              <w:rPr>
                <w:rFonts w:ascii="Times New Roman" w:cs="Times New Roman"/>
                <w:kern w:val="2"/>
                <w:sz w:val="21"/>
                <w:szCs w:val="21"/>
                <w:lang w:eastAsia="zh-CN"/>
              </w:rPr>
              <w:t>驶入、驶出</w:t>
            </w:r>
            <w:r>
              <w:rPr>
                <w:rFonts w:ascii="Times New Roman" w:hAnsi="Times New Roman" w:cs="Times New Roman"/>
                <w:kern w:val="2"/>
                <w:sz w:val="21"/>
                <w:szCs w:val="21"/>
                <w:lang w:eastAsia="zh-CN"/>
              </w:rPr>
              <w:t>”</w:t>
            </w:r>
            <w:r>
              <w:rPr>
                <w:rFonts w:ascii="Times New Roman" w:cs="Times New Roman"/>
                <w:kern w:val="2"/>
                <w:sz w:val="21"/>
                <w:szCs w:val="21"/>
                <w:lang w:eastAsia="zh-CN"/>
              </w:rPr>
              <w:t>标识</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0.4</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399" w:type="pct"/>
            <w:vMerge w:val="continue"/>
            <w:vAlign w:val="center"/>
          </w:tcPr>
          <w:p>
            <w:pPr>
              <w:spacing w:line="240" w:lineRule="auto"/>
              <w:ind w:firstLine="0" w:firstLineChars="0"/>
              <w:jc w:val="center"/>
              <w:rPr>
                <w:sz w:val="21"/>
                <w:highlight w:val="yellow"/>
                <w:lang w:eastAsia="en-US"/>
              </w:rPr>
            </w:pPr>
          </w:p>
        </w:tc>
        <w:tc>
          <w:tcPr>
            <w:tcW w:w="2132" w:type="pct"/>
            <w:vAlign w:val="center"/>
          </w:tcPr>
          <w:p>
            <w:pPr>
              <w:pStyle w:val="675"/>
              <w:jc w:val="center"/>
              <w:rPr>
                <w:rFonts w:ascii="Times New Roman" w:cs="Times New Roman"/>
                <w:kern w:val="2"/>
                <w:sz w:val="21"/>
                <w:szCs w:val="21"/>
                <w:lang w:eastAsia="zh-CN"/>
              </w:rPr>
            </w:pPr>
            <w:r>
              <w:rPr>
                <w:rFonts w:hint="eastAsia" w:ascii="Times New Roman" w:cs="Times New Roman"/>
                <w:kern w:val="2"/>
                <w:sz w:val="21"/>
                <w:szCs w:val="21"/>
                <w:lang w:eastAsia="zh-CN"/>
              </w:rPr>
              <w:t>穿越水源地二级保护区设置事故油池1</w:t>
            </w:r>
            <w:r>
              <w:rPr>
                <w:rFonts w:ascii="Times New Roman" w:cs="Times New Roman"/>
                <w:kern w:val="2"/>
                <w:sz w:val="21"/>
                <w:szCs w:val="21"/>
                <w:lang w:eastAsia="zh-CN"/>
              </w:rPr>
              <w:t>0</w:t>
            </w:r>
            <w:r>
              <w:rPr>
                <w:rFonts w:hint="eastAsia" w:ascii="Times New Roman" w:cs="Times New Roman"/>
                <w:kern w:val="2"/>
                <w:sz w:val="21"/>
                <w:szCs w:val="21"/>
                <w:lang w:eastAsia="zh-CN"/>
              </w:rPr>
              <w:t>座，容积分别为7</w:t>
            </w:r>
            <w:r>
              <w:rPr>
                <w:rFonts w:ascii="Times New Roman" w:cs="Times New Roman"/>
                <w:kern w:val="2"/>
                <w:sz w:val="21"/>
                <w:szCs w:val="21"/>
                <w:lang w:eastAsia="zh-CN"/>
              </w:rPr>
              <w:t>26</w:t>
            </w:r>
            <w:r>
              <w:rPr>
                <w:rFonts w:hint="eastAsia" w:ascii="Times New Roman" w:cs="Times New Roman"/>
                <w:kern w:val="2"/>
                <w:sz w:val="21"/>
                <w:szCs w:val="21"/>
                <w:lang w:eastAsia="zh-CN"/>
              </w:rPr>
              <w:t>m</w:t>
            </w:r>
            <w:r>
              <w:rPr>
                <w:rFonts w:hint="eastAsia" w:ascii="Times New Roman" w:cs="Times New Roman"/>
                <w:kern w:val="2"/>
                <w:sz w:val="21"/>
                <w:szCs w:val="21"/>
                <w:vertAlign w:val="superscript"/>
                <w:lang w:eastAsia="zh-CN"/>
              </w:rPr>
              <w:t>3</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157.14</w:t>
            </w: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399" w:type="pct"/>
            <w:vMerge w:val="continue"/>
            <w:vAlign w:val="center"/>
          </w:tcPr>
          <w:p>
            <w:pPr>
              <w:spacing w:line="240" w:lineRule="auto"/>
              <w:ind w:firstLine="0" w:firstLineChars="0"/>
              <w:jc w:val="center"/>
              <w:rPr>
                <w:sz w:val="21"/>
                <w:highlight w:val="yellow"/>
              </w:rPr>
            </w:pPr>
          </w:p>
        </w:tc>
        <w:tc>
          <w:tcPr>
            <w:tcW w:w="2132" w:type="pct"/>
            <w:vAlign w:val="center"/>
          </w:tcPr>
          <w:p>
            <w:pPr>
              <w:pStyle w:val="675"/>
              <w:jc w:val="center"/>
              <w:rPr>
                <w:rFonts w:ascii="Times New Roman" w:hAnsi="Times New Roman" w:cs="Times New Roman"/>
                <w:kern w:val="2"/>
                <w:sz w:val="21"/>
                <w:szCs w:val="21"/>
                <w:lang w:eastAsia="zh-CN"/>
              </w:rPr>
            </w:pPr>
            <w:r>
              <w:rPr>
                <w:rFonts w:ascii="Times New Roman" w:cs="Times New Roman"/>
                <w:kern w:val="2"/>
                <w:sz w:val="21"/>
                <w:szCs w:val="21"/>
                <w:lang w:eastAsia="zh-CN"/>
              </w:rPr>
              <w:t>设置减速等标识设施</w:t>
            </w:r>
          </w:p>
        </w:tc>
        <w:tc>
          <w:tcPr>
            <w:tcW w:w="304" w:type="pct"/>
            <w:vAlign w:val="center"/>
          </w:tcPr>
          <w:p>
            <w:pPr>
              <w:pStyle w:val="675"/>
              <w:jc w:val="center"/>
              <w:rPr>
                <w:rFonts w:ascii="Times New Roman" w:hAnsi="Times New Roman" w:cs="Times New Roman"/>
                <w:kern w:val="2"/>
                <w:sz w:val="21"/>
                <w:szCs w:val="21"/>
                <w:lang w:eastAsia="zh-CN"/>
              </w:rPr>
            </w:pPr>
            <w:r>
              <w:rPr>
                <w:rFonts w:ascii="Times New Roman" w:hAnsi="Times New Roman" w:cs="Times New Roman"/>
                <w:kern w:val="2"/>
                <w:sz w:val="21"/>
                <w:szCs w:val="21"/>
                <w:lang w:eastAsia="zh-CN"/>
              </w:rPr>
              <w:t>0.4</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2531" w:type="pct"/>
            <w:gridSpan w:val="2"/>
            <w:vAlign w:val="center"/>
          </w:tcPr>
          <w:p>
            <w:pPr>
              <w:pStyle w:val="675"/>
              <w:jc w:val="center"/>
              <w:rPr>
                <w:kern w:val="2"/>
                <w:sz w:val="21"/>
                <w:szCs w:val="21"/>
                <w:lang w:eastAsia="zh-CN"/>
              </w:rPr>
            </w:pPr>
            <w:r>
              <w:rPr>
                <w:kern w:val="2"/>
                <w:sz w:val="21"/>
                <w:szCs w:val="21"/>
                <w:lang w:eastAsia="zh-CN"/>
              </w:rPr>
              <w:t>安全警示标牌、限速标志等</w:t>
            </w:r>
          </w:p>
        </w:tc>
        <w:tc>
          <w:tcPr>
            <w:tcW w:w="304"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10</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lang w:eastAsia="en-US"/>
              </w:rPr>
            </w:pPr>
          </w:p>
        </w:tc>
        <w:tc>
          <w:tcPr>
            <w:tcW w:w="371" w:type="pct"/>
            <w:vMerge w:val="continue"/>
            <w:vAlign w:val="center"/>
          </w:tcPr>
          <w:p>
            <w:pPr>
              <w:spacing w:line="240" w:lineRule="auto"/>
              <w:ind w:firstLine="0" w:firstLineChars="0"/>
              <w:jc w:val="center"/>
              <w:rPr>
                <w:sz w:val="21"/>
                <w:highlight w:val="yellow"/>
                <w:lang w:eastAsia="en-US"/>
              </w:rPr>
            </w:pPr>
          </w:p>
        </w:tc>
        <w:tc>
          <w:tcPr>
            <w:tcW w:w="353" w:type="pct"/>
            <w:vMerge w:val="continue"/>
            <w:vAlign w:val="center"/>
          </w:tcPr>
          <w:p>
            <w:pPr>
              <w:spacing w:line="240" w:lineRule="auto"/>
              <w:ind w:firstLine="0" w:firstLineChars="0"/>
              <w:jc w:val="center"/>
              <w:rPr>
                <w:sz w:val="21"/>
                <w:highlight w:val="yellow"/>
                <w:lang w:eastAsia="en-US"/>
              </w:rPr>
            </w:pPr>
          </w:p>
        </w:tc>
        <w:tc>
          <w:tcPr>
            <w:tcW w:w="2531" w:type="pct"/>
            <w:gridSpan w:val="2"/>
            <w:vAlign w:val="center"/>
          </w:tcPr>
          <w:p>
            <w:pPr>
              <w:pStyle w:val="675"/>
              <w:jc w:val="center"/>
              <w:rPr>
                <w:kern w:val="2"/>
                <w:sz w:val="21"/>
                <w:szCs w:val="21"/>
                <w:lang w:eastAsia="zh-CN"/>
              </w:rPr>
            </w:pPr>
            <w:r>
              <w:rPr>
                <w:kern w:val="2"/>
                <w:sz w:val="21"/>
                <w:szCs w:val="21"/>
                <w:lang w:eastAsia="zh-CN"/>
              </w:rPr>
              <w:t>制定风险事故应急预案</w:t>
            </w:r>
          </w:p>
        </w:tc>
        <w:tc>
          <w:tcPr>
            <w:tcW w:w="304" w:type="pct"/>
            <w:vAlign w:val="center"/>
          </w:tcPr>
          <w:p>
            <w:pPr>
              <w:pStyle w:val="675"/>
              <w:jc w:val="center"/>
              <w:rPr>
                <w:rFonts w:ascii="Times New Roman" w:hAnsi="Times New Roman" w:cs="Times New Roman"/>
                <w:kern w:val="2"/>
                <w:sz w:val="21"/>
                <w:szCs w:val="21"/>
                <w:lang w:eastAsia="zh-CN"/>
              </w:rPr>
            </w:pPr>
            <w:r>
              <w:rPr>
                <w:rFonts w:hint="eastAsia" w:ascii="Times New Roman" w:hAnsi="Times New Roman" w:cs="Times New Roman"/>
                <w:kern w:val="2"/>
                <w:sz w:val="21"/>
                <w:szCs w:val="21"/>
                <w:lang w:eastAsia="zh-CN"/>
              </w:rPr>
              <w:t>5</w:t>
            </w:r>
          </w:p>
        </w:tc>
        <w:tc>
          <w:tcPr>
            <w:tcW w:w="1203" w:type="pct"/>
            <w:vMerge w:val="continue"/>
            <w:vAlign w:val="center"/>
          </w:tcPr>
          <w:p>
            <w:pPr>
              <w:spacing w:line="240" w:lineRule="auto"/>
              <w:ind w:firstLine="0" w:firstLineChars="0"/>
              <w:jc w:val="center"/>
              <w:rPr>
                <w:sz w:val="21"/>
                <w:highlight w:val="yellow"/>
                <w:lang w:eastAsia="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Align w:val="center"/>
          </w:tcPr>
          <w:p>
            <w:pPr>
              <w:pStyle w:val="675"/>
              <w:jc w:val="center"/>
              <w:rPr>
                <w:kern w:val="2"/>
                <w:sz w:val="21"/>
                <w:szCs w:val="21"/>
                <w:lang w:eastAsia="zh-CN"/>
              </w:rPr>
            </w:pPr>
            <w:r>
              <w:rPr>
                <w:kern w:val="2"/>
                <w:sz w:val="21"/>
                <w:szCs w:val="21"/>
              </w:rPr>
              <w:t>固体</w:t>
            </w:r>
          </w:p>
          <w:p>
            <w:pPr>
              <w:pStyle w:val="675"/>
              <w:jc w:val="center"/>
              <w:rPr>
                <w:kern w:val="2"/>
                <w:sz w:val="21"/>
                <w:szCs w:val="21"/>
              </w:rPr>
            </w:pPr>
            <w:r>
              <w:rPr>
                <w:kern w:val="2"/>
                <w:sz w:val="21"/>
                <w:szCs w:val="21"/>
              </w:rPr>
              <w:t>废物</w:t>
            </w:r>
          </w:p>
        </w:tc>
        <w:tc>
          <w:tcPr>
            <w:tcW w:w="371" w:type="pct"/>
            <w:vAlign w:val="center"/>
          </w:tcPr>
          <w:p>
            <w:pPr>
              <w:pStyle w:val="675"/>
              <w:jc w:val="center"/>
              <w:rPr>
                <w:kern w:val="2"/>
                <w:sz w:val="21"/>
                <w:szCs w:val="21"/>
                <w:lang w:eastAsia="zh-CN"/>
              </w:rPr>
            </w:pPr>
            <w:r>
              <w:rPr>
                <w:rFonts w:hint="eastAsia"/>
                <w:kern w:val="2"/>
                <w:sz w:val="21"/>
                <w:szCs w:val="21"/>
                <w:lang w:eastAsia="zh-CN"/>
              </w:rPr>
              <w:t>道路</w:t>
            </w:r>
          </w:p>
        </w:tc>
        <w:tc>
          <w:tcPr>
            <w:tcW w:w="353" w:type="pct"/>
            <w:vAlign w:val="center"/>
          </w:tcPr>
          <w:p>
            <w:pPr>
              <w:pStyle w:val="675"/>
              <w:jc w:val="center"/>
              <w:rPr>
                <w:kern w:val="2"/>
                <w:sz w:val="21"/>
                <w:szCs w:val="21"/>
                <w:lang w:eastAsia="zh-CN"/>
              </w:rPr>
            </w:pPr>
            <w:r>
              <w:rPr>
                <w:rFonts w:hint="eastAsia"/>
                <w:kern w:val="2"/>
                <w:sz w:val="21"/>
                <w:szCs w:val="21"/>
                <w:lang w:eastAsia="zh-CN"/>
              </w:rPr>
              <w:t>垃圾</w:t>
            </w:r>
          </w:p>
        </w:tc>
        <w:tc>
          <w:tcPr>
            <w:tcW w:w="2531" w:type="pct"/>
            <w:gridSpan w:val="2"/>
            <w:vAlign w:val="center"/>
          </w:tcPr>
          <w:p>
            <w:pPr>
              <w:pStyle w:val="675"/>
              <w:jc w:val="center"/>
              <w:rPr>
                <w:kern w:val="2"/>
                <w:sz w:val="21"/>
                <w:szCs w:val="21"/>
                <w:lang w:eastAsia="zh-CN"/>
              </w:rPr>
            </w:pPr>
            <w:r>
              <w:rPr>
                <w:kern w:val="2"/>
                <w:sz w:val="21"/>
                <w:szCs w:val="21"/>
                <w:lang w:eastAsia="zh-CN"/>
              </w:rPr>
              <w:t>公路上行驶车辆洒落的固体废物，由专职的公路环卫工人定期清理</w:t>
            </w:r>
          </w:p>
        </w:tc>
        <w:tc>
          <w:tcPr>
            <w:tcW w:w="304" w:type="pct"/>
            <w:vAlign w:val="center"/>
          </w:tcPr>
          <w:p>
            <w:pPr>
              <w:pStyle w:val="675"/>
              <w:jc w:val="center"/>
              <w:rPr>
                <w:rFonts w:ascii="Times New Roman" w:hAnsi="Times New Roman" w:eastAsia="Times New Roman" w:cs="Times New Roman"/>
                <w:kern w:val="2"/>
                <w:sz w:val="21"/>
                <w:szCs w:val="21"/>
                <w:lang w:eastAsia="zh-CN"/>
              </w:rPr>
            </w:pPr>
            <w:r>
              <w:rPr>
                <w:rFonts w:hint="eastAsia" w:ascii="Times New Roman"/>
                <w:kern w:val="2"/>
                <w:sz w:val="21"/>
                <w:szCs w:val="21"/>
                <w:lang w:eastAsia="zh-CN"/>
              </w:rPr>
              <w:t>4.2</w:t>
            </w:r>
          </w:p>
        </w:tc>
        <w:tc>
          <w:tcPr>
            <w:tcW w:w="1203" w:type="pct"/>
            <w:vAlign w:val="center"/>
          </w:tcPr>
          <w:p>
            <w:pPr>
              <w:spacing w:line="240" w:lineRule="auto"/>
              <w:ind w:firstLine="0" w:firstLineChars="0"/>
              <w:jc w:val="center"/>
              <w:rPr>
                <w:sz w:val="21"/>
              </w:rPr>
            </w:pPr>
            <w:r>
              <w:rPr>
                <w:rFonts w:hint="eastAsia"/>
                <w:sz w:val="21"/>
              </w:rPr>
              <w:t>合理处置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2" w:hRule="atLeast"/>
          <w:jc w:val="center"/>
        </w:trPr>
        <w:tc>
          <w:tcPr>
            <w:tcW w:w="238" w:type="pct"/>
            <w:vMerge w:val="restart"/>
            <w:vAlign w:val="center"/>
          </w:tcPr>
          <w:p>
            <w:pPr>
              <w:pStyle w:val="675"/>
              <w:jc w:val="center"/>
              <w:rPr>
                <w:kern w:val="2"/>
                <w:sz w:val="21"/>
                <w:szCs w:val="21"/>
              </w:rPr>
            </w:pPr>
            <w:r>
              <w:rPr>
                <w:rFonts w:hint="eastAsia"/>
                <w:kern w:val="2"/>
                <w:sz w:val="21"/>
                <w:szCs w:val="21"/>
                <w:lang w:eastAsia="zh-CN"/>
              </w:rPr>
              <w:t>声环境</w:t>
            </w:r>
          </w:p>
        </w:tc>
        <w:tc>
          <w:tcPr>
            <w:tcW w:w="371" w:type="pct"/>
            <w:vMerge w:val="restart"/>
            <w:vAlign w:val="center"/>
          </w:tcPr>
          <w:p>
            <w:pPr>
              <w:pStyle w:val="675"/>
              <w:jc w:val="center"/>
              <w:rPr>
                <w:kern w:val="2"/>
                <w:sz w:val="21"/>
                <w:szCs w:val="21"/>
              </w:rPr>
            </w:pPr>
            <w:r>
              <w:rPr>
                <w:kern w:val="2"/>
                <w:sz w:val="21"/>
                <w:szCs w:val="21"/>
              </w:rPr>
              <w:t>交通工具</w:t>
            </w:r>
          </w:p>
        </w:tc>
        <w:tc>
          <w:tcPr>
            <w:tcW w:w="353" w:type="pct"/>
            <w:vMerge w:val="restart"/>
            <w:vAlign w:val="center"/>
          </w:tcPr>
          <w:p>
            <w:pPr>
              <w:pStyle w:val="675"/>
              <w:jc w:val="center"/>
              <w:rPr>
                <w:kern w:val="2"/>
                <w:sz w:val="21"/>
                <w:szCs w:val="21"/>
                <w:lang w:eastAsia="zh-CN"/>
              </w:rPr>
            </w:pPr>
            <w:r>
              <w:rPr>
                <w:rFonts w:hint="eastAsia"/>
                <w:kern w:val="2"/>
                <w:sz w:val="21"/>
                <w:szCs w:val="21"/>
                <w:lang w:eastAsia="zh-CN"/>
              </w:rPr>
              <w:t>交通噪声</w:t>
            </w:r>
          </w:p>
        </w:tc>
        <w:tc>
          <w:tcPr>
            <w:tcW w:w="2531" w:type="pct"/>
            <w:gridSpan w:val="2"/>
            <w:vAlign w:val="center"/>
          </w:tcPr>
          <w:p>
            <w:pPr>
              <w:pStyle w:val="675"/>
              <w:jc w:val="center"/>
              <w:rPr>
                <w:rFonts w:ascii="Times New Roman" w:hAnsi="Times New Roman" w:eastAsia="Times New Roman" w:cs="Times New Roman"/>
                <w:sz w:val="21"/>
                <w:szCs w:val="21"/>
                <w:lang w:eastAsia="zh-CN"/>
              </w:rPr>
            </w:pPr>
            <w:r>
              <w:rPr>
                <w:rFonts w:hint="eastAsia" w:ascii="Times New Roman" w:hAnsi="Times New Roman" w:cs="Times New Roman"/>
                <w:sz w:val="21"/>
                <w:szCs w:val="21"/>
                <w:lang w:eastAsia="zh-CN"/>
              </w:rPr>
              <w:t>北黄土坡村</w:t>
            </w:r>
            <w:r>
              <w:rPr>
                <w:rFonts w:ascii="Times New Roman" w:hAnsi="Times New Roman" w:cs="Times New Roman"/>
                <w:sz w:val="21"/>
                <w:szCs w:val="21"/>
                <w:lang w:eastAsia="zh-CN"/>
              </w:rPr>
              <w:t>4a</w:t>
            </w:r>
            <w:r>
              <w:rPr>
                <w:rFonts w:ascii="Times New Roman" w:cs="Times New Roman"/>
                <w:sz w:val="21"/>
                <w:szCs w:val="21"/>
                <w:lang w:eastAsia="zh-CN"/>
              </w:rPr>
              <w:t>类区超标</w:t>
            </w:r>
            <w:r>
              <w:rPr>
                <w:rFonts w:ascii="Times New Roman" w:hAnsi="Times New Roman" w:cs="Times New Roman"/>
                <w:sz w:val="21"/>
                <w:szCs w:val="21"/>
                <w:lang w:eastAsia="zh-CN"/>
              </w:rPr>
              <w:t>11</w:t>
            </w:r>
            <w:r>
              <w:rPr>
                <w:rFonts w:ascii="Times New Roman" w:cs="Times New Roman"/>
                <w:sz w:val="21"/>
                <w:szCs w:val="21"/>
                <w:lang w:eastAsia="zh-CN"/>
              </w:rPr>
              <w:t>户，安装通风隔声窗</w:t>
            </w:r>
            <w:r>
              <w:rPr>
                <w:rFonts w:ascii="Times New Roman" w:hAnsi="Times New Roman" w:cs="Times New Roman"/>
                <w:sz w:val="21"/>
                <w:szCs w:val="21"/>
                <w:lang w:eastAsia="zh-CN"/>
              </w:rPr>
              <w:t>132m</w:t>
            </w:r>
            <w:r>
              <w:rPr>
                <w:rFonts w:ascii="Times New Roman" w:hAnsi="Times New Roman" w:cs="Times New Roman"/>
                <w:sz w:val="21"/>
                <w:szCs w:val="21"/>
                <w:vertAlign w:val="superscript"/>
                <w:lang w:eastAsia="zh-CN"/>
              </w:rPr>
              <w:t>2</w:t>
            </w:r>
            <w:r>
              <w:rPr>
                <w:rFonts w:ascii="Times New Roman" w:cs="Times New Roman"/>
                <w:sz w:val="21"/>
                <w:szCs w:val="21"/>
                <w:lang w:eastAsia="zh-CN"/>
              </w:rPr>
              <w:t>，</w:t>
            </w:r>
            <w:r>
              <w:rPr>
                <w:rFonts w:ascii="Times New Roman" w:hAnsi="Times New Roman" w:cs="Times New Roman"/>
                <w:sz w:val="21"/>
                <w:szCs w:val="21"/>
                <w:lang w:eastAsia="zh-CN"/>
              </w:rPr>
              <w:t xml:space="preserve"> 2</w:t>
            </w:r>
            <w:r>
              <w:rPr>
                <w:rFonts w:ascii="Times New Roman" w:cs="Times New Roman"/>
                <w:sz w:val="21"/>
                <w:szCs w:val="21"/>
                <w:lang w:eastAsia="zh-CN"/>
              </w:rPr>
              <w:t>类区超标</w:t>
            </w:r>
            <w:r>
              <w:rPr>
                <w:rFonts w:ascii="Times New Roman" w:hAnsi="Times New Roman" w:cs="Times New Roman"/>
                <w:sz w:val="21"/>
                <w:szCs w:val="21"/>
                <w:lang w:eastAsia="zh-CN"/>
              </w:rPr>
              <w:t>31</w:t>
            </w:r>
            <w:r>
              <w:rPr>
                <w:rFonts w:ascii="Times New Roman" w:cs="Times New Roman"/>
                <w:sz w:val="21"/>
                <w:szCs w:val="21"/>
                <w:lang w:eastAsia="zh-CN"/>
              </w:rPr>
              <w:t>户，安装通风隔声窗</w:t>
            </w:r>
            <w:r>
              <w:rPr>
                <w:rFonts w:ascii="Times New Roman" w:hAnsi="Times New Roman" w:cs="Times New Roman"/>
                <w:sz w:val="21"/>
                <w:szCs w:val="21"/>
                <w:lang w:eastAsia="zh-CN"/>
              </w:rPr>
              <w:t>372m</w:t>
            </w:r>
            <w:r>
              <w:rPr>
                <w:rFonts w:ascii="Times New Roman" w:hAnsi="Times New Roman" w:cs="Times New Roman"/>
                <w:sz w:val="21"/>
                <w:szCs w:val="21"/>
                <w:vertAlign w:val="superscript"/>
                <w:lang w:eastAsia="zh-CN"/>
              </w:rPr>
              <w:t>2</w:t>
            </w:r>
            <w:r>
              <w:rPr>
                <w:rFonts w:ascii="Times New Roman" w:cs="Times New Roman"/>
                <w:sz w:val="21"/>
                <w:szCs w:val="21"/>
                <w:lang w:eastAsia="zh-CN"/>
              </w:rPr>
              <w:t>。</w:t>
            </w:r>
          </w:p>
        </w:tc>
        <w:tc>
          <w:tcPr>
            <w:tcW w:w="304" w:type="pct"/>
            <w:vMerge w:val="restart"/>
            <w:vAlign w:val="center"/>
          </w:tcPr>
          <w:p>
            <w:pPr>
              <w:pStyle w:val="675"/>
              <w:jc w:val="center"/>
              <w:rPr>
                <w:rFonts w:ascii="Times New Roman" w:hAnsi="Times New Roman" w:eastAsia="Times New Roman" w:cs="Times New Roman"/>
                <w:color w:val="FF0000"/>
                <w:kern w:val="2"/>
                <w:sz w:val="21"/>
                <w:szCs w:val="21"/>
                <w:lang w:eastAsia="zh-CN"/>
              </w:rPr>
            </w:pPr>
            <w:r>
              <w:rPr>
                <w:rFonts w:hint="eastAsia" w:ascii="Times New Roman"/>
                <w:color w:val="FF0000"/>
                <w:kern w:val="2"/>
                <w:sz w:val="21"/>
                <w:szCs w:val="21"/>
                <w:lang w:eastAsia="zh-CN"/>
              </w:rPr>
              <w:t>396.96</w:t>
            </w:r>
          </w:p>
        </w:tc>
        <w:tc>
          <w:tcPr>
            <w:tcW w:w="1203" w:type="pct"/>
            <w:vMerge w:val="restart"/>
            <w:vAlign w:val="center"/>
          </w:tcPr>
          <w:p>
            <w:pPr>
              <w:pStyle w:val="675"/>
              <w:jc w:val="center"/>
              <w:rPr>
                <w:kern w:val="2"/>
                <w:sz w:val="21"/>
                <w:szCs w:val="21"/>
                <w:lang w:eastAsia="zh-CN"/>
              </w:rPr>
            </w:pPr>
            <w:r>
              <w:rPr>
                <w:kern w:val="2"/>
                <w:sz w:val="21"/>
                <w:szCs w:val="21"/>
                <w:lang w:eastAsia="zh-CN"/>
              </w:rPr>
              <w:t>安装通风隔声窗的敏感点，室内声环境满足《民用建筑隔声设计规范》（</w:t>
            </w:r>
            <w:r>
              <w:rPr>
                <w:rFonts w:ascii="Times New Roman" w:hAnsi="Times New Roman" w:eastAsia="Times New Roman" w:cs="Times New Roman"/>
                <w:kern w:val="2"/>
                <w:sz w:val="21"/>
                <w:szCs w:val="21"/>
                <w:lang w:eastAsia="zh-CN"/>
              </w:rPr>
              <w:t>GB50118-2010</w:t>
            </w:r>
            <w:r>
              <w:rPr>
                <w:kern w:val="2"/>
                <w:sz w:val="21"/>
                <w:szCs w:val="21"/>
                <w:lang w:eastAsia="zh-CN"/>
              </w:rPr>
              <w:t>）卧室允许噪声级（昼</w:t>
            </w:r>
            <w:r>
              <w:rPr>
                <w:rFonts w:ascii="Times New Roman" w:hAnsi="Times New Roman" w:eastAsia="Times New Roman" w:cs="Times New Roman"/>
                <w:kern w:val="2"/>
                <w:sz w:val="21"/>
                <w:szCs w:val="21"/>
                <w:lang w:eastAsia="zh-CN"/>
              </w:rPr>
              <w:t>≤45dB(A)</w:t>
            </w:r>
            <w:r>
              <w:rPr>
                <w:kern w:val="2"/>
                <w:sz w:val="21"/>
                <w:szCs w:val="21"/>
                <w:lang w:eastAsia="zh-CN"/>
              </w:rPr>
              <w:t>、夜</w:t>
            </w:r>
            <w:r>
              <w:rPr>
                <w:rFonts w:ascii="Times New Roman" w:hAnsi="Times New Roman" w:eastAsia="Times New Roman" w:cs="Times New Roman"/>
                <w:kern w:val="2"/>
                <w:sz w:val="21"/>
                <w:szCs w:val="21"/>
                <w:lang w:eastAsia="zh-CN"/>
              </w:rPr>
              <w:t>≤37dB(A)</w:t>
            </w:r>
            <w:r>
              <w:rPr>
                <w:kern w:val="2"/>
                <w:sz w:val="21"/>
                <w:szCs w:val="21"/>
                <w:lang w:eastAsia="zh-CN"/>
              </w:rPr>
              <w:t>）的要求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spacing w:line="240" w:lineRule="auto"/>
              <w:ind w:firstLine="0" w:firstLineChars="0"/>
              <w:jc w:val="center"/>
              <w:rPr>
                <w:kern w:val="0"/>
                <w:sz w:val="21"/>
              </w:rPr>
            </w:pPr>
            <w:r>
              <w:rPr>
                <w:sz w:val="21"/>
              </w:rPr>
              <w:t>龙凤书香苑小区</w:t>
            </w:r>
            <w:r>
              <w:rPr>
                <w:rFonts w:hint="eastAsia"/>
                <w:sz w:val="21"/>
              </w:rPr>
              <w:t>3-15层，4a类区超标78户， 2类区超标78户，</w:t>
            </w:r>
            <w:r>
              <w:rPr>
                <w:rFonts w:hint="eastAsia"/>
                <w:color w:val="FF0000"/>
                <w:sz w:val="21"/>
              </w:rPr>
              <w:t>目前该小区均已安装隔声窗，无需更换隔声窗；</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sz w:val="21"/>
                <w:szCs w:val="21"/>
                <w:lang w:eastAsia="zh-CN"/>
              </w:rPr>
            </w:pPr>
            <w:r>
              <w:rPr>
                <w:rFonts w:hint="eastAsia"/>
                <w:sz w:val="21"/>
                <w:szCs w:val="21"/>
                <w:lang w:eastAsia="zh-CN"/>
              </w:rPr>
              <w:t>智慧城</w:t>
            </w:r>
            <w:r>
              <w:rPr>
                <w:sz w:val="21"/>
                <w:szCs w:val="21"/>
                <w:lang w:eastAsia="zh-CN"/>
              </w:rPr>
              <w:t>小区</w:t>
            </w:r>
            <w:r>
              <w:rPr>
                <w:rFonts w:hint="eastAsia"/>
                <w:sz w:val="21"/>
                <w:szCs w:val="21"/>
                <w:lang w:eastAsia="zh-CN"/>
              </w:rPr>
              <w:t>临路7栋楼的1-11层，西侧边户超标，4a类区超标77户，需要安装</w:t>
            </w:r>
            <w:r>
              <w:rPr>
                <w:sz w:val="21"/>
                <w:szCs w:val="21"/>
                <w:lang w:eastAsia="zh-CN"/>
              </w:rPr>
              <w:t>通风隔声窗</w:t>
            </w:r>
            <w:r>
              <w:rPr>
                <w:rFonts w:hint="eastAsia"/>
                <w:sz w:val="21"/>
                <w:szCs w:val="21"/>
                <w:lang w:eastAsia="zh-CN"/>
              </w:rPr>
              <w:t>，924</w:t>
            </w:r>
            <w:r>
              <w:rPr>
                <w:sz w:val="21"/>
                <w:szCs w:val="21"/>
                <w:lang w:eastAsia="zh-CN"/>
              </w:rPr>
              <w:t>m</w:t>
            </w:r>
            <w:r>
              <w:rPr>
                <w:sz w:val="21"/>
                <w:szCs w:val="21"/>
                <w:vertAlign w:val="superscript"/>
                <w:lang w:eastAsia="zh-CN"/>
              </w:rPr>
              <w:t>2</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sz w:val="21"/>
                <w:szCs w:val="21"/>
                <w:lang w:eastAsia="zh-CN"/>
              </w:rPr>
            </w:pPr>
            <w:r>
              <w:rPr>
                <w:rFonts w:hint="eastAsia"/>
                <w:sz w:val="21"/>
                <w:szCs w:val="21"/>
                <w:lang w:eastAsia="zh-CN"/>
              </w:rPr>
              <w:t>张各庄村临路6户超标，需要安装</w:t>
            </w:r>
            <w:r>
              <w:rPr>
                <w:sz w:val="21"/>
                <w:szCs w:val="21"/>
                <w:lang w:eastAsia="zh-CN"/>
              </w:rPr>
              <w:t>通风隔声窗</w:t>
            </w:r>
            <w:r>
              <w:rPr>
                <w:rFonts w:hint="eastAsia"/>
                <w:sz w:val="21"/>
                <w:szCs w:val="21"/>
                <w:lang w:eastAsia="zh-CN"/>
              </w:rPr>
              <w:t>，72</w:t>
            </w:r>
            <w:r>
              <w:rPr>
                <w:sz w:val="21"/>
                <w:szCs w:val="21"/>
                <w:lang w:eastAsia="zh-CN"/>
              </w:rPr>
              <w:t>m</w:t>
            </w:r>
            <w:r>
              <w:rPr>
                <w:sz w:val="21"/>
                <w:szCs w:val="21"/>
                <w:vertAlign w:val="superscript"/>
                <w:lang w:eastAsia="zh-CN"/>
              </w:rPr>
              <w:t>2</w:t>
            </w:r>
            <w:r>
              <w:rPr>
                <w:rFonts w:hint="eastAsia"/>
                <w:sz w:val="21"/>
                <w:szCs w:val="21"/>
                <w:lang w:eastAsia="zh-CN"/>
              </w:rPr>
              <w:t>。</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sz w:val="21"/>
                <w:szCs w:val="21"/>
                <w:lang w:eastAsia="zh-CN"/>
              </w:rPr>
            </w:pPr>
            <w:r>
              <w:rPr>
                <w:rFonts w:hint="eastAsia"/>
                <w:sz w:val="21"/>
                <w:szCs w:val="21"/>
                <w:lang w:eastAsia="zh-CN"/>
              </w:rPr>
              <w:t>西十里铺村临路 4a类区超标7户，需要安装</w:t>
            </w:r>
            <w:r>
              <w:rPr>
                <w:sz w:val="21"/>
                <w:szCs w:val="21"/>
                <w:lang w:eastAsia="zh-CN"/>
              </w:rPr>
              <w:t>通风隔声窗</w:t>
            </w:r>
            <w:r>
              <w:rPr>
                <w:rFonts w:hint="eastAsia"/>
                <w:sz w:val="21"/>
                <w:szCs w:val="21"/>
                <w:lang w:eastAsia="zh-CN"/>
              </w:rPr>
              <w:t>84</w:t>
            </w:r>
            <w:r>
              <w:rPr>
                <w:sz w:val="21"/>
                <w:szCs w:val="21"/>
                <w:lang w:eastAsia="zh-CN"/>
              </w:rPr>
              <w:t>m</w:t>
            </w:r>
            <w:r>
              <w:rPr>
                <w:sz w:val="21"/>
                <w:szCs w:val="21"/>
                <w:vertAlign w:val="superscript"/>
                <w:lang w:eastAsia="zh-CN"/>
              </w:rPr>
              <w:t>2</w:t>
            </w:r>
            <w:r>
              <w:rPr>
                <w:rFonts w:hint="eastAsia"/>
                <w:sz w:val="21"/>
                <w:szCs w:val="21"/>
                <w:lang w:eastAsia="zh-CN"/>
              </w:rPr>
              <w:t>，2类区27户超标，需要安装</w:t>
            </w:r>
            <w:r>
              <w:rPr>
                <w:sz w:val="21"/>
                <w:szCs w:val="21"/>
                <w:lang w:eastAsia="zh-CN"/>
              </w:rPr>
              <w:t>通风隔声窗</w:t>
            </w:r>
            <w:r>
              <w:rPr>
                <w:rFonts w:hint="eastAsia"/>
                <w:sz w:val="21"/>
                <w:szCs w:val="21"/>
                <w:lang w:eastAsia="zh-CN"/>
              </w:rPr>
              <w:t>，324</w:t>
            </w:r>
            <w:r>
              <w:rPr>
                <w:sz w:val="21"/>
                <w:szCs w:val="21"/>
                <w:lang w:eastAsia="zh-CN"/>
              </w:rPr>
              <w:t>m</w:t>
            </w:r>
            <w:r>
              <w:rPr>
                <w:sz w:val="21"/>
                <w:szCs w:val="21"/>
                <w:vertAlign w:val="superscript"/>
                <w:lang w:eastAsia="zh-CN"/>
              </w:rPr>
              <w:t>2</w:t>
            </w:r>
            <w:r>
              <w:rPr>
                <w:rFonts w:hint="eastAsia"/>
                <w:sz w:val="21"/>
                <w:szCs w:val="21"/>
                <w:lang w:eastAsia="zh-CN"/>
              </w:rPr>
              <w:t>。</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sz w:val="21"/>
                <w:szCs w:val="21"/>
                <w:lang w:eastAsia="zh-CN"/>
              </w:rPr>
            </w:pPr>
            <w:r>
              <w:rPr>
                <w:rFonts w:hint="eastAsia"/>
                <w:sz w:val="21"/>
                <w:szCs w:val="21"/>
                <w:lang w:eastAsia="zh-CN"/>
              </w:rPr>
              <w:t>后王庄村拆迁后，4a类区无超标；2类区超标4户，安装通风隔声窗48</w:t>
            </w:r>
            <w:r>
              <w:rPr>
                <w:sz w:val="21"/>
                <w:szCs w:val="21"/>
                <w:lang w:eastAsia="zh-CN"/>
              </w:rPr>
              <w:t>m</w:t>
            </w:r>
            <w:r>
              <w:rPr>
                <w:sz w:val="21"/>
                <w:szCs w:val="21"/>
                <w:vertAlign w:val="superscript"/>
                <w:lang w:eastAsia="zh-CN"/>
              </w:rPr>
              <w:t>2</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前辅村2类区超标2户，安装通风隔声窗24</w:t>
            </w:r>
            <w:r>
              <w:rPr>
                <w:sz w:val="21"/>
                <w:szCs w:val="21"/>
                <w:lang w:eastAsia="zh-CN"/>
              </w:rPr>
              <w:t>m</w:t>
            </w:r>
            <w:r>
              <w:rPr>
                <w:sz w:val="21"/>
                <w:szCs w:val="21"/>
                <w:vertAlign w:val="superscript"/>
                <w:lang w:eastAsia="zh-CN"/>
              </w:rPr>
              <w:t>2</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白方寺村2类区超标12户，安装通风隔声窗144</w:t>
            </w:r>
            <w:r>
              <w:rPr>
                <w:sz w:val="21"/>
                <w:szCs w:val="21"/>
                <w:lang w:eastAsia="zh-CN"/>
              </w:rPr>
              <w:t>m</w:t>
            </w:r>
            <w:r>
              <w:rPr>
                <w:sz w:val="21"/>
                <w:szCs w:val="21"/>
                <w:vertAlign w:val="superscript"/>
                <w:lang w:eastAsia="zh-CN"/>
              </w:rPr>
              <w:t>2</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rFonts w:ascii="Times New Roman" w:hAnsi="Times New Roman" w:cs="Times New Roman"/>
                <w:bCs/>
                <w:sz w:val="21"/>
                <w:szCs w:val="21"/>
                <w:lang w:eastAsia="zh-CN"/>
              </w:rPr>
            </w:pPr>
            <w:r>
              <w:rPr>
                <w:rFonts w:hint="eastAsia"/>
                <w:sz w:val="21"/>
                <w:szCs w:val="21"/>
                <w:lang w:eastAsia="zh-CN"/>
              </w:rPr>
              <w:t>学汉坨村2类区超标4户，安装通风隔声窗48</w:t>
            </w:r>
            <w:r>
              <w:rPr>
                <w:sz w:val="21"/>
                <w:szCs w:val="21"/>
                <w:lang w:eastAsia="zh-CN"/>
              </w:rPr>
              <w:t>m</w:t>
            </w:r>
            <w:r>
              <w:rPr>
                <w:sz w:val="21"/>
                <w:szCs w:val="21"/>
                <w:vertAlign w:val="superscript"/>
                <w:lang w:eastAsia="zh-CN"/>
              </w:rPr>
              <w:t>2</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sz w:val="21"/>
                <w:szCs w:val="21"/>
                <w:lang w:eastAsia="zh-CN"/>
              </w:rPr>
            </w:pPr>
            <w:r>
              <w:rPr>
                <w:rFonts w:hint="eastAsia"/>
                <w:sz w:val="21"/>
                <w:szCs w:val="21"/>
                <w:lang w:eastAsia="zh-CN"/>
              </w:rPr>
              <w:t>骆各庄村拆迁后，4a类区超标11户，安装通风隔声窗132</w:t>
            </w:r>
            <w:r>
              <w:rPr>
                <w:sz w:val="21"/>
                <w:szCs w:val="21"/>
                <w:lang w:eastAsia="zh-CN"/>
              </w:rPr>
              <w:t>m</w:t>
            </w:r>
            <w:r>
              <w:rPr>
                <w:sz w:val="21"/>
                <w:szCs w:val="21"/>
                <w:vertAlign w:val="superscript"/>
                <w:lang w:eastAsia="zh-CN"/>
              </w:rPr>
              <w:t>2</w:t>
            </w:r>
            <w:r>
              <w:rPr>
                <w:rFonts w:hint="eastAsia"/>
                <w:sz w:val="21"/>
                <w:szCs w:val="21"/>
                <w:lang w:eastAsia="zh-CN"/>
              </w:rPr>
              <w:t>；2类区超标21户，安装通风隔声窗252</w:t>
            </w:r>
            <w:r>
              <w:rPr>
                <w:sz w:val="21"/>
                <w:szCs w:val="21"/>
                <w:lang w:eastAsia="zh-CN"/>
              </w:rPr>
              <w:t>m</w:t>
            </w:r>
            <w:r>
              <w:rPr>
                <w:sz w:val="21"/>
                <w:szCs w:val="21"/>
                <w:vertAlign w:val="superscript"/>
                <w:lang w:eastAsia="zh-CN"/>
              </w:rPr>
              <w:t>2</w:t>
            </w:r>
            <w:r>
              <w:rPr>
                <w:rFonts w:hint="eastAsia"/>
                <w:sz w:val="21"/>
                <w:szCs w:val="21"/>
                <w:lang w:eastAsia="zh-CN"/>
              </w:rPr>
              <w:t>。</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38" w:type="pct"/>
            <w:vMerge w:val="continue"/>
            <w:vAlign w:val="center"/>
          </w:tcPr>
          <w:p>
            <w:pPr>
              <w:spacing w:line="240" w:lineRule="auto"/>
              <w:ind w:firstLine="0" w:firstLineChars="0"/>
              <w:jc w:val="center"/>
              <w:rPr>
                <w:sz w:val="21"/>
                <w:highlight w:val="yellow"/>
              </w:rPr>
            </w:pPr>
          </w:p>
        </w:tc>
        <w:tc>
          <w:tcPr>
            <w:tcW w:w="371" w:type="pct"/>
            <w:vMerge w:val="continue"/>
            <w:vAlign w:val="center"/>
          </w:tcPr>
          <w:p>
            <w:pPr>
              <w:spacing w:line="240" w:lineRule="auto"/>
              <w:ind w:firstLine="0" w:firstLineChars="0"/>
              <w:jc w:val="center"/>
              <w:rPr>
                <w:sz w:val="21"/>
                <w:highlight w:val="yellow"/>
              </w:rPr>
            </w:pPr>
          </w:p>
        </w:tc>
        <w:tc>
          <w:tcPr>
            <w:tcW w:w="353" w:type="pct"/>
            <w:vMerge w:val="continue"/>
            <w:vAlign w:val="center"/>
          </w:tcPr>
          <w:p>
            <w:pPr>
              <w:spacing w:line="240" w:lineRule="auto"/>
              <w:ind w:firstLine="0" w:firstLineChars="0"/>
              <w:jc w:val="center"/>
              <w:rPr>
                <w:sz w:val="21"/>
                <w:highlight w:val="yellow"/>
              </w:rPr>
            </w:pPr>
          </w:p>
        </w:tc>
        <w:tc>
          <w:tcPr>
            <w:tcW w:w="2531" w:type="pct"/>
            <w:gridSpan w:val="2"/>
            <w:vAlign w:val="center"/>
          </w:tcPr>
          <w:p>
            <w:pPr>
              <w:pStyle w:val="675"/>
              <w:jc w:val="center"/>
              <w:rPr>
                <w:sz w:val="21"/>
                <w:szCs w:val="21"/>
                <w:lang w:eastAsia="zh-CN"/>
              </w:rPr>
            </w:pPr>
            <w:r>
              <w:rPr>
                <w:rFonts w:hint="eastAsia"/>
                <w:sz w:val="21"/>
                <w:szCs w:val="21"/>
                <w:lang w:eastAsia="zh-CN"/>
              </w:rPr>
              <w:t>吴家坑村拆迁后，4a类区超标22户，安装通风隔声窗164</w:t>
            </w:r>
            <w:r>
              <w:rPr>
                <w:sz w:val="21"/>
                <w:szCs w:val="21"/>
                <w:lang w:eastAsia="zh-CN"/>
              </w:rPr>
              <w:t>m</w:t>
            </w:r>
            <w:r>
              <w:rPr>
                <w:sz w:val="21"/>
                <w:szCs w:val="21"/>
                <w:vertAlign w:val="superscript"/>
                <w:lang w:eastAsia="zh-CN"/>
              </w:rPr>
              <w:t>2</w:t>
            </w:r>
            <w:r>
              <w:rPr>
                <w:rFonts w:hint="eastAsia"/>
                <w:sz w:val="21"/>
                <w:szCs w:val="21"/>
                <w:lang w:eastAsia="zh-CN"/>
              </w:rPr>
              <w:t>；2类区超标49户，安装通风隔声窗588</w:t>
            </w:r>
            <w:r>
              <w:rPr>
                <w:sz w:val="21"/>
                <w:szCs w:val="21"/>
                <w:lang w:eastAsia="zh-CN"/>
              </w:rPr>
              <w:t>m</w:t>
            </w:r>
            <w:r>
              <w:rPr>
                <w:sz w:val="21"/>
                <w:szCs w:val="21"/>
                <w:vertAlign w:val="superscript"/>
                <w:lang w:eastAsia="zh-CN"/>
              </w:rPr>
              <w:t>2</w:t>
            </w:r>
            <w:r>
              <w:rPr>
                <w:sz w:val="21"/>
                <w:szCs w:val="21"/>
                <w:lang w:eastAsia="zh-CN"/>
              </w:rPr>
              <w:t xml:space="preserve"> </w:t>
            </w:r>
          </w:p>
        </w:tc>
        <w:tc>
          <w:tcPr>
            <w:tcW w:w="304" w:type="pct"/>
            <w:vMerge w:val="continue"/>
            <w:vAlign w:val="center"/>
          </w:tcPr>
          <w:p>
            <w:pPr>
              <w:spacing w:line="240" w:lineRule="auto"/>
              <w:ind w:firstLine="0" w:firstLineChars="0"/>
              <w:jc w:val="center"/>
              <w:rPr>
                <w:sz w:val="21"/>
                <w:highlight w:val="yellow"/>
              </w:rPr>
            </w:pPr>
          </w:p>
        </w:tc>
        <w:tc>
          <w:tcPr>
            <w:tcW w:w="1203" w:type="pct"/>
            <w:vMerge w:val="continue"/>
            <w:vAlign w:val="center"/>
          </w:tcPr>
          <w:p>
            <w:pPr>
              <w:spacing w:line="240" w:lineRule="auto"/>
              <w:ind w:firstLine="0" w:firstLineChars="0"/>
              <w:jc w:val="center"/>
              <w:rPr>
                <w:sz w:val="21"/>
                <w:highlight w:val="yellow"/>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62" w:type="pct"/>
            <w:gridSpan w:val="3"/>
            <w:vAlign w:val="center"/>
          </w:tcPr>
          <w:p>
            <w:pPr>
              <w:spacing w:line="240" w:lineRule="auto"/>
              <w:ind w:firstLine="0" w:firstLineChars="0"/>
              <w:jc w:val="center"/>
              <w:rPr>
                <w:sz w:val="21"/>
                <w:lang w:eastAsia="en-US"/>
              </w:rPr>
            </w:pPr>
            <w:r>
              <w:rPr>
                <w:rFonts w:hint="eastAsia"/>
                <w:sz w:val="21"/>
              </w:rPr>
              <w:t>合计</w:t>
            </w:r>
          </w:p>
        </w:tc>
        <w:tc>
          <w:tcPr>
            <w:tcW w:w="2531" w:type="pct"/>
            <w:gridSpan w:val="2"/>
            <w:vAlign w:val="center"/>
          </w:tcPr>
          <w:p>
            <w:pPr>
              <w:pStyle w:val="675"/>
              <w:jc w:val="center"/>
              <w:rPr>
                <w:kern w:val="2"/>
                <w:sz w:val="21"/>
                <w:szCs w:val="21"/>
                <w:lang w:eastAsia="zh-CN"/>
              </w:rPr>
            </w:pPr>
            <w:r>
              <w:rPr>
                <w:rFonts w:hint="eastAsia"/>
                <w:kern w:val="2"/>
                <w:sz w:val="21"/>
                <w:szCs w:val="21"/>
                <w:lang w:eastAsia="zh-CN"/>
              </w:rPr>
              <w:t>/</w:t>
            </w:r>
          </w:p>
        </w:tc>
        <w:tc>
          <w:tcPr>
            <w:tcW w:w="304" w:type="pct"/>
            <w:vAlign w:val="center"/>
          </w:tcPr>
          <w:p>
            <w:pPr>
              <w:spacing w:line="240" w:lineRule="auto"/>
              <w:ind w:firstLine="0" w:firstLineChars="0"/>
              <w:jc w:val="center"/>
              <w:rPr>
                <w:sz w:val="21"/>
              </w:rPr>
            </w:pPr>
            <w:r>
              <w:rPr>
                <w:rFonts w:hint="eastAsia"/>
                <w:sz w:val="21"/>
              </w:rPr>
              <w:t>718.1</w:t>
            </w:r>
          </w:p>
        </w:tc>
        <w:tc>
          <w:tcPr>
            <w:tcW w:w="1203" w:type="pct"/>
            <w:vAlign w:val="center"/>
          </w:tcPr>
          <w:p>
            <w:pPr>
              <w:spacing w:line="240" w:lineRule="auto"/>
              <w:ind w:firstLine="0" w:firstLineChars="0"/>
              <w:jc w:val="center"/>
              <w:rPr>
                <w:sz w:val="21"/>
              </w:rPr>
            </w:pPr>
            <w:r>
              <w:rPr>
                <w:rFonts w:hint="eastAsia"/>
                <w:sz w:val="21"/>
              </w:rPr>
              <w:t>/</w:t>
            </w:r>
          </w:p>
        </w:tc>
      </w:tr>
    </w:tbl>
    <w:p>
      <w:pPr>
        <w:spacing w:line="240" w:lineRule="atLeast"/>
        <w:ind w:firstLine="422"/>
        <w:rPr>
          <w:rFonts w:ascii="宋体" w:hAnsi="宋体" w:cs="宋体"/>
          <w:b/>
          <w:bCs/>
          <w:sz w:val="21"/>
        </w:rPr>
      </w:pPr>
      <w:r>
        <w:rPr>
          <w:rFonts w:hint="eastAsia" w:ascii="宋体" w:hAnsi="宋体" w:cs="宋体"/>
          <w:b/>
          <w:bCs/>
          <w:sz w:val="21"/>
        </w:rPr>
        <w:t>注：表中</w:t>
      </w:r>
      <w:r>
        <w:rPr>
          <w:rFonts w:ascii="宋体" w:hAnsi="宋体" w:cs="宋体"/>
          <w:b/>
          <w:bCs/>
          <w:sz w:val="21"/>
        </w:rPr>
        <w:t>所列出的交通噪声防治措施，可根据当地实际建设后具体拆迁情况进行调整</w:t>
      </w:r>
      <w:r>
        <w:rPr>
          <w:rFonts w:hint="eastAsia" w:ascii="宋体" w:hAnsi="宋体" w:cs="宋体"/>
          <w:b/>
          <w:bCs/>
          <w:sz w:val="21"/>
        </w:rPr>
        <w:t>，</w:t>
      </w:r>
      <w:r>
        <w:rPr>
          <w:rFonts w:ascii="宋体" w:hAnsi="宋体" w:cs="宋体"/>
          <w:b/>
          <w:bCs/>
          <w:sz w:val="21"/>
        </w:rPr>
        <w:t>应适当采取相应环保措施。</w:t>
      </w:r>
    </w:p>
    <w:p>
      <w:pPr>
        <w:ind w:firstLine="480"/>
        <w:rPr>
          <w:highlight w:val="yellow"/>
        </w:rPr>
        <w:sectPr>
          <w:footerReference r:id="rId32" w:type="default"/>
          <w:pgSz w:w="16838" w:h="11906" w:orient="landscape"/>
          <w:pgMar w:top="1474" w:right="1418" w:bottom="1418" w:left="1418" w:header="964" w:footer="964" w:gutter="0"/>
          <w:cols w:space="720" w:num="1"/>
          <w:docGrid w:linePitch="326" w:charSpace="0"/>
        </w:sectPr>
      </w:pPr>
    </w:p>
    <w:p>
      <w:pPr>
        <w:pStyle w:val="4"/>
        <w:spacing w:beforeLines="0" w:afterLines="0"/>
      </w:pPr>
      <w:bookmarkStart w:id="130" w:name="_Toc286612407"/>
      <w:bookmarkStart w:id="131" w:name="_Toc113081260"/>
      <w:bookmarkStart w:id="132" w:name="_Toc67038796"/>
      <w:bookmarkStart w:id="133" w:name="_Toc286603862"/>
      <w:bookmarkStart w:id="134" w:name="_Toc94590743"/>
      <w:bookmarkStart w:id="135" w:name="_Toc141284097"/>
      <w:r>
        <w:t>1</w:t>
      </w:r>
      <w:bookmarkEnd w:id="130"/>
      <w:bookmarkEnd w:id="131"/>
      <w:bookmarkEnd w:id="132"/>
      <w:bookmarkEnd w:id="133"/>
      <w:bookmarkEnd w:id="134"/>
      <w:r>
        <w:t>0</w:t>
      </w:r>
      <w:r>
        <w:rPr>
          <w:rFonts w:hint="eastAsia"/>
        </w:rPr>
        <w:t>环境影响评价</w:t>
      </w:r>
      <w:r>
        <w:t>结论</w:t>
      </w:r>
      <w:bookmarkEnd w:id="135"/>
    </w:p>
    <w:p>
      <w:pPr>
        <w:pStyle w:val="5"/>
        <w:spacing w:beforeLines="0" w:afterLines="0"/>
      </w:pPr>
      <w:bookmarkStart w:id="136" w:name="_Toc64613466"/>
      <w:bookmarkStart w:id="137" w:name="_Toc286603863"/>
      <w:bookmarkStart w:id="138" w:name="_Toc60544596"/>
      <w:bookmarkStart w:id="139" w:name="_Toc64612009"/>
      <w:bookmarkStart w:id="140" w:name="_Toc214953445"/>
      <w:bookmarkStart w:id="141" w:name="_Toc64613037"/>
      <w:bookmarkStart w:id="142" w:name="_Toc286612408"/>
      <w:bookmarkStart w:id="143" w:name="_Toc141284098"/>
      <w:r>
        <w:t>10.1</w:t>
      </w:r>
      <w:bookmarkEnd w:id="136"/>
      <w:bookmarkEnd w:id="137"/>
      <w:bookmarkEnd w:id="138"/>
      <w:bookmarkEnd w:id="139"/>
      <w:bookmarkEnd w:id="140"/>
      <w:bookmarkEnd w:id="141"/>
      <w:bookmarkEnd w:id="142"/>
      <w:r>
        <w:rPr>
          <w:rFonts w:hint="eastAsia"/>
        </w:rPr>
        <w:t>项目</w:t>
      </w:r>
      <w:r>
        <w:t>建设情况</w:t>
      </w:r>
      <w:bookmarkEnd w:id="143"/>
    </w:p>
    <w:p>
      <w:pPr>
        <w:pStyle w:val="204"/>
        <w:spacing w:line="480" w:lineRule="exact"/>
        <w:ind w:firstLine="0" w:firstLineChars="0"/>
        <w:outlineLvl w:val="2"/>
        <w:rPr>
          <w:b/>
          <w:sz w:val="28"/>
          <w:szCs w:val="28"/>
        </w:rPr>
      </w:pPr>
      <w:bookmarkStart w:id="144" w:name="_Toc64613467"/>
      <w:bookmarkStart w:id="145" w:name="_Toc129668877"/>
      <w:bookmarkStart w:id="146" w:name="_Toc286612409"/>
      <w:bookmarkStart w:id="147" w:name="_Toc64613038"/>
      <w:bookmarkStart w:id="148" w:name="_Toc286603864"/>
      <w:bookmarkStart w:id="149" w:name="_Toc64612010"/>
      <w:bookmarkStart w:id="150" w:name="_Toc214953446"/>
      <w:bookmarkStart w:id="151" w:name="_Toc130896141"/>
      <w:bookmarkStart w:id="152" w:name="_Toc60544597"/>
      <w:r>
        <w:rPr>
          <w:b/>
          <w:sz w:val="28"/>
          <w:szCs w:val="28"/>
        </w:rPr>
        <w:t>10.1.1项目</w:t>
      </w:r>
      <w:bookmarkEnd w:id="144"/>
      <w:bookmarkEnd w:id="145"/>
      <w:bookmarkEnd w:id="146"/>
      <w:bookmarkEnd w:id="147"/>
      <w:bookmarkEnd w:id="148"/>
      <w:bookmarkEnd w:id="149"/>
      <w:bookmarkEnd w:id="150"/>
      <w:bookmarkEnd w:id="151"/>
      <w:bookmarkEnd w:id="152"/>
      <w:r>
        <w:rPr>
          <w:rFonts w:hint="eastAsia"/>
          <w:b/>
          <w:sz w:val="28"/>
          <w:szCs w:val="28"/>
        </w:rPr>
        <w:t>概况</w:t>
      </w:r>
    </w:p>
    <w:p>
      <w:pPr>
        <w:ind w:firstLine="480"/>
      </w:pPr>
      <w:bookmarkStart w:id="153" w:name="_Toc286612410"/>
      <w:bookmarkStart w:id="154" w:name="_Toc286603865"/>
      <w:r>
        <w:t>项目名称：国道G112遵化城区段改建工程</w:t>
      </w:r>
    </w:p>
    <w:p>
      <w:pPr>
        <w:ind w:firstLine="480"/>
      </w:pPr>
      <w:r>
        <w:t>建设单位：</w:t>
      </w:r>
      <w:r>
        <w:rPr>
          <w:bCs/>
        </w:rPr>
        <w:t>遵化市交通运输局</w:t>
      </w:r>
    </w:p>
    <w:p>
      <w:pPr>
        <w:ind w:firstLine="480"/>
      </w:pPr>
      <w:r>
        <w:t>建设地点：河北省</w:t>
      </w:r>
      <w:r>
        <w:rPr>
          <w:rFonts w:hint="eastAsia"/>
        </w:rPr>
        <w:t>唐山市遵化市</w:t>
      </w:r>
      <w:r>
        <w:t>境内</w:t>
      </w:r>
    </w:p>
    <w:p>
      <w:pPr>
        <w:ind w:firstLine="480"/>
      </w:pPr>
      <w:r>
        <w:t>建设性质：改扩建</w:t>
      </w:r>
    </w:p>
    <w:p>
      <w:pPr>
        <w:ind w:firstLine="480"/>
        <w:rPr>
          <w:highlight w:val="yellow"/>
        </w:rPr>
      </w:pPr>
      <w:r>
        <w:t>地理位置：本项目位于河北省</w:t>
      </w:r>
      <w:r>
        <w:rPr>
          <w:rFonts w:hint="eastAsia"/>
        </w:rPr>
        <w:t>唐山市遵化市</w:t>
      </w:r>
      <w:r>
        <w:t>境内，</w:t>
      </w:r>
      <w:r>
        <w:rPr>
          <w:kern w:val="0"/>
          <w:szCs w:val="24"/>
        </w:rPr>
        <w:t>项目的起点</w:t>
      </w:r>
      <w:r>
        <w:rPr>
          <w:rFonts w:hint="eastAsia"/>
        </w:rPr>
        <w:t xml:space="preserve">位于苏家洼镇原国道 </w:t>
      </w:r>
      <w:r>
        <w:t>G112</w:t>
      </w:r>
      <w:r>
        <w:rPr>
          <w:rFonts w:hint="eastAsia"/>
        </w:rPr>
        <w:t>线与</w:t>
      </w:r>
      <w:r>
        <w:t>G230</w:t>
      </w:r>
      <w:r>
        <w:rPr>
          <w:rFonts w:hint="eastAsia"/>
        </w:rPr>
        <w:t>交叉口处</w:t>
      </w:r>
      <w:r>
        <w:rPr>
          <w:rFonts w:hint="eastAsia"/>
          <w:kern w:val="0"/>
          <w:szCs w:val="24"/>
        </w:rPr>
        <w:t>（</w:t>
      </w:r>
      <w:r>
        <w:rPr>
          <w:szCs w:val="24"/>
        </w:rPr>
        <w:t>E11</w:t>
      </w:r>
      <w:r>
        <w:rPr>
          <w:rFonts w:hint="eastAsia"/>
          <w:szCs w:val="24"/>
        </w:rPr>
        <w:t>7</w:t>
      </w:r>
      <w:r>
        <w:rPr>
          <w:szCs w:val="24"/>
        </w:rPr>
        <w:t>°</w:t>
      </w:r>
      <w:r>
        <w:rPr>
          <w:rFonts w:hint="eastAsia"/>
          <w:szCs w:val="24"/>
        </w:rPr>
        <w:t>57</w:t>
      </w:r>
      <w:r>
        <w:rPr>
          <w:szCs w:val="24"/>
        </w:rPr>
        <w:t>'</w:t>
      </w:r>
      <w:r>
        <w:rPr>
          <w:rFonts w:hint="eastAsia"/>
          <w:szCs w:val="24"/>
        </w:rPr>
        <w:t>34.575</w:t>
      </w:r>
      <w:r>
        <w:rPr>
          <w:szCs w:val="24"/>
        </w:rPr>
        <w:t>"、N</w:t>
      </w:r>
      <w:r>
        <w:rPr>
          <w:rFonts w:hint="eastAsia"/>
          <w:szCs w:val="24"/>
        </w:rPr>
        <w:t>40</w:t>
      </w:r>
      <w:r>
        <w:rPr>
          <w:szCs w:val="24"/>
        </w:rPr>
        <w:t>°</w:t>
      </w:r>
      <w:r>
        <w:rPr>
          <w:rFonts w:hint="eastAsia"/>
          <w:szCs w:val="24"/>
        </w:rPr>
        <w:t>13</w:t>
      </w:r>
      <w:r>
        <w:rPr>
          <w:szCs w:val="24"/>
        </w:rPr>
        <w:t>'</w:t>
      </w:r>
      <w:r>
        <w:rPr>
          <w:rFonts w:hint="eastAsia"/>
          <w:szCs w:val="24"/>
        </w:rPr>
        <w:t>2.129</w:t>
      </w:r>
      <w:r>
        <w:rPr>
          <w:szCs w:val="24"/>
        </w:rPr>
        <w:t>"</w:t>
      </w:r>
      <w:r>
        <w:rPr>
          <w:rFonts w:hint="eastAsia"/>
          <w:kern w:val="0"/>
          <w:szCs w:val="24"/>
        </w:rPr>
        <w:t>），终点位于</w:t>
      </w:r>
      <w:r>
        <w:t>遵化市南吴家坑村北，与</w:t>
      </w:r>
      <w:r>
        <w:rPr>
          <w:rFonts w:hint="eastAsia"/>
        </w:rPr>
        <w:t>原</w:t>
      </w:r>
      <w:r>
        <w:t>国道G112相接</w:t>
      </w:r>
      <w:r>
        <w:rPr>
          <w:szCs w:val="24"/>
        </w:rPr>
        <w:t>（E11</w:t>
      </w:r>
      <w:r>
        <w:rPr>
          <w:rFonts w:hint="eastAsia"/>
          <w:szCs w:val="24"/>
        </w:rPr>
        <w:t>7</w:t>
      </w:r>
      <w:r>
        <w:rPr>
          <w:szCs w:val="24"/>
        </w:rPr>
        <w:t>°</w:t>
      </w:r>
      <w:r>
        <w:rPr>
          <w:rFonts w:hint="eastAsia"/>
          <w:szCs w:val="24"/>
        </w:rPr>
        <w:t>58</w:t>
      </w:r>
      <w:r>
        <w:rPr>
          <w:szCs w:val="24"/>
        </w:rPr>
        <w:t>'</w:t>
      </w:r>
      <w:r>
        <w:rPr>
          <w:rFonts w:hint="eastAsia"/>
          <w:szCs w:val="24"/>
        </w:rPr>
        <w:t>26.524</w:t>
      </w:r>
      <w:r>
        <w:rPr>
          <w:szCs w:val="24"/>
        </w:rPr>
        <w:t>"、N</w:t>
      </w:r>
      <w:r>
        <w:rPr>
          <w:rFonts w:hint="eastAsia"/>
          <w:szCs w:val="24"/>
        </w:rPr>
        <w:t>40</w:t>
      </w:r>
      <w:r>
        <w:rPr>
          <w:szCs w:val="24"/>
        </w:rPr>
        <w:t>°</w:t>
      </w:r>
      <w:r>
        <w:rPr>
          <w:rFonts w:hint="eastAsia"/>
          <w:szCs w:val="24"/>
        </w:rPr>
        <w:t>7</w:t>
      </w:r>
      <w:r>
        <w:rPr>
          <w:szCs w:val="24"/>
        </w:rPr>
        <w:t>'</w:t>
      </w:r>
      <w:r>
        <w:rPr>
          <w:rFonts w:hint="eastAsia"/>
          <w:szCs w:val="24"/>
        </w:rPr>
        <w:t>31.596</w:t>
      </w:r>
      <w:r>
        <w:rPr>
          <w:szCs w:val="24"/>
        </w:rPr>
        <w:t>"）</w:t>
      </w:r>
      <w:r>
        <w:rPr>
          <w:rFonts w:hint="eastAsia"/>
          <w:kern w:val="0"/>
          <w:szCs w:val="24"/>
        </w:rPr>
        <w:t>。G112全线长18km，其中</w:t>
      </w:r>
      <w:r>
        <w:rPr>
          <w:szCs w:val="24"/>
        </w:rPr>
        <w:t>旧路利用段（K0+000～K7+774.608）约7.7</w:t>
      </w:r>
      <w:r>
        <w:rPr>
          <w:rFonts w:hint="eastAsia"/>
          <w:kern w:val="0"/>
          <w:szCs w:val="24"/>
        </w:rPr>
        <w:t>km，新建路段</w:t>
      </w:r>
      <w:r>
        <w:rPr>
          <w:szCs w:val="24"/>
        </w:rPr>
        <w:t>（K7+774.608～K17+999.500）约10.3</w:t>
      </w:r>
      <w:r>
        <w:rPr>
          <w:rFonts w:hint="eastAsia"/>
          <w:kern w:val="0"/>
          <w:szCs w:val="24"/>
        </w:rPr>
        <w:t>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kern w:val="0"/>
        </w:rPr>
        <w:t>。</w:t>
      </w:r>
    </w:p>
    <w:p>
      <w:pPr>
        <w:ind w:firstLine="480"/>
      </w:pPr>
      <w:r>
        <w:t>项目投资：本项目总投资</w:t>
      </w:r>
      <w:r>
        <w:rPr>
          <w:rFonts w:hint="eastAsia"/>
        </w:rPr>
        <w:t>70900</w:t>
      </w:r>
      <w:r>
        <w:t>万元，其中环保投资</w:t>
      </w:r>
      <w:r>
        <w:rPr>
          <w:rFonts w:hint="eastAsia"/>
        </w:rPr>
        <w:t>1165.1</w:t>
      </w:r>
      <w:r>
        <w:t>万元，占总投资的</w:t>
      </w:r>
      <w:r>
        <w:rPr>
          <w:rFonts w:hint="eastAsia"/>
        </w:rPr>
        <w:t>1.64</w:t>
      </w:r>
      <w:r>
        <w:t>%。</w:t>
      </w:r>
    </w:p>
    <w:p>
      <w:pPr>
        <w:pStyle w:val="204"/>
        <w:spacing w:line="480" w:lineRule="exact"/>
        <w:ind w:firstLine="0" w:firstLineChars="0"/>
        <w:outlineLvl w:val="2"/>
        <w:rPr>
          <w:b/>
          <w:sz w:val="28"/>
          <w:szCs w:val="28"/>
        </w:rPr>
      </w:pPr>
      <w:r>
        <w:rPr>
          <w:b/>
          <w:sz w:val="28"/>
          <w:szCs w:val="28"/>
        </w:rPr>
        <w:t>10.1.2</w:t>
      </w:r>
      <w:bookmarkEnd w:id="153"/>
      <w:bookmarkEnd w:id="154"/>
      <w:r>
        <w:rPr>
          <w:rFonts w:hint="eastAsia"/>
          <w:b/>
          <w:sz w:val="28"/>
          <w:szCs w:val="28"/>
        </w:rPr>
        <w:t>项目</w:t>
      </w:r>
      <w:r>
        <w:rPr>
          <w:b/>
          <w:sz w:val="28"/>
          <w:szCs w:val="28"/>
        </w:rPr>
        <w:t>线路走向</w:t>
      </w:r>
    </w:p>
    <w:p>
      <w:pPr>
        <w:ind w:firstLine="480"/>
        <w:rPr>
          <w:highlight w:val="yellow"/>
        </w:rPr>
      </w:pPr>
      <w:r>
        <w:rPr>
          <w:szCs w:val="24"/>
        </w:rPr>
        <w:t>本项目起于</w:t>
      </w:r>
      <w:r>
        <w:rPr>
          <w:rFonts w:hint="eastAsia"/>
        </w:rPr>
        <w:t xml:space="preserve">苏家洼镇原国道 </w:t>
      </w:r>
      <w:r>
        <w:t>G112</w:t>
      </w:r>
      <w:r>
        <w:rPr>
          <w:rFonts w:hint="eastAsia"/>
        </w:rPr>
        <w:t>线与</w:t>
      </w:r>
      <w:r>
        <w:t>G230</w:t>
      </w:r>
      <w:r>
        <w:rPr>
          <w:rFonts w:hint="eastAsia"/>
        </w:rPr>
        <w:t>交叉口处</w:t>
      </w:r>
      <w:r>
        <w:rPr>
          <w:rFonts w:hint="eastAsia"/>
          <w:szCs w:val="24"/>
        </w:rPr>
        <w:t>，路线向南布线，</w:t>
      </w:r>
      <w:r>
        <w:rPr>
          <w:kern w:val="24"/>
          <w:szCs w:val="24"/>
        </w:rPr>
        <w:t>途径</w:t>
      </w:r>
      <w:r>
        <w:rPr>
          <w:rFonts w:hint="eastAsia"/>
          <w:kern w:val="24"/>
          <w:szCs w:val="24"/>
        </w:rPr>
        <w:t>苏家洼村、旧热电厂、西十里铺村、与通华西街平面交叉后转向东南，奔后王庄、前铺村、蒲池河到学汉坨村西与遵宝线平面交叉，再向南过骆各庄、吴家坑，</w:t>
      </w:r>
      <w:r>
        <w:rPr>
          <w:szCs w:val="24"/>
        </w:rPr>
        <w:t>项目终点位于</w:t>
      </w:r>
      <w:r>
        <w:t>遵化市南吴家坑村北，与</w:t>
      </w:r>
      <w:r>
        <w:rPr>
          <w:rFonts w:hint="eastAsia"/>
        </w:rPr>
        <w:t>原</w:t>
      </w:r>
      <w:r>
        <w:t>国道G112相接。</w:t>
      </w:r>
    </w:p>
    <w:p>
      <w:pPr>
        <w:pStyle w:val="204"/>
        <w:spacing w:line="480" w:lineRule="exact"/>
        <w:ind w:firstLine="0" w:firstLineChars="0"/>
        <w:outlineLvl w:val="2"/>
        <w:rPr>
          <w:b/>
          <w:sz w:val="28"/>
          <w:szCs w:val="28"/>
        </w:rPr>
      </w:pPr>
      <w:bookmarkStart w:id="155" w:name="_Toc286603867"/>
      <w:bookmarkStart w:id="156" w:name="_Toc286612412"/>
      <w:r>
        <w:rPr>
          <w:b/>
          <w:sz w:val="28"/>
          <w:szCs w:val="28"/>
        </w:rPr>
        <w:t>10.1.3</w:t>
      </w:r>
      <w:bookmarkEnd w:id="155"/>
      <w:bookmarkEnd w:id="156"/>
      <w:r>
        <w:rPr>
          <w:rFonts w:hint="eastAsia"/>
          <w:b/>
          <w:sz w:val="28"/>
          <w:szCs w:val="28"/>
        </w:rPr>
        <w:t>主要</w:t>
      </w:r>
      <w:r>
        <w:rPr>
          <w:b/>
          <w:sz w:val="28"/>
          <w:szCs w:val="28"/>
        </w:rPr>
        <w:t>建设内容</w:t>
      </w:r>
    </w:p>
    <w:p>
      <w:pPr>
        <w:ind w:firstLine="480"/>
        <w:rPr>
          <w:szCs w:val="24"/>
        </w:rPr>
      </w:pPr>
      <w:r>
        <w:rPr>
          <w:szCs w:val="24"/>
        </w:rPr>
        <w:t>本项目</w:t>
      </w:r>
      <w:r>
        <w:rPr>
          <w:rFonts w:hint="eastAsia"/>
          <w:szCs w:val="24"/>
        </w:rPr>
        <w:t>主路</w:t>
      </w:r>
      <w:r>
        <w:rPr>
          <w:szCs w:val="24"/>
        </w:rPr>
        <w:t>路线</w:t>
      </w:r>
      <w:r>
        <w:rPr>
          <w:rFonts w:hint="eastAsia"/>
          <w:szCs w:val="24"/>
        </w:rPr>
        <w:t>长18km</w:t>
      </w:r>
      <w:r>
        <w:rPr>
          <w:szCs w:val="24"/>
        </w:rPr>
        <w:t>（里程粧号</w:t>
      </w:r>
      <w:r>
        <w:rPr>
          <w:rFonts w:hint="eastAsia"/>
          <w:szCs w:val="20"/>
        </w:rPr>
        <w:t>K0+000～K17+999.5</w:t>
      </w:r>
      <w:r>
        <w:rPr>
          <w:szCs w:val="24"/>
        </w:rPr>
        <w:t>)，其中利用旧路段长</w:t>
      </w:r>
      <w:r>
        <w:rPr>
          <w:rFonts w:hint="eastAsia"/>
          <w:szCs w:val="24"/>
        </w:rPr>
        <w:t>7.7km</w:t>
      </w:r>
      <w:r>
        <w:rPr>
          <w:szCs w:val="24"/>
        </w:rPr>
        <w:t>，新建路段长</w:t>
      </w:r>
      <w:r>
        <w:rPr>
          <w:rFonts w:hint="eastAsia"/>
          <w:szCs w:val="24"/>
        </w:rPr>
        <w:t>10.3km，</w:t>
      </w:r>
      <w:r>
        <w:rPr>
          <w:rFonts w:hint="eastAsia"/>
        </w:rPr>
        <w:t>同时在</w:t>
      </w:r>
      <w:r>
        <w:rPr>
          <w:rFonts w:hint="eastAsia"/>
          <w:bCs/>
          <w:szCs w:val="24"/>
        </w:rPr>
        <w:t>K8+380右侧</w:t>
      </w:r>
      <w:r>
        <w:rPr>
          <w:bCs/>
          <w:szCs w:val="24"/>
        </w:rPr>
        <w:t>、</w:t>
      </w:r>
      <w:r>
        <w:rPr>
          <w:rFonts w:hint="eastAsia"/>
          <w:bCs/>
          <w:szCs w:val="24"/>
        </w:rPr>
        <w:t>K11+942右侧</w:t>
      </w:r>
      <w:r>
        <w:rPr>
          <w:bCs/>
          <w:szCs w:val="24"/>
        </w:rPr>
        <w:t>、K13+596</w:t>
      </w:r>
      <w:r>
        <w:rPr>
          <w:rFonts w:hint="eastAsia"/>
          <w:bCs/>
          <w:szCs w:val="24"/>
        </w:rPr>
        <w:t>左侧、</w:t>
      </w:r>
      <w:r>
        <w:rPr>
          <w:bCs/>
          <w:szCs w:val="24"/>
        </w:rPr>
        <w:t>K14+380</w:t>
      </w:r>
      <w:r>
        <w:rPr>
          <w:rFonts w:hint="eastAsia"/>
          <w:bCs/>
          <w:szCs w:val="24"/>
        </w:rPr>
        <w:t>右侧分别</w:t>
      </w:r>
      <w:r>
        <w:rPr>
          <w:bCs/>
          <w:szCs w:val="24"/>
        </w:rPr>
        <w:t>设置4</w:t>
      </w:r>
      <w:r>
        <w:rPr>
          <w:rFonts w:hint="eastAsia"/>
          <w:bCs/>
          <w:szCs w:val="24"/>
        </w:rPr>
        <w:t>条</w:t>
      </w:r>
      <w:r>
        <w:rPr>
          <w:bCs/>
          <w:szCs w:val="24"/>
        </w:rPr>
        <w:t>改路，</w:t>
      </w:r>
      <w:r>
        <w:rPr>
          <w:rFonts w:hint="eastAsia"/>
          <w:bCs/>
          <w:szCs w:val="24"/>
        </w:rPr>
        <w:t>改路总长</w:t>
      </w:r>
      <w:r>
        <w:rPr>
          <w:bCs/>
          <w:szCs w:val="24"/>
        </w:rPr>
        <w:t>681.0</w:t>
      </w:r>
      <w:r>
        <w:rPr>
          <w:rFonts w:hint="eastAsia"/>
          <w:bCs/>
          <w:szCs w:val="24"/>
        </w:rPr>
        <w:t>m。</w:t>
      </w:r>
      <w:r>
        <w:rPr>
          <w:rFonts w:hint="eastAsia"/>
          <w:szCs w:val="20"/>
        </w:rPr>
        <w:t>本项目利旧路段，利用现有中桥83m/1座，小桥35m/2座，新建段设置大桥517m/3座，中桥65m/1座，涵洞51道，平交12处</w:t>
      </w:r>
      <w:r>
        <w:rPr>
          <w:rFonts w:hint="eastAsia"/>
          <w:szCs w:val="24"/>
        </w:rPr>
        <w:t>。</w:t>
      </w:r>
    </w:p>
    <w:p>
      <w:pPr>
        <w:pStyle w:val="204"/>
        <w:spacing w:line="480" w:lineRule="exact"/>
        <w:ind w:firstLine="0" w:firstLineChars="0"/>
        <w:outlineLvl w:val="2"/>
        <w:rPr>
          <w:b/>
          <w:sz w:val="28"/>
          <w:szCs w:val="28"/>
        </w:rPr>
      </w:pPr>
      <w:r>
        <w:rPr>
          <w:b/>
          <w:sz w:val="28"/>
          <w:szCs w:val="28"/>
        </w:rPr>
        <w:t>10.1.4</w:t>
      </w:r>
      <w:r>
        <w:rPr>
          <w:rFonts w:hint="eastAsia"/>
          <w:b/>
          <w:sz w:val="28"/>
          <w:szCs w:val="28"/>
        </w:rPr>
        <w:t>产业</w:t>
      </w:r>
      <w:r>
        <w:rPr>
          <w:b/>
          <w:sz w:val="28"/>
          <w:szCs w:val="28"/>
        </w:rPr>
        <w:t>政策符合性</w:t>
      </w:r>
    </w:p>
    <w:p>
      <w:pPr>
        <w:ind w:firstLine="476"/>
        <w:rPr>
          <w:rFonts w:ascii="宋体" w:hAnsi="宋体" w:cs="宋体"/>
          <w:highlight w:val="yellow"/>
        </w:rPr>
      </w:pPr>
      <w:r>
        <w:rPr>
          <w:rFonts w:ascii="宋体" w:hAnsi="宋体" w:cs="宋体"/>
          <w:spacing w:val="-1"/>
        </w:rPr>
        <w:t>本项</w:t>
      </w:r>
      <w:r>
        <w:rPr>
          <w:rFonts w:hAnsi="宋体"/>
          <w:spacing w:val="-1"/>
        </w:rPr>
        <w:t>目</w:t>
      </w:r>
      <w:r>
        <w:rPr>
          <w:rFonts w:hAnsi="宋体"/>
        </w:rPr>
        <w:t>为国道</w:t>
      </w:r>
      <w:r>
        <w:t>G112</w:t>
      </w:r>
      <w:r>
        <w:rPr>
          <w:rFonts w:hAnsi="宋体"/>
        </w:rPr>
        <w:t>遵化城区</w:t>
      </w:r>
      <w:r>
        <w:rPr>
          <w:rFonts w:ascii="宋体" w:hAnsi="宋体" w:cs="宋体"/>
        </w:rPr>
        <w:t>段改建工程，</w:t>
      </w:r>
      <w:r>
        <w:rPr>
          <w:rFonts w:ascii="宋体" w:hAnsi="宋体" w:cs="宋体"/>
          <w:spacing w:val="-1"/>
        </w:rPr>
        <w:t>根据国</w:t>
      </w:r>
      <w:r>
        <w:rPr>
          <w:rFonts w:ascii="宋体" w:hAnsi="宋体" w:cs="宋体"/>
        </w:rPr>
        <w:t>家发改委《产业结构调整指导目录（</w:t>
      </w:r>
      <w:r>
        <w:rPr>
          <w:rFonts w:hint="eastAsia" w:eastAsiaTheme="minorEastAsia"/>
        </w:rPr>
        <w:t>2021</w:t>
      </w:r>
      <w:r>
        <w:rPr>
          <w:rFonts w:ascii="宋体" w:hAnsi="宋体" w:cs="宋体"/>
        </w:rPr>
        <w:t>年本）》，本项目属于“二十四、公路及道路运输（含城市客运）</w:t>
      </w:r>
      <w:r>
        <w:rPr>
          <w:rFonts w:hint="eastAsia"/>
        </w:rPr>
        <w:t>12</w:t>
      </w:r>
      <w:r>
        <w:rPr>
          <w:rFonts w:ascii="宋体" w:hAnsi="宋体" w:cs="宋体"/>
        </w:rPr>
        <w:t>、</w:t>
      </w:r>
      <w:r>
        <w:rPr>
          <w:rFonts w:hint="eastAsia" w:ascii="宋体" w:hAnsi="宋体" w:cs="宋体"/>
        </w:rPr>
        <w:t>农村公路</w:t>
      </w:r>
      <w:r>
        <w:rPr>
          <w:rFonts w:ascii="宋体" w:hAnsi="宋体" w:cs="宋体"/>
        </w:rPr>
        <w:t>建设”，为鼓励项目。</w:t>
      </w:r>
      <w:r>
        <w:rPr>
          <w:rFonts w:hAnsi="宋体"/>
          <w:kern w:val="24"/>
        </w:rPr>
        <w:t>本项目不在《河北省人民政府办公厅</w:t>
      </w:r>
      <w:r>
        <w:rPr>
          <w:rFonts w:eastAsia="Times New Roman"/>
          <w:kern w:val="24"/>
        </w:rPr>
        <w:t>&lt;</w:t>
      </w:r>
      <w:r>
        <w:rPr>
          <w:rFonts w:hAnsi="宋体"/>
          <w:kern w:val="24"/>
        </w:rPr>
        <w:t>关于印发河北省新增限制类和淘汰类产业目录（</w:t>
      </w:r>
      <w:r>
        <w:rPr>
          <w:rFonts w:eastAsia="Times New Roman"/>
          <w:kern w:val="24"/>
        </w:rPr>
        <w:t>2015</w:t>
      </w:r>
      <w:r>
        <w:rPr>
          <w:rFonts w:hAnsi="宋体"/>
          <w:kern w:val="24"/>
        </w:rPr>
        <w:t>年版）</w:t>
      </w:r>
      <w:r>
        <w:rPr>
          <w:rFonts w:eastAsia="Times New Roman"/>
          <w:kern w:val="24"/>
        </w:rPr>
        <w:t>&gt;</w:t>
      </w:r>
      <w:r>
        <w:rPr>
          <w:rFonts w:hAnsi="宋体"/>
          <w:kern w:val="24"/>
        </w:rPr>
        <w:t>的通知》（冀政办发</w:t>
      </w:r>
      <w:r>
        <w:rPr>
          <w:rFonts w:eastAsia="Times New Roman"/>
          <w:kern w:val="24"/>
        </w:rPr>
        <w:t>[2015]7</w:t>
      </w:r>
      <w:r>
        <w:rPr>
          <w:rFonts w:hAnsi="宋体"/>
          <w:kern w:val="24"/>
        </w:rPr>
        <w:t>号）中规定的</w:t>
      </w:r>
      <w:r>
        <w:rPr>
          <w:rFonts w:ascii="宋体" w:hAnsi="宋体" w:cs="宋体"/>
          <w:kern w:val="24"/>
        </w:rPr>
        <w:t>的限制类、淘汰类之列。因此，本项目建设符合国家及地方产业政策的要求</w:t>
      </w:r>
      <w:r>
        <w:rPr>
          <w:rFonts w:hint="eastAsia" w:ascii="宋体" w:hAnsi="宋体" w:cs="宋体"/>
        </w:rPr>
        <w:t>。</w:t>
      </w:r>
    </w:p>
    <w:p>
      <w:pPr>
        <w:pStyle w:val="5"/>
        <w:spacing w:beforeLines="0" w:afterLines="0"/>
      </w:pPr>
      <w:bookmarkStart w:id="157" w:name="_Toc141284099"/>
      <w:r>
        <w:t>10.2</w:t>
      </w:r>
      <w:r>
        <w:rPr>
          <w:rFonts w:hint="eastAsia"/>
        </w:rPr>
        <w:t>环境</w:t>
      </w:r>
      <w:r>
        <w:t>质量现状评价结论</w:t>
      </w:r>
      <w:bookmarkEnd w:id="157"/>
    </w:p>
    <w:p>
      <w:pPr>
        <w:pStyle w:val="204"/>
        <w:spacing w:line="480" w:lineRule="exact"/>
        <w:ind w:firstLine="0" w:firstLineChars="0"/>
        <w:outlineLvl w:val="2"/>
        <w:rPr>
          <w:b/>
          <w:sz w:val="28"/>
          <w:szCs w:val="28"/>
        </w:rPr>
      </w:pPr>
      <w:r>
        <w:rPr>
          <w:b/>
          <w:sz w:val="28"/>
          <w:szCs w:val="28"/>
        </w:rPr>
        <w:t>10.2.1</w:t>
      </w:r>
      <w:r>
        <w:rPr>
          <w:rFonts w:hint="eastAsia"/>
          <w:b/>
          <w:sz w:val="28"/>
          <w:szCs w:val="28"/>
        </w:rPr>
        <w:t>生态环境</w:t>
      </w:r>
    </w:p>
    <w:p>
      <w:pPr>
        <w:ind w:firstLine="480"/>
      </w:pPr>
      <w:r>
        <w:rPr>
          <w:rFonts w:hint="eastAsia"/>
        </w:rPr>
        <w:t>（1）陆生植被</w:t>
      </w:r>
    </w:p>
    <w:p>
      <w:pPr>
        <w:pStyle w:val="2"/>
        <w:ind w:firstLine="480"/>
        <w:rPr>
          <w:snapToGrid w:val="0"/>
        </w:rPr>
      </w:pPr>
      <w:r>
        <w:rPr>
          <w:rFonts w:hint="eastAsia"/>
          <w:snapToGrid w:val="0"/>
        </w:rPr>
        <w:t>项目占地区域植被主要以多年生禾本草类为主，并有散生落叶灌木植物群落，主要有荆条和灌草丛。农耕地以种植小麦、玉米、花生为主。河谷地埂、道路两旁、房前屋后分布有枣树、椿树、核桃树等。山坡以刺槐为主。间有部分板栗、杨树、山杏、柳树、荆条等。项目区域未发现珍贵野生动物出没，常见动物主要有麻雀、喜鹊、蛇等。</w:t>
      </w:r>
    </w:p>
    <w:p>
      <w:pPr>
        <w:ind w:firstLine="480"/>
      </w:pPr>
      <w:r>
        <w:rPr>
          <w:rFonts w:hint="eastAsia"/>
          <w:snapToGrid w:val="0"/>
        </w:rPr>
        <w:t>评价区范围内未发现国家级和省级保护的野生动植物资源</w:t>
      </w:r>
      <w:r>
        <w:rPr>
          <w:rFonts w:hint="eastAsia"/>
        </w:rPr>
        <w:t>。</w:t>
      </w:r>
    </w:p>
    <w:p>
      <w:pPr>
        <w:ind w:firstLine="480"/>
      </w:pPr>
      <w:r>
        <w:rPr>
          <w:rFonts w:hint="eastAsia"/>
        </w:rPr>
        <w:t>（2）水生生物</w:t>
      </w:r>
    </w:p>
    <w:p>
      <w:pPr>
        <w:ind w:firstLine="480"/>
        <w:rPr>
          <w:rFonts w:hAnsi="宋体"/>
        </w:rPr>
      </w:pPr>
      <w:r>
        <w:rPr>
          <w:rFonts w:hint="eastAsia"/>
        </w:rPr>
        <w:t>项目区域</w:t>
      </w:r>
      <w:r>
        <w:t>主要水生动物资源为泥鳅</w:t>
      </w:r>
      <w:r>
        <w:rPr>
          <w:rFonts w:hint="eastAsia"/>
        </w:rPr>
        <w:t>，</w:t>
      </w:r>
      <w:r>
        <w:t>对水温的耐受范围较广，其中泥鳅的生存能力极强，对水环境变化反应不灵敏，常被视为耐污性鱼类</w:t>
      </w:r>
      <w:r>
        <w:rPr>
          <w:rFonts w:hint="eastAsia" w:hAnsi="宋体"/>
        </w:rPr>
        <w:t>。</w:t>
      </w:r>
      <w:r>
        <w:t>在工程影响区域内没有记录到国家级及河北省级的保护鱼类，也没有《中国濒危动物红皮书鱼类》中的珍稀和濒危种类</w:t>
      </w:r>
      <w:r>
        <w:rPr>
          <w:rFonts w:hint="eastAsia"/>
        </w:rPr>
        <w:t>。</w:t>
      </w:r>
    </w:p>
    <w:p>
      <w:pPr>
        <w:ind w:firstLine="480"/>
        <w:rPr>
          <w:rFonts w:hAnsi="宋体"/>
        </w:rPr>
      </w:pPr>
      <w:r>
        <w:rPr>
          <w:rFonts w:hint="eastAsia"/>
        </w:rPr>
        <w:t>通过对该河段的调查及查询资料等多方面了解，沙河、清水河、黎河水中或河流两岸的植被较少，未曾发现河底中有黏性鱼卵存在的迹象，</w:t>
      </w:r>
      <w:r>
        <w:t>未曾发现</w:t>
      </w:r>
      <w:r>
        <w:rPr>
          <w:rFonts w:hint="eastAsia"/>
        </w:rPr>
        <w:t>产卵场所</w:t>
      </w:r>
      <w:r>
        <w:t>。</w:t>
      </w:r>
      <w:r>
        <w:rPr>
          <w:rFonts w:hint="eastAsia"/>
        </w:rPr>
        <w:t>根据查询的资料可知，该滦河流域未发现有洄游性鱼类的存在，也没有典型的越冬场、索饵场，因此，本项目的建设并未涉及鱼类的“三场一通”现象</w:t>
      </w:r>
      <w:r>
        <w:rPr>
          <w:rFonts w:hint="eastAsia"/>
          <w:bCs/>
          <w:kern w:val="0"/>
        </w:rPr>
        <w:t>。</w:t>
      </w:r>
    </w:p>
    <w:p>
      <w:pPr>
        <w:pStyle w:val="204"/>
        <w:spacing w:line="480" w:lineRule="exact"/>
        <w:ind w:firstLine="0" w:firstLineChars="0"/>
        <w:outlineLvl w:val="2"/>
        <w:rPr>
          <w:b/>
          <w:sz w:val="28"/>
          <w:szCs w:val="28"/>
        </w:rPr>
      </w:pPr>
      <w:r>
        <w:rPr>
          <w:b/>
          <w:sz w:val="28"/>
          <w:szCs w:val="28"/>
        </w:rPr>
        <w:t>10.2.</w:t>
      </w:r>
      <w:r>
        <w:rPr>
          <w:rFonts w:hint="eastAsia"/>
          <w:b/>
          <w:sz w:val="28"/>
          <w:szCs w:val="28"/>
        </w:rPr>
        <w:t>2环境空气</w:t>
      </w:r>
    </w:p>
    <w:p>
      <w:pPr>
        <w:ind w:firstLine="480"/>
      </w:pPr>
      <w:r>
        <w:rPr>
          <w:rFonts w:hint="eastAsia"/>
        </w:rPr>
        <w:t>本项目位于唐山市遵化市境内，</w:t>
      </w:r>
      <w:r>
        <w:t>根据</w:t>
      </w:r>
      <w:r>
        <w:rPr>
          <w:szCs w:val="22"/>
        </w:rPr>
        <w:t>唐山市</w:t>
      </w:r>
      <w:r>
        <w:rPr>
          <w:rFonts w:hint="eastAsia"/>
          <w:szCs w:val="22"/>
        </w:rPr>
        <w:t>生态环境</w:t>
      </w:r>
      <w:r>
        <w:rPr>
          <w:szCs w:val="22"/>
        </w:rPr>
        <w:t>局发布的《20</w:t>
      </w:r>
      <w:r>
        <w:rPr>
          <w:rFonts w:hint="eastAsia"/>
          <w:szCs w:val="22"/>
        </w:rPr>
        <w:t>22</w:t>
      </w:r>
      <w:r>
        <w:rPr>
          <w:szCs w:val="22"/>
        </w:rPr>
        <w:t>年唐山市环境状况公报》显示</w:t>
      </w:r>
      <w:r>
        <w:rPr>
          <w:rFonts w:hint="eastAsia"/>
        </w:rPr>
        <w:t>，唐山市</w:t>
      </w:r>
      <w:r>
        <w:t>二氧化硫（SO</w:t>
      </w:r>
      <w:r>
        <w:rPr>
          <w:vertAlign w:val="subscript"/>
        </w:rPr>
        <w:t>2</w:t>
      </w:r>
      <w:r>
        <w:t>）</w:t>
      </w:r>
      <w:r>
        <w:rPr>
          <w:rFonts w:hint="eastAsia"/>
        </w:rPr>
        <w:t>、</w:t>
      </w:r>
      <w:r>
        <w:t>二氧化氮（NO</w:t>
      </w:r>
      <w:r>
        <w:rPr>
          <w:vertAlign w:val="subscript"/>
        </w:rPr>
        <w:t>2</w:t>
      </w:r>
      <w:r>
        <w:t>）</w:t>
      </w:r>
      <w:r>
        <w:rPr>
          <w:rFonts w:hint="eastAsia"/>
        </w:rPr>
        <w:t>、</w:t>
      </w:r>
      <w:r>
        <w:t>一氧化碳（CO）</w:t>
      </w:r>
      <w:r>
        <w:rPr>
          <w:rFonts w:hint="eastAsia"/>
        </w:rPr>
        <w:t>、</w:t>
      </w:r>
      <w:r>
        <w:t>颗粒物（PM</w:t>
      </w:r>
      <w:r>
        <w:rPr>
          <w:vertAlign w:val="subscript"/>
        </w:rPr>
        <w:t>10</w:t>
      </w:r>
      <w:r>
        <w:t>）</w:t>
      </w:r>
      <w:r>
        <w:rPr>
          <w:rFonts w:hint="eastAsia"/>
        </w:rPr>
        <w:t>均</w:t>
      </w:r>
      <w:r>
        <w:t>满足《环境空气质量标准》（GB3095-2012）二级标准。臭氧（O</w:t>
      </w:r>
      <w:r>
        <w:rPr>
          <w:vertAlign w:val="subscript"/>
        </w:rPr>
        <w:t>3</w:t>
      </w:r>
      <w:r>
        <w:t>）</w:t>
      </w:r>
      <w:r>
        <w:rPr>
          <w:rFonts w:hint="eastAsia"/>
        </w:rPr>
        <w:t>、</w:t>
      </w:r>
      <w:r>
        <w:t>细颗粒物（PM</w:t>
      </w:r>
      <w:r>
        <w:rPr>
          <w:vertAlign w:val="subscript"/>
        </w:rPr>
        <w:t>2.5</w:t>
      </w:r>
      <w:r>
        <w:t>）不能满足《环境空气质量标准》（GB3095-2012）二级标准</w:t>
      </w:r>
      <w:r>
        <w:rPr>
          <w:rFonts w:hint="eastAsia"/>
        </w:rPr>
        <w:t>，因此，本项目所在区域为</w:t>
      </w:r>
      <w:r>
        <w:t>不达标区</w:t>
      </w:r>
      <w:r>
        <w:rPr>
          <w:rFonts w:hint="eastAsia"/>
        </w:rPr>
        <w:t>。</w:t>
      </w:r>
    </w:p>
    <w:p>
      <w:pPr>
        <w:pStyle w:val="204"/>
        <w:spacing w:line="480" w:lineRule="exact"/>
        <w:ind w:firstLine="0" w:firstLineChars="0"/>
        <w:outlineLvl w:val="2"/>
        <w:rPr>
          <w:b/>
          <w:sz w:val="28"/>
          <w:szCs w:val="28"/>
        </w:rPr>
      </w:pPr>
      <w:r>
        <w:rPr>
          <w:b/>
          <w:sz w:val="28"/>
          <w:szCs w:val="28"/>
        </w:rPr>
        <w:t>10.2.</w:t>
      </w:r>
      <w:r>
        <w:rPr>
          <w:rFonts w:hint="eastAsia"/>
          <w:b/>
          <w:sz w:val="28"/>
          <w:szCs w:val="28"/>
        </w:rPr>
        <w:t>3声环境</w:t>
      </w:r>
    </w:p>
    <w:p>
      <w:pPr>
        <w:ind w:firstLine="480"/>
      </w:pPr>
      <w:r>
        <w:rPr>
          <w:rFonts w:hint="eastAsia"/>
        </w:rPr>
        <w:t>声环境质量现状监测结果表明，</w:t>
      </w:r>
      <w:r>
        <w:t>项目</w:t>
      </w:r>
      <w:r>
        <w:rPr>
          <w:rFonts w:hint="eastAsia"/>
        </w:rPr>
        <w:t>声环境</w:t>
      </w:r>
      <w:r>
        <w:t>均能满足《声环境质量标准》（GB3096-2008）</w:t>
      </w:r>
      <w:r>
        <w:rPr>
          <w:rFonts w:hint="eastAsia"/>
        </w:rPr>
        <w:t>相应</w:t>
      </w:r>
      <w:r>
        <w:t>标准要求</w:t>
      </w:r>
      <w:r>
        <w:rPr>
          <w:rFonts w:hint="eastAsia"/>
        </w:rPr>
        <w:t>，现状声环境质量状况良好。</w:t>
      </w:r>
    </w:p>
    <w:p>
      <w:pPr>
        <w:pStyle w:val="5"/>
        <w:spacing w:beforeLines="0" w:afterLines="0"/>
      </w:pPr>
      <w:bookmarkStart w:id="158" w:name="_Toc141284100"/>
      <w:r>
        <w:t>10.</w:t>
      </w:r>
      <w:r>
        <w:rPr>
          <w:rFonts w:hint="eastAsia"/>
        </w:rPr>
        <w:t>3环境影响预测</w:t>
      </w:r>
      <w:r>
        <w:t>结论</w:t>
      </w:r>
      <w:r>
        <w:rPr>
          <w:rFonts w:hint="eastAsia"/>
        </w:rPr>
        <w:t>及防治措施</w:t>
      </w:r>
      <w:bookmarkEnd w:id="158"/>
    </w:p>
    <w:p>
      <w:pPr>
        <w:pStyle w:val="204"/>
        <w:spacing w:line="480" w:lineRule="exact"/>
        <w:ind w:firstLine="0" w:firstLineChars="0"/>
        <w:outlineLvl w:val="2"/>
        <w:rPr>
          <w:b/>
          <w:sz w:val="28"/>
          <w:szCs w:val="28"/>
        </w:rPr>
      </w:pPr>
      <w:r>
        <w:rPr>
          <w:b/>
          <w:sz w:val="28"/>
          <w:szCs w:val="28"/>
        </w:rPr>
        <w:t>10.</w:t>
      </w:r>
      <w:r>
        <w:rPr>
          <w:rFonts w:hint="eastAsia"/>
          <w:b/>
          <w:sz w:val="28"/>
          <w:szCs w:val="28"/>
        </w:rPr>
        <w:t>3</w:t>
      </w:r>
      <w:r>
        <w:rPr>
          <w:b/>
          <w:sz w:val="28"/>
          <w:szCs w:val="28"/>
        </w:rPr>
        <w:t>.</w:t>
      </w:r>
      <w:r>
        <w:rPr>
          <w:rFonts w:hint="eastAsia"/>
          <w:b/>
          <w:sz w:val="28"/>
          <w:szCs w:val="28"/>
        </w:rPr>
        <w:t>1生态环境</w:t>
      </w:r>
    </w:p>
    <w:p>
      <w:pPr>
        <w:ind w:firstLine="480"/>
      </w:pPr>
      <w:r>
        <w:t>本项目总占地</w:t>
      </w:r>
      <w:r>
        <w:rPr>
          <w:rFonts w:hint="eastAsia"/>
        </w:rPr>
        <w:t>面积680.9974亩（新增用地规模为648.746亩），其中旱地93.3</w:t>
      </w:r>
      <w:r>
        <w:t>39</w:t>
      </w:r>
      <w:r>
        <w:rPr>
          <w:rFonts w:hint="eastAsia"/>
        </w:rPr>
        <w:t>亩、果园379.</w:t>
      </w:r>
      <w:r>
        <w:t>150</w:t>
      </w:r>
      <w:r>
        <w:rPr>
          <w:rFonts w:hint="eastAsia"/>
        </w:rPr>
        <w:t>亩、林地60.</w:t>
      </w:r>
      <w:r>
        <w:t>584</w:t>
      </w:r>
      <w:r>
        <w:rPr>
          <w:rFonts w:hint="eastAsia"/>
        </w:rPr>
        <w:t>亩、水域9.7</w:t>
      </w:r>
      <w:r>
        <w:t>36</w:t>
      </w:r>
      <w:r>
        <w:rPr>
          <w:rFonts w:hint="eastAsia"/>
        </w:rPr>
        <w:t>亩、住宅用地73.5</w:t>
      </w:r>
      <w:r>
        <w:t>42</w:t>
      </w:r>
      <w:r>
        <w:rPr>
          <w:rFonts w:hint="eastAsia"/>
        </w:rPr>
        <w:t>亩、公路铁路用地</w:t>
      </w:r>
      <w:r>
        <w:t>32.252</w:t>
      </w:r>
      <w:r>
        <w:rPr>
          <w:rFonts w:hint="eastAsia"/>
        </w:rPr>
        <w:t>亩、未利用地24.1</w:t>
      </w:r>
      <w:r>
        <w:t>35</w:t>
      </w:r>
      <w:r>
        <w:rPr>
          <w:rFonts w:hint="eastAsia"/>
        </w:rPr>
        <w:t>亩、其它土地8.</w:t>
      </w:r>
      <w:r>
        <w:t>260</w:t>
      </w:r>
      <w:r>
        <w:rPr>
          <w:rFonts w:hint="eastAsia"/>
        </w:rPr>
        <w:t>亩。</w:t>
      </w:r>
    </w:p>
    <w:p>
      <w:pPr>
        <w:ind w:firstLine="480"/>
        <w:rPr>
          <w:highlight w:val="yellow"/>
        </w:rPr>
      </w:pPr>
      <w:r>
        <w:t>公路占地会改变土地利用功能，破坏地表植被，对当地动植物产生影响，导致当地生物量损失；会占用耕地，减少耕地面积，破坏表层土壤，导致农业产量的下降，造成生物量减少损失，但公路建设不会导致区域整体农业格局的改变并通过保护表层土壤，耕地的补偿、加大绿化建设等措施使项目建设对生态的影响降到最低</w:t>
      </w:r>
      <w:r>
        <w:rPr>
          <w:rFonts w:hint="eastAsia"/>
        </w:rPr>
        <w:t>。</w:t>
      </w:r>
    </w:p>
    <w:p>
      <w:pPr>
        <w:pStyle w:val="204"/>
        <w:spacing w:line="480" w:lineRule="exact"/>
        <w:ind w:firstLine="0" w:firstLineChars="0"/>
        <w:outlineLvl w:val="2"/>
        <w:rPr>
          <w:b/>
          <w:sz w:val="28"/>
          <w:szCs w:val="28"/>
        </w:rPr>
      </w:pPr>
      <w:r>
        <w:rPr>
          <w:b/>
          <w:sz w:val="28"/>
          <w:szCs w:val="28"/>
        </w:rPr>
        <w:t>10.</w:t>
      </w:r>
      <w:r>
        <w:rPr>
          <w:rFonts w:hint="eastAsia"/>
          <w:b/>
          <w:sz w:val="28"/>
          <w:szCs w:val="28"/>
        </w:rPr>
        <w:t>3</w:t>
      </w:r>
      <w:r>
        <w:rPr>
          <w:b/>
          <w:sz w:val="28"/>
          <w:szCs w:val="28"/>
        </w:rPr>
        <w:t>.</w:t>
      </w:r>
      <w:r>
        <w:rPr>
          <w:rFonts w:hint="eastAsia"/>
          <w:b/>
          <w:sz w:val="28"/>
          <w:szCs w:val="28"/>
        </w:rPr>
        <w:t>2声环境</w:t>
      </w:r>
    </w:p>
    <w:p>
      <w:pPr>
        <w:ind w:firstLine="480"/>
        <w:rPr>
          <w:highlight w:val="yellow"/>
        </w:rPr>
      </w:pPr>
      <w:r>
        <w:t>施工噪声将对沿线声环境质量产生一定的影响，昼间单一施工机械影响将主要出现在距施工场地50m范围内，夜间将主要出现在距施工场地300m范围内。在施工过程中，可通过统筹规划，加强管理，合理安排施工作业时间，加强施工机械的保养等措施减小对周边环境敏感点的影响。施工期的影响是短暂的，一旦施工结束，影响就随之结束。</w:t>
      </w:r>
    </w:p>
    <w:p>
      <w:pPr>
        <w:ind w:firstLine="480"/>
        <w:rPr>
          <w:highlight w:val="yellow"/>
        </w:rPr>
      </w:pPr>
      <w:r>
        <w:t>预测营运期噪声对沿线环境敏感点的影响结果显示，各环境敏感点夜间比昼间超标现象严重，且随着公路车流量的加大，各环境敏感点噪声值在远期达到最大。项目运营中期敏感点昼间</w:t>
      </w:r>
      <w:r>
        <w:rPr>
          <w:rFonts w:hint="eastAsia"/>
        </w:rPr>
        <w:t>最大超标1.42</w:t>
      </w:r>
      <w:r>
        <w:t>dB</w:t>
      </w:r>
      <w:r>
        <w:rPr>
          <w:rFonts w:hint="eastAsia"/>
        </w:rPr>
        <w:t>(</w:t>
      </w:r>
      <w:r>
        <w:t>A</w:t>
      </w:r>
      <w:r>
        <w:rPr>
          <w:rFonts w:hint="eastAsia"/>
        </w:rPr>
        <w:t>)</w:t>
      </w:r>
      <w:r>
        <w:t>，夜间最大超标</w:t>
      </w:r>
      <w:r>
        <w:rPr>
          <w:rFonts w:hint="eastAsia"/>
        </w:rPr>
        <w:t>6.34</w:t>
      </w:r>
      <w:r>
        <w:t>dB</w:t>
      </w:r>
      <w:r>
        <w:rPr>
          <w:rFonts w:hint="eastAsia"/>
        </w:rPr>
        <w:t>(</w:t>
      </w:r>
      <w:r>
        <w:t>A</w:t>
      </w:r>
      <w:r>
        <w:rPr>
          <w:rFonts w:hint="eastAsia"/>
        </w:rPr>
        <w:t>)</w:t>
      </w:r>
      <w:r>
        <w:t>。通过采取加装通风隔声窗</w:t>
      </w:r>
      <w:r>
        <w:rPr>
          <w:rFonts w:hint="eastAsia"/>
        </w:rPr>
        <w:t>及鼓励改变使用功能等</w:t>
      </w:r>
      <w:r>
        <w:t>措施后，可有效的缓解项目营运对环境敏感点声环境的不利影响</w:t>
      </w:r>
      <w:r>
        <w:rPr>
          <w:rFonts w:hint="eastAsia"/>
        </w:rPr>
        <w:t>。</w:t>
      </w:r>
    </w:p>
    <w:p>
      <w:pPr>
        <w:pStyle w:val="204"/>
        <w:spacing w:line="480" w:lineRule="exact"/>
        <w:ind w:firstLine="0" w:firstLineChars="0"/>
        <w:outlineLvl w:val="2"/>
        <w:rPr>
          <w:b/>
          <w:sz w:val="28"/>
          <w:szCs w:val="28"/>
        </w:rPr>
      </w:pPr>
      <w:r>
        <w:rPr>
          <w:b/>
          <w:sz w:val="28"/>
          <w:szCs w:val="28"/>
        </w:rPr>
        <w:t>10.</w:t>
      </w:r>
      <w:r>
        <w:rPr>
          <w:rFonts w:hint="eastAsia"/>
          <w:b/>
          <w:sz w:val="28"/>
          <w:szCs w:val="28"/>
        </w:rPr>
        <w:t>3</w:t>
      </w:r>
      <w:r>
        <w:rPr>
          <w:b/>
          <w:sz w:val="28"/>
          <w:szCs w:val="28"/>
        </w:rPr>
        <w:t>.</w:t>
      </w:r>
      <w:r>
        <w:rPr>
          <w:rFonts w:hint="eastAsia"/>
          <w:b/>
          <w:sz w:val="28"/>
          <w:szCs w:val="28"/>
        </w:rPr>
        <w:t>3水环境</w:t>
      </w:r>
    </w:p>
    <w:p>
      <w:pPr>
        <w:ind w:firstLine="480"/>
      </w:pPr>
      <w:r>
        <w:t>施工期产生的废水主要为施工人员的生活污水以及生产废水，</w:t>
      </w:r>
      <w:r>
        <w:rPr>
          <w:rFonts w:hint="eastAsia"/>
        </w:rPr>
        <w:t>生产废水经沉淀处理后回用于生产；生活废水排入租赁房屋的旱厕内，</w:t>
      </w:r>
      <w:r>
        <w:t>不会直接进入地表水体，对附近地表水环境影响较小。此外，桥梁施工过程中会对地表水环境产生一定的影响，因此合理选择施工时间，桥梁基础施工时尽量选择在河流枯水季节，采取围堰法施工，降低对河流水质的影响。</w:t>
      </w:r>
    </w:p>
    <w:p>
      <w:pPr>
        <w:ind w:firstLine="468"/>
      </w:pPr>
      <w:r>
        <w:rPr>
          <w:spacing w:val="-3"/>
        </w:rPr>
        <w:t>营运期水污染源主要是路面径流雨水。路面径流一般分散排入排水沟，就近排入附近水体，对地下水无直接影响。</w:t>
      </w:r>
    </w:p>
    <w:p>
      <w:pPr>
        <w:ind w:firstLine="480"/>
        <w:rPr>
          <w:highlight w:val="yellow"/>
        </w:rPr>
      </w:pPr>
      <w:r>
        <w:t>本项目</w:t>
      </w:r>
      <w:r>
        <w:rPr>
          <w:rFonts w:hint="eastAsia"/>
        </w:rPr>
        <w:t>拟建道路邻近</w:t>
      </w:r>
      <w:r>
        <w:rPr>
          <w:rFonts w:hAnsi="宋体"/>
        </w:rPr>
        <w:t>冷咀头河</w:t>
      </w:r>
      <w:r>
        <w:t>路段设置防渗边</w:t>
      </w:r>
      <w:r>
        <w:rPr>
          <w:szCs w:val="24"/>
        </w:rPr>
        <w:t>沟</w:t>
      </w:r>
      <w:r>
        <w:rPr>
          <w:rFonts w:hint="eastAsia"/>
          <w:szCs w:val="24"/>
        </w:rPr>
        <w:t>及</w:t>
      </w:r>
      <w:r>
        <w:rPr>
          <w:szCs w:val="24"/>
        </w:rPr>
        <w:t>防撞护栏，在</w:t>
      </w:r>
      <w:r>
        <w:rPr>
          <w:rFonts w:hint="eastAsia" w:ascii="Arial" w:hAnsi="Arial" w:cs="Arial"/>
        </w:rPr>
        <w:t>清水河大桥、沙河大桥、黎河</w:t>
      </w:r>
      <w:r>
        <w:rPr>
          <w:rFonts w:hint="eastAsia"/>
        </w:rPr>
        <w:t>大桥、</w:t>
      </w:r>
      <w:r>
        <w:t>邻近</w:t>
      </w:r>
      <w:r>
        <w:rPr>
          <w:rFonts w:hAnsi="宋体"/>
        </w:rPr>
        <w:t>冷咀头河</w:t>
      </w:r>
      <w:r>
        <w:t>路段</w:t>
      </w:r>
      <w:r>
        <w:rPr>
          <w:rFonts w:hint="eastAsia"/>
        </w:rPr>
        <w:t>及跨越遵化市堡子店水源地</w:t>
      </w:r>
      <w:r>
        <w:t>设置驶入警示牌及驶离告知牌；</w:t>
      </w:r>
      <w:r>
        <w:rPr>
          <w:rFonts w:hint="eastAsia" w:ascii="Arial" w:hAnsi="Arial" w:cs="Arial"/>
        </w:rPr>
        <w:t>清水河大桥、沙河大桥、黎河</w:t>
      </w:r>
      <w:r>
        <w:rPr>
          <w:rFonts w:hint="eastAsia"/>
        </w:rPr>
        <w:t>大桥</w:t>
      </w:r>
      <w:r>
        <w:t>设置桥面径流收集系统，设置防渗事故池</w:t>
      </w:r>
      <w:r>
        <w:rPr>
          <w:rFonts w:hint="eastAsia"/>
        </w:rPr>
        <w:t>；</w:t>
      </w:r>
      <w:r>
        <w:t>跨越</w:t>
      </w:r>
      <w:r>
        <w:rPr>
          <w:rFonts w:hint="eastAsia" w:ascii="Arial" w:hAnsi="Arial" w:cs="Arial"/>
        </w:rPr>
        <w:t>清水河、沙河、黎河</w:t>
      </w:r>
      <w:r>
        <w:t>常水位主河槽的部分加装防落网；</w:t>
      </w:r>
      <w:r>
        <w:rPr>
          <w:rFonts w:hint="eastAsia" w:ascii="Arial" w:hAnsi="Arial" w:cs="Arial"/>
        </w:rPr>
        <w:t>清水河大桥、沙河大桥、黎河</w:t>
      </w:r>
      <w:r>
        <w:rPr>
          <w:rFonts w:hint="eastAsia"/>
        </w:rPr>
        <w:t>大桥安装</w:t>
      </w:r>
      <w:r>
        <w:t>限速监控及紧急报警电</w:t>
      </w:r>
      <w:r>
        <w:rPr>
          <w:rFonts w:hint="eastAsia"/>
        </w:rPr>
        <w:t>话</w:t>
      </w:r>
      <w:r>
        <w:t>标牌；施工期及运行期专人负责</w:t>
      </w:r>
      <w:r>
        <w:rPr>
          <w:rFonts w:hint="eastAsia"/>
        </w:rPr>
        <w:t>该区域</w:t>
      </w:r>
      <w:r>
        <w:t>环境保护工作。在施工期和营运期采取严格的环保措施，保证废水不进入冷咀头河</w:t>
      </w:r>
      <w:r>
        <w:rPr>
          <w:rFonts w:hint="eastAsia"/>
        </w:rPr>
        <w:t>、</w:t>
      </w:r>
      <w:r>
        <w:t>清水河、沙河</w:t>
      </w:r>
      <w:r>
        <w:rPr>
          <w:rFonts w:hint="eastAsia"/>
        </w:rPr>
        <w:t>、黎河</w:t>
      </w:r>
      <w:r>
        <w:t>，</w:t>
      </w:r>
      <w:r>
        <w:rPr>
          <w:rFonts w:hint="eastAsia"/>
        </w:rPr>
        <w:t>固废及材料不在遵化市堡子店水源地保护区范围内堆存，</w:t>
      </w:r>
      <w:r>
        <w:t>项目的建设不会对</w:t>
      </w:r>
      <w:r>
        <w:rPr>
          <w:rFonts w:hint="eastAsia"/>
        </w:rPr>
        <w:t>区域水质</w:t>
      </w:r>
      <w:r>
        <w:t>产生明显不利影响。</w:t>
      </w:r>
    </w:p>
    <w:p>
      <w:pPr>
        <w:ind w:firstLine="480"/>
      </w:pPr>
      <w:r>
        <w:t>综上所述，采取上述措施后，本项目对水环境影响较小。</w:t>
      </w:r>
    </w:p>
    <w:p>
      <w:pPr>
        <w:pStyle w:val="204"/>
        <w:spacing w:line="480" w:lineRule="exact"/>
        <w:ind w:firstLine="0" w:firstLineChars="0"/>
        <w:outlineLvl w:val="2"/>
        <w:rPr>
          <w:b/>
          <w:sz w:val="28"/>
          <w:szCs w:val="28"/>
        </w:rPr>
      </w:pPr>
      <w:r>
        <w:rPr>
          <w:b/>
          <w:sz w:val="28"/>
          <w:szCs w:val="28"/>
        </w:rPr>
        <w:t>10.</w:t>
      </w:r>
      <w:r>
        <w:rPr>
          <w:rFonts w:hint="eastAsia"/>
          <w:b/>
          <w:sz w:val="28"/>
          <w:szCs w:val="28"/>
        </w:rPr>
        <w:t>3</w:t>
      </w:r>
      <w:r>
        <w:rPr>
          <w:b/>
          <w:sz w:val="28"/>
          <w:szCs w:val="28"/>
        </w:rPr>
        <w:t>.</w:t>
      </w:r>
      <w:r>
        <w:rPr>
          <w:rFonts w:hint="eastAsia"/>
          <w:b/>
          <w:sz w:val="28"/>
          <w:szCs w:val="28"/>
        </w:rPr>
        <w:t>4环境空气</w:t>
      </w:r>
    </w:p>
    <w:p>
      <w:pPr>
        <w:ind w:firstLine="480"/>
      </w:pPr>
      <w:r>
        <w:t>拟建工程施工过程中，将进行大量的土石方填筑、筑路材料的运输及沥青摊铺等作业工作。工程施工期对环境空气污染主要为施工时料场堆存过程起尘、施工作业扬尘、土石方的开挖、回填与施工车辆等作业的二次扬尘、沥青混凝土路面铺筑过程产生的沥青烟等。</w:t>
      </w:r>
      <w:r>
        <w:rPr>
          <w:rFonts w:hint="eastAsia"/>
        </w:rPr>
        <w:t>筑路材料</w:t>
      </w:r>
      <w:r>
        <w:t>等易洒落散装物料密闭存放或建设防风抑尘设施。对</w:t>
      </w:r>
      <w:r>
        <w:rPr>
          <w:rFonts w:hint="eastAsia"/>
        </w:rPr>
        <w:t>施工区域</w:t>
      </w:r>
      <w:r>
        <w:t>加强管理，定时洒水，加盖篷布，并设置围栏，遇恶劣天气减少堆存量。建（构）筑物拆除施工应当采取湿法作业，未完全拆除的建（构）筑物，应当采取围挡、遮盖等防尘措施。配备洒水车，定期对施工道路和场地进行洒水；路基施工时及时分层压实，并定期洒水降尘。在敏感路段施工时设置围挡。</w:t>
      </w:r>
    </w:p>
    <w:p>
      <w:pPr>
        <w:ind w:firstLine="480"/>
      </w:pPr>
      <w:r>
        <w:t>项目实施后主要大气污染物为营运期</w:t>
      </w:r>
      <w:r>
        <w:rPr>
          <w:spacing w:val="4"/>
        </w:rPr>
        <w:t>机动车辆排放的尾气，通过在道路两侧加强绿化，栽种对尾气吸收作用明显的乔木、灌木等树种及草坪，以吸收车辆尾气中的污染物和道路扬尘，保护沿线环境空气质量。因此，主要空气污染源为各种机动车辆排放的尾气及扬尘，对</w:t>
      </w:r>
      <w:r>
        <w:t>大气环境影响较小。</w:t>
      </w:r>
    </w:p>
    <w:p>
      <w:pPr>
        <w:pStyle w:val="204"/>
        <w:spacing w:line="480" w:lineRule="exact"/>
        <w:ind w:firstLine="0" w:firstLineChars="0"/>
        <w:outlineLvl w:val="2"/>
        <w:rPr>
          <w:b/>
          <w:sz w:val="28"/>
          <w:szCs w:val="28"/>
        </w:rPr>
      </w:pPr>
      <w:r>
        <w:rPr>
          <w:b/>
          <w:sz w:val="28"/>
          <w:szCs w:val="28"/>
        </w:rPr>
        <w:t>10.</w:t>
      </w:r>
      <w:r>
        <w:rPr>
          <w:rFonts w:hint="eastAsia"/>
          <w:b/>
          <w:sz w:val="28"/>
          <w:szCs w:val="28"/>
        </w:rPr>
        <w:t>3</w:t>
      </w:r>
      <w:r>
        <w:rPr>
          <w:b/>
          <w:sz w:val="28"/>
          <w:szCs w:val="28"/>
        </w:rPr>
        <w:t>.</w:t>
      </w:r>
      <w:r>
        <w:rPr>
          <w:rFonts w:hint="eastAsia"/>
          <w:b/>
          <w:sz w:val="28"/>
          <w:szCs w:val="28"/>
        </w:rPr>
        <w:t>5固体废物</w:t>
      </w:r>
    </w:p>
    <w:p>
      <w:pPr>
        <w:adjustRightInd w:val="0"/>
        <w:snapToGrid w:val="0"/>
        <w:ind w:firstLine="480"/>
        <w:rPr>
          <w:rFonts w:cs="宋体"/>
        </w:rPr>
      </w:pPr>
      <w:r>
        <w:rPr>
          <w:rFonts w:cs="宋体"/>
        </w:rPr>
        <w:t>施工期固体废物主要包括拆迁房屋产生的建筑垃圾，桥梁基础钻孔灌注桩产生的钻渣</w:t>
      </w:r>
      <w:r>
        <w:rPr>
          <w:rFonts w:hint="eastAsia" w:cs="宋体"/>
        </w:rPr>
        <w:t>、开挖产生土方、沉淀池沉淀泥浆</w:t>
      </w:r>
      <w:r>
        <w:rPr>
          <w:rFonts w:cs="宋体"/>
        </w:rPr>
        <w:t>以及</w:t>
      </w:r>
      <w:r>
        <w:rPr>
          <w:rFonts w:hint="eastAsia" w:cs="宋体"/>
        </w:rPr>
        <w:t>施工人员日常生活</w:t>
      </w:r>
      <w:r>
        <w:rPr>
          <w:rFonts w:cs="宋体"/>
        </w:rPr>
        <w:t>产生的生活垃圾。</w:t>
      </w:r>
      <w:r>
        <w:rPr>
          <w:rFonts w:hint="eastAsia" w:cs="宋体"/>
        </w:rPr>
        <w:t>本项目</w:t>
      </w:r>
      <w:r>
        <w:rPr>
          <w:rFonts w:cs="宋体"/>
        </w:rPr>
        <w:t>建筑垃圾全部运往当地城建部门指定地点统一处理。</w:t>
      </w:r>
      <w:r>
        <w:rPr>
          <w:rFonts w:hint="eastAsia" w:cs="宋体"/>
        </w:rPr>
        <w:t>本项目开挖产生土方作为道路的基础填方，其中</w:t>
      </w:r>
      <w:r>
        <w:rPr>
          <w:rFonts w:cs="宋体"/>
        </w:rPr>
        <w:t>挖方</w:t>
      </w:r>
      <w:r>
        <w:rPr>
          <w:rFonts w:hint="eastAsia" w:cs="宋体"/>
        </w:rPr>
        <w:t>的</w:t>
      </w:r>
      <w:r>
        <w:rPr>
          <w:rFonts w:cs="宋体"/>
        </w:rPr>
        <w:t>表层熟土，</w:t>
      </w:r>
      <w:r>
        <w:rPr>
          <w:rFonts w:hint="eastAsia" w:cs="宋体"/>
        </w:rPr>
        <w:t>可以作为</w:t>
      </w:r>
      <w:r>
        <w:rPr>
          <w:rFonts w:cs="宋体"/>
        </w:rPr>
        <w:t>道路边坡、绿化带等绿化覆土利用</w:t>
      </w:r>
      <w:r>
        <w:rPr>
          <w:rFonts w:hint="eastAsia" w:cs="宋体"/>
        </w:rPr>
        <w:t>；</w:t>
      </w:r>
      <w:r>
        <w:rPr>
          <w:rFonts w:cs="宋体"/>
        </w:rPr>
        <w:t>桥梁基础钻孔灌注桩产生的钻渣</w:t>
      </w:r>
      <w:r>
        <w:rPr>
          <w:rFonts w:hint="eastAsia" w:cs="宋体"/>
        </w:rPr>
        <w:t>及沉淀池沉淀泥浆</w:t>
      </w:r>
      <w:r>
        <w:rPr>
          <w:rFonts w:cs="宋体"/>
        </w:rPr>
        <w:t>作为路基底层填料利用。施工人员产生的生活垃圾，集中收集后定期</w:t>
      </w:r>
      <w:r>
        <w:rPr>
          <w:rFonts w:hint="eastAsia" w:cs="宋体"/>
        </w:rPr>
        <w:t>由环卫部门处理。</w:t>
      </w:r>
    </w:p>
    <w:p>
      <w:pPr>
        <w:ind w:firstLine="480"/>
        <w:rPr>
          <w:highlight w:val="yellow"/>
        </w:rPr>
      </w:pPr>
      <w:r>
        <w:t>营运期公路路面产生的固废极少，可能会有少量运输车辆撒落的物料，可以安排清洁人员定期清扫，保持路面清洁并防止扬尘产生。</w:t>
      </w:r>
    </w:p>
    <w:p>
      <w:pPr>
        <w:ind w:firstLine="480"/>
      </w:pPr>
      <w:r>
        <w:t>综上</w:t>
      </w:r>
      <w:r>
        <w:rPr>
          <w:rFonts w:hint="eastAsia"/>
        </w:rPr>
        <w:t>所述</w:t>
      </w:r>
      <w:r>
        <w:t>，只要加强管理，采取切实可行的措施，本工程营运期的固体废物不会对周围环境产生影响。</w:t>
      </w:r>
    </w:p>
    <w:p>
      <w:pPr>
        <w:pStyle w:val="5"/>
        <w:spacing w:beforeLines="0" w:afterLines="0"/>
      </w:pPr>
      <w:bookmarkStart w:id="159" w:name="_Toc141284101"/>
      <w:r>
        <w:t>10.</w:t>
      </w:r>
      <w:r>
        <w:rPr>
          <w:rFonts w:hint="eastAsia"/>
        </w:rPr>
        <w:t>4公众参与调查结论</w:t>
      </w:r>
      <w:bookmarkEnd w:id="159"/>
    </w:p>
    <w:p>
      <w:pPr>
        <w:ind w:firstLine="480"/>
      </w:pPr>
      <w:r>
        <w:rPr>
          <w:rFonts w:hint="eastAsia"/>
        </w:rPr>
        <w:t>企业</w:t>
      </w:r>
      <w:r>
        <w:rPr>
          <w:rFonts w:ascii="宋体" w:hAnsi="宋体"/>
        </w:rPr>
        <w:t>于</w:t>
      </w:r>
      <w:r>
        <w:rPr>
          <w:kern w:val="0"/>
        </w:rPr>
        <w:t>2021年6月25日</w:t>
      </w:r>
      <w:r>
        <w:rPr>
          <w:rFonts w:hint="eastAsia"/>
          <w:kern w:val="0"/>
        </w:rPr>
        <w:t>在全国建设项目环境信息公示平台进行</w:t>
      </w:r>
      <w:r>
        <w:rPr>
          <w:rFonts w:hAnsi="宋体"/>
        </w:rPr>
        <w:t>第一次向公众进行信息公开，于</w:t>
      </w:r>
      <w:r>
        <w:rPr>
          <w:szCs w:val="24"/>
        </w:rPr>
        <w:t>2023年7月3日—2023年7月14日</w:t>
      </w:r>
      <w:r>
        <w:rPr>
          <w:rFonts w:hAnsi="宋体"/>
        </w:rPr>
        <w:t>（</w:t>
      </w:r>
      <w:r>
        <w:t>10</w:t>
      </w:r>
      <w:r>
        <w:rPr>
          <w:rFonts w:hAnsi="宋体"/>
        </w:rPr>
        <w:t>个工作日）在</w:t>
      </w:r>
      <w:r>
        <w:rPr>
          <w:rFonts w:hint="eastAsia"/>
          <w:kern w:val="0"/>
        </w:rPr>
        <w:t>全国建设项目环境信息公示平台</w:t>
      </w:r>
      <w:r>
        <w:rPr>
          <w:rFonts w:hAnsi="宋体"/>
        </w:rPr>
        <w:t>第二次向公众进行信息公开，并在</w:t>
      </w:r>
      <w:r>
        <w:rPr>
          <w:rFonts w:hint="eastAsia" w:hAnsi="宋体"/>
        </w:rPr>
        <w:t>河北青年报</w:t>
      </w:r>
      <w:r>
        <w:rPr>
          <w:rFonts w:hAnsi="宋体"/>
        </w:rPr>
        <w:t>进行两次登报公示，同时在</w:t>
      </w:r>
      <w:r>
        <w:rPr>
          <w:rFonts w:hint="eastAsia" w:hAnsi="宋体"/>
        </w:rPr>
        <w:t>项目周边村庄</w:t>
      </w:r>
      <w:r>
        <w:rPr>
          <w:rFonts w:hAnsi="宋体"/>
        </w:rPr>
        <w:t>等进行张贴告示</w:t>
      </w:r>
      <w:r>
        <w:rPr>
          <w:rStyle w:val="576"/>
          <w:rFonts w:hint="eastAsia" w:ascii="Times New Roman" w:eastAsia="宋体" w:cs="Times New Roman"/>
          <w:spacing w:val="0"/>
          <w:sz w:val="24"/>
          <w:szCs w:val="24"/>
          <w:lang w:val="zh-TW"/>
        </w:rPr>
        <w:t>。在公示期间，</w:t>
      </w:r>
      <w:r>
        <w:rPr>
          <w:rFonts w:hint="eastAsia"/>
        </w:rPr>
        <w:t>建设单位、评价单位均未收到任何反映材料和意见。</w:t>
      </w:r>
    </w:p>
    <w:p>
      <w:pPr>
        <w:pStyle w:val="5"/>
        <w:spacing w:beforeLines="0" w:afterLines="0"/>
      </w:pPr>
      <w:bookmarkStart w:id="160" w:name="_Toc141284102"/>
      <w:r>
        <w:t>10.</w:t>
      </w:r>
      <w:r>
        <w:rPr>
          <w:rFonts w:hint="eastAsia"/>
        </w:rPr>
        <w:t>5工程选线可行性分析结论</w:t>
      </w:r>
      <w:bookmarkEnd w:id="160"/>
    </w:p>
    <w:p>
      <w:pPr>
        <w:ind w:firstLine="480"/>
        <w:rPr>
          <w:rFonts w:cs="宋体"/>
        </w:rPr>
      </w:pPr>
      <w:r>
        <w:rPr>
          <w:rFonts w:hint="eastAsia"/>
        </w:rPr>
        <w:t>本项目符合《河北省普通干线公路网布局规划（2013-2030）》、</w:t>
      </w:r>
      <w:r>
        <w:rPr>
          <w:rFonts w:ascii="宋体" w:hAnsi="宋体" w:cs="宋体"/>
        </w:rPr>
        <w:t>《</w:t>
      </w:r>
      <w:r>
        <w:rPr>
          <w:rFonts w:hint="eastAsia"/>
          <w:shd w:val="clear" w:color="auto" w:fill="FFFFFF"/>
        </w:rPr>
        <w:t>河北省“十四五”现代综合交通运输体系发展规划</w:t>
      </w:r>
      <w:r>
        <w:rPr>
          <w:rFonts w:ascii="宋体" w:hAnsi="宋体" w:cs="宋体"/>
        </w:rPr>
        <w:t>》</w:t>
      </w:r>
      <w:r>
        <w:rPr>
          <w:rFonts w:hint="eastAsia" w:ascii="宋体" w:hAnsi="宋体" w:cs="宋体"/>
        </w:rPr>
        <w:t>、</w:t>
      </w:r>
      <w:r>
        <w:rPr>
          <w:rFonts w:hint="eastAsia"/>
          <w:szCs w:val="24"/>
        </w:rPr>
        <w:t>《遵化市国民经济和社会发展第“十四五”规划》及</w:t>
      </w:r>
      <w:r>
        <w:rPr>
          <w:rFonts w:hint="eastAsia"/>
        </w:rPr>
        <w:t>《唐山市集中式饮用水水源地保护管理条例》的要求，本项目选址合理</w:t>
      </w:r>
      <w:r>
        <w:rPr>
          <w:rFonts w:hint="eastAsia" w:cs="宋体"/>
        </w:rPr>
        <w:t>。</w:t>
      </w:r>
    </w:p>
    <w:p>
      <w:pPr>
        <w:ind w:firstLine="480"/>
        <w:rPr>
          <w:rFonts w:cs="宋体"/>
        </w:rPr>
      </w:pPr>
      <w:r>
        <w:rPr>
          <w:rFonts w:cs="宋体"/>
        </w:rPr>
        <w:t>项目</w:t>
      </w:r>
      <w:r>
        <w:rPr>
          <w:rFonts w:cs="宋体"/>
          <w:spacing w:val="-3"/>
        </w:rPr>
        <w:t>施工生活区远离河流、</w:t>
      </w:r>
      <w:r>
        <w:rPr>
          <w:rFonts w:hint="eastAsia" w:cs="宋体"/>
          <w:spacing w:val="-3"/>
        </w:rPr>
        <w:t>水源地</w:t>
      </w:r>
      <w:r>
        <w:rPr>
          <w:rFonts w:cs="宋体"/>
          <w:spacing w:val="-3"/>
        </w:rPr>
        <w:t>等敏感目标，</w:t>
      </w:r>
      <w:r>
        <w:rPr>
          <w:rFonts w:hint="eastAsia" w:cs="宋体"/>
          <w:spacing w:val="-3"/>
        </w:rPr>
        <w:t>生活区域</w:t>
      </w:r>
      <w:r>
        <w:rPr>
          <w:rFonts w:cs="宋体"/>
        </w:rPr>
        <w:t>选址合理。</w:t>
      </w:r>
    </w:p>
    <w:p>
      <w:pPr>
        <w:ind w:firstLine="480"/>
        <w:rPr>
          <w:rFonts w:cs="宋体"/>
          <w:spacing w:val="-3"/>
        </w:rPr>
      </w:pPr>
      <w:r>
        <w:rPr>
          <w:rFonts w:cs="宋体"/>
        </w:rPr>
        <w:t>本项目穿越</w:t>
      </w:r>
      <w:r>
        <w:rPr>
          <w:rFonts w:hint="eastAsia" w:cs="宋体"/>
        </w:rPr>
        <w:t>遵化市堡子店水源地、清水河、沙河、黎河，同时与冷咀头河并行</w:t>
      </w:r>
      <w:r>
        <w:rPr>
          <w:rFonts w:cs="宋体"/>
        </w:rPr>
        <w:t>，</w:t>
      </w:r>
      <w:r>
        <w:rPr>
          <w:rFonts w:hint="eastAsia" w:cs="宋体"/>
          <w:spacing w:val="-3"/>
        </w:rPr>
        <w:t>本项目制定严格</w:t>
      </w:r>
      <w:r>
        <w:rPr>
          <w:rFonts w:cs="宋体"/>
          <w:spacing w:val="-3"/>
        </w:rPr>
        <w:t>的措施</w:t>
      </w:r>
      <w:r>
        <w:rPr>
          <w:rFonts w:hint="eastAsia" w:cs="宋体"/>
          <w:spacing w:val="-3"/>
        </w:rPr>
        <w:t>方案及运营期保护</w:t>
      </w:r>
      <w:r>
        <w:rPr>
          <w:rFonts w:cs="宋体"/>
          <w:spacing w:val="-3"/>
        </w:rPr>
        <w:t>工程，可有效减缓工程建</w:t>
      </w:r>
      <w:r>
        <w:rPr>
          <w:rFonts w:cs="宋体"/>
        </w:rPr>
        <w:t>设及营运对</w:t>
      </w:r>
      <w:r>
        <w:rPr>
          <w:rFonts w:hint="eastAsia" w:cs="宋体"/>
        </w:rPr>
        <w:t>遵化市堡子店水源地、清水河、沙河、黎河、冷咀头河</w:t>
      </w:r>
      <w:r>
        <w:rPr>
          <w:rFonts w:cs="宋体"/>
        </w:rPr>
        <w:t>的影响。</w:t>
      </w:r>
    </w:p>
    <w:p>
      <w:pPr>
        <w:pStyle w:val="5"/>
        <w:spacing w:beforeLines="0" w:afterLines="0"/>
      </w:pPr>
      <w:bookmarkStart w:id="161" w:name="_Toc141284103"/>
      <w:r>
        <w:t>10.</w:t>
      </w:r>
      <w:r>
        <w:rPr>
          <w:rFonts w:hint="eastAsia"/>
        </w:rPr>
        <w:t>6评价总结论</w:t>
      </w:r>
      <w:bookmarkEnd w:id="161"/>
    </w:p>
    <w:p>
      <w:pPr>
        <w:ind w:firstLine="480"/>
        <w:jc w:val="left"/>
        <w:rPr>
          <w:szCs w:val="24"/>
          <w:highlight w:val="yellow"/>
        </w:rPr>
      </w:pPr>
      <w:r>
        <w:rPr>
          <w:szCs w:val="24"/>
        </w:rPr>
        <w:t>本项目为国道G112遵化城区段改建工程</w:t>
      </w:r>
      <w:r>
        <w:rPr>
          <w:rFonts w:hint="eastAsia"/>
          <w:szCs w:val="24"/>
        </w:rPr>
        <w:t>，该项目建设可</w:t>
      </w:r>
      <w:r>
        <w:rPr>
          <w:szCs w:val="24"/>
        </w:rPr>
        <w:t>提高公路网通达深度、提高道路通行能力和服务</w:t>
      </w:r>
      <w:r>
        <w:rPr>
          <w:rFonts w:hint="eastAsia"/>
          <w:szCs w:val="24"/>
        </w:rPr>
        <w:t>，促进遵化市景区的发展，对</w:t>
      </w:r>
      <w:r>
        <w:rPr>
          <w:szCs w:val="24"/>
        </w:rPr>
        <w:t>推动</w:t>
      </w:r>
      <w:r>
        <w:rPr>
          <w:rFonts w:hint="eastAsia"/>
          <w:szCs w:val="24"/>
        </w:rPr>
        <w:t>该区域</w:t>
      </w:r>
      <w:r>
        <w:rPr>
          <w:szCs w:val="24"/>
        </w:rPr>
        <w:t>经济发展有重要意义。</w:t>
      </w:r>
    </w:p>
    <w:p>
      <w:pPr>
        <w:ind w:firstLine="480"/>
        <w:jc w:val="left"/>
        <w:rPr>
          <w:szCs w:val="24"/>
        </w:rPr>
      </w:pPr>
      <w:r>
        <w:rPr>
          <w:szCs w:val="24"/>
        </w:rPr>
        <w:t>项目建设的同时会对沿线环境产生不同程度的影响，但在严格落实本报告书各项环保措施后，项目对环境的影响可得到有效防治、对公路沿线生态环境影响能够降低到环境可接受的程度。因此，在认真落实国家和河北省相应环保法规、政策，并严格执行</w:t>
      </w:r>
      <w:r>
        <w:rPr>
          <w:rFonts w:hint="eastAsia"/>
          <w:szCs w:val="24"/>
        </w:rPr>
        <w:t>“</w:t>
      </w:r>
      <w:r>
        <w:rPr>
          <w:szCs w:val="24"/>
        </w:rPr>
        <w:t>三同时</w:t>
      </w:r>
      <w:r>
        <w:rPr>
          <w:rFonts w:hint="eastAsia"/>
          <w:szCs w:val="24"/>
        </w:rPr>
        <w:t>”</w:t>
      </w:r>
      <w:r>
        <w:rPr>
          <w:szCs w:val="24"/>
        </w:rPr>
        <w:t>制度的前提下，从环境保护的角度考虑，国道G112遵化城区段改建工程的建设是可行的。</w:t>
      </w:r>
    </w:p>
    <w:p>
      <w:pPr>
        <w:pStyle w:val="5"/>
        <w:spacing w:beforeLines="0" w:afterLines="0"/>
      </w:pPr>
      <w:bookmarkStart w:id="162" w:name="_Toc286612420"/>
      <w:bookmarkStart w:id="163" w:name="_Toc141284104"/>
      <w:bookmarkStart w:id="164" w:name="_Toc286603875"/>
      <w:r>
        <w:rPr>
          <w:rFonts w:hint="eastAsia"/>
        </w:rPr>
        <w:t>10.7</w:t>
      </w:r>
      <w:r>
        <w:t>建议</w:t>
      </w:r>
      <w:bookmarkEnd w:id="162"/>
      <w:bookmarkEnd w:id="163"/>
      <w:bookmarkEnd w:id="164"/>
    </w:p>
    <w:p>
      <w:pPr>
        <w:ind w:firstLine="480"/>
      </w:pPr>
      <w:r>
        <w:rPr>
          <w:rFonts w:hint="eastAsia"/>
        </w:rPr>
        <w:t>（1）制定严格公路维护管理制度和实施细则，严禁将道路清扫固废及清水河大桥、沙河大桥、黎河大桥事故池收集废水倒入清水河、沙河、黎河及在遵化市堡子店水源地保护区范围内存放；</w:t>
      </w:r>
    </w:p>
    <w:p>
      <w:pPr>
        <w:ind w:firstLine="480"/>
      </w:pPr>
      <w:r>
        <w:t>（</w:t>
      </w:r>
      <w:r>
        <w:rPr>
          <w:rFonts w:hint="eastAsia"/>
        </w:rPr>
        <w:t>2</w:t>
      </w:r>
      <w:r>
        <w:t>）加强场区环境管理，</w:t>
      </w:r>
      <w:r>
        <w:rPr>
          <w:rFonts w:hint="eastAsia"/>
        </w:rPr>
        <w:t>建立养护工区的</w:t>
      </w:r>
      <w:r>
        <w:t>环境管理</w:t>
      </w:r>
      <w:r>
        <w:rPr>
          <w:rFonts w:hint="eastAsia"/>
        </w:rPr>
        <w:t>制度</w:t>
      </w:r>
      <w:r>
        <w:t>，</w:t>
      </w:r>
      <w:r>
        <w:rPr>
          <w:rFonts w:hint="eastAsia"/>
        </w:rPr>
        <w:t>提高公路维护及时性；</w:t>
      </w:r>
    </w:p>
    <w:p>
      <w:pPr>
        <w:ind w:firstLine="480"/>
        <w:sectPr>
          <w:footerReference r:id="rId33" w:type="default"/>
          <w:pgSz w:w="11906" w:h="16838"/>
          <w:pgMar w:top="1418" w:right="1418" w:bottom="1418" w:left="1474" w:header="964" w:footer="964" w:gutter="0"/>
          <w:cols w:space="720" w:num="1"/>
          <w:docGrid w:linePitch="326" w:charSpace="0"/>
        </w:sectPr>
      </w:pPr>
      <w:r>
        <w:rPr>
          <w:rFonts w:hint="eastAsia"/>
        </w:rPr>
        <w:t>（3）</w:t>
      </w:r>
      <w:r>
        <w:t>落实经费来源，制定合理可靠的环境监测计划，及时反馈异常信息，分析原因，寻求解决途径</w:t>
      </w:r>
      <w:r>
        <w:rPr>
          <w:rFonts w:hint="eastAsia"/>
        </w:rPr>
        <w:t>。</w:t>
      </w:r>
    </w:p>
    <w:bookmarkEnd w:id="2"/>
    <w:bookmarkEnd w:id="87"/>
    <w:bookmarkEnd w:id="88"/>
    <w:bookmarkEnd w:id="89"/>
    <w:bookmarkEnd w:id="90"/>
    <w:bookmarkEnd w:id="91"/>
    <w:p>
      <w:pPr>
        <w:ind w:firstLine="0" w:firstLineChars="0"/>
      </w:pPr>
    </w:p>
    <w:sectPr>
      <w:headerReference r:id="rId36" w:type="first"/>
      <w:footerReference r:id="rId39" w:type="first"/>
      <w:headerReference r:id="rId34" w:type="default"/>
      <w:footerReference r:id="rId37" w:type="default"/>
      <w:headerReference r:id="rId35" w:type="even"/>
      <w:footerReference r:id="rId38" w:type="even"/>
      <w:type w:val="oddPage"/>
      <w:pgSz w:w="11906" w:h="16838"/>
      <w:pgMar w:top="1418" w:right="1418" w:bottom="1418" w:left="1474" w:header="964" w:footer="964"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简体">
    <w:altName w:val="宋体"/>
    <w:panose1 w:val="00000000000000000000"/>
    <w:charset w:val="86"/>
    <w:family w:val="auto"/>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Plotter">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昆仑仿宋">
    <w:altName w:val="黑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Arial Unicode MS">
    <w:altName w:val="宋体"/>
    <w:panose1 w:val="020B0604020202020204"/>
    <w:charset w:val="86"/>
    <w:family w:val="swiss"/>
    <w:pitch w:val="default"/>
    <w:sig w:usb0="00000000" w:usb1="00000000" w:usb2="0000007F" w:usb3="00000000" w:csb0="003F01FF" w:csb1="00000000"/>
  </w:font>
  <w:font w:name="CityBlueprint">
    <w:altName w:val="Segoe Print"/>
    <w:panose1 w:val="00000400000000000000"/>
    <w:charset w:val="02"/>
    <w:family w:val="auto"/>
    <w:pitch w:val="default"/>
    <w:sig w:usb0="00000000" w:usb1="00000000" w:usb2="00000000" w:usb3="00000000" w:csb0="80000000" w:csb1="00000000"/>
  </w:font>
  <w:font w:name="BankGothic Lt BT">
    <w:altName w:val="Segoe Print"/>
    <w:panose1 w:val="020B0607020203060204"/>
    <w:charset w:val="00"/>
    <w:family w:val="swiss"/>
    <w:pitch w:val="default"/>
    <w:sig w:usb0="00000000" w:usb1="00000000" w:usb2="00000000" w:usb3="00000000" w:csb0="0000001B" w:csb1="00000000"/>
  </w:font>
  <w:font w:name="Tahoma">
    <w:panose1 w:val="020B0604030504040204"/>
    <w:charset w:val="00"/>
    <w:family w:val="swiss"/>
    <w:pitch w:val="default"/>
    <w:sig w:usb0="E1002EFF" w:usb1="C000605B" w:usb2="00000029" w:usb3="00000000" w:csb0="200101FF" w:csb1="20280000"/>
  </w:font>
  <w:font w:name="TimesNewRomanPSMT">
    <w:altName w:val="Times New Roman"/>
    <w:panose1 w:val="00000000000000000000"/>
    <w:charset w:val="00"/>
    <w:family w:val="roman"/>
    <w:pitch w:val="default"/>
    <w:sig w:usb0="00000000" w:usb1="00000000" w:usb2="00000010" w:usb3="00000000" w:csb0="00020000" w:csb1="00000000"/>
  </w:font>
  <w:font w:name="MingLiU">
    <w:altName w:val="PMingLiU-ExtB"/>
    <w:panose1 w:val="02010609000101010101"/>
    <w:charset w:val="88"/>
    <w:family w:val="modern"/>
    <w:pitch w:val="default"/>
    <w:sig w:usb0="00000000" w:usb1="00000000" w:usb2="00000016" w:usb3="00000000" w:csb0="00100001" w:csb1="00000000"/>
  </w:font>
  <w:font w:name="TimesNewRomanPS-BoldMT">
    <w:altName w:val="Times New Roman"/>
    <w:panose1 w:val="00000000000000000000"/>
    <w:charset w:val="00"/>
    <w:family w:val="roman"/>
    <w:pitch w:val="default"/>
    <w:sig w:usb0="00000000" w:usb1="00000000" w:usb2="00000000" w:usb3="00000000" w:csb0="00000001" w:csb1="00000000"/>
  </w:font>
  <w:font w:name="Batang">
    <w:altName w:val="Malgun Gothic"/>
    <w:panose1 w:val="02030600000101010101"/>
    <w:charset w:val="81"/>
    <w:family w:val="roman"/>
    <w:pitch w:val="default"/>
    <w:sig w:usb0="00000000" w:usb1="00000000" w:usb2="00000030" w:usb3="00000000" w:csb0="0008009F" w:csb1="00000000"/>
  </w:font>
  <w:font w:name="CIDFont+F5">
    <w:altName w:val="Times New Roman"/>
    <w:panose1 w:val="00000000000000000000"/>
    <w:charset w:val="00"/>
    <w:family w:val="roman"/>
    <w:pitch w:val="default"/>
    <w:sig w:usb0="00000000" w:usb1="00000000" w:usb2="00000000" w:usb3="00000000" w:csb0="00040001" w:csb1="00000000"/>
  </w:font>
  <w:font w:name="AngsanaUPC">
    <w:altName w:val="Microsoft Sans Serif"/>
    <w:panose1 w:val="00000000000000000000"/>
    <w:charset w:val="DE"/>
    <w:family w:val="roman"/>
    <w:pitch w:val="default"/>
    <w:sig w:usb0="00000000" w:usb1="00000000" w:usb2="00000000" w:usb3="00000000" w:csb0="00010001" w:csb1="00000000"/>
  </w:font>
  <w:font w:name="MS Mincho">
    <w:altName w:val="Yu Gothic UI"/>
    <w:panose1 w:val="02020609040205080304"/>
    <w:charset w:val="80"/>
    <w:family w:val="modern"/>
    <w:pitch w:val="default"/>
    <w:sig w:usb0="00000000" w:usb1="00000000" w:usb2="08000012" w:usb3="00000000" w:csb0="0002009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PMingLiU">
    <w:altName w:val="Microsoft JhengHei UI"/>
    <w:panose1 w:val="02010601000101010101"/>
    <w:charset w:val="88"/>
    <w:family w:val="roman"/>
    <w:pitch w:val="default"/>
    <w:sig w:usb0="00000000" w:usb1="0000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0" w:firstLineChars="0"/>
      <w:rPr>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29</w:t>
    </w:r>
    <w:r>
      <w:rPr>
        <w:b/>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35</w:t>
    </w:r>
    <w:r>
      <w:rPr>
        <w:b/>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48</w:t>
    </w:r>
    <w:r>
      <w:rPr>
        <w:b/>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51</w:t>
    </w:r>
    <w:r>
      <w:rPr>
        <w:b/>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52</w:t>
    </w:r>
    <w:r>
      <w:rPr>
        <w:b/>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53</w:t>
    </w:r>
    <w:r>
      <w:rPr>
        <w:b/>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61</w:t>
    </w:r>
    <w:r>
      <w:rPr>
        <w:b/>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76</w:t>
    </w:r>
    <w:r>
      <w:rPr>
        <w:b/>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128</w:t>
    </w:r>
    <w:r>
      <w:rPr>
        <w:b/>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146</w:t>
    </w:r>
    <w:r>
      <w:rPr>
        <w:b/>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0" w:firstLineChars="0"/>
      <w:rPr>
        <w:sz w:val="21"/>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148</w:t>
    </w:r>
    <w:r>
      <w:rPr>
        <w:b/>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149</w:t>
    </w:r>
    <w:r>
      <w:rPr>
        <w:b/>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161</w:t>
    </w:r>
    <w:r>
      <w:rPr>
        <w:b/>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162</w:t>
    </w:r>
    <w:r>
      <w:rPr>
        <w:b/>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175</w:t>
    </w:r>
    <w:r>
      <w:rPr>
        <w:b/>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both"/>
      <w:rPr>
        <w:b/>
      </w:rPr>
    </w:pPr>
    <w:r>
      <w:rPr>
        <w:rFonts w:hint="eastAsia"/>
        <w:b/>
      </w:rPr>
      <w:t xml:space="preserve">                                                                </w:t>
    </w:r>
    <w:r>
      <w:rPr>
        <w:b/>
      </w:rPr>
      <w:fldChar w:fldCharType="begin"/>
    </w:r>
    <w:r>
      <w:rPr>
        <w:b/>
      </w:rPr>
      <w:instrText xml:space="preserve">PAGE   \* MERGEFORMAT</w:instrText>
    </w:r>
    <w:r>
      <w:rPr>
        <w:b/>
      </w:rPr>
      <w:fldChar w:fldCharType="separate"/>
    </w:r>
    <w:r>
      <w:rPr>
        <w:b/>
        <w:lang w:val="zh-CN"/>
      </w:rPr>
      <w:t>178</w:t>
    </w:r>
    <w:r>
      <w:rPr>
        <w:b/>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0"/>
      <w:rPr>
        <w:sz w:val="2"/>
        <w:szCs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sz w:val="2"/>
        <w:szCs w:val="2"/>
      </w:rPr>
    </w:pPr>
    <w:r>
      <w:pict>
        <v:shape id="Text Box 3" o:spid="_x0000_s2050" o:spt="202" type="#_x0000_t202" style="position:absolute;left:0pt;margin-left:87.1pt;margin-top:769.3pt;height:13.6pt;width:442.85pt;mso-position-horizontal-relative:page;mso-position-vertical-relative:page;mso-wrap-style:none;z-index:-251659264;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">
          <v:path/>
          <v:fill on="f" focussize="0,0"/>
          <v:stroke on="f" joinstyle="miter"/>
          <v:imagedata o:title=""/>
          <o:lock v:ext="edit"/>
          <v:textbox inset="0mm,0mm,0mm,0mm" style="mso-fit-shape-to-text:t;">
            <w:txbxContent>
              <w:p>
                <w:pPr>
                  <w:pStyle w:val="546"/>
                  <w:shd w:val="clear" w:color="auto" w:fill="auto"/>
                  <w:tabs>
                    <w:tab w:val="right" w:pos="8856"/>
                  </w:tabs>
                  <w:spacing w:line="240" w:lineRule="auto"/>
                </w:pPr>
                <w:r>
                  <w:rPr>
                    <w:rStyle w:val="549"/>
                    <w:rFonts w:hint="eastAsia"/>
                    <w:color w:val="000000"/>
                    <w:lang w:eastAsia="zh-CN"/>
                  </w:rPr>
                  <w:t>•</w:t>
                </w:r>
                <w:r>
                  <w:fldChar w:fldCharType="begin"/>
                </w:r>
                <w:r>
                  <w:instrText xml:space="preserve"> PAGE \* MERGEFORMAT </w:instrText>
                </w:r>
                <w:r>
                  <w:fldChar w:fldCharType="separate"/>
                </w:r>
                <w:r>
                  <w:rPr>
                    <w:rStyle w:val="550"/>
                    <w:color w:val="000000"/>
                    <w:lang w:val="zh-TW" w:eastAsia="zh-TW"/>
                  </w:rPr>
                  <w:t>250</w:t>
                </w:r>
                <w:r>
                  <w:fldChar w:fldCharType="end"/>
                </w:r>
                <w:r>
                  <w:rPr>
                    <w:rStyle w:val="549"/>
                    <w:rFonts w:hint="eastAsia"/>
                    <w:color w:val="000000"/>
                    <w:lang w:eastAsia="zh-CN"/>
                  </w:rPr>
                  <w:t>•</w:t>
                </w:r>
                <w:r>
                  <w:rPr>
                    <w:rStyle w:val="549"/>
                    <w:color w:val="000000"/>
                    <w:lang w:eastAsia="zh-CN"/>
                  </w:rPr>
                  <w:tab/>
                </w:r>
                <w:r>
                  <w:rPr>
                    <w:rStyle w:val="548"/>
                    <w:rFonts w:hint="eastAsia"/>
                    <w:color w:val="000000"/>
                    <w:lang w:val="zh-TW" w:eastAsia="zh-TW"/>
                  </w:rPr>
                  <w:t>河北省众联能源环保科技有限公司</w:t>
                </w:r>
              </w:p>
            </w:txbxContent>
          </v:textbox>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sz w:val="2"/>
        <w:szCs w:val="2"/>
      </w:rPr>
    </w:pPr>
    <w:r>
      <w:pict>
        <v:shape id="Text Box 6" o:spid="_x0000_s2049" o:spt="202" type="#_x0000_t202" style="position:absolute;left:0pt;margin-left:110.15pt;margin-top:766.55pt;height:11.05pt;width:442.8pt;mso-position-horizontal-relative:page;mso-position-vertical-relative:page;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">
          <v:path/>
          <v:fill on="f" focussize="0,0"/>
          <v:stroke on="f" joinstyle="miter"/>
          <v:imagedata o:title=""/>
          <o:lock v:ext="edit"/>
          <v:textbox inset="0mm,0mm,0mm,0mm" style="mso-fit-shape-to-text:t;">
            <w:txbxContent>
              <w:p>
                <w:pPr>
                  <w:spacing w:line="240" w:lineRule="auto"/>
                  <w:ind w:firstLine="160"/>
                  <w:rPr>
                    <w:rFonts w:ascii="黑体" w:eastAsia="黑体" w:cs="黑体"/>
                  </w:rPr>
                </w:pPr>
                <w:r>
                  <w:rPr>
                    <w:rStyle w:val="549"/>
                    <w:rFonts w:hint="eastAsia"/>
                    <w:color w:val="000000"/>
                    <w:lang w:eastAsia="zh-CN"/>
                  </w:rPr>
                  <w:t>•</w:t>
                </w:r>
                <w:r>
                  <w:fldChar w:fldCharType="begin"/>
                </w:r>
                <w:r>
                  <w:instrText xml:space="preserve"> PAGE \* MERGEFORMAT </w:instrText>
                </w:r>
                <w:r>
                  <w:fldChar w:fldCharType="separate"/>
                </w:r>
                <w:r>
                  <w:rPr>
                    <w:rStyle w:val="550"/>
                    <w:color w:val="000000"/>
                    <w:lang w:val="zh-TW" w:eastAsia="zh-TW"/>
                  </w:rPr>
                  <w:t>39</w:t>
                </w:r>
                <w:r>
                  <w:rPr>
                    <w:rStyle w:val="550"/>
                    <w:color w:val="000000"/>
                    <w:lang w:val="zh-TW" w:eastAsia="zh-TW"/>
                  </w:rPr>
                  <w:fldChar w:fldCharType="end"/>
                </w:r>
                <w:r>
                  <w:rPr>
                    <w:rStyle w:val="549"/>
                    <w:rFonts w:hint="eastAsia"/>
                    <w:color w:val="000000"/>
                    <w:lang w:eastAsia="zh-CN"/>
                  </w:rPr>
                  <w:t>•</w:t>
                </w:r>
                <w:r>
                  <w:rPr>
                    <w:rStyle w:val="549"/>
                    <w:color w:val="000000"/>
                    <w:lang w:eastAsia="zh-CN"/>
                  </w:rPr>
                  <w:tab/>
                </w:r>
                <w:r>
                  <w:rPr>
                    <w:rStyle w:val="548"/>
                    <w:rFonts w:hint="eastAsia"/>
                    <w:color w:val="000000"/>
                    <w:lang w:val="zh-TW" w:eastAsia="zh-TW"/>
                  </w:rPr>
                  <w:t>河北省众联能源环保科技有限公司</w:t>
                </w:r>
                <w:r>
                  <w:rPr>
                    <w:rStyle w:val="56"/>
                    <w:rFonts w:hint="eastAsia"/>
                    <w:color w:val="000000"/>
                    <w:lang w:val="zh-TW" w:eastAsia="zh-TW"/>
                  </w:rPr>
                  <w:t>固安县农村生活垃圾填埋场项目环境影响报告书</w:t>
                </w:r>
              </w:p>
              <w:p>
                <w:pPr>
                  <w:pStyle w:val="546"/>
                  <w:shd w:val="clear" w:color="auto" w:fill="auto"/>
                  <w:tabs>
                    <w:tab w:val="right" w:pos="8856"/>
                  </w:tabs>
                  <w:spacing w:line="240" w:lineRule="auto"/>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center"/>
      <w:rPr>
        <w:b/>
      </w:rPr>
    </w:pPr>
    <w:r>
      <w:rPr>
        <w:b/>
      </w:rPr>
      <w:fldChar w:fldCharType="begin"/>
    </w:r>
    <w:r>
      <w:rPr>
        <w:b/>
      </w:rPr>
      <w:instrText xml:space="preserve">PAGE   \* MERGEFORMAT</w:instrText>
    </w:r>
    <w:r>
      <w:rPr>
        <w:b/>
      </w:rPr>
      <w:fldChar w:fldCharType="separate"/>
    </w:r>
    <w:r>
      <w:rPr>
        <w:b/>
        <w:lang w:val="zh-CN"/>
      </w:rPr>
      <w:t>IV</w:t>
    </w:r>
    <w:r>
      <w:rPr>
        <w:b/>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enter" w:pos="4507"/>
        <w:tab w:val="right" w:pos="9014"/>
        <w:tab w:val="clear" w:pos="4153"/>
        <w:tab w:val="clear" w:pos="8306"/>
      </w:tabs>
      <w:ind w:firstLine="0" w:firstLineChars="0"/>
      <w:rPr>
        <w:b/>
      </w:rPr>
    </w:pPr>
    <w:r>
      <w:rPr>
        <w:b/>
      </w:rPr>
      <w:fldChar w:fldCharType="begin"/>
    </w:r>
    <w:r>
      <w:rPr>
        <w:b/>
      </w:rPr>
      <w:instrText xml:space="preserve">PAGE   \* MERGEFORMAT</w:instrText>
    </w:r>
    <w:r>
      <w:rPr>
        <w:b/>
      </w:rPr>
      <w:fldChar w:fldCharType="separate"/>
    </w:r>
    <w:r>
      <w:rPr>
        <w:b/>
        <w:lang w:val="zh-CN"/>
      </w:rPr>
      <w:t>0</w:t>
    </w:r>
    <w:r>
      <w:rPr>
        <w:b/>
      </w:rPr>
      <w:fldChar w:fldCharType="end"/>
    </w:r>
    <w:r>
      <w:rPr>
        <w:b/>
      </w:rPr>
      <w:tab/>
    </w:r>
    <w:r>
      <w:rPr>
        <w:rFonts w:hint="eastAsia" w:ascii="楷体" w:hAnsi="楷体" w:eastAsia="楷体"/>
        <w:b/>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center"/>
      <w:rPr>
        <w:b/>
      </w:rPr>
    </w:pPr>
    <w:r>
      <w:rPr>
        <w:b/>
      </w:rPr>
      <w:fldChar w:fldCharType="begin"/>
    </w:r>
    <w:r>
      <w:rPr>
        <w:b/>
      </w:rPr>
      <w:instrText xml:space="preserve">PAGE   \* MERGEFORMAT</w:instrText>
    </w:r>
    <w:r>
      <w:rPr>
        <w:b/>
      </w:rPr>
      <w:fldChar w:fldCharType="separate"/>
    </w:r>
    <w:r>
      <w:rPr>
        <w:b/>
        <w:lang w:val="zh-CN"/>
      </w:rPr>
      <w:t>3</w:t>
    </w:r>
    <w:r>
      <w:rPr>
        <w:b/>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enter" w:pos="4507"/>
        <w:tab w:val="right" w:pos="9014"/>
        <w:tab w:val="clear" w:pos="4153"/>
        <w:tab w:val="clear" w:pos="8306"/>
      </w:tabs>
      <w:ind w:firstLine="0" w:firstLineChars="0"/>
      <w:rPr>
        <w:b/>
      </w:rPr>
    </w:pPr>
    <w:r>
      <w:rPr>
        <w:b/>
      </w:rPr>
      <w:fldChar w:fldCharType="begin"/>
    </w:r>
    <w:r>
      <w:rPr>
        <w:b/>
      </w:rPr>
      <w:instrText xml:space="preserve">PAGE   \* MERGEFORMAT</w:instrText>
    </w:r>
    <w:r>
      <w:rPr>
        <w:b/>
      </w:rPr>
      <w:fldChar w:fldCharType="separate"/>
    </w:r>
    <w:r>
      <w:rPr>
        <w:b/>
        <w:lang w:val="zh-CN"/>
      </w:rPr>
      <w:t>0</w:t>
    </w:r>
    <w:r>
      <w:rPr>
        <w:b/>
      </w:rPr>
      <w:fldChar w:fldCharType="end"/>
    </w:r>
    <w:r>
      <w:rPr>
        <w:b/>
      </w:rPr>
      <w:tab/>
    </w:r>
    <w:r>
      <w:rPr>
        <w:rFonts w:hint="eastAsia" w:ascii="楷体" w:hAnsi="楷体" w:eastAsia="楷体"/>
        <w:b/>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lear" w:pos="4153"/>
        <w:tab w:val="clear" w:pos="8306"/>
      </w:tabs>
      <w:ind w:firstLine="0" w:firstLineChars="0"/>
      <w:jc w:val="center"/>
      <w:rPr>
        <w:b/>
      </w:rPr>
    </w:pPr>
    <w:r>
      <w:rPr>
        <w:b/>
      </w:rPr>
      <w:fldChar w:fldCharType="begin"/>
    </w:r>
    <w:r>
      <w:rPr>
        <w:b/>
      </w:rPr>
      <w:instrText xml:space="preserve">PAGE   \* MERGEFORMAT</w:instrText>
    </w:r>
    <w:r>
      <w:rPr>
        <w:b/>
      </w:rPr>
      <w:fldChar w:fldCharType="separate"/>
    </w:r>
    <w:r>
      <w:rPr>
        <w:b/>
        <w:lang w:val="zh-CN"/>
      </w:rPr>
      <w:t>10</w:t>
    </w:r>
    <w:r>
      <w:rPr>
        <w:b/>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top w:val="single" w:color="auto" w:sz="12" w:space="1"/>
      </w:pBdr>
      <w:tabs>
        <w:tab w:val="center" w:pos="4507"/>
        <w:tab w:val="right" w:pos="9014"/>
        <w:tab w:val="clear" w:pos="4153"/>
        <w:tab w:val="clear" w:pos="8306"/>
      </w:tabs>
      <w:ind w:firstLine="0" w:firstLineChars="0"/>
      <w:rPr>
        <w:b/>
      </w:rPr>
    </w:pPr>
    <w:r>
      <w:rPr>
        <w:b/>
      </w:rPr>
      <w:fldChar w:fldCharType="begin"/>
    </w:r>
    <w:r>
      <w:rPr>
        <w:b/>
      </w:rPr>
      <w:instrText xml:space="preserve">PAGE   \* MERGEFORMAT</w:instrText>
    </w:r>
    <w:r>
      <w:rPr>
        <w:b/>
      </w:rPr>
      <w:fldChar w:fldCharType="separate"/>
    </w:r>
    <w:r>
      <w:rPr>
        <w:b/>
        <w:lang w:val="zh-CN"/>
      </w:rPr>
      <w:t>0</w:t>
    </w:r>
    <w:r>
      <w:rPr>
        <w:b/>
      </w:rPr>
      <w:fldChar w:fldCharType="end"/>
    </w:r>
    <w:r>
      <w:rPr>
        <w:b/>
      </w:rPr>
      <w:tab/>
    </w:r>
    <w:r>
      <w:rPr>
        <w:rFonts w:hint="eastAsia" w:ascii="楷体" w:hAnsi="楷体" w:eastAsia="楷体"/>
        <w:b/>
      </w:rPr>
      <w:tab/>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0" w:firstLineChars="0"/>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40" w:lineRule="auto"/>
      <w:ind w:firstLine="0" w:firstLineChars="0"/>
      <w:rPr>
        <w:sz w:val="21"/>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12" w:space="1"/>
      </w:pBdr>
      <w:spacing w:line="240" w:lineRule="auto"/>
      <w:ind w:firstLine="0" w:firstLineChars="0"/>
      <w:jc w:val="center"/>
      <w:rPr>
        <w:rFonts w:ascii="楷体" w:hAnsi="楷体" w:eastAsia="楷体"/>
        <w:b/>
        <w:sz w:val="18"/>
        <w:szCs w:val="18"/>
      </w:rPr>
    </w:pPr>
    <w:r>
      <w:rPr>
        <w:rFonts w:hint="eastAsia" w:ascii="楷体" w:hAnsi="楷体" w:eastAsia="楷体"/>
        <w:b/>
        <w:sz w:val="18"/>
        <w:szCs w:val="18"/>
      </w:rPr>
      <w:t>国道G112遵化城区段改建工程环境影响报告书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12" w:space="1"/>
      </w:pBdr>
      <w:spacing w:line="240" w:lineRule="auto"/>
      <w:ind w:firstLine="0" w:firstLineChars="0"/>
      <w:jc w:val="center"/>
      <w:rPr>
        <w:rFonts w:ascii="楷体" w:hAnsi="楷体" w:eastAsia="楷体"/>
        <w:b/>
        <w:sz w:val="18"/>
        <w:szCs w:val="18"/>
      </w:rPr>
    </w:pPr>
    <w:r>
      <w:rPr>
        <w:rFonts w:hint="eastAsia" w:ascii="楷体" w:hAnsi="楷体" w:eastAsia="楷体"/>
        <w:b/>
        <w:sz w:val="18"/>
        <w:szCs w:val="18"/>
      </w:rPr>
      <w:t>深泽县洁康环境卫生处理工程环境影响报告书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12" w:space="1"/>
      </w:pBdr>
      <w:spacing w:line="240" w:lineRule="auto"/>
      <w:ind w:firstLine="0" w:firstLineChars="0"/>
      <w:jc w:val="center"/>
      <w:rPr>
        <w:rFonts w:ascii="楷体" w:hAnsi="楷体" w:eastAsia="楷体"/>
        <w:b/>
        <w:sz w:val="18"/>
        <w:szCs w:val="18"/>
      </w:rPr>
    </w:pPr>
    <w:r>
      <w:rPr>
        <w:rFonts w:ascii="楷体" w:hAnsi="楷体" w:eastAsia="楷体"/>
        <w:b/>
        <w:sz w:val="18"/>
        <w:szCs w:val="18"/>
      </w:rPr>
      <w:t>国道G112遵化城区段改建工程</w:t>
    </w:r>
    <w:r>
      <w:rPr>
        <w:rFonts w:hint="eastAsia" w:ascii="楷体" w:hAnsi="楷体" w:eastAsia="楷体"/>
        <w:b/>
        <w:sz w:val="18"/>
        <w:szCs w:val="18"/>
      </w:rP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0"/>
      <w:rPr>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sz w:val="2"/>
        <w:szCs w:val="2"/>
      </w:rPr>
    </w:pPr>
    <w:r>
      <w:pict>
        <v:shape id="Text Box 1" o:spid="_x0000_s2051" o:spt="202" type="#_x0000_t202" style="position:absolute;left:0pt;margin-left:137.85pt;margin-top:62.85pt;height:13.6pt;width:409.55pt;mso-position-horizontal-relative:page;mso-position-vertical-relative:page;mso-wrap-style:none;z-index:-25165824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">
          <v:path/>
          <v:fill on="f" focussize="0,0"/>
          <v:stroke on="f" joinstyle="miter"/>
          <v:imagedata o:title=""/>
          <o:lock v:ext="edit"/>
          <v:textbox inset="0mm,0mm,0mm,0mm" style="mso-fit-shape-to-text:t;">
            <w:txbxContent>
              <w:p>
                <w:pPr>
                  <w:pStyle w:val="546"/>
                  <w:shd w:val="clear" w:color="auto" w:fill="auto"/>
                  <w:spacing w:line="240" w:lineRule="auto"/>
                </w:pPr>
                <w:r>
                  <w:rPr>
                    <w:rStyle w:val="547"/>
                    <w:rFonts w:hint="eastAsia"/>
                    <w:color w:val="000000"/>
                    <w:lang w:val="zh-TW" w:eastAsia="zh-TW"/>
                  </w:rPr>
                  <w:t>固安县农村生活垃圾填埋场项目环境影响报告书</w:t>
                </w:r>
              </w:p>
            </w:txbxContent>
          </v:textbox>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12" w:space="1"/>
      </w:pBdr>
      <w:spacing w:line="240" w:lineRule="auto"/>
      <w:ind w:firstLine="0" w:firstLineChars="0"/>
      <w:jc w:val="center"/>
      <w:rPr>
        <w:rFonts w:ascii="楷体" w:hAnsi="楷体" w:eastAsia="楷体"/>
        <w:b/>
        <w:sz w:val="18"/>
        <w:szCs w:val="18"/>
      </w:rPr>
    </w:pPr>
    <w:r>
      <w:rPr>
        <w:rFonts w:hint="eastAsia" w:ascii="楷体" w:hAnsi="楷体" w:eastAsia="楷体"/>
        <w:b/>
        <w:sz w:val="18"/>
        <w:szCs w:val="18"/>
      </w:rPr>
      <w:t>山丹县城市建设投资开发有限责任公司山丹县固体废弃物处理场环境影响报告书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420"/>
  <w:drawingGridHorizontalSpacing w:val="1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ODQyOWU4ZjM0YTgzYzk0YTg3OTUzNzdhZmI5NGU1YzgifQ=="/>
  </w:docVars>
  <w:rsids>
    <w:rsidRoot w:val="00B86E9C"/>
    <w:rsid w:val="00000AA8"/>
    <w:rsid w:val="00000F19"/>
    <w:rsid w:val="0000485E"/>
    <w:rsid w:val="00005A3C"/>
    <w:rsid w:val="00006297"/>
    <w:rsid w:val="00006F6D"/>
    <w:rsid w:val="00007293"/>
    <w:rsid w:val="000074A8"/>
    <w:rsid w:val="00007C1F"/>
    <w:rsid w:val="000121B7"/>
    <w:rsid w:val="00013F62"/>
    <w:rsid w:val="00014109"/>
    <w:rsid w:val="0001742F"/>
    <w:rsid w:val="00017EE1"/>
    <w:rsid w:val="00020063"/>
    <w:rsid w:val="00021F60"/>
    <w:rsid w:val="00022822"/>
    <w:rsid w:val="000230FB"/>
    <w:rsid w:val="00023B91"/>
    <w:rsid w:val="000244C6"/>
    <w:rsid w:val="000249A1"/>
    <w:rsid w:val="00024E1F"/>
    <w:rsid w:val="00025164"/>
    <w:rsid w:val="00026227"/>
    <w:rsid w:val="00027D11"/>
    <w:rsid w:val="00027D32"/>
    <w:rsid w:val="0003066C"/>
    <w:rsid w:val="000306B5"/>
    <w:rsid w:val="00031E9E"/>
    <w:rsid w:val="00033347"/>
    <w:rsid w:val="00037D7A"/>
    <w:rsid w:val="000430F4"/>
    <w:rsid w:val="00043DF6"/>
    <w:rsid w:val="000466AA"/>
    <w:rsid w:val="00050628"/>
    <w:rsid w:val="0005100D"/>
    <w:rsid w:val="00052EBA"/>
    <w:rsid w:val="00053FF0"/>
    <w:rsid w:val="0005429C"/>
    <w:rsid w:val="00060C2A"/>
    <w:rsid w:val="00061820"/>
    <w:rsid w:val="000628D5"/>
    <w:rsid w:val="00063B9D"/>
    <w:rsid w:val="00063EED"/>
    <w:rsid w:val="000641BE"/>
    <w:rsid w:val="00065005"/>
    <w:rsid w:val="0006514A"/>
    <w:rsid w:val="0006557E"/>
    <w:rsid w:val="00066D88"/>
    <w:rsid w:val="00067492"/>
    <w:rsid w:val="00070978"/>
    <w:rsid w:val="00071425"/>
    <w:rsid w:val="000720BB"/>
    <w:rsid w:val="00073321"/>
    <w:rsid w:val="00074097"/>
    <w:rsid w:val="00074331"/>
    <w:rsid w:val="00074E12"/>
    <w:rsid w:val="00074E75"/>
    <w:rsid w:val="000754EC"/>
    <w:rsid w:val="000767B4"/>
    <w:rsid w:val="000773E1"/>
    <w:rsid w:val="000802EA"/>
    <w:rsid w:val="000834A9"/>
    <w:rsid w:val="0008437D"/>
    <w:rsid w:val="00084C4A"/>
    <w:rsid w:val="00085E78"/>
    <w:rsid w:val="0008656F"/>
    <w:rsid w:val="00086D7F"/>
    <w:rsid w:val="00090A3E"/>
    <w:rsid w:val="00090A52"/>
    <w:rsid w:val="00090C28"/>
    <w:rsid w:val="00093652"/>
    <w:rsid w:val="000956AA"/>
    <w:rsid w:val="00096D0A"/>
    <w:rsid w:val="000A0773"/>
    <w:rsid w:val="000A182E"/>
    <w:rsid w:val="000A2BF8"/>
    <w:rsid w:val="000A2DFC"/>
    <w:rsid w:val="000A31C4"/>
    <w:rsid w:val="000A4FAB"/>
    <w:rsid w:val="000A53C6"/>
    <w:rsid w:val="000A6C09"/>
    <w:rsid w:val="000B15FB"/>
    <w:rsid w:val="000B269C"/>
    <w:rsid w:val="000B39EE"/>
    <w:rsid w:val="000B42F6"/>
    <w:rsid w:val="000B4808"/>
    <w:rsid w:val="000B56D4"/>
    <w:rsid w:val="000B5963"/>
    <w:rsid w:val="000B6FD6"/>
    <w:rsid w:val="000C1D45"/>
    <w:rsid w:val="000C28C9"/>
    <w:rsid w:val="000C48A6"/>
    <w:rsid w:val="000C4D15"/>
    <w:rsid w:val="000C7860"/>
    <w:rsid w:val="000D0963"/>
    <w:rsid w:val="000D0BBC"/>
    <w:rsid w:val="000D19F9"/>
    <w:rsid w:val="000D4861"/>
    <w:rsid w:val="000D65DB"/>
    <w:rsid w:val="000D6BFB"/>
    <w:rsid w:val="000D7162"/>
    <w:rsid w:val="000D7947"/>
    <w:rsid w:val="000E027A"/>
    <w:rsid w:val="000E17FB"/>
    <w:rsid w:val="000E1C25"/>
    <w:rsid w:val="000E2609"/>
    <w:rsid w:val="000E2A07"/>
    <w:rsid w:val="000E379C"/>
    <w:rsid w:val="000E55ED"/>
    <w:rsid w:val="000E5E9F"/>
    <w:rsid w:val="000E6A48"/>
    <w:rsid w:val="000F1505"/>
    <w:rsid w:val="000F258E"/>
    <w:rsid w:val="000F383B"/>
    <w:rsid w:val="000F4E1B"/>
    <w:rsid w:val="000F591B"/>
    <w:rsid w:val="00100682"/>
    <w:rsid w:val="001024CE"/>
    <w:rsid w:val="00103370"/>
    <w:rsid w:val="00103408"/>
    <w:rsid w:val="0010426C"/>
    <w:rsid w:val="00110141"/>
    <w:rsid w:val="001101A3"/>
    <w:rsid w:val="00110FD0"/>
    <w:rsid w:val="00111423"/>
    <w:rsid w:val="00112310"/>
    <w:rsid w:val="00120D7E"/>
    <w:rsid w:val="00121DA2"/>
    <w:rsid w:val="0012254C"/>
    <w:rsid w:val="00122879"/>
    <w:rsid w:val="00123111"/>
    <w:rsid w:val="001245F0"/>
    <w:rsid w:val="00124AFF"/>
    <w:rsid w:val="00125330"/>
    <w:rsid w:val="00126757"/>
    <w:rsid w:val="00126F3D"/>
    <w:rsid w:val="00127005"/>
    <w:rsid w:val="001304D4"/>
    <w:rsid w:val="00136BDC"/>
    <w:rsid w:val="0013764B"/>
    <w:rsid w:val="001404E9"/>
    <w:rsid w:val="001414B5"/>
    <w:rsid w:val="001422C7"/>
    <w:rsid w:val="00143113"/>
    <w:rsid w:val="0014359D"/>
    <w:rsid w:val="001448C1"/>
    <w:rsid w:val="0014594A"/>
    <w:rsid w:val="00145A39"/>
    <w:rsid w:val="00145F03"/>
    <w:rsid w:val="00146D83"/>
    <w:rsid w:val="001471C0"/>
    <w:rsid w:val="00147970"/>
    <w:rsid w:val="00150A9C"/>
    <w:rsid w:val="00153588"/>
    <w:rsid w:val="00154504"/>
    <w:rsid w:val="001547F1"/>
    <w:rsid w:val="00154CAA"/>
    <w:rsid w:val="00157A29"/>
    <w:rsid w:val="001604D5"/>
    <w:rsid w:val="00161576"/>
    <w:rsid w:val="00163B4C"/>
    <w:rsid w:val="00165F8A"/>
    <w:rsid w:val="001667AF"/>
    <w:rsid w:val="00166C6F"/>
    <w:rsid w:val="0016780A"/>
    <w:rsid w:val="00167A65"/>
    <w:rsid w:val="001703BD"/>
    <w:rsid w:val="00171004"/>
    <w:rsid w:val="00177E08"/>
    <w:rsid w:val="00180156"/>
    <w:rsid w:val="00181769"/>
    <w:rsid w:val="00181DCE"/>
    <w:rsid w:val="00182683"/>
    <w:rsid w:val="001827F4"/>
    <w:rsid w:val="00183D81"/>
    <w:rsid w:val="00184DD2"/>
    <w:rsid w:val="00185746"/>
    <w:rsid w:val="00185F90"/>
    <w:rsid w:val="00191493"/>
    <w:rsid w:val="00192933"/>
    <w:rsid w:val="00192C05"/>
    <w:rsid w:val="00194473"/>
    <w:rsid w:val="00195E49"/>
    <w:rsid w:val="00196162"/>
    <w:rsid w:val="001A152F"/>
    <w:rsid w:val="001A16BE"/>
    <w:rsid w:val="001A33A7"/>
    <w:rsid w:val="001A57DD"/>
    <w:rsid w:val="001A786B"/>
    <w:rsid w:val="001A7DDF"/>
    <w:rsid w:val="001A7FD5"/>
    <w:rsid w:val="001B2C80"/>
    <w:rsid w:val="001B5CD0"/>
    <w:rsid w:val="001B7AD6"/>
    <w:rsid w:val="001C2759"/>
    <w:rsid w:val="001C2DD5"/>
    <w:rsid w:val="001C3485"/>
    <w:rsid w:val="001C41AB"/>
    <w:rsid w:val="001C43F2"/>
    <w:rsid w:val="001C518E"/>
    <w:rsid w:val="001C6E68"/>
    <w:rsid w:val="001D0F27"/>
    <w:rsid w:val="001D0F30"/>
    <w:rsid w:val="001D1735"/>
    <w:rsid w:val="001D4005"/>
    <w:rsid w:val="001D60CA"/>
    <w:rsid w:val="001E09C5"/>
    <w:rsid w:val="001E1483"/>
    <w:rsid w:val="001E18CE"/>
    <w:rsid w:val="001E1D88"/>
    <w:rsid w:val="001E1E8D"/>
    <w:rsid w:val="001E1EBE"/>
    <w:rsid w:val="001E3BE4"/>
    <w:rsid w:val="001E4D65"/>
    <w:rsid w:val="001E6B33"/>
    <w:rsid w:val="001F2586"/>
    <w:rsid w:val="001F65F0"/>
    <w:rsid w:val="001F7308"/>
    <w:rsid w:val="0020129B"/>
    <w:rsid w:val="00202DB0"/>
    <w:rsid w:val="00204776"/>
    <w:rsid w:val="0020677B"/>
    <w:rsid w:val="00206F28"/>
    <w:rsid w:val="002105F0"/>
    <w:rsid w:val="002125FE"/>
    <w:rsid w:val="00213227"/>
    <w:rsid w:val="00214183"/>
    <w:rsid w:val="002159B1"/>
    <w:rsid w:val="0022106B"/>
    <w:rsid w:val="00222FEC"/>
    <w:rsid w:val="0022334A"/>
    <w:rsid w:val="002238F8"/>
    <w:rsid w:val="00223DFF"/>
    <w:rsid w:val="00224CF5"/>
    <w:rsid w:val="002250C3"/>
    <w:rsid w:val="00226418"/>
    <w:rsid w:val="00227133"/>
    <w:rsid w:val="0022751B"/>
    <w:rsid w:val="00227CF7"/>
    <w:rsid w:val="00230BE1"/>
    <w:rsid w:val="00233025"/>
    <w:rsid w:val="0023333B"/>
    <w:rsid w:val="00233A04"/>
    <w:rsid w:val="00233EF0"/>
    <w:rsid w:val="00235BEE"/>
    <w:rsid w:val="002376AE"/>
    <w:rsid w:val="00241846"/>
    <w:rsid w:val="00242A26"/>
    <w:rsid w:val="00242E39"/>
    <w:rsid w:val="00243EA7"/>
    <w:rsid w:val="00245FB0"/>
    <w:rsid w:val="00246E1E"/>
    <w:rsid w:val="00250AB6"/>
    <w:rsid w:val="00250FFB"/>
    <w:rsid w:val="00252245"/>
    <w:rsid w:val="00252AE2"/>
    <w:rsid w:val="0025487A"/>
    <w:rsid w:val="0025573F"/>
    <w:rsid w:val="00255846"/>
    <w:rsid w:val="00255F54"/>
    <w:rsid w:val="002576CD"/>
    <w:rsid w:val="00257D2F"/>
    <w:rsid w:val="00260AC8"/>
    <w:rsid w:val="002613C2"/>
    <w:rsid w:val="002625E9"/>
    <w:rsid w:val="00262FA1"/>
    <w:rsid w:val="002638C8"/>
    <w:rsid w:val="00263C33"/>
    <w:rsid w:val="00264D78"/>
    <w:rsid w:val="00267A16"/>
    <w:rsid w:val="00270707"/>
    <w:rsid w:val="002717C9"/>
    <w:rsid w:val="00276F03"/>
    <w:rsid w:val="00280238"/>
    <w:rsid w:val="00281301"/>
    <w:rsid w:val="00284170"/>
    <w:rsid w:val="0028527D"/>
    <w:rsid w:val="00285DB9"/>
    <w:rsid w:val="00286248"/>
    <w:rsid w:val="00287455"/>
    <w:rsid w:val="002900B3"/>
    <w:rsid w:val="002904B5"/>
    <w:rsid w:val="00290F45"/>
    <w:rsid w:val="00290FC7"/>
    <w:rsid w:val="002929A3"/>
    <w:rsid w:val="00292C0E"/>
    <w:rsid w:val="002935D7"/>
    <w:rsid w:val="00293B21"/>
    <w:rsid w:val="00293C0B"/>
    <w:rsid w:val="0029615E"/>
    <w:rsid w:val="00296DEA"/>
    <w:rsid w:val="00297737"/>
    <w:rsid w:val="00297CDE"/>
    <w:rsid w:val="00297FDE"/>
    <w:rsid w:val="002A2488"/>
    <w:rsid w:val="002A3084"/>
    <w:rsid w:val="002A4B23"/>
    <w:rsid w:val="002A7C43"/>
    <w:rsid w:val="002B0162"/>
    <w:rsid w:val="002B1742"/>
    <w:rsid w:val="002B3290"/>
    <w:rsid w:val="002B3701"/>
    <w:rsid w:val="002B57DF"/>
    <w:rsid w:val="002B744B"/>
    <w:rsid w:val="002C2ABA"/>
    <w:rsid w:val="002C2C57"/>
    <w:rsid w:val="002C3278"/>
    <w:rsid w:val="002C3D34"/>
    <w:rsid w:val="002C4E8F"/>
    <w:rsid w:val="002C6269"/>
    <w:rsid w:val="002C6356"/>
    <w:rsid w:val="002C64C3"/>
    <w:rsid w:val="002C6E7C"/>
    <w:rsid w:val="002D14A7"/>
    <w:rsid w:val="002D18E8"/>
    <w:rsid w:val="002D2CF1"/>
    <w:rsid w:val="002D4BE6"/>
    <w:rsid w:val="002D68EF"/>
    <w:rsid w:val="002D7621"/>
    <w:rsid w:val="002E00B4"/>
    <w:rsid w:val="002E0617"/>
    <w:rsid w:val="002E0BCD"/>
    <w:rsid w:val="002E0FFD"/>
    <w:rsid w:val="002E33E1"/>
    <w:rsid w:val="002E571B"/>
    <w:rsid w:val="002E698F"/>
    <w:rsid w:val="002E71B5"/>
    <w:rsid w:val="002F1161"/>
    <w:rsid w:val="002F4111"/>
    <w:rsid w:val="002F4E79"/>
    <w:rsid w:val="002F620D"/>
    <w:rsid w:val="002F6926"/>
    <w:rsid w:val="00300517"/>
    <w:rsid w:val="00301FFB"/>
    <w:rsid w:val="003028B6"/>
    <w:rsid w:val="0030353D"/>
    <w:rsid w:val="003038A6"/>
    <w:rsid w:val="003038DD"/>
    <w:rsid w:val="00304695"/>
    <w:rsid w:val="0030514D"/>
    <w:rsid w:val="0030562F"/>
    <w:rsid w:val="00305EC5"/>
    <w:rsid w:val="003060DB"/>
    <w:rsid w:val="00306C89"/>
    <w:rsid w:val="003072FE"/>
    <w:rsid w:val="003074DD"/>
    <w:rsid w:val="00307F2D"/>
    <w:rsid w:val="003106C8"/>
    <w:rsid w:val="00310E58"/>
    <w:rsid w:val="00311D19"/>
    <w:rsid w:val="003132A6"/>
    <w:rsid w:val="0031427E"/>
    <w:rsid w:val="003161A4"/>
    <w:rsid w:val="003165F8"/>
    <w:rsid w:val="00320544"/>
    <w:rsid w:val="00320F3D"/>
    <w:rsid w:val="00322511"/>
    <w:rsid w:val="003229E5"/>
    <w:rsid w:val="0032719B"/>
    <w:rsid w:val="003317D3"/>
    <w:rsid w:val="00331E08"/>
    <w:rsid w:val="0033251E"/>
    <w:rsid w:val="0033307F"/>
    <w:rsid w:val="00335216"/>
    <w:rsid w:val="00336C00"/>
    <w:rsid w:val="00341085"/>
    <w:rsid w:val="00342B7B"/>
    <w:rsid w:val="003460AF"/>
    <w:rsid w:val="003504AC"/>
    <w:rsid w:val="00351615"/>
    <w:rsid w:val="00353CCA"/>
    <w:rsid w:val="00353CF3"/>
    <w:rsid w:val="00354E67"/>
    <w:rsid w:val="00354F9E"/>
    <w:rsid w:val="003565F4"/>
    <w:rsid w:val="00360485"/>
    <w:rsid w:val="003618D6"/>
    <w:rsid w:val="00363708"/>
    <w:rsid w:val="00363949"/>
    <w:rsid w:val="00364FC1"/>
    <w:rsid w:val="0036591A"/>
    <w:rsid w:val="00367435"/>
    <w:rsid w:val="00374FFC"/>
    <w:rsid w:val="00376A64"/>
    <w:rsid w:val="0037751A"/>
    <w:rsid w:val="003803B1"/>
    <w:rsid w:val="00383002"/>
    <w:rsid w:val="00385351"/>
    <w:rsid w:val="003871A9"/>
    <w:rsid w:val="003879F4"/>
    <w:rsid w:val="0039155F"/>
    <w:rsid w:val="0039417D"/>
    <w:rsid w:val="00395B5F"/>
    <w:rsid w:val="0039652A"/>
    <w:rsid w:val="00396773"/>
    <w:rsid w:val="003A36FA"/>
    <w:rsid w:val="003A5989"/>
    <w:rsid w:val="003A792A"/>
    <w:rsid w:val="003A7C0C"/>
    <w:rsid w:val="003B13AE"/>
    <w:rsid w:val="003B2262"/>
    <w:rsid w:val="003B52C9"/>
    <w:rsid w:val="003B5E1D"/>
    <w:rsid w:val="003B7945"/>
    <w:rsid w:val="003C2362"/>
    <w:rsid w:val="003C42DC"/>
    <w:rsid w:val="003C557A"/>
    <w:rsid w:val="003C7B9E"/>
    <w:rsid w:val="003D0785"/>
    <w:rsid w:val="003D208C"/>
    <w:rsid w:val="003D3600"/>
    <w:rsid w:val="003D475B"/>
    <w:rsid w:val="003D4B85"/>
    <w:rsid w:val="003D4BDC"/>
    <w:rsid w:val="003E16F6"/>
    <w:rsid w:val="003E1A92"/>
    <w:rsid w:val="003E269E"/>
    <w:rsid w:val="003E6F46"/>
    <w:rsid w:val="003E78B5"/>
    <w:rsid w:val="003F080E"/>
    <w:rsid w:val="003F1675"/>
    <w:rsid w:val="003F2539"/>
    <w:rsid w:val="003F3E54"/>
    <w:rsid w:val="003F4AEA"/>
    <w:rsid w:val="003F53E7"/>
    <w:rsid w:val="003F6D33"/>
    <w:rsid w:val="00400031"/>
    <w:rsid w:val="00400564"/>
    <w:rsid w:val="00400977"/>
    <w:rsid w:val="0040290D"/>
    <w:rsid w:val="00402EBC"/>
    <w:rsid w:val="00403126"/>
    <w:rsid w:val="0040787A"/>
    <w:rsid w:val="004122A0"/>
    <w:rsid w:val="004143C8"/>
    <w:rsid w:val="004164F4"/>
    <w:rsid w:val="0041702C"/>
    <w:rsid w:val="004242FA"/>
    <w:rsid w:val="004243DF"/>
    <w:rsid w:val="00424BAF"/>
    <w:rsid w:val="004250F6"/>
    <w:rsid w:val="00430796"/>
    <w:rsid w:val="004341FF"/>
    <w:rsid w:val="00435525"/>
    <w:rsid w:val="00435765"/>
    <w:rsid w:val="00437309"/>
    <w:rsid w:val="00437BB3"/>
    <w:rsid w:val="00440975"/>
    <w:rsid w:val="00441F0D"/>
    <w:rsid w:val="00442715"/>
    <w:rsid w:val="00442E51"/>
    <w:rsid w:val="004432EC"/>
    <w:rsid w:val="00443F00"/>
    <w:rsid w:val="00446B58"/>
    <w:rsid w:val="0044707F"/>
    <w:rsid w:val="00450345"/>
    <w:rsid w:val="00451ED1"/>
    <w:rsid w:val="0045299D"/>
    <w:rsid w:val="00452FAF"/>
    <w:rsid w:val="00452FD7"/>
    <w:rsid w:val="00453F8D"/>
    <w:rsid w:val="00454E37"/>
    <w:rsid w:val="00455FC8"/>
    <w:rsid w:val="004569DF"/>
    <w:rsid w:val="00457CBE"/>
    <w:rsid w:val="004605D8"/>
    <w:rsid w:val="004610AD"/>
    <w:rsid w:val="00461284"/>
    <w:rsid w:val="0046154C"/>
    <w:rsid w:val="00463731"/>
    <w:rsid w:val="0046415B"/>
    <w:rsid w:val="004668B7"/>
    <w:rsid w:val="0047098E"/>
    <w:rsid w:val="00471353"/>
    <w:rsid w:val="00471522"/>
    <w:rsid w:val="00471B94"/>
    <w:rsid w:val="004725B4"/>
    <w:rsid w:val="0047349D"/>
    <w:rsid w:val="00480572"/>
    <w:rsid w:val="00481C5F"/>
    <w:rsid w:val="00482871"/>
    <w:rsid w:val="00482C43"/>
    <w:rsid w:val="00482E8C"/>
    <w:rsid w:val="00484585"/>
    <w:rsid w:val="00485144"/>
    <w:rsid w:val="00485E06"/>
    <w:rsid w:val="0048682C"/>
    <w:rsid w:val="0049075C"/>
    <w:rsid w:val="00492180"/>
    <w:rsid w:val="004925B4"/>
    <w:rsid w:val="00493C49"/>
    <w:rsid w:val="00494318"/>
    <w:rsid w:val="00494814"/>
    <w:rsid w:val="004952EB"/>
    <w:rsid w:val="004953B0"/>
    <w:rsid w:val="00496D07"/>
    <w:rsid w:val="004A08AB"/>
    <w:rsid w:val="004A14CE"/>
    <w:rsid w:val="004A209C"/>
    <w:rsid w:val="004A25A8"/>
    <w:rsid w:val="004A293F"/>
    <w:rsid w:val="004A2E0E"/>
    <w:rsid w:val="004A3538"/>
    <w:rsid w:val="004A64AB"/>
    <w:rsid w:val="004A65FD"/>
    <w:rsid w:val="004B118D"/>
    <w:rsid w:val="004B2685"/>
    <w:rsid w:val="004B41DD"/>
    <w:rsid w:val="004B4616"/>
    <w:rsid w:val="004B46E2"/>
    <w:rsid w:val="004B5163"/>
    <w:rsid w:val="004B6BDA"/>
    <w:rsid w:val="004B6E2C"/>
    <w:rsid w:val="004B77CB"/>
    <w:rsid w:val="004C0667"/>
    <w:rsid w:val="004C1FD4"/>
    <w:rsid w:val="004C2165"/>
    <w:rsid w:val="004C2E1B"/>
    <w:rsid w:val="004C4957"/>
    <w:rsid w:val="004C5F1F"/>
    <w:rsid w:val="004C73F9"/>
    <w:rsid w:val="004D1354"/>
    <w:rsid w:val="004D3F6D"/>
    <w:rsid w:val="004D48D3"/>
    <w:rsid w:val="004D5729"/>
    <w:rsid w:val="004D5B50"/>
    <w:rsid w:val="004D5D90"/>
    <w:rsid w:val="004D6929"/>
    <w:rsid w:val="004E04EC"/>
    <w:rsid w:val="004E08C8"/>
    <w:rsid w:val="004E11D5"/>
    <w:rsid w:val="004E1A7E"/>
    <w:rsid w:val="004E3502"/>
    <w:rsid w:val="004E44A8"/>
    <w:rsid w:val="004E4EA1"/>
    <w:rsid w:val="004E5AB1"/>
    <w:rsid w:val="004E60B4"/>
    <w:rsid w:val="004E7899"/>
    <w:rsid w:val="004F08D1"/>
    <w:rsid w:val="004F0CA2"/>
    <w:rsid w:val="004F0E32"/>
    <w:rsid w:val="004F42DB"/>
    <w:rsid w:val="004F4D3E"/>
    <w:rsid w:val="004F65EB"/>
    <w:rsid w:val="004F667E"/>
    <w:rsid w:val="004F6BFC"/>
    <w:rsid w:val="004F78DE"/>
    <w:rsid w:val="0050082A"/>
    <w:rsid w:val="00500BE6"/>
    <w:rsid w:val="00501718"/>
    <w:rsid w:val="00502487"/>
    <w:rsid w:val="00502A72"/>
    <w:rsid w:val="00502B34"/>
    <w:rsid w:val="00502E3F"/>
    <w:rsid w:val="00503938"/>
    <w:rsid w:val="00511081"/>
    <w:rsid w:val="005110CC"/>
    <w:rsid w:val="00512547"/>
    <w:rsid w:val="00512823"/>
    <w:rsid w:val="00513018"/>
    <w:rsid w:val="005131D6"/>
    <w:rsid w:val="00514460"/>
    <w:rsid w:val="00515672"/>
    <w:rsid w:val="0051756B"/>
    <w:rsid w:val="005219AA"/>
    <w:rsid w:val="00523904"/>
    <w:rsid w:val="00523C02"/>
    <w:rsid w:val="00526F25"/>
    <w:rsid w:val="0053001C"/>
    <w:rsid w:val="00532019"/>
    <w:rsid w:val="005372A2"/>
    <w:rsid w:val="00537A05"/>
    <w:rsid w:val="00537BFF"/>
    <w:rsid w:val="0054065C"/>
    <w:rsid w:val="00540F86"/>
    <w:rsid w:val="00543303"/>
    <w:rsid w:val="00543356"/>
    <w:rsid w:val="005440C3"/>
    <w:rsid w:val="0054464E"/>
    <w:rsid w:val="005451FE"/>
    <w:rsid w:val="005474C3"/>
    <w:rsid w:val="00547B11"/>
    <w:rsid w:val="0055054B"/>
    <w:rsid w:val="00554E1A"/>
    <w:rsid w:val="005611A0"/>
    <w:rsid w:val="00562DF9"/>
    <w:rsid w:val="00564A8F"/>
    <w:rsid w:val="0056584A"/>
    <w:rsid w:val="005663B2"/>
    <w:rsid w:val="00566620"/>
    <w:rsid w:val="0056669F"/>
    <w:rsid w:val="00566E81"/>
    <w:rsid w:val="0057018B"/>
    <w:rsid w:val="005715D2"/>
    <w:rsid w:val="00571BE0"/>
    <w:rsid w:val="0057369D"/>
    <w:rsid w:val="0057450F"/>
    <w:rsid w:val="00574B82"/>
    <w:rsid w:val="00576A68"/>
    <w:rsid w:val="00580092"/>
    <w:rsid w:val="00580454"/>
    <w:rsid w:val="00580537"/>
    <w:rsid w:val="00581206"/>
    <w:rsid w:val="0058215B"/>
    <w:rsid w:val="0058322B"/>
    <w:rsid w:val="00584170"/>
    <w:rsid w:val="0058657F"/>
    <w:rsid w:val="0059343A"/>
    <w:rsid w:val="00593C0E"/>
    <w:rsid w:val="00594269"/>
    <w:rsid w:val="00596D4E"/>
    <w:rsid w:val="00597276"/>
    <w:rsid w:val="005974D2"/>
    <w:rsid w:val="00597952"/>
    <w:rsid w:val="005A09B0"/>
    <w:rsid w:val="005A183C"/>
    <w:rsid w:val="005A1DE6"/>
    <w:rsid w:val="005A2BBD"/>
    <w:rsid w:val="005A5533"/>
    <w:rsid w:val="005A6283"/>
    <w:rsid w:val="005A7237"/>
    <w:rsid w:val="005B1518"/>
    <w:rsid w:val="005B188C"/>
    <w:rsid w:val="005B2229"/>
    <w:rsid w:val="005B67B3"/>
    <w:rsid w:val="005B6989"/>
    <w:rsid w:val="005B6C56"/>
    <w:rsid w:val="005B7416"/>
    <w:rsid w:val="005C0E58"/>
    <w:rsid w:val="005C3680"/>
    <w:rsid w:val="005C36F7"/>
    <w:rsid w:val="005C4D98"/>
    <w:rsid w:val="005C5553"/>
    <w:rsid w:val="005C5ED2"/>
    <w:rsid w:val="005C6E38"/>
    <w:rsid w:val="005C7704"/>
    <w:rsid w:val="005C7E6D"/>
    <w:rsid w:val="005D32AC"/>
    <w:rsid w:val="005E0701"/>
    <w:rsid w:val="005E29C0"/>
    <w:rsid w:val="005E33E7"/>
    <w:rsid w:val="005E37A7"/>
    <w:rsid w:val="005E3C60"/>
    <w:rsid w:val="005E3F48"/>
    <w:rsid w:val="005E50F1"/>
    <w:rsid w:val="005E56D0"/>
    <w:rsid w:val="005E79DB"/>
    <w:rsid w:val="005F252E"/>
    <w:rsid w:val="005F4AD9"/>
    <w:rsid w:val="0060054C"/>
    <w:rsid w:val="00601B46"/>
    <w:rsid w:val="00601EB6"/>
    <w:rsid w:val="00602222"/>
    <w:rsid w:val="006022E7"/>
    <w:rsid w:val="00603B78"/>
    <w:rsid w:val="00603BE2"/>
    <w:rsid w:val="006050D1"/>
    <w:rsid w:val="00606B82"/>
    <w:rsid w:val="00610C77"/>
    <w:rsid w:val="00612C48"/>
    <w:rsid w:val="006136F6"/>
    <w:rsid w:val="006149D7"/>
    <w:rsid w:val="00614EB2"/>
    <w:rsid w:val="00614F30"/>
    <w:rsid w:val="0061574D"/>
    <w:rsid w:val="00615976"/>
    <w:rsid w:val="00615D2A"/>
    <w:rsid w:val="006167BD"/>
    <w:rsid w:val="00616FBC"/>
    <w:rsid w:val="00621390"/>
    <w:rsid w:val="006216B1"/>
    <w:rsid w:val="00621BE7"/>
    <w:rsid w:val="0062381E"/>
    <w:rsid w:val="00625319"/>
    <w:rsid w:val="00630944"/>
    <w:rsid w:val="00630C27"/>
    <w:rsid w:val="00630F3D"/>
    <w:rsid w:val="00631001"/>
    <w:rsid w:val="006312BE"/>
    <w:rsid w:val="006314FD"/>
    <w:rsid w:val="00632D17"/>
    <w:rsid w:val="0063472F"/>
    <w:rsid w:val="00635652"/>
    <w:rsid w:val="00635B11"/>
    <w:rsid w:val="006368CF"/>
    <w:rsid w:val="00641FEF"/>
    <w:rsid w:val="00642A3D"/>
    <w:rsid w:val="006505B0"/>
    <w:rsid w:val="00650CCB"/>
    <w:rsid w:val="00650D20"/>
    <w:rsid w:val="00650D95"/>
    <w:rsid w:val="0065125A"/>
    <w:rsid w:val="006519F0"/>
    <w:rsid w:val="006533AB"/>
    <w:rsid w:val="00653879"/>
    <w:rsid w:val="006538D0"/>
    <w:rsid w:val="00653A2C"/>
    <w:rsid w:val="00653B5A"/>
    <w:rsid w:val="0065536F"/>
    <w:rsid w:val="006574BC"/>
    <w:rsid w:val="00660F3C"/>
    <w:rsid w:val="00660F48"/>
    <w:rsid w:val="00661060"/>
    <w:rsid w:val="0066122A"/>
    <w:rsid w:val="00661E5C"/>
    <w:rsid w:val="006646C3"/>
    <w:rsid w:val="006652A5"/>
    <w:rsid w:val="00670E05"/>
    <w:rsid w:val="006710B1"/>
    <w:rsid w:val="006716BA"/>
    <w:rsid w:val="00672BD7"/>
    <w:rsid w:val="00673B74"/>
    <w:rsid w:val="00675CE8"/>
    <w:rsid w:val="006766AD"/>
    <w:rsid w:val="00680C73"/>
    <w:rsid w:val="00682A3B"/>
    <w:rsid w:val="0068371A"/>
    <w:rsid w:val="0068416D"/>
    <w:rsid w:val="0068535D"/>
    <w:rsid w:val="0069075B"/>
    <w:rsid w:val="00691854"/>
    <w:rsid w:val="00692BAA"/>
    <w:rsid w:val="00694842"/>
    <w:rsid w:val="00694A24"/>
    <w:rsid w:val="006950B4"/>
    <w:rsid w:val="00696AF8"/>
    <w:rsid w:val="00696FD1"/>
    <w:rsid w:val="00697CA2"/>
    <w:rsid w:val="006A1249"/>
    <w:rsid w:val="006A20A5"/>
    <w:rsid w:val="006A2BCE"/>
    <w:rsid w:val="006A6683"/>
    <w:rsid w:val="006A71B5"/>
    <w:rsid w:val="006A7F10"/>
    <w:rsid w:val="006B0346"/>
    <w:rsid w:val="006B1254"/>
    <w:rsid w:val="006B1C22"/>
    <w:rsid w:val="006B2649"/>
    <w:rsid w:val="006B2E85"/>
    <w:rsid w:val="006B3396"/>
    <w:rsid w:val="006B42E5"/>
    <w:rsid w:val="006B4A1B"/>
    <w:rsid w:val="006B4C34"/>
    <w:rsid w:val="006C28B8"/>
    <w:rsid w:val="006C3217"/>
    <w:rsid w:val="006C4D60"/>
    <w:rsid w:val="006C5FAA"/>
    <w:rsid w:val="006C6396"/>
    <w:rsid w:val="006C64DD"/>
    <w:rsid w:val="006C7250"/>
    <w:rsid w:val="006D04D9"/>
    <w:rsid w:val="006D0EE4"/>
    <w:rsid w:val="006D17B6"/>
    <w:rsid w:val="006D4323"/>
    <w:rsid w:val="006D484B"/>
    <w:rsid w:val="006E03C0"/>
    <w:rsid w:val="006E0486"/>
    <w:rsid w:val="006E11A6"/>
    <w:rsid w:val="006E6832"/>
    <w:rsid w:val="006F1979"/>
    <w:rsid w:val="006F28D5"/>
    <w:rsid w:val="006F3040"/>
    <w:rsid w:val="006F3164"/>
    <w:rsid w:val="006F4DA4"/>
    <w:rsid w:val="006F4F92"/>
    <w:rsid w:val="006F57E6"/>
    <w:rsid w:val="006F69E0"/>
    <w:rsid w:val="00701B4F"/>
    <w:rsid w:val="00704150"/>
    <w:rsid w:val="007049CF"/>
    <w:rsid w:val="00705B2B"/>
    <w:rsid w:val="00706880"/>
    <w:rsid w:val="007068C2"/>
    <w:rsid w:val="00707F1C"/>
    <w:rsid w:val="00711281"/>
    <w:rsid w:val="007115D6"/>
    <w:rsid w:val="00713F39"/>
    <w:rsid w:val="007158CF"/>
    <w:rsid w:val="00715DA4"/>
    <w:rsid w:val="007164B2"/>
    <w:rsid w:val="0071734E"/>
    <w:rsid w:val="00720CFE"/>
    <w:rsid w:val="007218D5"/>
    <w:rsid w:val="007226AB"/>
    <w:rsid w:val="007229FB"/>
    <w:rsid w:val="00722EB8"/>
    <w:rsid w:val="0072398A"/>
    <w:rsid w:val="00723E47"/>
    <w:rsid w:val="00724573"/>
    <w:rsid w:val="00724E15"/>
    <w:rsid w:val="00725176"/>
    <w:rsid w:val="00726710"/>
    <w:rsid w:val="007326FB"/>
    <w:rsid w:val="00733192"/>
    <w:rsid w:val="0074097A"/>
    <w:rsid w:val="0074107D"/>
    <w:rsid w:val="007418EB"/>
    <w:rsid w:val="00741C26"/>
    <w:rsid w:val="00744A38"/>
    <w:rsid w:val="007454A1"/>
    <w:rsid w:val="00746002"/>
    <w:rsid w:val="00747A13"/>
    <w:rsid w:val="00747A6F"/>
    <w:rsid w:val="00747ADD"/>
    <w:rsid w:val="00751103"/>
    <w:rsid w:val="007511F7"/>
    <w:rsid w:val="00751668"/>
    <w:rsid w:val="007518FF"/>
    <w:rsid w:val="00751A53"/>
    <w:rsid w:val="0075232E"/>
    <w:rsid w:val="00753162"/>
    <w:rsid w:val="00754E74"/>
    <w:rsid w:val="00755937"/>
    <w:rsid w:val="007577C6"/>
    <w:rsid w:val="00761535"/>
    <w:rsid w:val="007624E4"/>
    <w:rsid w:val="0076295A"/>
    <w:rsid w:val="00762FC4"/>
    <w:rsid w:val="007630B5"/>
    <w:rsid w:val="0076312D"/>
    <w:rsid w:val="0076350D"/>
    <w:rsid w:val="007635E9"/>
    <w:rsid w:val="00763A5B"/>
    <w:rsid w:val="0076445B"/>
    <w:rsid w:val="00770B3C"/>
    <w:rsid w:val="00771098"/>
    <w:rsid w:val="00771A36"/>
    <w:rsid w:val="00772059"/>
    <w:rsid w:val="00775574"/>
    <w:rsid w:val="0077604D"/>
    <w:rsid w:val="00776EDF"/>
    <w:rsid w:val="007772C3"/>
    <w:rsid w:val="00777449"/>
    <w:rsid w:val="00777534"/>
    <w:rsid w:val="00777949"/>
    <w:rsid w:val="00777E36"/>
    <w:rsid w:val="00781A87"/>
    <w:rsid w:val="007821CC"/>
    <w:rsid w:val="00782D1D"/>
    <w:rsid w:val="00782EA7"/>
    <w:rsid w:val="007831A8"/>
    <w:rsid w:val="00784362"/>
    <w:rsid w:val="007852DF"/>
    <w:rsid w:val="00786122"/>
    <w:rsid w:val="00787C86"/>
    <w:rsid w:val="007900D1"/>
    <w:rsid w:val="007906F9"/>
    <w:rsid w:val="00793DB5"/>
    <w:rsid w:val="0079441E"/>
    <w:rsid w:val="00796478"/>
    <w:rsid w:val="0079757F"/>
    <w:rsid w:val="00797684"/>
    <w:rsid w:val="007A0CDD"/>
    <w:rsid w:val="007A12CF"/>
    <w:rsid w:val="007A1641"/>
    <w:rsid w:val="007A20C4"/>
    <w:rsid w:val="007A7288"/>
    <w:rsid w:val="007A7BA9"/>
    <w:rsid w:val="007B15AF"/>
    <w:rsid w:val="007B1CE0"/>
    <w:rsid w:val="007B2A3B"/>
    <w:rsid w:val="007B59C3"/>
    <w:rsid w:val="007B5BC7"/>
    <w:rsid w:val="007B721D"/>
    <w:rsid w:val="007C0B66"/>
    <w:rsid w:val="007C0ED6"/>
    <w:rsid w:val="007C24D2"/>
    <w:rsid w:val="007C2C3E"/>
    <w:rsid w:val="007C3740"/>
    <w:rsid w:val="007C542F"/>
    <w:rsid w:val="007C746E"/>
    <w:rsid w:val="007D3CD0"/>
    <w:rsid w:val="007D4ACE"/>
    <w:rsid w:val="007D63F5"/>
    <w:rsid w:val="007D66A9"/>
    <w:rsid w:val="007D6E9B"/>
    <w:rsid w:val="007E0385"/>
    <w:rsid w:val="007E1018"/>
    <w:rsid w:val="007E1B94"/>
    <w:rsid w:val="007E2FDE"/>
    <w:rsid w:val="007E308E"/>
    <w:rsid w:val="007E5DAB"/>
    <w:rsid w:val="007F4659"/>
    <w:rsid w:val="007F6FD0"/>
    <w:rsid w:val="008011BE"/>
    <w:rsid w:val="008015E8"/>
    <w:rsid w:val="00801778"/>
    <w:rsid w:val="00801F4B"/>
    <w:rsid w:val="0080514D"/>
    <w:rsid w:val="008053A9"/>
    <w:rsid w:val="00805A67"/>
    <w:rsid w:val="0080625A"/>
    <w:rsid w:val="00807B06"/>
    <w:rsid w:val="00810B66"/>
    <w:rsid w:val="008123E8"/>
    <w:rsid w:val="00812D8D"/>
    <w:rsid w:val="008152BD"/>
    <w:rsid w:val="00816263"/>
    <w:rsid w:val="0081698A"/>
    <w:rsid w:val="00820776"/>
    <w:rsid w:val="008217F0"/>
    <w:rsid w:val="008228FF"/>
    <w:rsid w:val="00826620"/>
    <w:rsid w:val="0082763A"/>
    <w:rsid w:val="00831817"/>
    <w:rsid w:val="008345C0"/>
    <w:rsid w:val="008351CE"/>
    <w:rsid w:val="008378A9"/>
    <w:rsid w:val="0084089E"/>
    <w:rsid w:val="00840900"/>
    <w:rsid w:val="00840EBB"/>
    <w:rsid w:val="00841EB3"/>
    <w:rsid w:val="00843AC6"/>
    <w:rsid w:val="00844213"/>
    <w:rsid w:val="00844514"/>
    <w:rsid w:val="00844C10"/>
    <w:rsid w:val="008476DA"/>
    <w:rsid w:val="00850D4D"/>
    <w:rsid w:val="00855AAE"/>
    <w:rsid w:val="00855CA3"/>
    <w:rsid w:val="0085678D"/>
    <w:rsid w:val="00856804"/>
    <w:rsid w:val="00857467"/>
    <w:rsid w:val="0086117B"/>
    <w:rsid w:val="008623F7"/>
    <w:rsid w:val="00864CC1"/>
    <w:rsid w:val="00866351"/>
    <w:rsid w:val="00867D90"/>
    <w:rsid w:val="0087092A"/>
    <w:rsid w:val="00872289"/>
    <w:rsid w:val="0087407F"/>
    <w:rsid w:val="0087458B"/>
    <w:rsid w:val="00875C21"/>
    <w:rsid w:val="00877364"/>
    <w:rsid w:val="00877AE8"/>
    <w:rsid w:val="00880700"/>
    <w:rsid w:val="00881938"/>
    <w:rsid w:val="00882188"/>
    <w:rsid w:val="0088349E"/>
    <w:rsid w:val="00883DD0"/>
    <w:rsid w:val="008840B1"/>
    <w:rsid w:val="008842E1"/>
    <w:rsid w:val="0088522D"/>
    <w:rsid w:val="0088720B"/>
    <w:rsid w:val="00887D88"/>
    <w:rsid w:val="00891760"/>
    <w:rsid w:val="00892DC2"/>
    <w:rsid w:val="008949C3"/>
    <w:rsid w:val="0089538B"/>
    <w:rsid w:val="0089786A"/>
    <w:rsid w:val="008A2A59"/>
    <w:rsid w:val="008A466A"/>
    <w:rsid w:val="008A4EB7"/>
    <w:rsid w:val="008A6D51"/>
    <w:rsid w:val="008B0C4A"/>
    <w:rsid w:val="008B1A3D"/>
    <w:rsid w:val="008B29FA"/>
    <w:rsid w:val="008B2BBC"/>
    <w:rsid w:val="008B3D64"/>
    <w:rsid w:val="008B4C81"/>
    <w:rsid w:val="008B7715"/>
    <w:rsid w:val="008B79AF"/>
    <w:rsid w:val="008C0E78"/>
    <w:rsid w:val="008C40DD"/>
    <w:rsid w:val="008C42EE"/>
    <w:rsid w:val="008C4D96"/>
    <w:rsid w:val="008C598E"/>
    <w:rsid w:val="008D10C7"/>
    <w:rsid w:val="008D1591"/>
    <w:rsid w:val="008D2FB7"/>
    <w:rsid w:val="008D39C4"/>
    <w:rsid w:val="008D4B89"/>
    <w:rsid w:val="008D7C21"/>
    <w:rsid w:val="008E17FA"/>
    <w:rsid w:val="008E18B1"/>
    <w:rsid w:val="008E1D11"/>
    <w:rsid w:val="008E4D6C"/>
    <w:rsid w:val="008E4FA9"/>
    <w:rsid w:val="008E5F3E"/>
    <w:rsid w:val="008F12C4"/>
    <w:rsid w:val="008F14BD"/>
    <w:rsid w:val="008F1F32"/>
    <w:rsid w:val="008F2203"/>
    <w:rsid w:val="008F3BF3"/>
    <w:rsid w:val="008F4C65"/>
    <w:rsid w:val="008F54AB"/>
    <w:rsid w:val="008F561F"/>
    <w:rsid w:val="008F6CEE"/>
    <w:rsid w:val="009003E1"/>
    <w:rsid w:val="009014C0"/>
    <w:rsid w:val="009017C9"/>
    <w:rsid w:val="00903281"/>
    <w:rsid w:val="009046B4"/>
    <w:rsid w:val="00904EE7"/>
    <w:rsid w:val="00905269"/>
    <w:rsid w:val="00907F50"/>
    <w:rsid w:val="00911EF0"/>
    <w:rsid w:val="009121BE"/>
    <w:rsid w:val="00912EBA"/>
    <w:rsid w:val="00914036"/>
    <w:rsid w:val="00916C92"/>
    <w:rsid w:val="00916F46"/>
    <w:rsid w:val="0091762A"/>
    <w:rsid w:val="0091780B"/>
    <w:rsid w:val="009223E4"/>
    <w:rsid w:val="009225E1"/>
    <w:rsid w:val="009235BB"/>
    <w:rsid w:val="00924968"/>
    <w:rsid w:val="00924E05"/>
    <w:rsid w:val="00924F7D"/>
    <w:rsid w:val="00925EA4"/>
    <w:rsid w:val="00926C3A"/>
    <w:rsid w:val="00926CA3"/>
    <w:rsid w:val="0092701D"/>
    <w:rsid w:val="00927145"/>
    <w:rsid w:val="009313D0"/>
    <w:rsid w:val="00932E9C"/>
    <w:rsid w:val="00932EC4"/>
    <w:rsid w:val="00933785"/>
    <w:rsid w:val="009344C4"/>
    <w:rsid w:val="00934D1A"/>
    <w:rsid w:val="00934FDD"/>
    <w:rsid w:val="00937F4E"/>
    <w:rsid w:val="00942CE8"/>
    <w:rsid w:val="00942E72"/>
    <w:rsid w:val="0094384B"/>
    <w:rsid w:val="00944E3B"/>
    <w:rsid w:val="00945262"/>
    <w:rsid w:val="00945B10"/>
    <w:rsid w:val="009460A7"/>
    <w:rsid w:val="00946BF0"/>
    <w:rsid w:val="00946E71"/>
    <w:rsid w:val="009502AD"/>
    <w:rsid w:val="00951D2D"/>
    <w:rsid w:val="00953424"/>
    <w:rsid w:val="0095601F"/>
    <w:rsid w:val="00957786"/>
    <w:rsid w:val="009600A8"/>
    <w:rsid w:val="00962B37"/>
    <w:rsid w:val="00963257"/>
    <w:rsid w:val="00963738"/>
    <w:rsid w:val="00963957"/>
    <w:rsid w:val="00963E69"/>
    <w:rsid w:val="0096624F"/>
    <w:rsid w:val="0096641A"/>
    <w:rsid w:val="00966E71"/>
    <w:rsid w:val="0096703C"/>
    <w:rsid w:val="00967BBE"/>
    <w:rsid w:val="00971A8A"/>
    <w:rsid w:val="00972BDC"/>
    <w:rsid w:val="00972D12"/>
    <w:rsid w:val="00972DD3"/>
    <w:rsid w:val="00974C0C"/>
    <w:rsid w:val="009750BA"/>
    <w:rsid w:val="009757B5"/>
    <w:rsid w:val="00976964"/>
    <w:rsid w:val="009800AE"/>
    <w:rsid w:val="00982929"/>
    <w:rsid w:val="0098292A"/>
    <w:rsid w:val="009862F5"/>
    <w:rsid w:val="00987EED"/>
    <w:rsid w:val="00991F45"/>
    <w:rsid w:val="009924B6"/>
    <w:rsid w:val="00992E39"/>
    <w:rsid w:val="00994028"/>
    <w:rsid w:val="009947ED"/>
    <w:rsid w:val="00995120"/>
    <w:rsid w:val="009956D9"/>
    <w:rsid w:val="009A0CB7"/>
    <w:rsid w:val="009A20F6"/>
    <w:rsid w:val="009A2D34"/>
    <w:rsid w:val="009B1568"/>
    <w:rsid w:val="009B27A3"/>
    <w:rsid w:val="009B32C2"/>
    <w:rsid w:val="009B40E6"/>
    <w:rsid w:val="009B41FD"/>
    <w:rsid w:val="009B462F"/>
    <w:rsid w:val="009B74C2"/>
    <w:rsid w:val="009C15A8"/>
    <w:rsid w:val="009C1CE8"/>
    <w:rsid w:val="009C5B07"/>
    <w:rsid w:val="009C6936"/>
    <w:rsid w:val="009D0A54"/>
    <w:rsid w:val="009D0F93"/>
    <w:rsid w:val="009D1D55"/>
    <w:rsid w:val="009D1E28"/>
    <w:rsid w:val="009D39FE"/>
    <w:rsid w:val="009D3A57"/>
    <w:rsid w:val="009D4B06"/>
    <w:rsid w:val="009D5D2F"/>
    <w:rsid w:val="009D6F83"/>
    <w:rsid w:val="009E0659"/>
    <w:rsid w:val="009E15D1"/>
    <w:rsid w:val="009E37BB"/>
    <w:rsid w:val="009E3E25"/>
    <w:rsid w:val="009E4683"/>
    <w:rsid w:val="009E53FF"/>
    <w:rsid w:val="009E559F"/>
    <w:rsid w:val="009E6D67"/>
    <w:rsid w:val="009E7364"/>
    <w:rsid w:val="009E7B03"/>
    <w:rsid w:val="009E7FBD"/>
    <w:rsid w:val="009F0058"/>
    <w:rsid w:val="009F1508"/>
    <w:rsid w:val="009F1DBA"/>
    <w:rsid w:val="009F2A13"/>
    <w:rsid w:val="009F2BD0"/>
    <w:rsid w:val="009F302B"/>
    <w:rsid w:val="009F3032"/>
    <w:rsid w:val="009F5DBF"/>
    <w:rsid w:val="009F6EB6"/>
    <w:rsid w:val="009F788F"/>
    <w:rsid w:val="00A002EF"/>
    <w:rsid w:val="00A0036A"/>
    <w:rsid w:val="00A00498"/>
    <w:rsid w:val="00A021C7"/>
    <w:rsid w:val="00A029C6"/>
    <w:rsid w:val="00A033B9"/>
    <w:rsid w:val="00A03A7F"/>
    <w:rsid w:val="00A04D51"/>
    <w:rsid w:val="00A05901"/>
    <w:rsid w:val="00A0639F"/>
    <w:rsid w:val="00A07335"/>
    <w:rsid w:val="00A1032D"/>
    <w:rsid w:val="00A10B0C"/>
    <w:rsid w:val="00A130DB"/>
    <w:rsid w:val="00A14B4E"/>
    <w:rsid w:val="00A14C32"/>
    <w:rsid w:val="00A1565F"/>
    <w:rsid w:val="00A170D9"/>
    <w:rsid w:val="00A17C66"/>
    <w:rsid w:val="00A17CE2"/>
    <w:rsid w:val="00A210E5"/>
    <w:rsid w:val="00A22C44"/>
    <w:rsid w:val="00A25AAC"/>
    <w:rsid w:val="00A25B87"/>
    <w:rsid w:val="00A27A0A"/>
    <w:rsid w:val="00A314EC"/>
    <w:rsid w:val="00A32B8B"/>
    <w:rsid w:val="00A34968"/>
    <w:rsid w:val="00A34FB7"/>
    <w:rsid w:val="00A35F03"/>
    <w:rsid w:val="00A40134"/>
    <w:rsid w:val="00A416D6"/>
    <w:rsid w:val="00A428A3"/>
    <w:rsid w:val="00A4432F"/>
    <w:rsid w:val="00A443F0"/>
    <w:rsid w:val="00A4539D"/>
    <w:rsid w:val="00A46B30"/>
    <w:rsid w:val="00A51BDF"/>
    <w:rsid w:val="00A53E03"/>
    <w:rsid w:val="00A54377"/>
    <w:rsid w:val="00A550C0"/>
    <w:rsid w:val="00A557CB"/>
    <w:rsid w:val="00A56B10"/>
    <w:rsid w:val="00A620A5"/>
    <w:rsid w:val="00A62255"/>
    <w:rsid w:val="00A62A3E"/>
    <w:rsid w:val="00A665F2"/>
    <w:rsid w:val="00A66E03"/>
    <w:rsid w:val="00A671EF"/>
    <w:rsid w:val="00A67BF6"/>
    <w:rsid w:val="00A67EC9"/>
    <w:rsid w:val="00A70E6B"/>
    <w:rsid w:val="00A71120"/>
    <w:rsid w:val="00A7340A"/>
    <w:rsid w:val="00A76100"/>
    <w:rsid w:val="00A76E3E"/>
    <w:rsid w:val="00A77EAF"/>
    <w:rsid w:val="00A81A22"/>
    <w:rsid w:val="00A84F49"/>
    <w:rsid w:val="00A84FDB"/>
    <w:rsid w:val="00A867C7"/>
    <w:rsid w:val="00A8747A"/>
    <w:rsid w:val="00A90A47"/>
    <w:rsid w:val="00A90AE3"/>
    <w:rsid w:val="00A91399"/>
    <w:rsid w:val="00A9311C"/>
    <w:rsid w:val="00A9446B"/>
    <w:rsid w:val="00A95A87"/>
    <w:rsid w:val="00A97467"/>
    <w:rsid w:val="00AA10AE"/>
    <w:rsid w:val="00AA1AEA"/>
    <w:rsid w:val="00AA2F6B"/>
    <w:rsid w:val="00AA3444"/>
    <w:rsid w:val="00AA3D70"/>
    <w:rsid w:val="00AA45C6"/>
    <w:rsid w:val="00AA568B"/>
    <w:rsid w:val="00AA7994"/>
    <w:rsid w:val="00AB2A32"/>
    <w:rsid w:val="00AB61CD"/>
    <w:rsid w:val="00AC0E1A"/>
    <w:rsid w:val="00AC233A"/>
    <w:rsid w:val="00AC2A84"/>
    <w:rsid w:val="00AC2E35"/>
    <w:rsid w:val="00AC5EB6"/>
    <w:rsid w:val="00AC6195"/>
    <w:rsid w:val="00AD0ADD"/>
    <w:rsid w:val="00AD0AF0"/>
    <w:rsid w:val="00AD361C"/>
    <w:rsid w:val="00AD3E03"/>
    <w:rsid w:val="00AD56EE"/>
    <w:rsid w:val="00AD6455"/>
    <w:rsid w:val="00AE0379"/>
    <w:rsid w:val="00AE33C2"/>
    <w:rsid w:val="00AE5296"/>
    <w:rsid w:val="00AE6901"/>
    <w:rsid w:val="00AF13F8"/>
    <w:rsid w:val="00AF368D"/>
    <w:rsid w:val="00AF3F74"/>
    <w:rsid w:val="00AF3F87"/>
    <w:rsid w:val="00AF4A15"/>
    <w:rsid w:val="00AF4F30"/>
    <w:rsid w:val="00AF5C50"/>
    <w:rsid w:val="00B00A43"/>
    <w:rsid w:val="00B013A0"/>
    <w:rsid w:val="00B04AB2"/>
    <w:rsid w:val="00B04C45"/>
    <w:rsid w:val="00B04DE7"/>
    <w:rsid w:val="00B05A57"/>
    <w:rsid w:val="00B06AC3"/>
    <w:rsid w:val="00B12065"/>
    <w:rsid w:val="00B1359D"/>
    <w:rsid w:val="00B13C91"/>
    <w:rsid w:val="00B1411E"/>
    <w:rsid w:val="00B14C4A"/>
    <w:rsid w:val="00B14C8D"/>
    <w:rsid w:val="00B15CC6"/>
    <w:rsid w:val="00B16D09"/>
    <w:rsid w:val="00B16EB3"/>
    <w:rsid w:val="00B17005"/>
    <w:rsid w:val="00B17FF6"/>
    <w:rsid w:val="00B201CC"/>
    <w:rsid w:val="00B20E61"/>
    <w:rsid w:val="00B24878"/>
    <w:rsid w:val="00B2649E"/>
    <w:rsid w:val="00B303C1"/>
    <w:rsid w:val="00B30569"/>
    <w:rsid w:val="00B30EA5"/>
    <w:rsid w:val="00B311FC"/>
    <w:rsid w:val="00B400F9"/>
    <w:rsid w:val="00B42A6C"/>
    <w:rsid w:val="00B42E88"/>
    <w:rsid w:val="00B43240"/>
    <w:rsid w:val="00B4376C"/>
    <w:rsid w:val="00B43F72"/>
    <w:rsid w:val="00B4406B"/>
    <w:rsid w:val="00B4420F"/>
    <w:rsid w:val="00B44540"/>
    <w:rsid w:val="00B44813"/>
    <w:rsid w:val="00B45753"/>
    <w:rsid w:val="00B46024"/>
    <w:rsid w:val="00B475E3"/>
    <w:rsid w:val="00B47FCB"/>
    <w:rsid w:val="00B5081B"/>
    <w:rsid w:val="00B50B89"/>
    <w:rsid w:val="00B50F91"/>
    <w:rsid w:val="00B51212"/>
    <w:rsid w:val="00B5143B"/>
    <w:rsid w:val="00B51877"/>
    <w:rsid w:val="00B51DC5"/>
    <w:rsid w:val="00B51E12"/>
    <w:rsid w:val="00B52973"/>
    <w:rsid w:val="00B5616A"/>
    <w:rsid w:val="00B6023D"/>
    <w:rsid w:val="00B60886"/>
    <w:rsid w:val="00B612B8"/>
    <w:rsid w:val="00B61DDC"/>
    <w:rsid w:val="00B63A4C"/>
    <w:rsid w:val="00B644BD"/>
    <w:rsid w:val="00B65F3C"/>
    <w:rsid w:val="00B666FB"/>
    <w:rsid w:val="00B7244A"/>
    <w:rsid w:val="00B72A39"/>
    <w:rsid w:val="00B74E57"/>
    <w:rsid w:val="00B77B90"/>
    <w:rsid w:val="00B77BBF"/>
    <w:rsid w:val="00B808F6"/>
    <w:rsid w:val="00B816E5"/>
    <w:rsid w:val="00B83B6F"/>
    <w:rsid w:val="00B84431"/>
    <w:rsid w:val="00B8561B"/>
    <w:rsid w:val="00B85F42"/>
    <w:rsid w:val="00B8652A"/>
    <w:rsid w:val="00B86E9C"/>
    <w:rsid w:val="00B90B87"/>
    <w:rsid w:val="00B90D96"/>
    <w:rsid w:val="00B90FEA"/>
    <w:rsid w:val="00B91A4D"/>
    <w:rsid w:val="00B92021"/>
    <w:rsid w:val="00B9333F"/>
    <w:rsid w:val="00B93865"/>
    <w:rsid w:val="00B9388F"/>
    <w:rsid w:val="00B96E31"/>
    <w:rsid w:val="00B97E07"/>
    <w:rsid w:val="00BA0555"/>
    <w:rsid w:val="00BA2DB9"/>
    <w:rsid w:val="00BA4350"/>
    <w:rsid w:val="00BA755F"/>
    <w:rsid w:val="00BA7F53"/>
    <w:rsid w:val="00BB0516"/>
    <w:rsid w:val="00BB0C8D"/>
    <w:rsid w:val="00BB102F"/>
    <w:rsid w:val="00BB15E1"/>
    <w:rsid w:val="00BB16E6"/>
    <w:rsid w:val="00BB182C"/>
    <w:rsid w:val="00BB3B4F"/>
    <w:rsid w:val="00BB3EF6"/>
    <w:rsid w:val="00BB54F4"/>
    <w:rsid w:val="00BB7367"/>
    <w:rsid w:val="00BC0C29"/>
    <w:rsid w:val="00BC13BA"/>
    <w:rsid w:val="00BC1479"/>
    <w:rsid w:val="00BC1699"/>
    <w:rsid w:val="00BC2CD7"/>
    <w:rsid w:val="00BC474B"/>
    <w:rsid w:val="00BC47CC"/>
    <w:rsid w:val="00BC5092"/>
    <w:rsid w:val="00BC692A"/>
    <w:rsid w:val="00BC694D"/>
    <w:rsid w:val="00BD0C12"/>
    <w:rsid w:val="00BD0C8C"/>
    <w:rsid w:val="00BD12DB"/>
    <w:rsid w:val="00BD3493"/>
    <w:rsid w:val="00BD3B10"/>
    <w:rsid w:val="00BD462E"/>
    <w:rsid w:val="00BD5408"/>
    <w:rsid w:val="00BD78C7"/>
    <w:rsid w:val="00BE0B0B"/>
    <w:rsid w:val="00BE1D0D"/>
    <w:rsid w:val="00BE2204"/>
    <w:rsid w:val="00BE2BA7"/>
    <w:rsid w:val="00BE2C9F"/>
    <w:rsid w:val="00BE3636"/>
    <w:rsid w:val="00BE39EB"/>
    <w:rsid w:val="00BE43EC"/>
    <w:rsid w:val="00BE54C4"/>
    <w:rsid w:val="00BE56C0"/>
    <w:rsid w:val="00BE7280"/>
    <w:rsid w:val="00BF02BC"/>
    <w:rsid w:val="00BF3280"/>
    <w:rsid w:val="00BF545B"/>
    <w:rsid w:val="00BF59C8"/>
    <w:rsid w:val="00BF5E10"/>
    <w:rsid w:val="00BF65F7"/>
    <w:rsid w:val="00BF6A45"/>
    <w:rsid w:val="00BF724B"/>
    <w:rsid w:val="00BF7DB8"/>
    <w:rsid w:val="00BF7E03"/>
    <w:rsid w:val="00C00870"/>
    <w:rsid w:val="00C013AD"/>
    <w:rsid w:val="00C0191A"/>
    <w:rsid w:val="00C02812"/>
    <w:rsid w:val="00C03857"/>
    <w:rsid w:val="00C047C7"/>
    <w:rsid w:val="00C04D63"/>
    <w:rsid w:val="00C11AD5"/>
    <w:rsid w:val="00C12C3D"/>
    <w:rsid w:val="00C13409"/>
    <w:rsid w:val="00C13B40"/>
    <w:rsid w:val="00C1454A"/>
    <w:rsid w:val="00C15394"/>
    <w:rsid w:val="00C15CC5"/>
    <w:rsid w:val="00C1665F"/>
    <w:rsid w:val="00C16908"/>
    <w:rsid w:val="00C16BE1"/>
    <w:rsid w:val="00C17959"/>
    <w:rsid w:val="00C17B4D"/>
    <w:rsid w:val="00C2060A"/>
    <w:rsid w:val="00C2093F"/>
    <w:rsid w:val="00C2126C"/>
    <w:rsid w:val="00C2425F"/>
    <w:rsid w:val="00C2511C"/>
    <w:rsid w:val="00C27268"/>
    <w:rsid w:val="00C27DC4"/>
    <w:rsid w:val="00C30200"/>
    <w:rsid w:val="00C30B90"/>
    <w:rsid w:val="00C31B33"/>
    <w:rsid w:val="00C31CC7"/>
    <w:rsid w:val="00C3431F"/>
    <w:rsid w:val="00C35A19"/>
    <w:rsid w:val="00C36B68"/>
    <w:rsid w:val="00C37590"/>
    <w:rsid w:val="00C3765F"/>
    <w:rsid w:val="00C41FC1"/>
    <w:rsid w:val="00C42C48"/>
    <w:rsid w:val="00C42FE1"/>
    <w:rsid w:val="00C450B9"/>
    <w:rsid w:val="00C45618"/>
    <w:rsid w:val="00C45AFE"/>
    <w:rsid w:val="00C45FC6"/>
    <w:rsid w:val="00C46DEB"/>
    <w:rsid w:val="00C472FE"/>
    <w:rsid w:val="00C47C40"/>
    <w:rsid w:val="00C47E6C"/>
    <w:rsid w:val="00C47F56"/>
    <w:rsid w:val="00C50888"/>
    <w:rsid w:val="00C51BD8"/>
    <w:rsid w:val="00C57F6B"/>
    <w:rsid w:val="00C57FA4"/>
    <w:rsid w:val="00C60290"/>
    <w:rsid w:val="00C609C1"/>
    <w:rsid w:val="00C60F29"/>
    <w:rsid w:val="00C6208E"/>
    <w:rsid w:val="00C62392"/>
    <w:rsid w:val="00C623D4"/>
    <w:rsid w:val="00C633E5"/>
    <w:rsid w:val="00C64F00"/>
    <w:rsid w:val="00C64FCA"/>
    <w:rsid w:val="00C664C4"/>
    <w:rsid w:val="00C67AE3"/>
    <w:rsid w:val="00C70907"/>
    <w:rsid w:val="00C70AC3"/>
    <w:rsid w:val="00C70EC9"/>
    <w:rsid w:val="00C71131"/>
    <w:rsid w:val="00C728CC"/>
    <w:rsid w:val="00C741CC"/>
    <w:rsid w:val="00C74AE5"/>
    <w:rsid w:val="00C76B77"/>
    <w:rsid w:val="00C77803"/>
    <w:rsid w:val="00C83610"/>
    <w:rsid w:val="00C868D6"/>
    <w:rsid w:val="00C875FB"/>
    <w:rsid w:val="00C91A20"/>
    <w:rsid w:val="00C92358"/>
    <w:rsid w:val="00C9265A"/>
    <w:rsid w:val="00C92BAD"/>
    <w:rsid w:val="00C93EF1"/>
    <w:rsid w:val="00C93F3E"/>
    <w:rsid w:val="00C941A2"/>
    <w:rsid w:val="00C94336"/>
    <w:rsid w:val="00C9445B"/>
    <w:rsid w:val="00C95557"/>
    <w:rsid w:val="00C95781"/>
    <w:rsid w:val="00C96823"/>
    <w:rsid w:val="00CA0BF1"/>
    <w:rsid w:val="00CA2C0F"/>
    <w:rsid w:val="00CA388D"/>
    <w:rsid w:val="00CA4DDA"/>
    <w:rsid w:val="00CA6F67"/>
    <w:rsid w:val="00CA72BA"/>
    <w:rsid w:val="00CB030B"/>
    <w:rsid w:val="00CB23EF"/>
    <w:rsid w:val="00CB3092"/>
    <w:rsid w:val="00CB30BB"/>
    <w:rsid w:val="00CB3DF6"/>
    <w:rsid w:val="00CB5890"/>
    <w:rsid w:val="00CB59DF"/>
    <w:rsid w:val="00CB68E1"/>
    <w:rsid w:val="00CB7ECC"/>
    <w:rsid w:val="00CC078C"/>
    <w:rsid w:val="00CC1A89"/>
    <w:rsid w:val="00CC1F4B"/>
    <w:rsid w:val="00CC3DE6"/>
    <w:rsid w:val="00CC4E21"/>
    <w:rsid w:val="00CC57A6"/>
    <w:rsid w:val="00CD0DC9"/>
    <w:rsid w:val="00CD476F"/>
    <w:rsid w:val="00CD47FF"/>
    <w:rsid w:val="00CD5764"/>
    <w:rsid w:val="00CD58B1"/>
    <w:rsid w:val="00CD596E"/>
    <w:rsid w:val="00CD6D6A"/>
    <w:rsid w:val="00CD6E9E"/>
    <w:rsid w:val="00CD7E67"/>
    <w:rsid w:val="00CE014D"/>
    <w:rsid w:val="00CE032E"/>
    <w:rsid w:val="00CE1516"/>
    <w:rsid w:val="00CE1661"/>
    <w:rsid w:val="00CE310F"/>
    <w:rsid w:val="00CE4956"/>
    <w:rsid w:val="00CE6585"/>
    <w:rsid w:val="00CF0DF3"/>
    <w:rsid w:val="00CF176F"/>
    <w:rsid w:val="00CF1DEC"/>
    <w:rsid w:val="00CF2124"/>
    <w:rsid w:val="00CF2D35"/>
    <w:rsid w:val="00CF3748"/>
    <w:rsid w:val="00CF6C67"/>
    <w:rsid w:val="00D0276A"/>
    <w:rsid w:val="00D072D3"/>
    <w:rsid w:val="00D07874"/>
    <w:rsid w:val="00D10F18"/>
    <w:rsid w:val="00D13E37"/>
    <w:rsid w:val="00D150CC"/>
    <w:rsid w:val="00D1537B"/>
    <w:rsid w:val="00D16681"/>
    <w:rsid w:val="00D17F32"/>
    <w:rsid w:val="00D20AB1"/>
    <w:rsid w:val="00D24DBC"/>
    <w:rsid w:val="00D25134"/>
    <w:rsid w:val="00D2773F"/>
    <w:rsid w:val="00D2795B"/>
    <w:rsid w:val="00D317A4"/>
    <w:rsid w:val="00D3320A"/>
    <w:rsid w:val="00D334A2"/>
    <w:rsid w:val="00D335C1"/>
    <w:rsid w:val="00D347FF"/>
    <w:rsid w:val="00D34979"/>
    <w:rsid w:val="00D35120"/>
    <w:rsid w:val="00D35B7E"/>
    <w:rsid w:val="00D35ED3"/>
    <w:rsid w:val="00D424DF"/>
    <w:rsid w:val="00D42AC6"/>
    <w:rsid w:val="00D439C8"/>
    <w:rsid w:val="00D44558"/>
    <w:rsid w:val="00D45568"/>
    <w:rsid w:val="00D45985"/>
    <w:rsid w:val="00D45AB8"/>
    <w:rsid w:val="00D45F3E"/>
    <w:rsid w:val="00D472E4"/>
    <w:rsid w:val="00D50861"/>
    <w:rsid w:val="00D5092E"/>
    <w:rsid w:val="00D50BF0"/>
    <w:rsid w:val="00D52744"/>
    <w:rsid w:val="00D52E5E"/>
    <w:rsid w:val="00D53825"/>
    <w:rsid w:val="00D55417"/>
    <w:rsid w:val="00D5552C"/>
    <w:rsid w:val="00D55BB6"/>
    <w:rsid w:val="00D62DA7"/>
    <w:rsid w:val="00D6523B"/>
    <w:rsid w:val="00D65EFA"/>
    <w:rsid w:val="00D714C2"/>
    <w:rsid w:val="00D71910"/>
    <w:rsid w:val="00D7245E"/>
    <w:rsid w:val="00D738D6"/>
    <w:rsid w:val="00D739B1"/>
    <w:rsid w:val="00D7490F"/>
    <w:rsid w:val="00D74BF4"/>
    <w:rsid w:val="00D778E1"/>
    <w:rsid w:val="00D77D8F"/>
    <w:rsid w:val="00D8013D"/>
    <w:rsid w:val="00D8311D"/>
    <w:rsid w:val="00D83B16"/>
    <w:rsid w:val="00D857BA"/>
    <w:rsid w:val="00D858FC"/>
    <w:rsid w:val="00D8591E"/>
    <w:rsid w:val="00D86E69"/>
    <w:rsid w:val="00D86FBB"/>
    <w:rsid w:val="00D90E88"/>
    <w:rsid w:val="00D9446E"/>
    <w:rsid w:val="00D94A53"/>
    <w:rsid w:val="00D97281"/>
    <w:rsid w:val="00DA1209"/>
    <w:rsid w:val="00DA1A97"/>
    <w:rsid w:val="00DA2903"/>
    <w:rsid w:val="00DA32BF"/>
    <w:rsid w:val="00DA59DD"/>
    <w:rsid w:val="00DA59F1"/>
    <w:rsid w:val="00DA747F"/>
    <w:rsid w:val="00DB123F"/>
    <w:rsid w:val="00DB1EA5"/>
    <w:rsid w:val="00DB294B"/>
    <w:rsid w:val="00DB321F"/>
    <w:rsid w:val="00DB3A63"/>
    <w:rsid w:val="00DB4286"/>
    <w:rsid w:val="00DB4BA4"/>
    <w:rsid w:val="00DB5736"/>
    <w:rsid w:val="00DB5F46"/>
    <w:rsid w:val="00DB6022"/>
    <w:rsid w:val="00DB648D"/>
    <w:rsid w:val="00DB69B5"/>
    <w:rsid w:val="00DC2D0F"/>
    <w:rsid w:val="00DC3883"/>
    <w:rsid w:val="00DC3D86"/>
    <w:rsid w:val="00DC5750"/>
    <w:rsid w:val="00DC5C03"/>
    <w:rsid w:val="00DC67F2"/>
    <w:rsid w:val="00DD0CEE"/>
    <w:rsid w:val="00DD2875"/>
    <w:rsid w:val="00DD6622"/>
    <w:rsid w:val="00DD6B1A"/>
    <w:rsid w:val="00DD6D7E"/>
    <w:rsid w:val="00DE08FB"/>
    <w:rsid w:val="00DE2AE7"/>
    <w:rsid w:val="00DE3028"/>
    <w:rsid w:val="00DE3CF4"/>
    <w:rsid w:val="00DE4212"/>
    <w:rsid w:val="00DE6B33"/>
    <w:rsid w:val="00DE7FD6"/>
    <w:rsid w:val="00DF1C72"/>
    <w:rsid w:val="00DF2C9B"/>
    <w:rsid w:val="00DF38F4"/>
    <w:rsid w:val="00DF6861"/>
    <w:rsid w:val="00DF72D6"/>
    <w:rsid w:val="00DF76A8"/>
    <w:rsid w:val="00E006E2"/>
    <w:rsid w:val="00E033FF"/>
    <w:rsid w:val="00E06D00"/>
    <w:rsid w:val="00E116B7"/>
    <w:rsid w:val="00E13775"/>
    <w:rsid w:val="00E1403B"/>
    <w:rsid w:val="00E14A44"/>
    <w:rsid w:val="00E16B0B"/>
    <w:rsid w:val="00E172C9"/>
    <w:rsid w:val="00E17912"/>
    <w:rsid w:val="00E21142"/>
    <w:rsid w:val="00E22486"/>
    <w:rsid w:val="00E234D0"/>
    <w:rsid w:val="00E23E1B"/>
    <w:rsid w:val="00E242EF"/>
    <w:rsid w:val="00E24C87"/>
    <w:rsid w:val="00E24F0F"/>
    <w:rsid w:val="00E25B8D"/>
    <w:rsid w:val="00E26242"/>
    <w:rsid w:val="00E30D12"/>
    <w:rsid w:val="00E30FE9"/>
    <w:rsid w:val="00E32341"/>
    <w:rsid w:val="00E3264A"/>
    <w:rsid w:val="00E3442D"/>
    <w:rsid w:val="00E3598D"/>
    <w:rsid w:val="00E4247A"/>
    <w:rsid w:val="00E43B47"/>
    <w:rsid w:val="00E43DFE"/>
    <w:rsid w:val="00E4550A"/>
    <w:rsid w:val="00E476ED"/>
    <w:rsid w:val="00E47E0D"/>
    <w:rsid w:val="00E52003"/>
    <w:rsid w:val="00E543A5"/>
    <w:rsid w:val="00E548DA"/>
    <w:rsid w:val="00E5665C"/>
    <w:rsid w:val="00E56D0F"/>
    <w:rsid w:val="00E601A4"/>
    <w:rsid w:val="00E60B1A"/>
    <w:rsid w:val="00E618BD"/>
    <w:rsid w:val="00E62EEC"/>
    <w:rsid w:val="00E633EA"/>
    <w:rsid w:val="00E6375A"/>
    <w:rsid w:val="00E63E47"/>
    <w:rsid w:val="00E64673"/>
    <w:rsid w:val="00E65771"/>
    <w:rsid w:val="00E66AC9"/>
    <w:rsid w:val="00E67FA4"/>
    <w:rsid w:val="00E725C0"/>
    <w:rsid w:val="00E750B9"/>
    <w:rsid w:val="00E7536C"/>
    <w:rsid w:val="00E75E2D"/>
    <w:rsid w:val="00E77232"/>
    <w:rsid w:val="00E77FFA"/>
    <w:rsid w:val="00E8183D"/>
    <w:rsid w:val="00E81CB9"/>
    <w:rsid w:val="00E82E6C"/>
    <w:rsid w:val="00E8424C"/>
    <w:rsid w:val="00E86077"/>
    <w:rsid w:val="00E86AC3"/>
    <w:rsid w:val="00E87164"/>
    <w:rsid w:val="00E8786A"/>
    <w:rsid w:val="00E87FAD"/>
    <w:rsid w:val="00E9003C"/>
    <w:rsid w:val="00E90393"/>
    <w:rsid w:val="00E91325"/>
    <w:rsid w:val="00E91BAC"/>
    <w:rsid w:val="00E91E3F"/>
    <w:rsid w:val="00E948DA"/>
    <w:rsid w:val="00E952A7"/>
    <w:rsid w:val="00E953C4"/>
    <w:rsid w:val="00E957DF"/>
    <w:rsid w:val="00E9595A"/>
    <w:rsid w:val="00E95C8B"/>
    <w:rsid w:val="00E965DD"/>
    <w:rsid w:val="00E971D7"/>
    <w:rsid w:val="00E974DE"/>
    <w:rsid w:val="00EA11BE"/>
    <w:rsid w:val="00EA1632"/>
    <w:rsid w:val="00EA1EE2"/>
    <w:rsid w:val="00EA4387"/>
    <w:rsid w:val="00EA449D"/>
    <w:rsid w:val="00EA61FB"/>
    <w:rsid w:val="00EA701C"/>
    <w:rsid w:val="00EB1520"/>
    <w:rsid w:val="00EB1E04"/>
    <w:rsid w:val="00EB3E36"/>
    <w:rsid w:val="00EB54AB"/>
    <w:rsid w:val="00EB69B5"/>
    <w:rsid w:val="00EC09A4"/>
    <w:rsid w:val="00EC0D27"/>
    <w:rsid w:val="00EC243C"/>
    <w:rsid w:val="00EC4087"/>
    <w:rsid w:val="00EC53A7"/>
    <w:rsid w:val="00EC668F"/>
    <w:rsid w:val="00EC7402"/>
    <w:rsid w:val="00ED091F"/>
    <w:rsid w:val="00ED3141"/>
    <w:rsid w:val="00ED40A0"/>
    <w:rsid w:val="00ED465B"/>
    <w:rsid w:val="00ED55DB"/>
    <w:rsid w:val="00ED6597"/>
    <w:rsid w:val="00ED6D7F"/>
    <w:rsid w:val="00ED7A25"/>
    <w:rsid w:val="00EE43D9"/>
    <w:rsid w:val="00EE6712"/>
    <w:rsid w:val="00EF1546"/>
    <w:rsid w:val="00EF2675"/>
    <w:rsid w:val="00EF36B9"/>
    <w:rsid w:val="00EF4CF4"/>
    <w:rsid w:val="00EF5660"/>
    <w:rsid w:val="00EF5D65"/>
    <w:rsid w:val="00EF6FC5"/>
    <w:rsid w:val="00F03230"/>
    <w:rsid w:val="00F06801"/>
    <w:rsid w:val="00F10F6C"/>
    <w:rsid w:val="00F1242C"/>
    <w:rsid w:val="00F140E2"/>
    <w:rsid w:val="00F161C9"/>
    <w:rsid w:val="00F16747"/>
    <w:rsid w:val="00F2080D"/>
    <w:rsid w:val="00F214D3"/>
    <w:rsid w:val="00F23C3F"/>
    <w:rsid w:val="00F24214"/>
    <w:rsid w:val="00F245D3"/>
    <w:rsid w:val="00F24EF4"/>
    <w:rsid w:val="00F25619"/>
    <w:rsid w:val="00F26C2B"/>
    <w:rsid w:val="00F27C0D"/>
    <w:rsid w:val="00F31ABA"/>
    <w:rsid w:val="00F31C8F"/>
    <w:rsid w:val="00F32DC3"/>
    <w:rsid w:val="00F33267"/>
    <w:rsid w:val="00F33750"/>
    <w:rsid w:val="00F33DEF"/>
    <w:rsid w:val="00F351DE"/>
    <w:rsid w:val="00F365F9"/>
    <w:rsid w:val="00F37204"/>
    <w:rsid w:val="00F40702"/>
    <w:rsid w:val="00F4237C"/>
    <w:rsid w:val="00F42B9F"/>
    <w:rsid w:val="00F458A7"/>
    <w:rsid w:val="00F46DD9"/>
    <w:rsid w:val="00F46E52"/>
    <w:rsid w:val="00F52A29"/>
    <w:rsid w:val="00F53482"/>
    <w:rsid w:val="00F55614"/>
    <w:rsid w:val="00F55B43"/>
    <w:rsid w:val="00F560CE"/>
    <w:rsid w:val="00F56A21"/>
    <w:rsid w:val="00F57005"/>
    <w:rsid w:val="00F57F87"/>
    <w:rsid w:val="00F60026"/>
    <w:rsid w:val="00F60213"/>
    <w:rsid w:val="00F60DC6"/>
    <w:rsid w:val="00F610C2"/>
    <w:rsid w:val="00F61223"/>
    <w:rsid w:val="00F61C9B"/>
    <w:rsid w:val="00F62B80"/>
    <w:rsid w:val="00F63A7B"/>
    <w:rsid w:val="00F66BF7"/>
    <w:rsid w:val="00F66D5F"/>
    <w:rsid w:val="00F66DF3"/>
    <w:rsid w:val="00F70BED"/>
    <w:rsid w:val="00F711D4"/>
    <w:rsid w:val="00F74B06"/>
    <w:rsid w:val="00F75095"/>
    <w:rsid w:val="00F754A0"/>
    <w:rsid w:val="00F76137"/>
    <w:rsid w:val="00F76545"/>
    <w:rsid w:val="00F76709"/>
    <w:rsid w:val="00F775BE"/>
    <w:rsid w:val="00F8070F"/>
    <w:rsid w:val="00F80D3F"/>
    <w:rsid w:val="00F822E5"/>
    <w:rsid w:val="00F8418D"/>
    <w:rsid w:val="00F844C3"/>
    <w:rsid w:val="00F851B2"/>
    <w:rsid w:val="00F85EDA"/>
    <w:rsid w:val="00F860D0"/>
    <w:rsid w:val="00F86ED2"/>
    <w:rsid w:val="00F92D5D"/>
    <w:rsid w:val="00F945A9"/>
    <w:rsid w:val="00F96615"/>
    <w:rsid w:val="00F966BA"/>
    <w:rsid w:val="00FA3853"/>
    <w:rsid w:val="00FA3F12"/>
    <w:rsid w:val="00FA46CD"/>
    <w:rsid w:val="00FA4BAB"/>
    <w:rsid w:val="00FA4BB3"/>
    <w:rsid w:val="00FA4BB7"/>
    <w:rsid w:val="00FA51A3"/>
    <w:rsid w:val="00FA7479"/>
    <w:rsid w:val="00FB0215"/>
    <w:rsid w:val="00FB11DD"/>
    <w:rsid w:val="00FB1DA0"/>
    <w:rsid w:val="00FB260E"/>
    <w:rsid w:val="00FB2BF8"/>
    <w:rsid w:val="00FB35BC"/>
    <w:rsid w:val="00FB47CB"/>
    <w:rsid w:val="00FB59D6"/>
    <w:rsid w:val="00FB7ECA"/>
    <w:rsid w:val="00FB7EF8"/>
    <w:rsid w:val="00FC49F7"/>
    <w:rsid w:val="00FC6C25"/>
    <w:rsid w:val="00FC6F35"/>
    <w:rsid w:val="00FD0E11"/>
    <w:rsid w:val="00FD1952"/>
    <w:rsid w:val="00FD2832"/>
    <w:rsid w:val="00FD357F"/>
    <w:rsid w:val="00FD4850"/>
    <w:rsid w:val="00FD60DA"/>
    <w:rsid w:val="00FD7867"/>
    <w:rsid w:val="00FD788F"/>
    <w:rsid w:val="00FE02E6"/>
    <w:rsid w:val="00FE0DA0"/>
    <w:rsid w:val="00FE18B9"/>
    <w:rsid w:val="00FE1A86"/>
    <w:rsid w:val="00FE219A"/>
    <w:rsid w:val="00FE23CD"/>
    <w:rsid w:val="00FE3A00"/>
    <w:rsid w:val="00FE3AC6"/>
    <w:rsid w:val="00FF2161"/>
    <w:rsid w:val="00FF44CA"/>
    <w:rsid w:val="00FF4504"/>
    <w:rsid w:val="00FF4828"/>
    <w:rsid w:val="00FF58D1"/>
    <w:rsid w:val="00FF601A"/>
    <w:rsid w:val="00FF6257"/>
    <w:rsid w:val="00FF67AE"/>
    <w:rsid w:val="02E47FBD"/>
    <w:rsid w:val="0C02509D"/>
    <w:rsid w:val="156C61CE"/>
    <w:rsid w:val="193336A3"/>
    <w:rsid w:val="1AFF3398"/>
    <w:rsid w:val="1D5A4E2C"/>
    <w:rsid w:val="1EC75611"/>
    <w:rsid w:val="264276F7"/>
    <w:rsid w:val="2DA16830"/>
    <w:rsid w:val="30AB6968"/>
    <w:rsid w:val="3E7B3CBF"/>
    <w:rsid w:val="4F910093"/>
    <w:rsid w:val="57093B39"/>
    <w:rsid w:val="5AFE15D8"/>
    <w:rsid w:val="5B112A73"/>
    <w:rsid w:val="5FF27A39"/>
    <w:rsid w:val="62BB3F1E"/>
    <w:rsid w:val="6E282B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
      <o:rules v:ext="edit">
        <o:r id="V:Rule1" type="connector" idref="#直接箭头连接符 1022"/>
        <o:r id="V:Rule2" type="connector" idref="#直接箭头连接符 89"/>
        <o:r id="V:Rule3" type="connector" idref="#_x0000_s1455"/>
        <o:r id="V:Rule4" type="connector" idref="#_x0000_s1470"/>
        <o:r id="V:Rule5" type="connector" idref="#直接箭头连接符 1026"/>
        <o:r id="V:Rule6" type="connector" idref="#直接箭头连接符 1038"/>
        <o:r id="V:Rule7" type="connector" idref="#直接箭头连接符 1040"/>
        <o:r id="V:Rule8" type="connector" idref="#直接箭头连接符 1036"/>
        <o:r id="V:Rule9" type="connector" idref="#直接箭头连接符 102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qFormat="1" w:unhideWhenUsed="0" w:uiPriority="0" w:semiHidden="0"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99"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qFormat="1" w:uiPriority="99" w:semiHidden="0" w:name="endnote text"/>
    <w:lsdException w:qFormat="1" w:uiPriority="0" w:name="table of authorities"/>
    <w:lsdException w:uiPriority="99" w:name="macro"/>
    <w:lsdException w:uiPriority="99" w:name="toa heading"/>
    <w:lsdException w:qFormat="1" w:unhideWhenUsed="0" w:uiPriority="99" w:semiHidden="0"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99" w:semiHidden="0" w:name="Body Text"/>
    <w:lsdException w:qFormat="1" w:unhideWhenUsed="0" w:uiPriority="99"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qFormat="1" w:uiPriority="99"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qFormat="1" w:unhideWhenUsed="0" w:uiPriority="0" w:semiHidden="0" w:name="annotation subject"/>
    <w:lsdException w:qFormat="1" w:uiPriority="0"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80" w:lineRule="exact"/>
      <w:ind w:firstLine="200" w:firstLineChars="200"/>
      <w:jc w:val="both"/>
    </w:pPr>
    <w:rPr>
      <w:rFonts w:ascii="Times New Roman" w:hAnsi="Times New Roman" w:eastAsia="宋体" w:cs="Times New Roman"/>
      <w:kern w:val="2"/>
      <w:sz w:val="24"/>
      <w:szCs w:val="21"/>
      <w:lang w:val="en-US" w:eastAsia="zh-CN" w:bidi="ar-SA"/>
    </w:rPr>
  </w:style>
  <w:style w:type="paragraph" w:styleId="4">
    <w:name w:val="heading 1"/>
    <w:basedOn w:val="1"/>
    <w:next w:val="1"/>
    <w:link w:val="63"/>
    <w:qFormat/>
    <w:uiPriority w:val="9"/>
    <w:pPr>
      <w:keepNext/>
      <w:keepLines/>
      <w:spacing w:beforeLines="50" w:afterLines="50"/>
      <w:ind w:firstLine="0" w:firstLineChars="0"/>
      <w:jc w:val="left"/>
      <w:outlineLvl w:val="0"/>
    </w:pPr>
    <w:rPr>
      <w:b/>
      <w:bCs/>
      <w:kern w:val="44"/>
      <w:sz w:val="32"/>
      <w:szCs w:val="44"/>
    </w:rPr>
  </w:style>
  <w:style w:type="paragraph" w:styleId="5">
    <w:name w:val="heading 2"/>
    <w:basedOn w:val="1"/>
    <w:next w:val="1"/>
    <w:link w:val="64"/>
    <w:qFormat/>
    <w:uiPriority w:val="9"/>
    <w:pPr>
      <w:keepNext/>
      <w:keepLines/>
      <w:spacing w:beforeLines="50" w:afterLines="50"/>
      <w:ind w:firstLine="0" w:firstLineChars="0"/>
      <w:jc w:val="left"/>
      <w:outlineLvl w:val="1"/>
    </w:pPr>
    <w:rPr>
      <w:b/>
      <w:bCs/>
      <w:kern w:val="0"/>
      <w:sz w:val="30"/>
      <w:szCs w:val="32"/>
    </w:rPr>
  </w:style>
  <w:style w:type="paragraph" w:styleId="6">
    <w:name w:val="heading 3"/>
    <w:basedOn w:val="1"/>
    <w:next w:val="1"/>
    <w:link w:val="65"/>
    <w:qFormat/>
    <w:uiPriority w:val="9"/>
    <w:pPr>
      <w:keepNext/>
      <w:keepLines/>
      <w:spacing w:beforeLines="50" w:afterLines="50"/>
      <w:ind w:firstLine="0" w:firstLineChars="0"/>
      <w:jc w:val="left"/>
      <w:outlineLvl w:val="2"/>
    </w:pPr>
    <w:rPr>
      <w:b/>
      <w:bCs/>
      <w:kern w:val="0"/>
      <w:sz w:val="28"/>
      <w:szCs w:val="32"/>
    </w:rPr>
  </w:style>
  <w:style w:type="paragraph" w:styleId="3">
    <w:name w:val="heading 4"/>
    <w:basedOn w:val="1"/>
    <w:next w:val="2"/>
    <w:link w:val="62"/>
    <w:qFormat/>
    <w:uiPriority w:val="9"/>
    <w:pPr>
      <w:keepNext/>
      <w:keepLines/>
      <w:spacing w:before="280" w:after="290" w:line="376" w:lineRule="auto"/>
      <w:outlineLvl w:val="3"/>
    </w:pPr>
    <w:rPr>
      <w:rFonts w:ascii="Arial" w:hAnsi="Arial" w:eastAsia="黑体"/>
      <w:b/>
      <w:bCs/>
      <w:kern w:val="0"/>
      <w:sz w:val="28"/>
      <w:szCs w:val="28"/>
    </w:rPr>
  </w:style>
  <w:style w:type="paragraph" w:styleId="7">
    <w:name w:val="heading 5"/>
    <w:basedOn w:val="1"/>
    <w:next w:val="1"/>
    <w:link w:val="66"/>
    <w:qFormat/>
    <w:uiPriority w:val="0"/>
    <w:pPr>
      <w:keepNext/>
      <w:keepLines/>
      <w:adjustRightInd w:val="0"/>
      <w:spacing w:line="240" w:lineRule="auto"/>
      <w:ind w:firstLine="0" w:firstLineChars="0"/>
      <w:jc w:val="center"/>
      <w:textAlignment w:val="baseline"/>
      <w:outlineLvl w:val="4"/>
    </w:pPr>
    <w:rPr>
      <w:b/>
      <w:kern w:val="0"/>
      <w:sz w:val="20"/>
      <w:szCs w:val="20"/>
    </w:rPr>
  </w:style>
  <w:style w:type="paragraph" w:styleId="8">
    <w:name w:val="heading 6"/>
    <w:basedOn w:val="1"/>
    <w:next w:val="1"/>
    <w:link w:val="67"/>
    <w:qFormat/>
    <w:uiPriority w:val="0"/>
    <w:pPr>
      <w:keepNext/>
      <w:keepLines/>
      <w:adjustRightInd w:val="0"/>
      <w:spacing w:line="240" w:lineRule="auto"/>
      <w:ind w:firstLine="0" w:firstLineChars="0"/>
      <w:jc w:val="center"/>
      <w:textAlignment w:val="baseline"/>
      <w:outlineLvl w:val="5"/>
    </w:pPr>
    <w:rPr>
      <w:kern w:val="0"/>
      <w:sz w:val="20"/>
      <w:szCs w:val="20"/>
    </w:rPr>
  </w:style>
  <w:style w:type="paragraph" w:styleId="9">
    <w:name w:val="heading 7"/>
    <w:basedOn w:val="1"/>
    <w:next w:val="1"/>
    <w:link w:val="68"/>
    <w:qFormat/>
    <w:uiPriority w:val="0"/>
    <w:pPr>
      <w:keepNext/>
      <w:keepLines/>
      <w:adjustRightInd w:val="0"/>
      <w:spacing w:before="240" w:after="64" w:line="320" w:lineRule="atLeast"/>
      <w:jc w:val="left"/>
      <w:textAlignment w:val="baseline"/>
      <w:outlineLvl w:val="6"/>
    </w:pPr>
    <w:rPr>
      <w:b/>
      <w:kern w:val="0"/>
      <w:szCs w:val="20"/>
    </w:rPr>
  </w:style>
  <w:style w:type="paragraph" w:styleId="10">
    <w:name w:val="heading 8"/>
    <w:basedOn w:val="1"/>
    <w:next w:val="1"/>
    <w:link w:val="69"/>
    <w:qFormat/>
    <w:uiPriority w:val="0"/>
    <w:pPr>
      <w:keepNext/>
      <w:keepLines/>
      <w:adjustRightInd w:val="0"/>
      <w:spacing w:before="240" w:after="64" w:line="320" w:lineRule="atLeast"/>
      <w:jc w:val="left"/>
      <w:textAlignment w:val="baseline"/>
      <w:outlineLvl w:val="7"/>
    </w:pPr>
    <w:rPr>
      <w:rFonts w:ascii="Arial" w:hAnsi="Arial" w:eastAsia="黑体"/>
      <w:kern w:val="0"/>
      <w:szCs w:val="20"/>
    </w:rPr>
  </w:style>
  <w:style w:type="paragraph" w:styleId="11">
    <w:name w:val="heading 9"/>
    <w:basedOn w:val="1"/>
    <w:next w:val="1"/>
    <w:link w:val="70"/>
    <w:qFormat/>
    <w:uiPriority w:val="0"/>
    <w:pPr>
      <w:keepNext/>
      <w:keepLines/>
      <w:adjustRightInd w:val="0"/>
      <w:spacing w:before="240" w:after="64" w:line="320" w:lineRule="atLeast"/>
      <w:jc w:val="left"/>
      <w:textAlignment w:val="baseline"/>
      <w:outlineLvl w:val="8"/>
    </w:pPr>
    <w:rPr>
      <w:rFonts w:ascii="Arial" w:hAnsi="Arial" w:eastAsia="黑体"/>
      <w:kern w:val="0"/>
      <w:szCs w:val="20"/>
    </w:rPr>
  </w:style>
  <w:style w:type="character" w:default="1" w:styleId="54">
    <w:name w:val="Default Paragraph Font"/>
    <w:semiHidden/>
    <w:unhideWhenUsed/>
    <w:uiPriority w:val="1"/>
  </w:style>
  <w:style w:type="table" w:default="1" w:styleId="52">
    <w:name w:val="Normal Table"/>
    <w:semiHidden/>
    <w:unhideWhenUsed/>
    <w:uiPriority w:val="99"/>
    <w:tblPr>
      <w:tblCellMar>
        <w:top w:w="0" w:type="dxa"/>
        <w:left w:w="108" w:type="dxa"/>
        <w:bottom w:w="0" w:type="dxa"/>
        <w:right w:w="108" w:type="dxa"/>
      </w:tblCellMar>
    </w:tblPr>
  </w:style>
  <w:style w:type="paragraph" w:styleId="2">
    <w:name w:val="Normal Indent"/>
    <w:basedOn w:val="1"/>
    <w:next w:val="3"/>
    <w:link w:val="61"/>
    <w:qFormat/>
    <w:uiPriority w:val="99"/>
    <w:pPr>
      <w:ind w:firstLine="420"/>
    </w:pPr>
    <w:rPr>
      <w:kern w:val="0"/>
      <w:szCs w:val="20"/>
    </w:rPr>
  </w:style>
  <w:style w:type="paragraph" w:styleId="12">
    <w:name w:val="toc 7"/>
    <w:basedOn w:val="1"/>
    <w:next w:val="1"/>
    <w:qFormat/>
    <w:uiPriority w:val="0"/>
    <w:pPr>
      <w:ind w:left="1440"/>
      <w:jc w:val="left"/>
    </w:pPr>
    <w:rPr>
      <w:sz w:val="18"/>
      <w:szCs w:val="18"/>
    </w:rPr>
  </w:style>
  <w:style w:type="paragraph" w:styleId="13">
    <w:name w:val="Note Heading"/>
    <w:basedOn w:val="1"/>
    <w:next w:val="1"/>
    <w:link w:val="71"/>
    <w:unhideWhenUsed/>
    <w:qFormat/>
    <w:uiPriority w:val="99"/>
    <w:pPr>
      <w:jc w:val="center"/>
    </w:pPr>
    <w:rPr>
      <w:kern w:val="0"/>
    </w:rPr>
  </w:style>
  <w:style w:type="paragraph" w:styleId="14">
    <w:name w:val="caption"/>
    <w:basedOn w:val="1"/>
    <w:next w:val="1"/>
    <w:qFormat/>
    <w:uiPriority w:val="35"/>
    <w:pPr>
      <w:spacing w:line="240" w:lineRule="auto"/>
      <w:ind w:firstLine="0" w:firstLineChars="0"/>
    </w:pPr>
    <w:rPr>
      <w:rFonts w:ascii="Cambria" w:hAnsi="Cambria" w:eastAsia="黑体"/>
      <w:color w:val="000000"/>
      <w:sz w:val="20"/>
      <w:szCs w:val="20"/>
    </w:rPr>
  </w:style>
  <w:style w:type="paragraph" w:styleId="15">
    <w:name w:val="Document Map"/>
    <w:basedOn w:val="1"/>
    <w:link w:val="72"/>
    <w:qFormat/>
    <w:uiPriority w:val="0"/>
    <w:pPr>
      <w:shd w:val="clear" w:color="auto" w:fill="000080"/>
    </w:pPr>
    <w:rPr>
      <w:kern w:val="0"/>
      <w:szCs w:val="24"/>
    </w:rPr>
  </w:style>
  <w:style w:type="paragraph" w:styleId="16">
    <w:name w:val="annotation text"/>
    <w:basedOn w:val="1"/>
    <w:link w:val="73"/>
    <w:qFormat/>
    <w:uiPriority w:val="0"/>
    <w:pPr>
      <w:jc w:val="left"/>
    </w:pPr>
    <w:rPr>
      <w:kern w:val="0"/>
    </w:rPr>
  </w:style>
  <w:style w:type="paragraph" w:styleId="17">
    <w:name w:val="Body Text 3"/>
    <w:basedOn w:val="1"/>
    <w:link w:val="74"/>
    <w:qFormat/>
    <w:uiPriority w:val="0"/>
    <w:rPr>
      <w:kern w:val="0"/>
      <w:sz w:val="28"/>
      <w:szCs w:val="24"/>
    </w:rPr>
  </w:style>
  <w:style w:type="paragraph" w:styleId="18">
    <w:name w:val="Body Text"/>
    <w:basedOn w:val="1"/>
    <w:next w:val="1"/>
    <w:link w:val="75"/>
    <w:qFormat/>
    <w:uiPriority w:val="99"/>
    <w:pPr>
      <w:spacing w:after="120"/>
    </w:pPr>
    <w:rPr>
      <w:kern w:val="0"/>
    </w:rPr>
  </w:style>
  <w:style w:type="paragraph" w:styleId="19">
    <w:name w:val="Body Text Indent"/>
    <w:basedOn w:val="1"/>
    <w:next w:val="14"/>
    <w:link w:val="76"/>
    <w:qFormat/>
    <w:uiPriority w:val="99"/>
    <w:pPr>
      <w:spacing w:after="120"/>
      <w:ind w:left="420" w:leftChars="200"/>
    </w:pPr>
    <w:rPr>
      <w:kern w:val="0"/>
    </w:rPr>
  </w:style>
  <w:style w:type="paragraph" w:styleId="20">
    <w:name w:val="List 2"/>
    <w:basedOn w:val="1"/>
    <w:qFormat/>
    <w:uiPriority w:val="0"/>
    <w:pPr>
      <w:spacing w:line="560" w:lineRule="exact"/>
      <w:ind w:left="100" w:leftChars="200" w:hanging="200" w:hangingChars="200"/>
      <w:contextualSpacing/>
    </w:pPr>
    <w:rPr>
      <w:szCs w:val="24"/>
    </w:rPr>
  </w:style>
  <w:style w:type="paragraph" w:styleId="21">
    <w:name w:val="Block Text"/>
    <w:basedOn w:val="1"/>
    <w:qFormat/>
    <w:uiPriority w:val="0"/>
    <w:pPr>
      <w:spacing w:line="500" w:lineRule="atLeast"/>
      <w:ind w:left="-6" w:right="-80" w:rightChars="-80" w:firstLine="560"/>
    </w:pPr>
    <w:rPr>
      <w:rFonts w:eastAsia="方正仿宋简体"/>
      <w:sz w:val="28"/>
      <w:szCs w:val="20"/>
    </w:rPr>
  </w:style>
  <w:style w:type="paragraph" w:styleId="22">
    <w:name w:val="toc 5"/>
    <w:basedOn w:val="1"/>
    <w:next w:val="1"/>
    <w:qFormat/>
    <w:uiPriority w:val="0"/>
    <w:pPr>
      <w:ind w:left="960"/>
      <w:jc w:val="left"/>
    </w:pPr>
    <w:rPr>
      <w:sz w:val="18"/>
      <w:szCs w:val="18"/>
    </w:rPr>
  </w:style>
  <w:style w:type="paragraph" w:styleId="23">
    <w:name w:val="toc 3"/>
    <w:basedOn w:val="1"/>
    <w:next w:val="1"/>
    <w:qFormat/>
    <w:uiPriority w:val="0"/>
    <w:pPr>
      <w:ind w:left="480"/>
      <w:jc w:val="left"/>
    </w:pPr>
    <w:rPr>
      <w:i/>
      <w:iCs/>
      <w:sz w:val="20"/>
      <w:szCs w:val="20"/>
    </w:rPr>
  </w:style>
  <w:style w:type="paragraph" w:styleId="24">
    <w:name w:val="Plain Text"/>
    <w:basedOn w:val="1"/>
    <w:link w:val="77"/>
    <w:qFormat/>
    <w:uiPriority w:val="0"/>
    <w:rPr>
      <w:rFonts w:ascii="宋体" w:hAnsi="Courier New"/>
      <w:kern w:val="0"/>
    </w:rPr>
  </w:style>
  <w:style w:type="paragraph" w:styleId="25">
    <w:name w:val="toc 8"/>
    <w:basedOn w:val="1"/>
    <w:next w:val="1"/>
    <w:qFormat/>
    <w:uiPriority w:val="0"/>
    <w:pPr>
      <w:ind w:left="1680"/>
      <w:jc w:val="left"/>
    </w:pPr>
    <w:rPr>
      <w:sz w:val="18"/>
      <w:szCs w:val="18"/>
    </w:rPr>
  </w:style>
  <w:style w:type="paragraph" w:styleId="26">
    <w:name w:val="Date"/>
    <w:basedOn w:val="1"/>
    <w:next w:val="1"/>
    <w:link w:val="78"/>
    <w:qFormat/>
    <w:uiPriority w:val="99"/>
    <w:pPr>
      <w:ind w:left="100" w:leftChars="2500"/>
    </w:pPr>
    <w:rPr>
      <w:kern w:val="0"/>
    </w:rPr>
  </w:style>
  <w:style w:type="paragraph" w:styleId="27">
    <w:name w:val="Body Text Indent 2"/>
    <w:basedOn w:val="1"/>
    <w:link w:val="79"/>
    <w:qFormat/>
    <w:uiPriority w:val="99"/>
    <w:pPr>
      <w:spacing w:after="120" w:line="480" w:lineRule="auto"/>
      <w:ind w:left="420" w:leftChars="200"/>
    </w:pPr>
    <w:rPr>
      <w:kern w:val="0"/>
      <w:szCs w:val="24"/>
    </w:rPr>
  </w:style>
  <w:style w:type="paragraph" w:styleId="28">
    <w:name w:val="endnote text"/>
    <w:basedOn w:val="1"/>
    <w:link w:val="80"/>
    <w:unhideWhenUsed/>
    <w:qFormat/>
    <w:uiPriority w:val="99"/>
    <w:pPr>
      <w:snapToGrid w:val="0"/>
      <w:jc w:val="left"/>
    </w:pPr>
    <w:rPr>
      <w:rFonts w:ascii="仿宋_GB2312" w:hAnsi="Calibri" w:eastAsia="仿宋_GB2312"/>
      <w:kern w:val="0"/>
      <w:szCs w:val="24"/>
    </w:rPr>
  </w:style>
  <w:style w:type="paragraph" w:styleId="29">
    <w:name w:val="Balloon Text"/>
    <w:basedOn w:val="1"/>
    <w:link w:val="81"/>
    <w:qFormat/>
    <w:uiPriority w:val="0"/>
    <w:rPr>
      <w:kern w:val="0"/>
      <w:sz w:val="18"/>
      <w:szCs w:val="18"/>
    </w:rPr>
  </w:style>
  <w:style w:type="paragraph" w:styleId="30">
    <w:name w:val="footer"/>
    <w:basedOn w:val="1"/>
    <w:link w:val="82"/>
    <w:unhideWhenUsed/>
    <w:qFormat/>
    <w:uiPriority w:val="0"/>
    <w:pPr>
      <w:tabs>
        <w:tab w:val="center" w:pos="4153"/>
        <w:tab w:val="right" w:pos="8306"/>
      </w:tabs>
      <w:snapToGrid w:val="0"/>
      <w:jc w:val="left"/>
    </w:pPr>
    <w:rPr>
      <w:kern w:val="0"/>
      <w:sz w:val="18"/>
      <w:szCs w:val="18"/>
    </w:rPr>
  </w:style>
  <w:style w:type="paragraph" w:styleId="31">
    <w:name w:val="header"/>
    <w:basedOn w:val="1"/>
    <w:link w:val="83"/>
    <w:unhideWhenUsed/>
    <w:qFormat/>
    <w:uiPriority w:val="0"/>
    <w:pPr>
      <w:pBdr>
        <w:bottom w:val="single" w:color="auto" w:sz="6" w:space="1"/>
      </w:pBdr>
      <w:tabs>
        <w:tab w:val="center" w:pos="4153"/>
        <w:tab w:val="right" w:pos="8306"/>
      </w:tabs>
      <w:snapToGrid w:val="0"/>
      <w:jc w:val="center"/>
    </w:pPr>
    <w:rPr>
      <w:kern w:val="0"/>
      <w:sz w:val="18"/>
      <w:szCs w:val="18"/>
    </w:rPr>
  </w:style>
  <w:style w:type="paragraph" w:styleId="32">
    <w:name w:val="toc 1"/>
    <w:basedOn w:val="1"/>
    <w:next w:val="1"/>
    <w:qFormat/>
    <w:uiPriority w:val="39"/>
    <w:pPr>
      <w:spacing w:before="120" w:after="120"/>
      <w:ind w:firstLine="0" w:firstLineChars="0"/>
      <w:jc w:val="left"/>
    </w:pPr>
    <w:rPr>
      <w:b/>
      <w:bCs/>
      <w:caps/>
      <w:szCs w:val="20"/>
    </w:rPr>
  </w:style>
  <w:style w:type="paragraph" w:styleId="33">
    <w:name w:val="toc 4"/>
    <w:basedOn w:val="1"/>
    <w:next w:val="1"/>
    <w:qFormat/>
    <w:uiPriority w:val="0"/>
    <w:pPr>
      <w:ind w:left="720"/>
      <w:jc w:val="left"/>
    </w:pPr>
    <w:rPr>
      <w:sz w:val="18"/>
      <w:szCs w:val="18"/>
    </w:rPr>
  </w:style>
  <w:style w:type="paragraph" w:styleId="34">
    <w:name w:val="index heading"/>
    <w:basedOn w:val="1"/>
    <w:next w:val="35"/>
    <w:qFormat/>
    <w:uiPriority w:val="0"/>
    <w:pPr>
      <w:spacing w:line="240" w:lineRule="auto"/>
      <w:ind w:firstLine="0" w:firstLineChars="0"/>
    </w:pPr>
    <w:rPr>
      <w:rFonts w:ascii="Plotter" w:hAnsi="Plotter" w:cs="Courier New"/>
      <w:kern w:val="0"/>
      <w:sz w:val="21"/>
      <w:szCs w:val="20"/>
    </w:rPr>
  </w:style>
  <w:style w:type="paragraph" w:styleId="35">
    <w:name w:val="index 1"/>
    <w:basedOn w:val="1"/>
    <w:next w:val="1"/>
    <w:unhideWhenUsed/>
    <w:qFormat/>
    <w:uiPriority w:val="0"/>
    <w:pPr>
      <w:ind w:firstLine="0"/>
    </w:pPr>
  </w:style>
  <w:style w:type="paragraph" w:styleId="36">
    <w:name w:val="Subtitle"/>
    <w:basedOn w:val="1"/>
    <w:next w:val="1"/>
    <w:link w:val="84"/>
    <w:qFormat/>
    <w:uiPriority w:val="11"/>
    <w:pPr>
      <w:widowControl/>
      <w:adjustRightInd w:val="0"/>
      <w:snapToGrid w:val="0"/>
      <w:spacing w:beforeLines="50"/>
      <w:ind w:firstLine="0" w:firstLineChars="0"/>
      <w:jc w:val="left"/>
      <w:outlineLvl w:val="2"/>
    </w:pPr>
    <w:rPr>
      <w:b/>
      <w:bCs/>
      <w:kern w:val="28"/>
      <w:sz w:val="28"/>
      <w:szCs w:val="32"/>
    </w:rPr>
  </w:style>
  <w:style w:type="paragraph" w:styleId="37">
    <w:name w:val="List"/>
    <w:basedOn w:val="20"/>
    <w:qFormat/>
    <w:uiPriority w:val="99"/>
    <w:pPr>
      <w:spacing w:line="400" w:lineRule="exact"/>
      <w:ind w:left="0" w:leftChars="0" w:firstLine="0" w:firstLineChars="0"/>
      <w:jc w:val="center"/>
    </w:pPr>
    <w:rPr>
      <w:rFonts w:eastAsia="仿宋_GB2312"/>
    </w:rPr>
  </w:style>
  <w:style w:type="paragraph" w:styleId="38">
    <w:name w:val="toc 6"/>
    <w:basedOn w:val="1"/>
    <w:next w:val="1"/>
    <w:qFormat/>
    <w:uiPriority w:val="0"/>
    <w:pPr>
      <w:ind w:left="1200"/>
      <w:jc w:val="left"/>
    </w:pPr>
    <w:rPr>
      <w:sz w:val="18"/>
      <w:szCs w:val="18"/>
    </w:rPr>
  </w:style>
  <w:style w:type="paragraph" w:styleId="39">
    <w:name w:val="Body Text Indent 3"/>
    <w:basedOn w:val="1"/>
    <w:link w:val="85"/>
    <w:qFormat/>
    <w:uiPriority w:val="0"/>
    <w:pPr>
      <w:spacing w:after="120"/>
      <w:ind w:left="420" w:leftChars="200"/>
    </w:pPr>
    <w:rPr>
      <w:kern w:val="0"/>
      <w:sz w:val="16"/>
      <w:szCs w:val="16"/>
    </w:rPr>
  </w:style>
  <w:style w:type="paragraph" w:styleId="40">
    <w:name w:val="table of figures"/>
    <w:basedOn w:val="1"/>
    <w:next w:val="1"/>
    <w:qFormat/>
    <w:uiPriority w:val="0"/>
    <w:pPr>
      <w:spacing w:beforeLines="50" w:afterLines="50" w:line="420" w:lineRule="exact"/>
      <w:jc w:val="center"/>
    </w:pPr>
    <w:rPr>
      <w:rFonts w:eastAsia="仿宋_GB2312"/>
      <w:b/>
      <w:color w:val="000000"/>
      <w:kern w:val="0"/>
      <w:szCs w:val="24"/>
      <w:u w:color="000000"/>
    </w:rPr>
  </w:style>
  <w:style w:type="paragraph" w:styleId="41">
    <w:name w:val="toc 2"/>
    <w:basedOn w:val="1"/>
    <w:next w:val="1"/>
    <w:qFormat/>
    <w:uiPriority w:val="39"/>
    <w:pPr>
      <w:ind w:firstLine="100" w:firstLineChars="100"/>
      <w:jc w:val="left"/>
    </w:pPr>
    <w:rPr>
      <w:smallCaps/>
      <w:szCs w:val="20"/>
    </w:rPr>
  </w:style>
  <w:style w:type="paragraph" w:styleId="42">
    <w:name w:val="toc 9"/>
    <w:basedOn w:val="1"/>
    <w:next w:val="1"/>
    <w:qFormat/>
    <w:uiPriority w:val="0"/>
    <w:pPr>
      <w:ind w:left="1920"/>
      <w:jc w:val="left"/>
    </w:pPr>
    <w:rPr>
      <w:sz w:val="18"/>
      <w:szCs w:val="18"/>
    </w:rPr>
  </w:style>
  <w:style w:type="paragraph" w:styleId="43">
    <w:name w:val="Body Text 2"/>
    <w:basedOn w:val="1"/>
    <w:link w:val="86"/>
    <w:qFormat/>
    <w:uiPriority w:val="0"/>
    <w:pPr>
      <w:tabs>
        <w:tab w:val="left" w:pos="945"/>
      </w:tabs>
      <w:snapToGrid w:val="0"/>
      <w:spacing w:line="460" w:lineRule="exact"/>
    </w:pPr>
    <w:rPr>
      <w:kern w:val="0"/>
      <w:szCs w:val="24"/>
    </w:rPr>
  </w:style>
  <w:style w:type="paragraph" w:styleId="44">
    <w:name w:val="List Continue 2"/>
    <w:basedOn w:val="1"/>
    <w:qFormat/>
    <w:uiPriority w:val="0"/>
    <w:pPr>
      <w:spacing w:after="120" w:line="240" w:lineRule="auto"/>
      <w:ind w:left="840" w:leftChars="400" w:firstLine="0" w:firstLineChars="0"/>
    </w:pPr>
    <w:rPr>
      <w:sz w:val="21"/>
      <w:szCs w:val="24"/>
    </w:rPr>
  </w:style>
  <w:style w:type="paragraph" w:styleId="45">
    <w:name w:val="HTML Preformatted"/>
    <w:basedOn w:val="1"/>
    <w:link w:val="8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firstLineChars="0"/>
      <w:jc w:val="left"/>
    </w:pPr>
    <w:rPr>
      <w:rFonts w:ascii="Arial" w:hAnsi="Arial"/>
      <w:kern w:val="0"/>
      <w:szCs w:val="24"/>
    </w:rPr>
  </w:style>
  <w:style w:type="paragraph" w:styleId="46">
    <w:name w:val="Normal (Web)"/>
    <w:basedOn w:val="1"/>
    <w:link w:val="88"/>
    <w:qFormat/>
    <w:uiPriority w:val="99"/>
    <w:pPr>
      <w:widowControl/>
      <w:spacing w:before="100" w:beforeAutospacing="1" w:after="100" w:afterAutospacing="1"/>
      <w:jc w:val="left"/>
    </w:pPr>
    <w:rPr>
      <w:rFonts w:ascii="宋体" w:hAnsi="宋体"/>
      <w:kern w:val="0"/>
      <w:szCs w:val="24"/>
    </w:rPr>
  </w:style>
  <w:style w:type="paragraph" w:styleId="47">
    <w:name w:val="index 2"/>
    <w:basedOn w:val="1"/>
    <w:next w:val="1"/>
    <w:qFormat/>
    <w:uiPriority w:val="0"/>
    <w:pPr>
      <w:spacing w:line="240" w:lineRule="auto"/>
      <w:ind w:left="420" w:hanging="210" w:firstLineChars="0"/>
      <w:jc w:val="left"/>
    </w:pPr>
    <w:rPr>
      <w:sz w:val="20"/>
      <w:szCs w:val="20"/>
    </w:rPr>
  </w:style>
  <w:style w:type="paragraph" w:styleId="48">
    <w:name w:val="Title"/>
    <w:basedOn w:val="1"/>
    <w:next w:val="1"/>
    <w:link w:val="89"/>
    <w:qFormat/>
    <w:uiPriority w:val="0"/>
    <w:pPr>
      <w:widowControl/>
      <w:adjustRightInd w:val="0"/>
      <w:snapToGrid w:val="0"/>
      <w:spacing w:beforeLines="50" w:afterLines="50"/>
      <w:ind w:firstLine="0" w:firstLineChars="0"/>
      <w:jc w:val="left"/>
      <w:outlineLvl w:val="1"/>
    </w:pPr>
    <w:rPr>
      <w:rFonts w:eastAsia="黑体"/>
      <w:bCs/>
      <w:kern w:val="0"/>
      <w:sz w:val="28"/>
      <w:szCs w:val="32"/>
    </w:rPr>
  </w:style>
  <w:style w:type="paragraph" w:styleId="49">
    <w:name w:val="annotation subject"/>
    <w:basedOn w:val="16"/>
    <w:next w:val="16"/>
    <w:link w:val="90"/>
    <w:qFormat/>
    <w:uiPriority w:val="0"/>
    <w:rPr>
      <w:b/>
      <w:bCs/>
    </w:rPr>
  </w:style>
  <w:style w:type="paragraph" w:styleId="50">
    <w:name w:val="Body Text First Indent"/>
    <w:basedOn w:val="1"/>
    <w:link w:val="91"/>
    <w:qFormat/>
    <w:uiPriority w:val="0"/>
    <w:pPr>
      <w:jc w:val="center"/>
    </w:pPr>
    <w:rPr>
      <w:rFonts w:eastAsia="楷体_GB2312"/>
      <w:color w:val="000000"/>
      <w:kern w:val="0"/>
    </w:rPr>
  </w:style>
  <w:style w:type="paragraph" w:styleId="51">
    <w:name w:val="Body Text First Indent 2"/>
    <w:basedOn w:val="19"/>
    <w:link w:val="92"/>
    <w:qFormat/>
    <w:uiPriority w:val="0"/>
    <w:pPr>
      <w:snapToGrid w:val="0"/>
      <w:spacing w:after="0" w:line="500" w:lineRule="atLeast"/>
      <w:ind w:left="0" w:leftChars="0" w:firstLine="552"/>
    </w:pPr>
    <w:rPr>
      <w:spacing w:val="-2"/>
      <w:sz w:val="28"/>
      <w:szCs w:val="24"/>
    </w:rPr>
  </w:style>
  <w:style w:type="table" w:styleId="53">
    <w:name w:val="Table Grid"/>
    <w:basedOn w:val="52"/>
    <w:qFormat/>
    <w:uiPriority w:val="59"/>
    <w:pPr>
      <w:widowControl w:val="0"/>
      <w:jc w:val="center"/>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character" w:styleId="55">
    <w:name w:val="Strong"/>
    <w:qFormat/>
    <w:uiPriority w:val="0"/>
    <w:rPr>
      <w:b/>
      <w:bCs/>
    </w:rPr>
  </w:style>
  <w:style w:type="character" w:styleId="56">
    <w:name w:val="page number"/>
    <w:basedOn w:val="54"/>
    <w:qFormat/>
    <w:uiPriority w:val="0"/>
  </w:style>
  <w:style w:type="character" w:styleId="57">
    <w:name w:val="FollowedHyperlink"/>
    <w:qFormat/>
    <w:uiPriority w:val="99"/>
    <w:rPr>
      <w:color w:val="800080"/>
      <w:u w:val="single"/>
    </w:rPr>
  </w:style>
  <w:style w:type="character" w:styleId="58">
    <w:name w:val="Emphasis"/>
    <w:qFormat/>
    <w:uiPriority w:val="0"/>
    <w:rPr>
      <w:rFonts w:eastAsia="宋体"/>
      <w:b/>
      <w:iCs/>
      <w:sz w:val="24"/>
    </w:rPr>
  </w:style>
  <w:style w:type="character" w:styleId="59">
    <w:name w:val="Hyperlink"/>
    <w:qFormat/>
    <w:uiPriority w:val="99"/>
    <w:rPr>
      <w:color w:val="0000FF"/>
      <w:u w:val="single"/>
    </w:rPr>
  </w:style>
  <w:style w:type="character" w:styleId="60">
    <w:name w:val="annotation reference"/>
    <w:qFormat/>
    <w:uiPriority w:val="0"/>
    <w:rPr>
      <w:sz w:val="21"/>
      <w:szCs w:val="21"/>
    </w:rPr>
  </w:style>
  <w:style w:type="character" w:customStyle="1" w:styleId="61">
    <w:name w:val="正文缩进 字符"/>
    <w:link w:val="2"/>
    <w:qFormat/>
    <w:locked/>
    <w:uiPriority w:val="0"/>
    <w:rPr>
      <w:rFonts w:ascii="Times New Roman" w:hAnsi="Times New Roman" w:eastAsia="宋体" w:cs="Times New Roman"/>
      <w:sz w:val="24"/>
      <w:szCs w:val="20"/>
    </w:rPr>
  </w:style>
  <w:style w:type="character" w:customStyle="1" w:styleId="62">
    <w:name w:val="标题 4 字符"/>
    <w:link w:val="3"/>
    <w:qFormat/>
    <w:uiPriority w:val="9"/>
    <w:rPr>
      <w:rFonts w:ascii="Arial" w:hAnsi="Arial" w:eastAsia="黑体" w:cs="Times New Roman"/>
      <w:b/>
      <w:bCs/>
      <w:sz w:val="28"/>
      <w:szCs w:val="28"/>
    </w:rPr>
  </w:style>
  <w:style w:type="character" w:customStyle="1" w:styleId="63">
    <w:name w:val="标题 1 字符"/>
    <w:link w:val="4"/>
    <w:qFormat/>
    <w:uiPriority w:val="9"/>
    <w:rPr>
      <w:rFonts w:ascii="Times New Roman" w:hAnsi="Times New Roman" w:eastAsia="宋体" w:cs="Times New Roman"/>
      <w:b/>
      <w:bCs/>
      <w:kern w:val="44"/>
      <w:sz w:val="32"/>
      <w:szCs w:val="44"/>
    </w:rPr>
  </w:style>
  <w:style w:type="character" w:customStyle="1" w:styleId="64">
    <w:name w:val="标题 2 字符"/>
    <w:link w:val="5"/>
    <w:qFormat/>
    <w:uiPriority w:val="9"/>
    <w:rPr>
      <w:rFonts w:ascii="Times New Roman" w:hAnsi="Times New Roman" w:eastAsia="宋体" w:cs="Times New Roman"/>
      <w:b/>
      <w:bCs/>
      <w:sz w:val="30"/>
      <w:szCs w:val="32"/>
    </w:rPr>
  </w:style>
  <w:style w:type="character" w:customStyle="1" w:styleId="65">
    <w:name w:val="标题 3 字符"/>
    <w:link w:val="6"/>
    <w:qFormat/>
    <w:uiPriority w:val="9"/>
    <w:rPr>
      <w:rFonts w:ascii="Times New Roman" w:hAnsi="Times New Roman" w:eastAsia="宋体" w:cs="Times New Roman"/>
      <w:b/>
      <w:bCs/>
      <w:sz w:val="28"/>
      <w:szCs w:val="32"/>
    </w:rPr>
  </w:style>
  <w:style w:type="character" w:customStyle="1" w:styleId="66">
    <w:name w:val="标题 5 字符"/>
    <w:link w:val="7"/>
    <w:qFormat/>
    <w:uiPriority w:val="0"/>
    <w:rPr>
      <w:rFonts w:ascii="Times New Roman" w:hAnsi="Times New Roman" w:eastAsia="宋体" w:cs="Times New Roman"/>
      <w:b/>
      <w:kern w:val="0"/>
      <w:szCs w:val="20"/>
    </w:rPr>
  </w:style>
  <w:style w:type="character" w:customStyle="1" w:styleId="67">
    <w:name w:val="标题 6 字符"/>
    <w:link w:val="8"/>
    <w:qFormat/>
    <w:uiPriority w:val="0"/>
    <w:rPr>
      <w:rFonts w:ascii="Times New Roman" w:hAnsi="Times New Roman" w:eastAsia="宋体" w:cs="Times New Roman"/>
      <w:kern w:val="0"/>
      <w:szCs w:val="20"/>
    </w:rPr>
  </w:style>
  <w:style w:type="character" w:customStyle="1" w:styleId="68">
    <w:name w:val="标题 7 字符"/>
    <w:link w:val="9"/>
    <w:qFormat/>
    <w:uiPriority w:val="0"/>
    <w:rPr>
      <w:rFonts w:ascii="Times New Roman" w:hAnsi="Times New Roman" w:eastAsia="宋体" w:cs="Times New Roman"/>
      <w:b/>
      <w:kern w:val="0"/>
      <w:sz w:val="24"/>
      <w:szCs w:val="20"/>
    </w:rPr>
  </w:style>
  <w:style w:type="character" w:customStyle="1" w:styleId="69">
    <w:name w:val="标题 8 字符"/>
    <w:link w:val="10"/>
    <w:qFormat/>
    <w:uiPriority w:val="0"/>
    <w:rPr>
      <w:rFonts w:ascii="Arial" w:hAnsi="Arial" w:eastAsia="黑体" w:cs="Times New Roman"/>
      <w:kern w:val="0"/>
      <w:sz w:val="24"/>
      <w:szCs w:val="20"/>
    </w:rPr>
  </w:style>
  <w:style w:type="character" w:customStyle="1" w:styleId="70">
    <w:name w:val="标题 9 字符"/>
    <w:link w:val="11"/>
    <w:qFormat/>
    <w:uiPriority w:val="0"/>
    <w:rPr>
      <w:rFonts w:ascii="Arial" w:hAnsi="Arial" w:eastAsia="黑体" w:cs="Times New Roman"/>
      <w:kern w:val="0"/>
      <w:sz w:val="24"/>
      <w:szCs w:val="20"/>
    </w:rPr>
  </w:style>
  <w:style w:type="character" w:customStyle="1" w:styleId="71">
    <w:name w:val="注释标题 字符"/>
    <w:link w:val="13"/>
    <w:semiHidden/>
    <w:qFormat/>
    <w:uiPriority w:val="99"/>
    <w:rPr>
      <w:rFonts w:ascii="Times New Roman" w:hAnsi="Times New Roman" w:eastAsia="宋体" w:cs="Times New Roman"/>
      <w:sz w:val="24"/>
      <w:szCs w:val="21"/>
    </w:rPr>
  </w:style>
  <w:style w:type="character" w:customStyle="1" w:styleId="72">
    <w:name w:val="文档结构图 字符"/>
    <w:link w:val="15"/>
    <w:qFormat/>
    <w:uiPriority w:val="0"/>
    <w:rPr>
      <w:rFonts w:ascii="Times New Roman" w:hAnsi="Times New Roman" w:eastAsia="宋体" w:cs="Times New Roman"/>
      <w:sz w:val="24"/>
      <w:szCs w:val="24"/>
      <w:shd w:val="clear" w:color="auto" w:fill="000080"/>
    </w:rPr>
  </w:style>
  <w:style w:type="character" w:customStyle="1" w:styleId="73">
    <w:name w:val="批注文字 字符"/>
    <w:link w:val="16"/>
    <w:qFormat/>
    <w:uiPriority w:val="0"/>
    <w:rPr>
      <w:rFonts w:ascii="Times New Roman" w:hAnsi="Times New Roman" w:eastAsia="宋体" w:cs="Times New Roman"/>
      <w:sz w:val="24"/>
      <w:szCs w:val="21"/>
    </w:rPr>
  </w:style>
  <w:style w:type="character" w:customStyle="1" w:styleId="74">
    <w:name w:val="正文文本 3 字符"/>
    <w:link w:val="17"/>
    <w:qFormat/>
    <w:uiPriority w:val="0"/>
    <w:rPr>
      <w:rFonts w:ascii="Times New Roman" w:hAnsi="Times New Roman" w:eastAsia="宋体" w:cs="Times New Roman"/>
      <w:sz w:val="28"/>
      <w:szCs w:val="24"/>
    </w:rPr>
  </w:style>
  <w:style w:type="character" w:customStyle="1" w:styleId="75">
    <w:name w:val="正文文本 字符"/>
    <w:link w:val="18"/>
    <w:uiPriority w:val="99"/>
    <w:rPr>
      <w:rFonts w:ascii="Times New Roman" w:hAnsi="Times New Roman" w:eastAsia="宋体" w:cs="Times New Roman"/>
      <w:sz w:val="24"/>
      <w:szCs w:val="21"/>
    </w:rPr>
  </w:style>
  <w:style w:type="character" w:customStyle="1" w:styleId="76">
    <w:name w:val="正文文本缩进 字符"/>
    <w:link w:val="19"/>
    <w:qFormat/>
    <w:uiPriority w:val="99"/>
    <w:rPr>
      <w:rFonts w:ascii="Times New Roman" w:hAnsi="Times New Roman" w:eastAsia="宋体" w:cs="Times New Roman"/>
      <w:sz w:val="24"/>
      <w:szCs w:val="21"/>
    </w:rPr>
  </w:style>
  <w:style w:type="character" w:customStyle="1" w:styleId="77">
    <w:name w:val="纯文本 字符"/>
    <w:link w:val="24"/>
    <w:qFormat/>
    <w:uiPriority w:val="0"/>
    <w:rPr>
      <w:rFonts w:ascii="宋体" w:hAnsi="Courier New" w:eastAsia="宋体" w:cs="Courier New"/>
      <w:sz w:val="24"/>
      <w:szCs w:val="21"/>
    </w:rPr>
  </w:style>
  <w:style w:type="character" w:customStyle="1" w:styleId="78">
    <w:name w:val="日期 字符"/>
    <w:link w:val="26"/>
    <w:qFormat/>
    <w:uiPriority w:val="99"/>
    <w:rPr>
      <w:rFonts w:ascii="Times New Roman" w:hAnsi="Times New Roman" w:eastAsia="宋体" w:cs="Times New Roman"/>
      <w:sz w:val="24"/>
      <w:szCs w:val="21"/>
    </w:rPr>
  </w:style>
  <w:style w:type="character" w:customStyle="1" w:styleId="79">
    <w:name w:val="正文文本缩进 2 字符"/>
    <w:link w:val="27"/>
    <w:qFormat/>
    <w:uiPriority w:val="99"/>
    <w:rPr>
      <w:rFonts w:ascii="Times New Roman" w:hAnsi="Times New Roman" w:eastAsia="宋体" w:cs="Times New Roman"/>
      <w:sz w:val="24"/>
      <w:szCs w:val="24"/>
    </w:rPr>
  </w:style>
  <w:style w:type="character" w:customStyle="1" w:styleId="80">
    <w:name w:val="尾注文本 字符"/>
    <w:link w:val="28"/>
    <w:semiHidden/>
    <w:qFormat/>
    <w:uiPriority w:val="99"/>
    <w:rPr>
      <w:rFonts w:ascii="仿宋_GB2312" w:hAnsi="Calibri" w:eastAsia="仿宋_GB2312" w:cs="Times New Roman"/>
      <w:sz w:val="24"/>
      <w:szCs w:val="24"/>
    </w:rPr>
  </w:style>
  <w:style w:type="character" w:customStyle="1" w:styleId="81">
    <w:name w:val="批注框文本 字符"/>
    <w:link w:val="29"/>
    <w:qFormat/>
    <w:uiPriority w:val="0"/>
    <w:rPr>
      <w:rFonts w:ascii="Times New Roman" w:hAnsi="Times New Roman" w:eastAsia="宋体" w:cs="Times New Roman"/>
      <w:sz w:val="18"/>
      <w:szCs w:val="18"/>
    </w:rPr>
  </w:style>
  <w:style w:type="character" w:customStyle="1" w:styleId="82">
    <w:name w:val="页脚 字符"/>
    <w:link w:val="30"/>
    <w:qFormat/>
    <w:uiPriority w:val="0"/>
    <w:rPr>
      <w:sz w:val="18"/>
      <w:szCs w:val="18"/>
    </w:rPr>
  </w:style>
  <w:style w:type="character" w:customStyle="1" w:styleId="83">
    <w:name w:val="页眉 字符"/>
    <w:link w:val="31"/>
    <w:qFormat/>
    <w:uiPriority w:val="0"/>
    <w:rPr>
      <w:sz w:val="18"/>
      <w:szCs w:val="18"/>
    </w:rPr>
  </w:style>
  <w:style w:type="character" w:customStyle="1" w:styleId="84">
    <w:name w:val="副标题 字符"/>
    <w:link w:val="36"/>
    <w:qFormat/>
    <w:uiPriority w:val="11"/>
    <w:rPr>
      <w:rFonts w:ascii="Times New Roman" w:hAnsi="Times New Roman" w:eastAsia="宋体" w:cs="Times New Roman"/>
      <w:b/>
      <w:bCs/>
      <w:kern w:val="28"/>
      <w:sz w:val="28"/>
      <w:szCs w:val="32"/>
    </w:rPr>
  </w:style>
  <w:style w:type="character" w:customStyle="1" w:styleId="85">
    <w:name w:val="正文文本缩进 3 字符"/>
    <w:link w:val="39"/>
    <w:qFormat/>
    <w:uiPriority w:val="0"/>
    <w:rPr>
      <w:rFonts w:ascii="Times New Roman" w:hAnsi="Times New Roman" w:eastAsia="宋体" w:cs="Times New Roman"/>
      <w:sz w:val="16"/>
      <w:szCs w:val="16"/>
    </w:rPr>
  </w:style>
  <w:style w:type="character" w:customStyle="1" w:styleId="86">
    <w:name w:val="正文文本 2 字符"/>
    <w:link w:val="43"/>
    <w:qFormat/>
    <w:uiPriority w:val="0"/>
    <w:rPr>
      <w:rFonts w:ascii="Times New Roman" w:hAnsi="Times New Roman" w:eastAsia="宋体" w:cs="Times New Roman"/>
      <w:sz w:val="24"/>
      <w:szCs w:val="24"/>
    </w:rPr>
  </w:style>
  <w:style w:type="character" w:customStyle="1" w:styleId="87">
    <w:name w:val="HTML 预设格式 字符"/>
    <w:link w:val="45"/>
    <w:qFormat/>
    <w:uiPriority w:val="0"/>
    <w:rPr>
      <w:rFonts w:ascii="Arial" w:hAnsi="Arial" w:eastAsia="宋体" w:cs="Arial"/>
      <w:kern w:val="0"/>
      <w:sz w:val="24"/>
      <w:szCs w:val="24"/>
    </w:rPr>
  </w:style>
  <w:style w:type="character" w:customStyle="1" w:styleId="88">
    <w:name w:val="普通(网站) 字符"/>
    <w:link w:val="46"/>
    <w:qFormat/>
    <w:uiPriority w:val="99"/>
    <w:rPr>
      <w:rFonts w:ascii="宋体" w:hAnsi="宋体" w:eastAsia="宋体" w:cs="宋体"/>
      <w:kern w:val="0"/>
      <w:sz w:val="24"/>
      <w:szCs w:val="24"/>
    </w:rPr>
  </w:style>
  <w:style w:type="character" w:customStyle="1" w:styleId="89">
    <w:name w:val="标题 字符"/>
    <w:link w:val="48"/>
    <w:qFormat/>
    <w:uiPriority w:val="0"/>
    <w:rPr>
      <w:rFonts w:ascii="Times New Roman" w:hAnsi="Times New Roman" w:eastAsia="黑体" w:cs="Times New Roman"/>
      <w:bCs/>
      <w:kern w:val="0"/>
      <w:sz w:val="28"/>
      <w:szCs w:val="32"/>
    </w:rPr>
  </w:style>
  <w:style w:type="character" w:customStyle="1" w:styleId="90">
    <w:name w:val="批注主题 字符"/>
    <w:link w:val="49"/>
    <w:qFormat/>
    <w:uiPriority w:val="0"/>
    <w:rPr>
      <w:rFonts w:ascii="Times New Roman" w:hAnsi="Times New Roman" w:eastAsia="宋体" w:cs="Times New Roman"/>
      <w:b/>
      <w:bCs/>
      <w:sz w:val="24"/>
      <w:szCs w:val="21"/>
    </w:rPr>
  </w:style>
  <w:style w:type="character" w:customStyle="1" w:styleId="91">
    <w:name w:val="正文文本首行缩进 字符"/>
    <w:link w:val="50"/>
    <w:qFormat/>
    <w:uiPriority w:val="0"/>
    <w:rPr>
      <w:rFonts w:ascii="Times New Roman" w:hAnsi="Times New Roman" w:eastAsia="楷体_GB2312" w:cs="Times New Roman"/>
      <w:color w:val="000000"/>
      <w:sz w:val="24"/>
      <w:szCs w:val="21"/>
    </w:rPr>
  </w:style>
  <w:style w:type="character" w:customStyle="1" w:styleId="92">
    <w:name w:val="正文文本首行缩进 2 字符"/>
    <w:link w:val="51"/>
    <w:qFormat/>
    <w:uiPriority w:val="0"/>
    <w:rPr>
      <w:rFonts w:ascii="Times New Roman" w:hAnsi="Times New Roman" w:eastAsia="宋体" w:cs="Times New Roman"/>
      <w:spacing w:val="-2"/>
      <w:sz w:val="28"/>
      <w:szCs w:val="24"/>
    </w:rPr>
  </w:style>
  <w:style w:type="character" w:customStyle="1" w:styleId="93">
    <w:name w:val="标题 1 Char"/>
    <w:qFormat/>
    <w:uiPriority w:val="9"/>
    <w:rPr>
      <w:rFonts w:ascii="Times New Roman" w:hAnsi="Times New Roman" w:eastAsia="宋体" w:cs="Times New Roman"/>
      <w:b/>
      <w:bCs/>
      <w:kern w:val="44"/>
      <w:sz w:val="44"/>
      <w:szCs w:val="44"/>
    </w:rPr>
  </w:style>
  <w:style w:type="character" w:customStyle="1" w:styleId="94">
    <w:name w:val="标题 2 Char"/>
    <w:qFormat/>
    <w:uiPriority w:val="9"/>
    <w:rPr>
      <w:rFonts w:ascii="Cambria" w:hAnsi="Cambria" w:eastAsia="宋体" w:cs="Times New Roman"/>
      <w:b/>
      <w:bCs/>
      <w:sz w:val="32"/>
      <w:szCs w:val="32"/>
    </w:rPr>
  </w:style>
  <w:style w:type="character" w:customStyle="1" w:styleId="95">
    <w:name w:val="标题 3 Char"/>
    <w:qFormat/>
    <w:uiPriority w:val="9"/>
    <w:rPr>
      <w:rFonts w:ascii="Times New Roman" w:hAnsi="Times New Roman" w:eastAsia="宋体" w:cs="Times New Roman"/>
      <w:b/>
      <w:bCs/>
      <w:sz w:val="32"/>
      <w:szCs w:val="32"/>
    </w:rPr>
  </w:style>
  <w:style w:type="character" w:customStyle="1" w:styleId="96">
    <w:name w:val="标题 4 Char"/>
    <w:qFormat/>
    <w:uiPriority w:val="9"/>
    <w:rPr>
      <w:rFonts w:ascii="Cambria" w:hAnsi="Cambria" w:eastAsia="宋体" w:cs="Times New Roman"/>
      <w:b/>
      <w:bCs/>
      <w:sz w:val="28"/>
      <w:szCs w:val="28"/>
    </w:rPr>
  </w:style>
  <w:style w:type="character" w:customStyle="1" w:styleId="97">
    <w:name w:val="标题 5 Char"/>
    <w:qFormat/>
    <w:uiPriority w:val="0"/>
    <w:rPr>
      <w:rFonts w:ascii="Times New Roman" w:hAnsi="Times New Roman" w:eastAsia="宋体" w:cs="Times New Roman"/>
      <w:b/>
      <w:bCs/>
      <w:sz w:val="28"/>
      <w:szCs w:val="28"/>
    </w:rPr>
  </w:style>
  <w:style w:type="character" w:customStyle="1" w:styleId="98">
    <w:name w:val="标题 6 Char"/>
    <w:qFormat/>
    <w:uiPriority w:val="0"/>
    <w:rPr>
      <w:rFonts w:ascii="Cambria" w:hAnsi="Cambria" w:eastAsia="宋体" w:cs="Times New Roman"/>
      <w:b/>
      <w:bCs/>
      <w:sz w:val="24"/>
      <w:szCs w:val="24"/>
    </w:rPr>
  </w:style>
  <w:style w:type="character" w:customStyle="1" w:styleId="99">
    <w:name w:val="标题 7 Char"/>
    <w:qFormat/>
    <w:uiPriority w:val="0"/>
    <w:rPr>
      <w:rFonts w:ascii="Times New Roman" w:hAnsi="Times New Roman" w:eastAsia="宋体" w:cs="Times New Roman"/>
      <w:b/>
      <w:bCs/>
      <w:sz w:val="24"/>
      <w:szCs w:val="24"/>
    </w:rPr>
  </w:style>
  <w:style w:type="character" w:customStyle="1" w:styleId="100">
    <w:name w:val="标题 8 Char"/>
    <w:qFormat/>
    <w:uiPriority w:val="0"/>
    <w:rPr>
      <w:rFonts w:ascii="Cambria" w:hAnsi="Cambria" w:eastAsia="宋体" w:cs="Times New Roman"/>
      <w:sz w:val="24"/>
      <w:szCs w:val="24"/>
    </w:rPr>
  </w:style>
  <w:style w:type="character" w:customStyle="1" w:styleId="101">
    <w:name w:val="标题 9 Char"/>
    <w:qFormat/>
    <w:uiPriority w:val="0"/>
    <w:rPr>
      <w:rFonts w:ascii="Cambria" w:hAnsi="Cambria" w:eastAsia="宋体" w:cs="Times New Roman"/>
      <w:szCs w:val="21"/>
    </w:rPr>
  </w:style>
  <w:style w:type="character" w:customStyle="1" w:styleId="102">
    <w:name w:val="文档结构图 Char"/>
    <w:semiHidden/>
    <w:qFormat/>
    <w:uiPriority w:val="0"/>
    <w:rPr>
      <w:rFonts w:ascii="宋体" w:hAnsi="Times New Roman" w:eastAsia="宋体" w:cs="Times New Roman"/>
      <w:sz w:val="18"/>
      <w:szCs w:val="18"/>
    </w:rPr>
  </w:style>
  <w:style w:type="character" w:customStyle="1" w:styleId="103">
    <w:name w:val="批注文字 Char"/>
    <w:qFormat/>
    <w:uiPriority w:val="0"/>
    <w:rPr>
      <w:rFonts w:ascii="Times New Roman" w:hAnsi="Times New Roman" w:eastAsia="宋体" w:cs="Times New Roman"/>
      <w:sz w:val="24"/>
      <w:szCs w:val="21"/>
    </w:rPr>
  </w:style>
  <w:style w:type="character" w:customStyle="1" w:styleId="104">
    <w:name w:val="正文文本缩进 Char"/>
    <w:semiHidden/>
    <w:qFormat/>
    <w:uiPriority w:val="99"/>
    <w:rPr>
      <w:rFonts w:ascii="Times New Roman" w:hAnsi="Times New Roman" w:eastAsia="宋体" w:cs="Times New Roman"/>
      <w:sz w:val="24"/>
      <w:szCs w:val="21"/>
    </w:rPr>
  </w:style>
  <w:style w:type="character" w:customStyle="1" w:styleId="105">
    <w:name w:val="纯文本 Char"/>
    <w:semiHidden/>
    <w:qFormat/>
    <w:uiPriority w:val="99"/>
    <w:rPr>
      <w:rFonts w:ascii="宋体" w:hAnsi="Courier New" w:eastAsia="宋体" w:cs="Courier New"/>
      <w:szCs w:val="21"/>
    </w:rPr>
  </w:style>
  <w:style w:type="character" w:customStyle="1" w:styleId="106">
    <w:name w:val="正文文本缩进 2 Char"/>
    <w:semiHidden/>
    <w:qFormat/>
    <w:uiPriority w:val="99"/>
    <w:rPr>
      <w:rFonts w:ascii="Times New Roman" w:hAnsi="Times New Roman" w:eastAsia="宋体" w:cs="Times New Roman"/>
      <w:sz w:val="24"/>
      <w:szCs w:val="21"/>
    </w:rPr>
  </w:style>
  <w:style w:type="character" w:customStyle="1" w:styleId="107">
    <w:name w:val="批注框文本 Char"/>
    <w:semiHidden/>
    <w:qFormat/>
    <w:uiPriority w:val="99"/>
    <w:rPr>
      <w:rFonts w:ascii="Times New Roman" w:hAnsi="Times New Roman" w:eastAsia="宋体" w:cs="Times New Roman"/>
      <w:sz w:val="18"/>
      <w:szCs w:val="18"/>
    </w:rPr>
  </w:style>
  <w:style w:type="character" w:customStyle="1" w:styleId="108">
    <w:name w:val="副标题 Char"/>
    <w:qFormat/>
    <w:uiPriority w:val="11"/>
    <w:rPr>
      <w:rFonts w:ascii="Cambria" w:hAnsi="Cambria" w:eastAsia="宋体" w:cs="Times New Roman"/>
      <w:b/>
      <w:bCs/>
      <w:kern w:val="28"/>
      <w:sz w:val="32"/>
      <w:szCs w:val="32"/>
    </w:rPr>
  </w:style>
  <w:style w:type="character" w:customStyle="1" w:styleId="109">
    <w:name w:val="正文文本缩进 3 Char"/>
    <w:qFormat/>
    <w:uiPriority w:val="0"/>
    <w:rPr>
      <w:rFonts w:ascii="Times New Roman" w:hAnsi="Times New Roman" w:eastAsia="宋体" w:cs="Times New Roman"/>
      <w:sz w:val="16"/>
      <w:szCs w:val="16"/>
    </w:rPr>
  </w:style>
  <w:style w:type="character" w:customStyle="1" w:styleId="110">
    <w:name w:val="批注主题 Char"/>
    <w:semiHidden/>
    <w:qFormat/>
    <w:uiPriority w:val="0"/>
    <w:rPr>
      <w:rFonts w:ascii="Times New Roman" w:hAnsi="Times New Roman" w:eastAsia="宋体" w:cs="Times New Roman"/>
      <w:b/>
      <w:bCs/>
      <w:sz w:val="24"/>
      <w:szCs w:val="21"/>
    </w:rPr>
  </w:style>
  <w:style w:type="paragraph" w:customStyle="1" w:styleId="111">
    <w:name w:val="3"/>
    <w:basedOn w:val="1"/>
    <w:next w:val="19"/>
    <w:link w:val="112"/>
    <w:qFormat/>
    <w:uiPriority w:val="0"/>
    <w:pPr>
      <w:ind w:firstLine="660" w:firstLineChars="275"/>
    </w:pPr>
    <w:rPr>
      <w:rFonts w:ascii="宋体" w:hAnsi="宋体"/>
      <w:kern w:val="11"/>
      <w:szCs w:val="20"/>
    </w:rPr>
  </w:style>
  <w:style w:type="character" w:customStyle="1" w:styleId="112">
    <w:name w:val="3 Char"/>
    <w:link w:val="111"/>
    <w:qFormat/>
    <w:uiPriority w:val="0"/>
    <w:rPr>
      <w:rFonts w:ascii="宋体" w:hAnsi="宋体" w:eastAsia="宋体" w:cs="Times New Roman"/>
      <w:kern w:val="11"/>
      <w:sz w:val="24"/>
      <w:szCs w:val="20"/>
    </w:rPr>
  </w:style>
  <w:style w:type="character" w:customStyle="1" w:styleId="113">
    <w:name w:val="页脚 Char1"/>
    <w:qFormat/>
    <w:uiPriority w:val="0"/>
    <w:rPr>
      <w:rFonts w:ascii="Times New Roman" w:hAnsi="Times New Roman" w:eastAsia="宋体" w:cs="Times New Roman"/>
      <w:sz w:val="18"/>
      <w:szCs w:val="18"/>
    </w:rPr>
  </w:style>
  <w:style w:type="paragraph" w:customStyle="1" w:styleId="114">
    <w:name w:val="2"/>
    <w:basedOn w:val="1"/>
    <w:next w:val="27"/>
    <w:qFormat/>
    <w:uiPriority w:val="0"/>
    <w:pPr>
      <w:ind w:left="-180" w:firstLine="840" w:firstLineChars="300"/>
    </w:pPr>
    <w:rPr>
      <w:rFonts w:ascii="宋体" w:hAnsi="宋体"/>
      <w:kern w:val="11"/>
      <w:sz w:val="28"/>
      <w:szCs w:val="20"/>
    </w:rPr>
  </w:style>
  <w:style w:type="character" w:customStyle="1" w:styleId="115">
    <w:name w:val="页眉 Char1"/>
    <w:qFormat/>
    <w:uiPriority w:val="0"/>
    <w:rPr>
      <w:rFonts w:ascii="Times New Roman" w:hAnsi="Times New Roman" w:eastAsia="隶书" w:cs="Times New Roman"/>
      <w:b/>
      <w:bCs/>
      <w:spacing w:val="22"/>
      <w:kern w:val="11"/>
      <w:sz w:val="24"/>
      <w:szCs w:val="18"/>
    </w:rPr>
  </w:style>
  <w:style w:type="paragraph" w:customStyle="1" w:styleId="116">
    <w:name w:val="1"/>
    <w:basedOn w:val="1"/>
    <w:next w:val="24"/>
    <w:qFormat/>
    <w:uiPriority w:val="0"/>
    <w:pPr>
      <w:spacing w:line="240" w:lineRule="atLeast"/>
    </w:pPr>
    <w:rPr>
      <w:rFonts w:ascii="宋体" w:hAnsi="Courier New"/>
      <w:sz w:val="28"/>
    </w:rPr>
  </w:style>
  <w:style w:type="paragraph" w:customStyle="1" w:styleId="117">
    <w:name w:val="正文1"/>
    <w:basedOn w:val="1"/>
    <w:qFormat/>
    <w:uiPriority w:val="0"/>
    <w:pPr>
      <w:widowControl/>
      <w:spacing w:before="100" w:beforeAutospacing="1" w:after="100" w:afterAutospacing="1"/>
      <w:ind w:firstLine="480"/>
      <w:jc w:val="left"/>
    </w:pPr>
    <w:rPr>
      <w:rFonts w:ascii="宋体" w:hAnsi="宋体" w:cs="宋体"/>
      <w:kern w:val="0"/>
      <w:szCs w:val="24"/>
    </w:rPr>
  </w:style>
  <w:style w:type="paragraph" w:customStyle="1" w:styleId="118">
    <w:name w:val="标2"/>
    <w:basedOn w:val="5"/>
    <w:next w:val="1"/>
    <w:link w:val="119"/>
    <w:qFormat/>
    <w:uiPriority w:val="0"/>
    <w:pPr>
      <w:tabs>
        <w:tab w:val="left" w:pos="3255"/>
      </w:tabs>
    </w:pPr>
    <w:rPr>
      <w:szCs w:val="24"/>
    </w:rPr>
  </w:style>
  <w:style w:type="character" w:customStyle="1" w:styleId="119">
    <w:name w:val="标2 Char"/>
    <w:link w:val="118"/>
    <w:qFormat/>
    <w:uiPriority w:val="0"/>
    <w:rPr>
      <w:rFonts w:ascii="Times New Roman" w:hAnsi="Times New Roman" w:eastAsia="宋体" w:cs="Times New Roman"/>
      <w:b/>
      <w:bCs/>
      <w:snapToGrid/>
      <w:kern w:val="0"/>
      <w:sz w:val="30"/>
      <w:szCs w:val="24"/>
    </w:rPr>
  </w:style>
  <w:style w:type="paragraph" w:customStyle="1" w:styleId="120">
    <w:name w:val="样式 正文文本btcontentsbody text?y????×??y?????y????????? + 两端对..."/>
    <w:basedOn w:val="18"/>
    <w:link w:val="121"/>
    <w:qFormat/>
    <w:uiPriority w:val="0"/>
    <w:pPr>
      <w:autoSpaceDE w:val="0"/>
      <w:autoSpaceDN w:val="0"/>
      <w:adjustRightInd w:val="0"/>
      <w:spacing w:after="0"/>
      <w:ind w:firstLine="560"/>
      <w:textAlignment w:val="baseline"/>
    </w:pPr>
    <w:rPr>
      <w:sz w:val="28"/>
      <w:szCs w:val="28"/>
    </w:rPr>
  </w:style>
  <w:style w:type="character" w:customStyle="1" w:styleId="121">
    <w:name w:val="样式 正文文本btcontentsbody text?y????×??y?????y????????? + 两端对... Char"/>
    <w:link w:val="120"/>
    <w:qFormat/>
    <w:uiPriority w:val="0"/>
    <w:rPr>
      <w:rFonts w:ascii="Times New Roman" w:hAnsi="Times New Roman" w:eastAsia="宋体" w:cs="Times New Roman"/>
      <w:kern w:val="0"/>
      <w:sz w:val="28"/>
      <w:szCs w:val="28"/>
    </w:rPr>
  </w:style>
  <w:style w:type="paragraph" w:customStyle="1" w:styleId="122">
    <w:name w:val="表格文字2"/>
    <w:basedOn w:val="1"/>
    <w:qFormat/>
    <w:uiPriority w:val="0"/>
    <w:pPr>
      <w:adjustRightInd w:val="0"/>
      <w:spacing w:before="60"/>
      <w:jc w:val="center"/>
      <w:textAlignment w:val="baseline"/>
    </w:pPr>
    <w:rPr>
      <w:rFonts w:ascii="宋体"/>
      <w:kern w:val="0"/>
      <w:szCs w:val="20"/>
    </w:rPr>
  </w:style>
  <w:style w:type="paragraph" w:customStyle="1" w:styleId="123">
    <w:name w:val="标题4"/>
    <w:basedOn w:val="1"/>
    <w:qFormat/>
    <w:uiPriority w:val="0"/>
    <w:pPr>
      <w:spacing w:beforeLines="50" w:afterLines="50" w:line="520" w:lineRule="exact"/>
      <w:textAlignment w:val="baseline"/>
      <w:outlineLvl w:val="0"/>
    </w:pPr>
    <w:rPr>
      <w:rFonts w:ascii="宋体" w:hAnsi="宋体"/>
      <w:b/>
      <w:sz w:val="28"/>
      <w:szCs w:val="28"/>
    </w:rPr>
  </w:style>
  <w:style w:type="paragraph" w:customStyle="1" w:styleId="124">
    <w:name w:val="表格文字"/>
    <w:qFormat/>
    <w:uiPriority w:val="0"/>
    <w:pPr>
      <w:widowControl w:val="0"/>
      <w:autoSpaceDE w:val="0"/>
      <w:autoSpaceDN w:val="0"/>
      <w:adjustRightInd w:val="0"/>
      <w:spacing w:line="240" w:lineRule="atLeast"/>
      <w:jc w:val="center"/>
      <w:textAlignment w:val="baseline"/>
    </w:pPr>
    <w:rPr>
      <w:rFonts w:ascii="Times New Roman" w:hAnsi="Times New Roman" w:eastAsia="宋体" w:cs="Times New Roman"/>
      <w:color w:val="000000"/>
      <w:sz w:val="24"/>
      <w:lang w:val="en-US" w:eastAsia="zh-CN" w:bidi="ar-SA"/>
    </w:rPr>
  </w:style>
  <w:style w:type="paragraph" w:customStyle="1" w:styleId="125">
    <w:name w:val="表格标题"/>
    <w:basedOn w:val="18"/>
    <w:link w:val="126"/>
    <w:qFormat/>
    <w:uiPriority w:val="0"/>
    <w:pPr>
      <w:autoSpaceDE w:val="0"/>
      <w:autoSpaceDN w:val="0"/>
      <w:adjustRightInd w:val="0"/>
      <w:spacing w:after="0"/>
      <w:jc w:val="center"/>
      <w:textAlignment w:val="baseline"/>
    </w:pPr>
    <w:rPr>
      <w:rFonts w:ascii="黑体" w:eastAsia="黑体"/>
      <w:b/>
      <w:color w:val="000000"/>
      <w:szCs w:val="20"/>
    </w:rPr>
  </w:style>
  <w:style w:type="character" w:customStyle="1" w:styleId="126">
    <w:name w:val="表格标题 Char"/>
    <w:link w:val="125"/>
    <w:qFormat/>
    <w:uiPriority w:val="0"/>
    <w:rPr>
      <w:rFonts w:ascii="黑体" w:hAnsi="Times New Roman" w:eastAsia="黑体" w:cs="Times New Roman"/>
      <w:b/>
      <w:color w:val="000000"/>
      <w:kern w:val="0"/>
      <w:sz w:val="24"/>
      <w:szCs w:val="20"/>
    </w:rPr>
  </w:style>
  <w:style w:type="paragraph" w:customStyle="1" w:styleId="127">
    <w:name w:val="表格单位"/>
    <w:basedOn w:val="125"/>
    <w:qFormat/>
    <w:uiPriority w:val="0"/>
    <w:pPr>
      <w:spacing w:line="240" w:lineRule="auto"/>
      <w:jc w:val="right"/>
    </w:pPr>
    <w:rPr>
      <w:rFonts w:ascii="Times New Roman" w:eastAsia="宋体"/>
      <w:b w:val="0"/>
      <w:sz w:val="21"/>
    </w:rPr>
  </w:style>
  <w:style w:type="paragraph" w:customStyle="1" w:styleId="128">
    <w:name w:val="公式"/>
    <w:basedOn w:val="19"/>
    <w:qFormat/>
    <w:uiPriority w:val="0"/>
    <w:pPr>
      <w:adjustRightInd w:val="0"/>
      <w:spacing w:after="0"/>
      <w:ind w:left="0" w:leftChars="0"/>
      <w:jc w:val="center"/>
      <w:textAlignment w:val="baseline"/>
    </w:pPr>
    <w:rPr>
      <w:i/>
      <w:szCs w:val="20"/>
    </w:rPr>
  </w:style>
  <w:style w:type="paragraph" w:customStyle="1" w:styleId="129">
    <w:name w:val="Body Single"/>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paragraph" w:customStyle="1" w:styleId="130">
    <w:name w:val="我的正文 Char Char"/>
    <w:basedOn w:val="1"/>
    <w:qFormat/>
    <w:uiPriority w:val="0"/>
    <w:pPr>
      <w:adjustRightInd w:val="0"/>
      <w:jc w:val="left"/>
      <w:textAlignment w:val="baseline"/>
    </w:pPr>
    <w:rPr>
      <w:kern w:val="0"/>
      <w:szCs w:val="20"/>
    </w:rPr>
  </w:style>
  <w:style w:type="character" w:customStyle="1" w:styleId="131">
    <w:name w:val="标题2 Char Char"/>
    <w:qFormat/>
    <w:uiPriority w:val="0"/>
    <w:rPr>
      <w:rFonts w:ascii="Arial" w:hAnsi="Arial" w:eastAsia="宋体"/>
      <w:b/>
      <w:bCs/>
      <w:kern w:val="2"/>
      <w:sz w:val="28"/>
      <w:szCs w:val="32"/>
      <w:lang w:val="en-US" w:eastAsia="zh-CN" w:bidi="ar-SA"/>
    </w:rPr>
  </w:style>
  <w:style w:type="paragraph" w:customStyle="1" w:styleId="132">
    <w:name w:val="表文字"/>
    <w:basedOn w:val="1"/>
    <w:link w:val="133"/>
    <w:qFormat/>
    <w:uiPriority w:val="0"/>
    <w:pPr>
      <w:topLinePunct/>
      <w:adjustRightInd w:val="0"/>
      <w:spacing w:line="240" w:lineRule="exact"/>
      <w:jc w:val="center"/>
      <w:textAlignment w:val="baseline"/>
    </w:pPr>
    <w:rPr>
      <w:kern w:val="0"/>
    </w:rPr>
  </w:style>
  <w:style w:type="character" w:customStyle="1" w:styleId="133">
    <w:name w:val="表文字 Char1"/>
    <w:link w:val="132"/>
    <w:qFormat/>
    <w:uiPriority w:val="0"/>
    <w:rPr>
      <w:rFonts w:ascii="Times New Roman" w:hAnsi="Times New Roman" w:eastAsia="宋体" w:cs="Times New Roman"/>
      <w:sz w:val="24"/>
      <w:szCs w:val="21"/>
    </w:rPr>
  </w:style>
  <w:style w:type="paragraph" w:customStyle="1" w:styleId="134">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paragraph" w:customStyle="1" w:styleId="135">
    <w:name w:val="xl24"/>
    <w:basedOn w:val="1"/>
    <w:qFormat/>
    <w:uiPriority w:val="0"/>
    <w:pPr>
      <w:widowControl/>
      <w:pBdr>
        <w:bottom w:val="single" w:color="auto" w:sz="4" w:space="0"/>
        <w:right w:val="single" w:color="auto" w:sz="4" w:space="0"/>
      </w:pBdr>
      <w:spacing w:before="100" w:beforeAutospacing="1" w:after="100" w:afterAutospacing="1"/>
      <w:jc w:val="center"/>
    </w:pPr>
    <w:rPr>
      <w:kern w:val="0"/>
    </w:rPr>
  </w:style>
  <w:style w:type="paragraph" w:customStyle="1" w:styleId="136">
    <w:name w:val="表内容"/>
    <w:basedOn w:val="1"/>
    <w:link w:val="137"/>
    <w:qFormat/>
    <w:uiPriority w:val="1"/>
    <w:pPr>
      <w:tabs>
        <w:tab w:val="left" w:pos="8931"/>
      </w:tabs>
      <w:adjustRightInd w:val="0"/>
      <w:jc w:val="center"/>
      <w:textAlignment w:val="baseline"/>
    </w:pPr>
    <w:rPr>
      <w:kern w:val="0"/>
      <w:position w:val="-30"/>
      <w:sz w:val="18"/>
      <w:szCs w:val="18"/>
    </w:rPr>
  </w:style>
  <w:style w:type="character" w:customStyle="1" w:styleId="137">
    <w:name w:val="表内容 Char"/>
    <w:link w:val="136"/>
    <w:qFormat/>
    <w:uiPriority w:val="1"/>
    <w:rPr>
      <w:rFonts w:ascii="Times New Roman" w:hAnsi="Times New Roman" w:eastAsia="宋体" w:cs="Times New Roman"/>
      <w:kern w:val="0"/>
      <w:position w:val="-30"/>
      <w:sz w:val="18"/>
      <w:szCs w:val="18"/>
    </w:rPr>
  </w:style>
  <w:style w:type="paragraph" w:customStyle="1" w:styleId="138">
    <w:name w:val="cucd-0"/>
    <w:link w:val="139"/>
    <w:qFormat/>
    <w:uiPriority w:val="0"/>
    <w:pPr>
      <w:spacing w:line="360" w:lineRule="auto"/>
      <w:ind w:firstLine="480" w:firstLineChars="200"/>
    </w:pPr>
    <w:rPr>
      <w:rFonts w:ascii="Times New Roman" w:hAnsi="Times New Roman" w:eastAsia="宋体" w:cs="Times New Roman"/>
      <w:sz w:val="24"/>
      <w:szCs w:val="24"/>
      <w:lang w:val="en-US" w:eastAsia="zh-CN" w:bidi="ar-SA"/>
    </w:rPr>
  </w:style>
  <w:style w:type="character" w:customStyle="1" w:styleId="139">
    <w:name w:val="cucd-0 Char1"/>
    <w:link w:val="138"/>
    <w:qFormat/>
    <w:uiPriority w:val="0"/>
    <w:rPr>
      <w:sz w:val="24"/>
      <w:szCs w:val="24"/>
      <w:lang w:bidi="ar-SA"/>
    </w:rPr>
  </w:style>
  <w:style w:type="character" w:customStyle="1" w:styleId="140">
    <w:name w:val="wen1"/>
    <w:basedOn w:val="54"/>
    <w:qFormat/>
    <w:uiPriority w:val="0"/>
  </w:style>
  <w:style w:type="paragraph" w:customStyle="1" w:styleId="141">
    <w:name w:val="cauc-0 Char Char"/>
    <w:link w:val="142"/>
    <w:qFormat/>
    <w:uiPriority w:val="0"/>
    <w:pPr>
      <w:spacing w:line="360" w:lineRule="auto"/>
      <w:ind w:firstLine="480" w:firstLineChars="200"/>
    </w:pPr>
    <w:rPr>
      <w:rFonts w:ascii="Times New Roman" w:hAnsi="Times New Roman" w:eastAsia="宋体" w:cs="Times New Roman"/>
      <w:sz w:val="24"/>
      <w:szCs w:val="24"/>
      <w:lang w:val="en-US" w:eastAsia="zh-CN" w:bidi="ar-SA"/>
    </w:rPr>
  </w:style>
  <w:style w:type="character" w:customStyle="1" w:styleId="142">
    <w:name w:val="cauc-0 Char Char Char"/>
    <w:link w:val="141"/>
    <w:qFormat/>
    <w:uiPriority w:val="0"/>
    <w:rPr>
      <w:sz w:val="24"/>
      <w:szCs w:val="24"/>
      <w:lang w:bidi="ar-SA"/>
    </w:rPr>
  </w:style>
  <w:style w:type="paragraph" w:customStyle="1" w:styleId="143">
    <w:name w:val="样式 四号 首行缩进:  2 字符"/>
    <w:basedOn w:val="1"/>
    <w:qFormat/>
    <w:uiPriority w:val="0"/>
    <w:rPr>
      <w:szCs w:val="24"/>
    </w:rPr>
  </w:style>
  <w:style w:type="character" w:customStyle="1" w:styleId="144">
    <w:name w:val="Char Char"/>
    <w:qFormat/>
    <w:uiPriority w:val="0"/>
    <w:rPr>
      <w:rFonts w:eastAsia="宋体"/>
      <w:kern w:val="2"/>
      <w:sz w:val="21"/>
      <w:szCs w:val="24"/>
      <w:lang w:val="en-US" w:eastAsia="zh-CN" w:bidi="ar-SA"/>
    </w:rPr>
  </w:style>
  <w:style w:type="paragraph" w:customStyle="1" w:styleId="145">
    <w:name w:val="表格"/>
    <w:basedOn w:val="1"/>
    <w:link w:val="146"/>
    <w:qFormat/>
    <w:uiPriority w:val="0"/>
    <w:pPr>
      <w:adjustRightInd w:val="0"/>
      <w:spacing w:before="40" w:after="40"/>
      <w:textAlignment w:val="baseline"/>
    </w:pPr>
    <w:rPr>
      <w:rFonts w:ascii="昆仑仿宋" w:eastAsia="昆仑仿宋"/>
      <w:kern w:val="0"/>
      <w:szCs w:val="20"/>
    </w:rPr>
  </w:style>
  <w:style w:type="character" w:customStyle="1" w:styleId="146">
    <w:name w:val="表格 Char"/>
    <w:link w:val="145"/>
    <w:qFormat/>
    <w:uiPriority w:val="0"/>
    <w:rPr>
      <w:rFonts w:ascii="昆仑仿宋" w:hAnsi="Times New Roman" w:eastAsia="昆仑仿宋" w:cs="Times New Roman"/>
      <w:kern w:val="0"/>
      <w:sz w:val="24"/>
      <w:szCs w:val="20"/>
    </w:rPr>
  </w:style>
  <w:style w:type="paragraph" w:customStyle="1" w:styleId="147">
    <w:name w:val="正文文本缩进1"/>
    <w:basedOn w:val="1"/>
    <w:qFormat/>
    <w:uiPriority w:val="0"/>
    <w:pPr>
      <w:spacing w:line="360" w:lineRule="exact"/>
      <w:ind w:firstLine="480"/>
    </w:pPr>
    <w:rPr>
      <w:szCs w:val="20"/>
    </w:rPr>
  </w:style>
  <w:style w:type="paragraph" w:customStyle="1" w:styleId="148">
    <w:name w:val="表内式样"/>
    <w:qFormat/>
    <w:uiPriority w:val="0"/>
    <w:pPr>
      <w:keepLines/>
      <w:widowControl w:val="0"/>
      <w:kinsoku w:val="0"/>
      <w:overflowPunct w:val="0"/>
      <w:adjustRightInd w:val="0"/>
      <w:spacing w:line="240" w:lineRule="atLeast"/>
      <w:jc w:val="center"/>
    </w:pPr>
    <w:rPr>
      <w:rFonts w:ascii="宋体" w:hAnsi="Times New Roman" w:eastAsia="宋体" w:cs="Times New Roman"/>
      <w:kern w:val="21"/>
      <w:sz w:val="21"/>
      <w:lang w:val="en-US" w:eastAsia="zh-CN" w:bidi="ar-SA"/>
    </w:rPr>
  </w:style>
  <w:style w:type="paragraph" w:customStyle="1" w:styleId="149">
    <w:name w:val="正文样式1"/>
    <w:basedOn w:val="1"/>
    <w:link w:val="150"/>
    <w:semiHidden/>
    <w:qFormat/>
    <w:uiPriority w:val="0"/>
    <w:pPr>
      <w:spacing w:line="500" w:lineRule="exact"/>
    </w:pPr>
    <w:rPr>
      <w:color w:val="000000"/>
      <w:kern w:val="0"/>
      <w:szCs w:val="20"/>
    </w:rPr>
  </w:style>
  <w:style w:type="character" w:customStyle="1" w:styleId="150">
    <w:name w:val="正文样式1 Char"/>
    <w:link w:val="149"/>
    <w:semiHidden/>
    <w:qFormat/>
    <w:uiPriority w:val="0"/>
    <w:rPr>
      <w:rFonts w:ascii="Times New Roman" w:hAnsi="Times New Roman" w:eastAsia="宋体" w:cs="Times New Roman"/>
      <w:color w:val="000000"/>
      <w:sz w:val="24"/>
    </w:rPr>
  </w:style>
  <w:style w:type="paragraph" w:customStyle="1" w:styleId="151">
    <w:name w:val="表样式1"/>
    <w:basedOn w:val="149"/>
    <w:link w:val="152"/>
    <w:qFormat/>
    <w:uiPriority w:val="0"/>
    <w:pPr>
      <w:ind w:firstLine="0" w:firstLineChars="0"/>
      <w:jc w:val="center"/>
    </w:pPr>
    <w:rPr>
      <w:b/>
    </w:rPr>
  </w:style>
  <w:style w:type="character" w:customStyle="1" w:styleId="152">
    <w:name w:val="表样式1 Char"/>
    <w:link w:val="151"/>
    <w:qFormat/>
    <w:uiPriority w:val="0"/>
    <w:rPr>
      <w:rFonts w:ascii="Times New Roman" w:hAnsi="Times New Roman" w:eastAsia="宋体" w:cs="Times New Roman"/>
      <w:b/>
      <w:color w:val="000000"/>
      <w:sz w:val="24"/>
    </w:rPr>
  </w:style>
  <w:style w:type="paragraph" w:customStyle="1" w:styleId="153">
    <w:name w:val="表内样式1"/>
    <w:basedOn w:val="149"/>
    <w:link w:val="154"/>
    <w:qFormat/>
    <w:uiPriority w:val="0"/>
    <w:pPr>
      <w:spacing w:line="240" w:lineRule="auto"/>
      <w:ind w:firstLine="0" w:firstLineChars="0"/>
      <w:jc w:val="center"/>
    </w:pPr>
    <w:rPr>
      <w:sz w:val="22"/>
    </w:rPr>
  </w:style>
  <w:style w:type="character" w:customStyle="1" w:styleId="154">
    <w:name w:val="表内样式1 Char"/>
    <w:link w:val="153"/>
    <w:qFormat/>
    <w:uiPriority w:val="0"/>
    <w:rPr>
      <w:rFonts w:ascii="Times New Roman" w:hAnsi="Times New Roman" w:eastAsia="宋体" w:cs="Times New Roman"/>
      <w:color w:val="000000"/>
      <w:sz w:val="22"/>
    </w:rPr>
  </w:style>
  <w:style w:type="paragraph" w:customStyle="1" w:styleId="155">
    <w:name w:val="表头"/>
    <w:basedOn w:val="1"/>
    <w:link w:val="156"/>
    <w:qFormat/>
    <w:uiPriority w:val="0"/>
    <w:pPr>
      <w:spacing w:line="240" w:lineRule="auto"/>
      <w:ind w:firstLine="960" w:firstLineChars="400"/>
    </w:pPr>
    <w:rPr>
      <w:rFonts w:ascii="宋体" w:hAnsi="宋体"/>
      <w:kern w:val="0"/>
      <w:szCs w:val="28"/>
    </w:rPr>
  </w:style>
  <w:style w:type="character" w:customStyle="1" w:styleId="156">
    <w:name w:val="表头 Char"/>
    <w:link w:val="155"/>
    <w:qFormat/>
    <w:uiPriority w:val="0"/>
    <w:rPr>
      <w:rFonts w:ascii="宋体" w:hAnsi="宋体" w:eastAsia="宋体" w:cs="Times New Roman"/>
      <w:kern w:val="0"/>
      <w:sz w:val="24"/>
      <w:szCs w:val="28"/>
    </w:rPr>
  </w:style>
  <w:style w:type="paragraph" w:customStyle="1" w:styleId="157">
    <w:name w:val="标3"/>
    <w:basedOn w:val="6"/>
    <w:next w:val="1"/>
    <w:qFormat/>
    <w:uiPriority w:val="0"/>
    <w:pPr>
      <w:adjustRightInd w:val="0"/>
      <w:snapToGrid w:val="0"/>
    </w:pPr>
    <w:rPr>
      <w:rFonts w:eastAsia="黑体"/>
      <w:b w:val="0"/>
      <w:bCs w:val="0"/>
      <w:spacing w:val="10"/>
      <w:szCs w:val="24"/>
      <w:lang w:val="fr-FR"/>
    </w:rPr>
  </w:style>
  <w:style w:type="paragraph" w:customStyle="1" w:styleId="158">
    <w:name w:val="缩进2字符文字"/>
    <w:basedOn w:val="1"/>
    <w:qFormat/>
    <w:uiPriority w:val="0"/>
    <w:pPr>
      <w:spacing w:line="300" w:lineRule="auto"/>
      <w:ind w:firstLine="420"/>
    </w:pPr>
    <w:rPr>
      <w:sz w:val="21"/>
      <w:szCs w:val="24"/>
    </w:rPr>
  </w:style>
  <w:style w:type="paragraph" w:customStyle="1" w:styleId="159">
    <w:name w:val="样式6"/>
    <w:basedOn w:val="1"/>
    <w:link w:val="160"/>
    <w:qFormat/>
    <w:uiPriority w:val="0"/>
    <w:pPr>
      <w:spacing w:line="240" w:lineRule="auto"/>
      <w:ind w:firstLine="0" w:firstLineChars="0"/>
      <w:jc w:val="center"/>
    </w:pPr>
    <w:rPr>
      <w:kern w:val="0"/>
      <w:sz w:val="20"/>
    </w:rPr>
  </w:style>
  <w:style w:type="character" w:customStyle="1" w:styleId="160">
    <w:name w:val="样式6 Char"/>
    <w:link w:val="159"/>
    <w:qFormat/>
    <w:uiPriority w:val="0"/>
    <w:rPr>
      <w:rFonts w:ascii="Times New Roman" w:hAnsi="Times New Roman" w:eastAsia="宋体" w:cs="Times New Roman"/>
      <w:szCs w:val="21"/>
    </w:rPr>
  </w:style>
  <w:style w:type="character" w:customStyle="1" w:styleId="161">
    <w:name w:val="4样式 Char"/>
    <w:link w:val="162"/>
    <w:qFormat/>
    <w:uiPriority w:val="0"/>
    <w:rPr>
      <w:rFonts w:ascii="Times New Roman" w:hAnsi="Times New Roman" w:eastAsia="宋体"/>
      <w:sz w:val="24"/>
    </w:rPr>
  </w:style>
  <w:style w:type="paragraph" w:customStyle="1" w:styleId="162">
    <w:name w:val="4样式"/>
    <w:basedOn w:val="1"/>
    <w:link w:val="161"/>
    <w:qFormat/>
    <w:uiPriority w:val="0"/>
    <w:pPr>
      <w:topLinePunct/>
      <w:outlineLvl w:val="3"/>
    </w:pPr>
    <w:rPr>
      <w:kern w:val="0"/>
      <w:szCs w:val="20"/>
    </w:rPr>
  </w:style>
  <w:style w:type="paragraph" w:styleId="163">
    <w:name w:val="List Paragraph"/>
    <w:basedOn w:val="1"/>
    <w:qFormat/>
    <w:uiPriority w:val="1"/>
    <w:pPr>
      <w:widowControl/>
      <w:spacing w:after="200" w:line="276" w:lineRule="auto"/>
      <w:ind w:left="720" w:firstLine="0" w:firstLineChars="0"/>
      <w:contextualSpacing/>
      <w:jc w:val="left"/>
    </w:pPr>
    <w:rPr>
      <w:rFonts w:ascii="Calibri" w:hAnsi="Calibri"/>
      <w:kern w:val="0"/>
      <w:szCs w:val="22"/>
    </w:rPr>
  </w:style>
  <w:style w:type="paragraph" w:customStyle="1" w:styleId="164">
    <w:name w:val="样式5"/>
    <w:basedOn w:val="1"/>
    <w:link w:val="165"/>
    <w:qFormat/>
    <w:uiPriority w:val="0"/>
    <w:pPr>
      <w:spacing w:line="240" w:lineRule="auto"/>
      <w:ind w:firstLine="0" w:firstLineChars="0"/>
      <w:jc w:val="center"/>
    </w:pPr>
    <w:rPr>
      <w:b/>
      <w:kern w:val="0"/>
    </w:rPr>
  </w:style>
  <w:style w:type="character" w:customStyle="1" w:styleId="165">
    <w:name w:val="样式5 Char"/>
    <w:link w:val="164"/>
    <w:qFormat/>
    <w:uiPriority w:val="0"/>
    <w:rPr>
      <w:rFonts w:ascii="Times New Roman" w:hAnsi="Times New Roman" w:eastAsia="宋体" w:cs="Times New Roman"/>
      <w:b/>
      <w:sz w:val="24"/>
      <w:szCs w:val="21"/>
    </w:rPr>
  </w:style>
  <w:style w:type="paragraph" w:customStyle="1" w:styleId="166">
    <w:name w:val="样式20"/>
    <w:basedOn w:val="1"/>
    <w:qFormat/>
    <w:uiPriority w:val="0"/>
    <w:pPr>
      <w:widowControl/>
      <w:snapToGrid w:val="0"/>
      <w:spacing w:line="240" w:lineRule="auto"/>
      <w:ind w:firstLine="0" w:firstLineChars="0"/>
      <w:jc w:val="center"/>
    </w:pPr>
    <w:rPr>
      <w:rFonts w:ascii="黑体" w:hAnsi="黑体" w:eastAsia="黑体"/>
      <w:color w:val="000000"/>
      <w:kern w:val="0"/>
      <w:szCs w:val="22"/>
    </w:rPr>
  </w:style>
  <w:style w:type="paragraph" w:customStyle="1" w:styleId="167">
    <w:name w:val="样式1"/>
    <w:basedOn w:val="1"/>
    <w:link w:val="168"/>
    <w:qFormat/>
    <w:uiPriority w:val="0"/>
    <w:pPr>
      <w:widowControl/>
      <w:spacing w:line="240" w:lineRule="auto"/>
      <w:ind w:firstLine="462"/>
    </w:pPr>
    <w:rPr>
      <w:kern w:val="0"/>
      <w:szCs w:val="24"/>
    </w:rPr>
  </w:style>
  <w:style w:type="character" w:customStyle="1" w:styleId="168">
    <w:name w:val="样式1 Char"/>
    <w:link w:val="167"/>
    <w:qFormat/>
    <w:uiPriority w:val="0"/>
    <w:rPr>
      <w:rFonts w:ascii="Times New Roman" w:hAnsi="Times New Roman" w:eastAsia="宋体" w:cs="Times New Roman"/>
      <w:kern w:val="0"/>
      <w:sz w:val="24"/>
      <w:szCs w:val="24"/>
    </w:rPr>
  </w:style>
  <w:style w:type="paragraph" w:customStyle="1" w:styleId="169">
    <w:name w:val="p0"/>
    <w:basedOn w:val="1"/>
    <w:qFormat/>
    <w:uiPriority w:val="0"/>
    <w:pPr>
      <w:widowControl/>
      <w:spacing w:line="240" w:lineRule="auto"/>
      <w:ind w:firstLine="0" w:firstLineChars="0"/>
    </w:pPr>
    <w:rPr>
      <w:kern w:val="0"/>
      <w:sz w:val="21"/>
    </w:rPr>
  </w:style>
  <w:style w:type="paragraph" w:customStyle="1" w:styleId="170">
    <w:name w:val="正文格式"/>
    <w:basedOn w:val="1"/>
    <w:link w:val="171"/>
    <w:qFormat/>
    <w:uiPriority w:val="0"/>
    <w:pPr>
      <w:ind w:firstLine="482" w:firstLineChars="0"/>
    </w:pPr>
    <w:rPr>
      <w:rFonts w:ascii="宋体"/>
      <w:kern w:val="0"/>
      <w:szCs w:val="24"/>
    </w:rPr>
  </w:style>
  <w:style w:type="character" w:customStyle="1" w:styleId="171">
    <w:name w:val="正文格式 Char"/>
    <w:link w:val="170"/>
    <w:qFormat/>
    <w:uiPriority w:val="0"/>
    <w:rPr>
      <w:rFonts w:ascii="宋体" w:hAnsi="Times New Roman" w:eastAsia="宋体" w:cs="宋体"/>
      <w:sz w:val="24"/>
      <w:szCs w:val="24"/>
    </w:rPr>
  </w:style>
  <w:style w:type="character" w:customStyle="1" w:styleId="172">
    <w:name w:val="正文四号 Char Char"/>
    <w:link w:val="173"/>
    <w:qFormat/>
    <w:uiPriority w:val="0"/>
    <w:rPr>
      <w:sz w:val="28"/>
      <w:szCs w:val="24"/>
    </w:rPr>
  </w:style>
  <w:style w:type="paragraph" w:customStyle="1" w:styleId="173">
    <w:name w:val="正文四号"/>
    <w:basedOn w:val="1"/>
    <w:link w:val="172"/>
    <w:qFormat/>
    <w:uiPriority w:val="0"/>
    <w:pPr>
      <w:adjustRightInd w:val="0"/>
      <w:snapToGrid w:val="0"/>
      <w:textAlignment w:val="baseline"/>
    </w:pPr>
    <w:rPr>
      <w:kern w:val="0"/>
      <w:sz w:val="28"/>
      <w:szCs w:val="24"/>
    </w:rPr>
  </w:style>
  <w:style w:type="character" w:customStyle="1" w:styleId="174">
    <w:name w:val="5-表标题 Char"/>
    <w:link w:val="175"/>
    <w:qFormat/>
    <w:uiPriority w:val="0"/>
    <w:rPr>
      <w:rFonts w:eastAsia="宋体"/>
      <w:b/>
      <w:szCs w:val="24"/>
    </w:rPr>
  </w:style>
  <w:style w:type="paragraph" w:customStyle="1" w:styleId="175">
    <w:name w:val="5-表标题"/>
    <w:basedOn w:val="1"/>
    <w:link w:val="174"/>
    <w:qFormat/>
    <w:uiPriority w:val="0"/>
    <w:pPr>
      <w:spacing w:line="240" w:lineRule="auto"/>
      <w:ind w:firstLine="0" w:firstLineChars="0"/>
      <w:jc w:val="center"/>
    </w:pPr>
    <w:rPr>
      <w:b/>
      <w:kern w:val="0"/>
      <w:sz w:val="20"/>
      <w:szCs w:val="24"/>
    </w:rPr>
  </w:style>
  <w:style w:type="paragraph" w:customStyle="1" w:styleId="176">
    <w:name w:val="样式 首行缩进:  2 字符"/>
    <w:basedOn w:val="1"/>
    <w:qFormat/>
    <w:uiPriority w:val="0"/>
    <w:pPr>
      <w:ind w:firstLine="480"/>
    </w:pPr>
    <w:rPr>
      <w:rFonts w:cs="宋体"/>
      <w:color w:val="FF0000"/>
      <w:szCs w:val="20"/>
    </w:rPr>
  </w:style>
  <w:style w:type="paragraph" w:customStyle="1" w:styleId="177">
    <w:name w:val="样式 (符号) 宋体 行距: 1.5 倍行距"/>
    <w:basedOn w:val="1"/>
    <w:qFormat/>
    <w:uiPriority w:val="0"/>
    <w:rPr>
      <w:rFonts w:hAnsi="宋体" w:cs="宋体"/>
      <w:szCs w:val="20"/>
    </w:rPr>
  </w:style>
  <w:style w:type="character" w:customStyle="1" w:styleId="178">
    <w:name w:val="表头标题 Char"/>
    <w:link w:val="179"/>
    <w:qFormat/>
    <w:uiPriority w:val="0"/>
    <w:rPr>
      <w:rFonts w:hAnsi="宋体"/>
      <w:b/>
      <w:snapToGrid/>
      <w:szCs w:val="21"/>
    </w:rPr>
  </w:style>
  <w:style w:type="paragraph" w:customStyle="1" w:styleId="179">
    <w:name w:val="表头标题"/>
    <w:basedOn w:val="13"/>
    <w:link w:val="178"/>
    <w:qFormat/>
    <w:uiPriority w:val="0"/>
    <w:pPr>
      <w:spacing w:line="240" w:lineRule="atLeast"/>
      <w:ind w:firstLine="0" w:firstLineChars="0"/>
    </w:pPr>
    <w:rPr>
      <w:rFonts w:hAnsi="宋体"/>
      <w:b/>
      <w:sz w:val="20"/>
    </w:rPr>
  </w:style>
  <w:style w:type="character" w:customStyle="1" w:styleId="180">
    <w:name w:val="正文4 Char1"/>
    <w:link w:val="181"/>
    <w:qFormat/>
    <w:uiPriority w:val="0"/>
    <w:rPr>
      <w:rFonts w:ascii="Times New Roman" w:hAnsi="Times New Roman" w:eastAsia="宋体"/>
      <w:sz w:val="24"/>
      <w:szCs w:val="24"/>
    </w:rPr>
  </w:style>
  <w:style w:type="paragraph" w:customStyle="1" w:styleId="181">
    <w:name w:val="正文4"/>
    <w:basedOn w:val="1"/>
    <w:link w:val="180"/>
    <w:qFormat/>
    <w:uiPriority w:val="0"/>
    <w:rPr>
      <w:kern w:val="0"/>
      <w:szCs w:val="24"/>
    </w:rPr>
  </w:style>
  <w:style w:type="character" w:customStyle="1" w:styleId="182">
    <w:name w:val="zw Char"/>
    <w:link w:val="183"/>
    <w:qFormat/>
    <w:uiPriority w:val="0"/>
    <w:rPr>
      <w:rFonts w:ascii="宋体" w:hAnsi="宋体" w:eastAsia="宋体"/>
      <w:color w:val="000000"/>
      <w:sz w:val="24"/>
      <w:szCs w:val="24"/>
    </w:rPr>
  </w:style>
  <w:style w:type="paragraph" w:customStyle="1" w:styleId="183">
    <w:name w:val="zw"/>
    <w:basedOn w:val="1"/>
    <w:link w:val="182"/>
    <w:qFormat/>
    <w:uiPriority w:val="0"/>
    <w:pPr>
      <w:widowControl/>
      <w:adjustRightInd w:val="0"/>
      <w:snapToGrid w:val="0"/>
      <w:spacing w:line="240" w:lineRule="atLeast"/>
      <w:ind w:firstLine="0" w:firstLineChars="0"/>
      <w:jc w:val="left"/>
    </w:pPr>
    <w:rPr>
      <w:rFonts w:ascii="宋体" w:hAnsi="宋体"/>
      <w:color w:val="000000"/>
      <w:kern w:val="0"/>
      <w:szCs w:val="24"/>
    </w:rPr>
  </w:style>
  <w:style w:type="character" w:customStyle="1" w:styleId="184">
    <w:name w:val="5-标题 Char"/>
    <w:link w:val="185"/>
    <w:qFormat/>
    <w:uiPriority w:val="0"/>
    <w:rPr>
      <w:rFonts w:ascii="Times New Roman" w:hAnsi="Times New Roman" w:eastAsia="宋体"/>
      <w:b/>
      <w:szCs w:val="24"/>
    </w:rPr>
  </w:style>
  <w:style w:type="paragraph" w:customStyle="1" w:styleId="185">
    <w:name w:val="5-标题"/>
    <w:basedOn w:val="1"/>
    <w:link w:val="184"/>
    <w:qFormat/>
    <w:uiPriority w:val="0"/>
    <w:pPr>
      <w:spacing w:line="240" w:lineRule="auto"/>
      <w:ind w:firstLine="0" w:firstLineChars="0"/>
      <w:jc w:val="center"/>
    </w:pPr>
    <w:rPr>
      <w:b/>
      <w:kern w:val="0"/>
      <w:sz w:val="20"/>
      <w:szCs w:val="24"/>
    </w:rPr>
  </w:style>
  <w:style w:type="paragraph" w:customStyle="1" w:styleId="186">
    <w:name w:val="正文-ls"/>
    <w:basedOn w:val="1"/>
    <w:link w:val="187"/>
    <w:qFormat/>
    <w:uiPriority w:val="0"/>
    <w:rPr>
      <w:rFonts w:ascii="Calibri" w:hAnsi="宋体"/>
      <w:kern w:val="0"/>
      <w:szCs w:val="20"/>
    </w:rPr>
  </w:style>
  <w:style w:type="character" w:customStyle="1" w:styleId="187">
    <w:name w:val="正文-ls Char"/>
    <w:link w:val="186"/>
    <w:qFormat/>
    <w:uiPriority w:val="0"/>
    <w:rPr>
      <w:rFonts w:ascii="Calibri" w:hAnsi="宋体" w:eastAsia="宋体" w:cs="宋体"/>
      <w:sz w:val="24"/>
      <w:szCs w:val="20"/>
    </w:rPr>
  </w:style>
  <w:style w:type="paragraph" w:customStyle="1" w:styleId="188">
    <w:name w:val="样式4"/>
    <w:basedOn w:val="167"/>
    <w:link w:val="189"/>
    <w:qFormat/>
    <w:uiPriority w:val="0"/>
    <w:pPr>
      <w:widowControl w:val="0"/>
      <w:snapToGrid w:val="0"/>
      <w:spacing w:beforeLines="50"/>
      <w:ind w:firstLine="200"/>
      <w:outlineLvl w:val="3"/>
    </w:pPr>
    <w:rPr>
      <w:b/>
    </w:rPr>
  </w:style>
  <w:style w:type="character" w:customStyle="1" w:styleId="189">
    <w:name w:val="样式4 Char"/>
    <w:link w:val="188"/>
    <w:qFormat/>
    <w:uiPriority w:val="0"/>
    <w:rPr>
      <w:rFonts w:ascii="Times New Roman" w:hAnsi="Times New Roman" w:eastAsia="宋体" w:cs="Times New Roman"/>
      <w:b/>
      <w:kern w:val="0"/>
      <w:sz w:val="24"/>
      <w:szCs w:val="24"/>
    </w:rPr>
  </w:style>
  <w:style w:type="paragraph" w:customStyle="1" w:styleId="190">
    <w:name w:val="四级标题"/>
    <w:basedOn w:val="1"/>
    <w:qFormat/>
    <w:uiPriority w:val="0"/>
    <w:pPr>
      <w:spacing w:beforeLines="50" w:afterLines="50"/>
      <w:ind w:firstLine="0" w:firstLineChars="0"/>
      <w:jc w:val="left"/>
      <w:outlineLvl w:val="3"/>
    </w:pPr>
    <w:rPr>
      <w:b/>
      <w:szCs w:val="24"/>
    </w:rPr>
  </w:style>
  <w:style w:type="paragraph" w:customStyle="1" w:styleId="191">
    <w:name w:val="正文01"/>
    <w:basedOn w:val="1"/>
    <w:qFormat/>
    <w:uiPriority w:val="0"/>
    <w:pPr>
      <w:spacing w:before="60" w:line="460" w:lineRule="exact"/>
      <w:ind w:firstLine="539" w:firstLineChars="0"/>
    </w:pPr>
    <w:rPr>
      <w:sz w:val="27"/>
      <w:szCs w:val="20"/>
    </w:rPr>
  </w:style>
  <w:style w:type="character" w:customStyle="1" w:styleId="192">
    <w:name w:val="院表头单位 Char Char"/>
    <w:link w:val="193"/>
    <w:qFormat/>
    <w:uiPriority w:val="0"/>
    <w:rPr>
      <w:rFonts w:ascii="宋体" w:eastAsia="黑体" w:cs="宋体"/>
      <w:szCs w:val="24"/>
    </w:rPr>
  </w:style>
  <w:style w:type="paragraph" w:customStyle="1" w:styleId="193">
    <w:name w:val="院表头单位"/>
    <w:basedOn w:val="1"/>
    <w:link w:val="192"/>
    <w:qFormat/>
    <w:uiPriority w:val="0"/>
    <w:pPr>
      <w:autoSpaceDE w:val="0"/>
      <w:autoSpaceDN w:val="0"/>
      <w:adjustRightInd w:val="0"/>
      <w:jc w:val="left"/>
    </w:pPr>
    <w:rPr>
      <w:rFonts w:ascii="宋体" w:eastAsia="黑体"/>
      <w:kern w:val="0"/>
      <w:sz w:val="20"/>
      <w:szCs w:val="24"/>
    </w:rPr>
  </w:style>
  <w:style w:type="character" w:customStyle="1" w:styleId="194">
    <w:name w:val="5表文 Char Char"/>
    <w:link w:val="195"/>
    <w:qFormat/>
    <w:uiPriority w:val="0"/>
  </w:style>
  <w:style w:type="paragraph" w:customStyle="1" w:styleId="195">
    <w:name w:val="5表文"/>
    <w:basedOn w:val="1"/>
    <w:link w:val="194"/>
    <w:qFormat/>
    <w:uiPriority w:val="0"/>
    <w:pPr>
      <w:spacing w:line="240" w:lineRule="auto"/>
      <w:ind w:firstLine="0" w:firstLineChars="0"/>
      <w:jc w:val="center"/>
    </w:pPr>
    <w:rPr>
      <w:rFonts w:ascii="Calibri" w:hAnsi="Calibri"/>
      <w:sz w:val="21"/>
      <w:szCs w:val="22"/>
    </w:rPr>
  </w:style>
  <w:style w:type="character" w:customStyle="1" w:styleId="196">
    <w:name w:val="表文6 Char Char"/>
    <w:link w:val="197"/>
    <w:qFormat/>
    <w:uiPriority w:val="0"/>
    <w:rPr>
      <w:rFonts w:ascii="Times New Roman" w:hAnsi="Times New Roman" w:eastAsia="宋体"/>
      <w:kern w:val="0"/>
    </w:rPr>
  </w:style>
  <w:style w:type="paragraph" w:customStyle="1" w:styleId="197">
    <w:name w:val="表文6"/>
    <w:basedOn w:val="1"/>
    <w:link w:val="196"/>
    <w:qFormat/>
    <w:uiPriority w:val="0"/>
    <w:pPr>
      <w:spacing w:line="240" w:lineRule="auto"/>
      <w:ind w:firstLine="0" w:firstLineChars="0"/>
      <w:jc w:val="center"/>
    </w:pPr>
    <w:rPr>
      <w:kern w:val="0"/>
      <w:sz w:val="20"/>
      <w:szCs w:val="20"/>
    </w:rPr>
  </w:style>
  <w:style w:type="paragraph" w:customStyle="1" w:styleId="198">
    <w:name w:val="无间隔1"/>
    <w:basedOn w:val="1"/>
    <w:link w:val="199"/>
    <w:qFormat/>
    <w:uiPriority w:val="0"/>
    <w:pPr>
      <w:widowControl/>
      <w:spacing w:line="240" w:lineRule="auto"/>
      <w:ind w:firstLine="0" w:firstLineChars="0"/>
      <w:jc w:val="left"/>
    </w:pPr>
    <w:rPr>
      <w:rFonts w:ascii="Calibri" w:hAnsi="Calibri"/>
      <w:kern w:val="0"/>
      <w:szCs w:val="20"/>
    </w:rPr>
  </w:style>
  <w:style w:type="character" w:customStyle="1" w:styleId="199">
    <w:name w:val="无间隔 Char"/>
    <w:link w:val="198"/>
    <w:qFormat/>
    <w:uiPriority w:val="0"/>
    <w:rPr>
      <w:rFonts w:ascii="Calibri" w:hAnsi="Calibri" w:eastAsia="宋体" w:cs="Times New Roman"/>
      <w:kern w:val="0"/>
      <w:sz w:val="24"/>
    </w:rPr>
  </w:style>
  <w:style w:type="paragraph" w:customStyle="1" w:styleId="200">
    <w:name w:val="引用1"/>
    <w:basedOn w:val="1"/>
    <w:next w:val="1"/>
    <w:link w:val="201"/>
    <w:qFormat/>
    <w:uiPriority w:val="29"/>
    <w:pPr>
      <w:widowControl/>
      <w:spacing w:before="200" w:line="276" w:lineRule="auto"/>
      <w:ind w:left="360" w:right="360" w:firstLine="0" w:firstLineChars="0"/>
      <w:jc w:val="left"/>
    </w:pPr>
    <w:rPr>
      <w:rFonts w:ascii="Calibri" w:hAnsi="Calibri"/>
      <w:i/>
      <w:iCs/>
      <w:kern w:val="0"/>
      <w:sz w:val="20"/>
      <w:szCs w:val="20"/>
    </w:rPr>
  </w:style>
  <w:style w:type="character" w:customStyle="1" w:styleId="201">
    <w:name w:val="引用 Char"/>
    <w:link w:val="200"/>
    <w:qFormat/>
    <w:uiPriority w:val="29"/>
    <w:rPr>
      <w:rFonts w:ascii="Calibri" w:hAnsi="Calibri" w:eastAsia="宋体" w:cs="Times New Roman"/>
      <w:i/>
      <w:iCs/>
      <w:kern w:val="0"/>
      <w:sz w:val="20"/>
      <w:szCs w:val="20"/>
    </w:rPr>
  </w:style>
  <w:style w:type="character" w:customStyle="1" w:styleId="202">
    <w:name w:val="表格3 Char"/>
    <w:link w:val="203"/>
    <w:qFormat/>
    <w:locked/>
    <w:uiPriority w:val="0"/>
    <w:rPr>
      <w:rFonts w:ascii="Calibri" w:hAnsi="Calibri"/>
      <w:kern w:val="2"/>
      <w:sz w:val="21"/>
      <w:szCs w:val="21"/>
      <w:lang w:val="en-US" w:eastAsia="zh-CN" w:bidi="ar-SA"/>
    </w:rPr>
  </w:style>
  <w:style w:type="paragraph" w:customStyle="1" w:styleId="203">
    <w:name w:val="表格3"/>
    <w:link w:val="202"/>
    <w:qFormat/>
    <w:uiPriority w:val="0"/>
    <w:pPr>
      <w:spacing w:line="240" w:lineRule="atLeast"/>
      <w:jc w:val="center"/>
    </w:pPr>
    <w:rPr>
      <w:rFonts w:ascii="Calibri" w:hAnsi="Calibri" w:eastAsia="宋体" w:cs="Times New Roman"/>
      <w:kern w:val="2"/>
      <w:sz w:val="21"/>
      <w:szCs w:val="21"/>
      <w:lang w:val="en-US" w:eastAsia="zh-CN" w:bidi="ar-SA"/>
    </w:rPr>
  </w:style>
  <w:style w:type="paragraph" w:customStyle="1" w:styleId="204">
    <w:name w:val="4正文"/>
    <w:next w:val="1"/>
    <w:link w:val="205"/>
    <w:qFormat/>
    <w:uiPriority w:val="0"/>
    <w:pPr>
      <w:widowControl w:val="0"/>
      <w:spacing w:line="360" w:lineRule="auto"/>
      <w:ind w:firstLine="200" w:firstLineChars="200"/>
      <w:jc w:val="both"/>
    </w:pPr>
    <w:rPr>
      <w:rFonts w:ascii="Times New Roman" w:hAnsi="Times New Roman" w:eastAsia="宋体" w:cs="Times New Roman"/>
      <w:sz w:val="24"/>
      <w:szCs w:val="22"/>
      <w:lang w:val="en-US" w:eastAsia="zh-CN" w:bidi="ar-SA"/>
    </w:rPr>
  </w:style>
  <w:style w:type="character" w:customStyle="1" w:styleId="205">
    <w:name w:val="4正文 Char Char"/>
    <w:link w:val="204"/>
    <w:qFormat/>
    <w:uiPriority w:val="0"/>
    <w:rPr>
      <w:sz w:val="24"/>
      <w:szCs w:val="22"/>
      <w:lang w:bidi="ar-SA"/>
    </w:rPr>
  </w:style>
  <w:style w:type="paragraph" w:customStyle="1" w:styleId="206">
    <w:name w:val="样式 4正文 + 首行缩进:  2 字符"/>
    <w:basedOn w:val="204"/>
    <w:link w:val="207"/>
    <w:qFormat/>
    <w:uiPriority w:val="0"/>
    <w:pPr>
      <w:ind w:firstLine="480"/>
    </w:pPr>
    <w:rPr>
      <w:szCs w:val="20"/>
    </w:rPr>
  </w:style>
  <w:style w:type="character" w:customStyle="1" w:styleId="207">
    <w:name w:val="样式 4正文 + 首行缩进:  2 字符 Char"/>
    <w:link w:val="206"/>
    <w:qFormat/>
    <w:uiPriority w:val="0"/>
    <w:rPr>
      <w:rFonts w:ascii="Times New Roman" w:hAnsi="Times New Roman" w:eastAsia="宋体" w:cs="宋体"/>
      <w:kern w:val="0"/>
      <w:sz w:val="24"/>
      <w:szCs w:val="20"/>
    </w:rPr>
  </w:style>
  <w:style w:type="character" w:customStyle="1" w:styleId="208">
    <w:name w:val="fontstyle01"/>
    <w:qFormat/>
    <w:uiPriority w:val="0"/>
    <w:rPr>
      <w:rFonts w:hint="eastAsia" w:ascii="宋体" w:hAnsi="宋体" w:eastAsia="宋体"/>
      <w:color w:val="000000"/>
      <w:sz w:val="20"/>
      <w:szCs w:val="20"/>
    </w:rPr>
  </w:style>
  <w:style w:type="paragraph" w:customStyle="1" w:styleId="209">
    <w:name w:val="表文-6"/>
    <w:basedOn w:val="197"/>
    <w:link w:val="210"/>
    <w:qFormat/>
    <w:uiPriority w:val="0"/>
  </w:style>
  <w:style w:type="character" w:customStyle="1" w:styleId="210">
    <w:name w:val="表文-6 Char"/>
    <w:link w:val="209"/>
    <w:qFormat/>
    <w:uiPriority w:val="0"/>
    <w:rPr>
      <w:rFonts w:ascii="Times New Roman" w:hAnsi="Times New Roman" w:eastAsia="宋体"/>
      <w:kern w:val="0"/>
    </w:rPr>
  </w:style>
  <w:style w:type="paragraph" w:customStyle="1" w:styleId="211">
    <w:name w:val="正文缩进1"/>
    <w:basedOn w:val="1"/>
    <w:qFormat/>
    <w:uiPriority w:val="0"/>
    <w:pPr>
      <w:spacing w:line="240" w:lineRule="auto"/>
      <w:ind w:firstLine="420" w:firstLineChars="0"/>
    </w:pPr>
    <w:rPr>
      <w:sz w:val="21"/>
      <w:szCs w:val="20"/>
    </w:rPr>
  </w:style>
  <w:style w:type="paragraph" w:customStyle="1" w:styleId="212">
    <w:name w:val="表心"/>
    <w:basedOn w:val="1"/>
    <w:qFormat/>
    <w:uiPriority w:val="0"/>
    <w:pPr>
      <w:adjustRightInd w:val="0"/>
      <w:spacing w:before="30" w:after="30" w:line="240" w:lineRule="auto"/>
      <w:ind w:firstLine="0" w:firstLineChars="0"/>
      <w:jc w:val="left"/>
      <w:textAlignment w:val="baseline"/>
    </w:pPr>
    <w:rPr>
      <w:rFonts w:ascii="宋体"/>
      <w:szCs w:val="20"/>
    </w:rPr>
  </w:style>
  <w:style w:type="paragraph" w:customStyle="1" w:styleId="213">
    <w:name w:val="列出段落1"/>
    <w:basedOn w:val="1"/>
    <w:qFormat/>
    <w:uiPriority w:val="0"/>
    <w:pPr>
      <w:spacing w:line="240" w:lineRule="auto"/>
      <w:ind w:firstLine="420"/>
    </w:pPr>
    <w:rPr>
      <w:rFonts w:ascii="宋体" w:hAnsi="Calibri"/>
      <w:szCs w:val="22"/>
    </w:rPr>
  </w:style>
  <w:style w:type="paragraph" w:customStyle="1" w:styleId="214">
    <w:name w:val="明显引用1"/>
    <w:basedOn w:val="1"/>
    <w:next w:val="1"/>
    <w:link w:val="215"/>
    <w:qFormat/>
    <w:uiPriority w:val="30"/>
    <w:pPr>
      <w:pBdr>
        <w:bottom w:val="single" w:color="4F81BD" w:sz="4" w:space="4"/>
      </w:pBdr>
      <w:ind w:firstLine="0" w:firstLineChars="0"/>
      <w:jc w:val="center"/>
    </w:pPr>
    <w:rPr>
      <w:b/>
      <w:iCs/>
      <w:kern w:val="0"/>
      <w:szCs w:val="24"/>
    </w:rPr>
  </w:style>
  <w:style w:type="character" w:customStyle="1" w:styleId="215">
    <w:name w:val="明显引用 Char"/>
    <w:link w:val="214"/>
    <w:qFormat/>
    <w:uiPriority w:val="30"/>
    <w:rPr>
      <w:rFonts w:ascii="Times New Roman" w:hAnsi="Times New Roman" w:eastAsia="宋体" w:cs="Times New Roman"/>
      <w:b/>
      <w:iCs/>
      <w:sz w:val="24"/>
      <w:szCs w:val="24"/>
    </w:rPr>
  </w:style>
  <w:style w:type="paragraph" w:customStyle="1" w:styleId="216">
    <w:name w:val="七-图表题"/>
    <w:basedOn w:val="1"/>
    <w:link w:val="217"/>
    <w:qFormat/>
    <w:uiPriority w:val="0"/>
    <w:pPr>
      <w:ind w:firstLine="0" w:firstLineChars="0"/>
      <w:jc w:val="center"/>
    </w:pPr>
    <w:rPr>
      <w:b/>
      <w:bCs/>
      <w:kern w:val="0"/>
      <w:szCs w:val="24"/>
    </w:rPr>
  </w:style>
  <w:style w:type="character" w:customStyle="1" w:styleId="217">
    <w:name w:val="七-图表题 Char"/>
    <w:link w:val="216"/>
    <w:qFormat/>
    <w:uiPriority w:val="0"/>
    <w:rPr>
      <w:rFonts w:ascii="Times New Roman" w:hAnsi="Times New Roman" w:eastAsia="宋体" w:cs="Times New Roman"/>
      <w:b/>
      <w:bCs/>
      <w:sz w:val="24"/>
      <w:szCs w:val="24"/>
    </w:rPr>
  </w:style>
  <w:style w:type="paragraph" w:customStyle="1" w:styleId="218">
    <w:name w:val="6-表中文字"/>
    <w:basedOn w:val="1"/>
    <w:link w:val="219"/>
    <w:qFormat/>
    <w:uiPriority w:val="0"/>
    <w:pPr>
      <w:adjustRightInd w:val="0"/>
      <w:snapToGrid w:val="0"/>
      <w:spacing w:line="240" w:lineRule="auto"/>
      <w:ind w:firstLine="0" w:firstLineChars="0"/>
      <w:jc w:val="center"/>
      <w:textAlignment w:val="center"/>
    </w:pPr>
    <w:rPr>
      <w:kern w:val="0"/>
      <w:sz w:val="20"/>
    </w:rPr>
  </w:style>
  <w:style w:type="character" w:customStyle="1" w:styleId="219">
    <w:name w:val="6-表中文字 Char"/>
    <w:link w:val="218"/>
    <w:qFormat/>
    <w:uiPriority w:val="0"/>
    <w:rPr>
      <w:rFonts w:ascii="Times New Roman" w:hAnsi="Times New Roman" w:eastAsia="宋体" w:cs="Times New Roman"/>
      <w:szCs w:val="21"/>
    </w:rPr>
  </w:style>
  <w:style w:type="paragraph" w:customStyle="1" w:styleId="220">
    <w:name w:val="表内字"/>
    <w:basedOn w:val="1"/>
    <w:qFormat/>
    <w:uiPriority w:val="0"/>
    <w:pPr>
      <w:spacing w:line="300" w:lineRule="atLeast"/>
      <w:jc w:val="center"/>
    </w:pPr>
    <w:rPr>
      <w:color w:val="000000"/>
      <w:szCs w:val="24"/>
    </w:rPr>
  </w:style>
  <w:style w:type="paragraph" w:customStyle="1" w:styleId="221">
    <w:name w:val="reader-word-layer"/>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Cs w:val="24"/>
    </w:rPr>
  </w:style>
  <w:style w:type="paragraph" w:customStyle="1" w:styleId="222">
    <w:name w:val="表体"/>
    <w:basedOn w:val="1"/>
    <w:qFormat/>
    <w:uiPriority w:val="0"/>
    <w:pPr>
      <w:overflowPunct w:val="0"/>
      <w:adjustRightInd w:val="0"/>
      <w:spacing w:line="240" w:lineRule="atLeast"/>
      <w:ind w:left="-57" w:right="-57" w:firstLine="0" w:firstLineChars="0"/>
      <w:jc w:val="center"/>
      <w:textAlignment w:val="baseline"/>
    </w:pPr>
    <w:rPr>
      <w:rFonts w:ascii="黑体" w:eastAsia="黑体"/>
      <w:color w:val="000080"/>
      <w:kern w:val="24"/>
      <w:szCs w:val="20"/>
    </w:rPr>
  </w:style>
  <w:style w:type="paragraph" w:customStyle="1" w:styleId="223">
    <w:name w:val="Char1"/>
    <w:basedOn w:val="1"/>
    <w:qFormat/>
    <w:uiPriority w:val="0"/>
    <w:rPr>
      <w:color w:val="000000"/>
      <w:sz w:val="28"/>
      <w:szCs w:val="20"/>
    </w:rPr>
  </w:style>
  <w:style w:type="paragraph" w:customStyle="1" w:styleId="224">
    <w:name w:val="七表中文字"/>
    <w:basedOn w:val="1"/>
    <w:link w:val="225"/>
    <w:qFormat/>
    <w:uiPriority w:val="0"/>
    <w:pPr>
      <w:adjustRightInd w:val="0"/>
      <w:snapToGrid w:val="0"/>
      <w:ind w:firstLine="0" w:firstLineChars="0"/>
      <w:jc w:val="center"/>
    </w:pPr>
    <w:rPr>
      <w:kern w:val="0"/>
      <w:sz w:val="20"/>
    </w:rPr>
  </w:style>
  <w:style w:type="character" w:customStyle="1" w:styleId="225">
    <w:name w:val="七表中文字 Char"/>
    <w:link w:val="224"/>
    <w:qFormat/>
    <w:uiPriority w:val="0"/>
    <w:rPr>
      <w:rFonts w:ascii="Times New Roman" w:hAnsi="Times New Roman" w:eastAsia="宋体" w:cs="Times New Roman"/>
      <w:szCs w:val="21"/>
    </w:rPr>
  </w:style>
  <w:style w:type="paragraph" w:customStyle="1" w:styleId="226">
    <w:name w:val="6-标题"/>
    <w:basedOn w:val="1"/>
    <w:link w:val="227"/>
    <w:qFormat/>
    <w:uiPriority w:val="0"/>
    <w:pPr>
      <w:spacing w:line="0" w:lineRule="atLeast"/>
      <w:ind w:firstLine="0" w:firstLineChars="0"/>
      <w:jc w:val="center"/>
    </w:pPr>
    <w:rPr>
      <w:b/>
      <w:kern w:val="0"/>
      <w:szCs w:val="24"/>
    </w:rPr>
  </w:style>
  <w:style w:type="character" w:customStyle="1" w:styleId="227">
    <w:name w:val="6-标题 Char"/>
    <w:link w:val="226"/>
    <w:qFormat/>
    <w:uiPriority w:val="0"/>
    <w:rPr>
      <w:rFonts w:ascii="Times New Roman" w:hAnsi="Times New Roman" w:eastAsia="宋体" w:cs="Times New Roman"/>
      <w:b/>
      <w:sz w:val="24"/>
      <w:szCs w:val="24"/>
    </w:rPr>
  </w:style>
  <w:style w:type="paragraph" w:customStyle="1" w:styleId="228">
    <w:name w:val="报告表格"/>
    <w:basedOn w:val="1"/>
    <w:qFormat/>
    <w:uiPriority w:val="0"/>
    <w:pPr>
      <w:autoSpaceDE w:val="0"/>
      <w:autoSpaceDN w:val="0"/>
      <w:adjustRightInd w:val="0"/>
      <w:spacing w:before="40" w:after="40" w:line="240" w:lineRule="auto"/>
      <w:ind w:firstLine="0" w:firstLineChars="0"/>
      <w:jc w:val="center"/>
      <w:textAlignment w:val="baseline"/>
    </w:pPr>
    <w:rPr>
      <w:color w:val="000000"/>
      <w:kern w:val="0"/>
      <w:sz w:val="21"/>
      <w:szCs w:val="20"/>
    </w:rPr>
  </w:style>
  <w:style w:type="paragraph" w:customStyle="1" w:styleId="229">
    <w:name w:val="样式 6-表中文字 +"/>
    <w:basedOn w:val="218"/>
    <w:link w:val="230"/>
    <w:qFormat/>
    <w:uiPriority w:val="0"/>
    <w:rPr>
      <w:rFonts w:ascii="Calibri" w:hAnsi="Calibri"/>
      <w:color w:val="FF0000"/>
    </w:rPr>
  </w:style>
  <w:style w:type="character" w:customStyle="1" w:styleId="230">
    <w:name w:val="样式 6-表中文字 + Char"/>
    <w:link w:val="229"/>
    <w:qFormat/>
    <w:uiPriority w:val="0"/>
    <w:rPr>
      <w:rFonts w:ascii="Calibri" w:hAnsi="Calibri" w:eastAsia="宋体" w:cs="Times New Roman"/>
      <w:color w:val="FF0000"/>
      <w:szCs w:val="21"/>
    </w:rPr>
  </w:style>
  <w:style w:type="paragraph" w:customStyle="1" w:styleId="231">
    <w:name w:val="样式 标题 2二级标题2-级标题 + (西文) 黑体"/>
    <w:basedOn w:val="5"/>
    <w:link w:val="232"/>
    <w:qFormat/>
    <w:uiPriority w:val="0"/>
    <w:pPr>
      <w:spacing w:beforeLines="0" w:afterLines="0"/>
    </w:pPr>
    <w:rPr>
      <w:rFonts w:ascii="黑体" w:hAnsi="黑体" w:eastAsia="黑体"/>
    </w:rPr>
  </w:style>
  <w:style w:type="character" w:customStyle="1" w:styleId="232">
    <w:name w:val="样式 标题 2二级标题2-级标题 + (西文) 黑体 Char"/>
    <w:link w:val="231"/>
    <w:qFormat/>
    <w:uiPriority w:val="0"/>
    <w:rPr>
      <w:rFonts w:ascii="黑体" w:hAnsi="黑体" w:eastAsia="黑体" w:cs="Times New Roman"/>
      <w:b/>
      <w:bCs/>
      <w:sz w:val="30"/>
      <w:szCs w:val="32"/>
    </w:rPr>
  </w:style>
  <w:style w:type="paragraph" w:customStyle="1" w:styleId="233">
    <w:name w:val="样式 标题 1一级标题1-级标题Ch章标题 1章节标题b111标题 1一、 + 段前: 0.5 行 段后: ..."/>
    <w:basedOn w:val="4"/>
    <w:qFormat/>
    <w:uiPriority w:val="0"/>
    <w:pPr>
      <w:spacing w:before="180" w:after="180"/>
      <w:jc w:val="center"/>
    </w:pPr>
    <w:rPr>
      <w:rFonts w:eastAsia="黑体" w:cs="宋体"/>
      <w:b w:val="0"/>
      <w:szCs w:val="20"/>
    </w:rPr>
  </w:style>
  <w:style w:type="paragraph" w:customStyle="1" w:styleId="234">
    <w:name w:val="Default"/>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235">
    <w:name w:val="1正文段落"/>
    <w:basedOn w:val="1"/>
    <w:qFormat/>
    <w:uiPriority w:val="0"/>
    <w:pPr>
      <w:ind w:firstLine="480"/>
    </w:pPr>
    <w:rPr>
      <w:kern w:val="0"/>
      <w:szCs w:val="24"/>
    </w:rPr>
  </w:style>
  <w:style w:type="paragraph" w:customStyle="1" w:styleId="236">
    <w:name w:val="样式2"/>
    <w:basedOn w:val="1"/>
    <w:link w:val="237"/>
    <w:qFormat/>
    <w:uiPriority w:val="0"/>
    <w:pPr>
      <w:autoSpaceDE w:val="0"/>
      <w:autoSpaceDN w:val="0"/>
      <w:adjustRightInd w:val="0"/>
      <w:spacing w:line="380" w:lineRule="exact"/>
      <w:ind w:firstLine="540" w:firstLineChars="225"/>
    </w:pPr>
    <w:rPr>
      <w:rFonts w:ascii="黑体"/>
      <w:kern w:val="0"/>
      <w:szCs w:val="54"/>
    </w:rPr>
  </w:style>
  <w:style w:type="character" w:customStyle="1" w:styleId="237">
    <w:name w:val="样式2 Char"/>
    <w:link w:val="236"/>
    <w:qFormat/>
    <w:uiPriority w:val="0"/>
    <w:rPr>
      <w:rFonts w:ascii="黑体" w:hAnsi="Times New Roman" w:eastAsia="宋体" w:cs="Times New Roman"/>
      <w:kern w:val="0"/>
      <w:sz w:val="24"/>
      <w:szCs w:val="54"/>
    </w:rPr>
  </w:style>
  <w:style w:type="paragraph" w:customStyle="1" w:styleId="238">
    <w:name w:val="大纲目录1"/>
    <w:basedOn w:val="1"/>
    <w:qFormat/>
    <w:uiPriority w:val="0"/>
    <w:pPr>
      <w:keepNext/>
      <w:keepLines/>
      <w:spacing w:before="120" w:after="120"/>
      <w:outlineLvl w:val="1"/>
    </w:pPr>
    <w:rPr>
      <w:b/>
      <w:bCs/>
      <w:kern w:val="44"/>
      <w:sz w:val="36"/>
      <w:szCs w:val="36"/>
    </w:rPr>
  </w:style>
  <w:style w:type="paragraph" w:customStyle="1" w:styleId="239">
    <w:name w:val="20"/>
    <w:basedOn w:val="1"/>
    <w:qFormat/>
    <w:uiPriority w:val="0"/>
    <w:pPr>
      <w:widowControl/>
      <w:spacing w:before="100" w:beforeAutospacing="1" w:after="100" w:afterAutospacing="1"/>
      <w:jc w:val="left"/>
    </w:pPr>
    <w:rPr>
      <w:rFonts w:ascii="宋体" w:hAnsi="宋体"/>
      <w:kern w:val="0"/>
      <w:szCs w:val="24"/>
    </w:rPr>
  </w:style>
  <w:style w:type="paragraph" w:customStyle="1" w:styleId="240">
    <w:name w:val="表格内容"/>
    <w:basedOn w:val="2"/>
    <w:qFormat/>
    <w:uiPriority w:val="0"/>
    <w:pPr>
      <w:widowControl/>
      <w:tabs>
        <w:tab w:val="left" w:pos="1050"/>
      </w:tabs>
      <w:overflowPunct w:val="0"/>
      <w:autoSpaceDE w:val="0"/>
      <w:autoSpaceDN w:val="0"/>
      <w:adjustRightInd w:val="0"/>
      <w:spacing w:line="480" w:lineRule="atLeast"/>
      <w:outlineLvl w:val="0"/>
    </w:pPr>
    <w:rPr>
      <w:sz w:val="28"/>
    </w:rPr>
  </w:style>
  <w:style w:type="paragraph" w:customStyle="1" w:styleId="241">
    <w:name w:val="表中文字"/>
    <w:basedOn w:val="1"/>
    <w:qFormat/>
    <w:uiPriority w:val="0"/>
    <w:pPr>
      <w:jc w:val="center"/>
    </w:pPr>
    <w:rPr>
      <w:szCs w:val="24"/>
    </w:rPr>
  </w:style>
  <w:style w:type="character" w:customStyle="1" w:styleId="242">
    <w:name w:val="正文1 Char"/>
    <w:qFormat/>
    <w:uiPriority w:val="0"/>
    <w:rPr>
      <w:rFonts w:ascii="Times New Roman" w:hAnsi="Times New Roman" w:eastAsia="宋体"/>
      <w:sz w:val="28"/>
    </w:rPr>
  </w:style>
  <w:style w:type="paragraph" w:customStyle="1" w:styleId="243">
    <w:name w:val="标准段落"/>
    <w:basedOn w:val="1"/>
    <w:next w:val="1"/>
    <w:qFormat/>
    <w:uiPriority w:val="0"/>
    <w:pPr>
      <w:ind w:firstLine="480"/>
    </w:pPr>
    <w:rPr>
      <w:kern w:val="0"/>
      <w:szCs w:val="24"/>
    </w:rPr>
  </w:style>
  <w:style w:type="paragraph" w:customStyle="1" w:styleId="244">
    <w:name w:val="表标题"/>
    <w:basedOn w:val="2"/>
    <w:next w:val="1"/>
    <w:qFormat/>
    <w:uiPriority w:val="0"/>
    <w:pPr>
      <w:ind w:firstLine="480"/>
    </w:pPr>
    <w:rPr>
      <w:color w:val="FF0000"/>
      <w:szCs w:val="24"/>
    </w:rPr>
  </w:style>
  <w:style w:type="paragraph" w:customStyle="1" w:styleId="245">
    <w:name w:val="六-图表题"/>
    <w:basedOn w:val="1"/>
    <w:link w:val="246"/>
    <w:qFormat/>
    <w:uiPriority w:val="0"/>
    <w:pPr>
      <w:adjustRightInd w:val="0"/>
      <w:snapToGrid w:val="0"/>
      <w:ind w:firstLine="0" w:firstLineChars="0"/>
      <w:jc w:val="center"/>
    </w:pPr>
    <w:rPr>
      <w:b/>
      <w:kern w:val="0"/>
      <w:szCs w:val="24"/>
    </w:rPr>
  </w:style>
  <w:style w:type="character" w:customStyle="1" w:styleId="246">
    <w:name w:val="六-图表题 Char"/>
    <w:link w:val="245"/>
    <w:qFormat/>
    <w:uiPriority w:val="0"/>
    <w:rPr>
      <w:rFonts w:ascii="Times New Roman" w:hAnsi="Times New Roman" w:eastAsia="宋体" w:cs="Times New Roman"/>
      <w:b/>
      <w:sz w:val="24"/>
      <w:szCs w:val="24"/>
    </w:rPr>
  </w:style>
  <w:style w:type="paragraph" w:customStyle="1" w:styleId="247">
    <w:name w:val="正文 + (中文) 黑体"/>
    <w:basedOn w:val="1"/>
    <w:qFormat/>
    <w:uiPriority w:val="0"/>
    <w:pPr>
      <w:adjustRightInd w:val="0"/>
      <w:snapToGrid w:val="0"/>
      <w:ind w:firstLine="480"/>
    </w:pPr>
    <w:rPr>
      <w:szCs w:val="24"/>
    </w:rPr>
  </w:style>
  <w:style w:type="paragraph" w:customStyle="1" w:styleId="248">
    <w:name w:val="TOC 标题1"/>
    <w:basedOn w:val="4"/>
    <w:next w:val="1"/>
    <w:qFormat/>
    <w:uiPriority w:val="39"/>
    <w:pPr>
      <w:widowControl/>
      <w:spacing w:beforeLines="0" w:afterLines="0" w:line="276" w:lineRule="auto"/>
      <w:jc w:val="center"/>
      <w:outlineLvl w:val="9"/>
    </w:pPr>
    <w:rPr>
      <w:rFonts w:ascii="Cambria" w:hAnsi="Cambria"/>
      <w:b w:val="0"/>
      <w:color w:val="365F91"/>
      <w:kern w:val="0"/>
      <w:sz w:val="28"/>
      <w:szCs w:val="28"/>
    </w:rPr>
  </w:style>
  <w:style w:type="paragraph" w:customStyle="1" w:styleId="249">
    <w:name w:val="5"/>
    <w:basedOn w:val="185"/>
    <w:link w:val="250"/>
    <w:qFormat/>
    <w:uiPriority w:val="0"/>
    <w:rPr>
      <w:color w:val="FF0000"/>
    </w:rPr>
  </w:style>
  <w:style w:type="character" w:customStyle="1" w:styleId="250">
    <w:name w:val="5 Char"/>
    <w:link w:val="249"/>
    <w:qFormat/>
    <w:uiPriority w:val="0"/>
    <w:rPr>
      <w:rFonts w:ascii="Times New Roman" w:hAnsi="Times New Roman" w:eastAsia="宋体" w:cs="Times New Roman"/>
      <w:b/>
      <w:color w:val="FF0000"/>
      <w:szCs w:val="24"/>
    </w:rPr>
  </w:style>
  <w:style w:type="paragraph" w:customStyle="1" w:styleId="251">
    <w:name w:val="6"/>
    <w:basedOn w:val="218"/>
    <w:link w:val="252"/>
    <w:qFormat/>
    <w:uiPriority w:val="0"/>
  </w:style>
  <w:style w:type="character" w:customStyle="1" w:styleId="252">
    <w:name w:val="6 Char"/>
    <w:link w:val="251"/>
    <w:qFormat/>
    <w:uiPriority w:val="0"/>
    <w:rPr>
      <w:rFonts w:ascii="Times New Roman" w:hAnsi="Times New Roman" w:eastAsia="宋体" w:cs="Times New Roman"/>
      <w:szCs w:val="21"/>
    </w:rPr>
  </w:style>
  <w:style w:type="character" w:customStyle="1" w:styleId="253">
    <w:name w:val="font11"/>
    <w:qFormat/>
    <w:uiPriority w:val="0"/>
    <w:rPr>
      <w:rFonts w:hint="eastAsia" w:ascii="宋体" w:hAnsi="宋体" w:eastAsia="宋体"/>
      <w:color w:val="000000"/>
      <w:sz w:val="13"/>
      <w:szCs w:val="13"/>
      <w:u w:val="none"/>
    </w:rPr>
  </w:style>
  <w:style w:type="character" w:customStyle="1" w:styleId="254">
    <w:name w:val="font21"/>
    <w:qFormat/>
    <w:uiPriority w:val="0"/>
    <w:rPr>
      <w:rFonts w:hint="eastAsia" w:ascii="宋体" w:hAnsi="宋体" w:eastAsia="宋体"/>
      <w:color w:val="000000"/>
      <w:sz w:val="13"/>
      <w:szCs w:val="13"/>
      <w:u w:val="none"/>
      <w:vertAlign w:val="subscript"/>
    </w:rPr>
  </w:style>
  <w:style w:type="paragraph" w:customStyle="1" w:styleId="255">
    <w:name w:val="4"/>
    <w:basedOn w:val="2"/>
    <w:link w:val="256"/>
    <w:qFormat/>
    <w:uiPriority w:val="0"/>
    <w:pPr>
      <w:spacing w:line="560" w:lineRule="exact"/>
      <w:ind w:firstLine="200"/>
    </w:pPr>
    <w:rPr>
      <w:szCs w:val="24"/>
    </w:rPr>
  </w:style>
  <w:style w:type="character" w:customStyle="1" w:styleId="256">
    <w:name w:val="4 Char"/>
    <w:link w:val="255"/>
    <w:qFormat/>
    <w:uiPriority w:val="0"/>
    <w:rPr>
      <w:rFonts w:ascii="Times New Roman" w:hAnsi="Times New Roman" w:eastAsia="宋体" w:cs="Times New Roman"/>
      <w:sz w:val="24"/>
      <w:szCs w:val="24"/>
    </w:rPr>
  </w:style>
  <w:style w:type="paragraph" w:customStyle="1" w:styleId="257">
    <w:name w:val="样式3"/>
    <w:basedOn w:val="18"/>
    <w:link w:val="258"/>
    <w:qFormat/>
    <w:uiPriority w:val="0"/>
    <w:pPr>
      <w:spacing w:after="0" w:line="240" w:lineRule="auto"/>
    </w:pPr>
    <w:rPr>
      <w:sz w:val="28"/>
      <w:szCs w:val="24"/>
    </w:rPr>
  </w:style>
  <w:style w:type="character" w:customStyle="1" w:styleId="258">
    <w:name w:val="样式3 Char"/>
    <w:link w:val="257"/>
    <w:qFormat/>
    <w:uiPriority w:val="0"/>
    <w:rPr>
      <w:rFonts w:ascii="Times New Roman" w:hAnsi="Times New Roman" w:eastAsia="宋体" w:cs="Times New Roman"/>
      <w:sz w:val="28"/>
      <w:szCs w:val="24"/>
    </w:rPr>
  </w:style>
  <w:style w:type="paragraph" w:customStyle="1" w:styleId="259">
    <w:name w:val="9点"/>
    <w:basedOn w:val="1"/>
    <w:qFormat/>
    <w:uiPriority w:val="0"/>
    <w:pPr>
      <w:spacing w:line="360" w:lineRule="exact"/>
      <w:ind w:firstLine="0" w:firstLineChars="0"/>
      <w:jc w:val="center"/>
    </w:pPr>
    <w:rPr>
      <w:sz w:val="21"/>
    </w:rPr>
  </w:style>
  <w:style w:type="character" w:customStyle="1" w:styleId="260">
    <w:name w:val="表头5 Char Char"/>
    <w:link w:val="261"/>
    <w:qFormat/>
    <w:uiPriority w:val="0"/>
    <w:rPr>
      <w:rFonts w:eastAsia="黑体"/>
      <w:sz w:val="24"/>
      <w:szCs w:val="24"/>
    </w:rPr>
  </w:style>
  <w:style w:type="paragraph" w:customStyle="1" w:styleId="261">
    <w:name w:val="表头5"/>
    <w:basedOn w:val="1"/>
    <w:link w:val="260"/>
    <w:qFormat/>
    <w:uiPriority w:val="0"/>
    <w:pPr>
      <w:spacing w:line="560" w:lineRule="exact"/>
      <w:ind w:firstLine="480"/>
      <w:jc w:val="center"/>
    </w:pPr>
    <w:rPr>
      <w:rFonts w:eastAsia="黑体"/>
      <w:kern w:val="0"/>
      <w:szCs w:val="24"/>
    </w:rPr>
  </w:style>
  <w:style w:type="character" w:customStyle="1" w:styleId="262">
    <w:name w:val="标题3 Char Char"/>
    <w:link w:val="263"/>
    <w:qFormat/>
    <w:uiPriority w:val="0"/>
    <w:rPr>
      <w:sz w:val="24"/>
      <w:szCs w:val="24"/>
    </w:rPr>
  </w:style>
  <w:style w:type="paragraph" w:customStyle="1" w:styleId="263">
    <w:name w:val="标题3"/>
    <w:basedOn w:val="1"/>
    <w:link w:val="262"/>
    <w:qFormat/>
    <w:uiPriority w:val="0"/>
    <w:pPr>
      <w:snapToGrid w:val="0"/>
      <w:spacing w:line="560" w:lineRule="exact"/>
      <w:ind w:firstLine="0" w:firstLineChars="0"/>
    </w:pPr>
    <w:rPr>
      <w:kern w:val="0"/>
      <w:szCs w:val="24"/>
    </w:rPr>
  </w:style>
  <w:style w:type="paragraph" w:customStyle="1" w:styleId="264">
    <w:name w:val="二级"/>
    <w:basedOn w:val="5"/>
    <w:qFormat/>
    <w:uiPriority w:val="0"/>
    <w:pPr>
      <w:spacing w:beforeLines="0" w:afterLines="0"/>
      <w:jc w:val="both"/>
    </w:pPr>
    <w:rPr>
      <w:rFonts w:eastAsia="黑体" w:cs="宋体"/>
      <w:b w:val="0"/>
      <w:bCs w:val="0"/>
      <w:sz w:val="24"/>
      <w:szCs w:val="20"/>
    </w:rPr>
  </w:style>
  <w:style w:type="paragraph" w:customStyle="1" w:styleId="265">
    <w:name w:val="三级"/>
    <w:basedOn w:val="1"/>
    <w:qFormat/>
    <w:uiPriority w:val="0"/>
    <w:pPr>
      <w:ind w:firstLine="0" w:firstLineChars="0"/>
    </w:pPr>
    <w:rPr>
      <w:rFonts w:cs="宋体"/>
      <w:color w:val="000000"/>
      <w:szCs w:val="20"/>
    </w:rPr>
  </w:style>
  <w:style w:type="character" w:customStyle="1" w:styleId="266">
    <w:name w:val="grame"/>
    <w:basedOn w:val="54"/>
    <w:qFormat/>
    <w:uiPriority w:val="0"/>
  </w:style>
  <w:style w:type="paragraph" w:customStyle="1" w:styleId="267">
    <w:name w:val="图表标题5"/>
    <w:basedOn w:val="1"/>
    <w:link w:val="268"/>
    <w:qFormat/>
    <w:uiPriority w:val="0"/>
    <w:pPr>
      <w:snapToGrid w:val="0"/>
      <w:spacing w:line="240" w:lineRule="auto"/>
      <w:ind w:firstLine="0" w:firstLineChars="0"/>
      <w:jc w:val="center"/>
    </w:pPr>
    <w:rPr>
      <w:rFonts w:eastAsia="黑体"/>
      <w:kern w:val="0"/>
      <w:szCs w:val="24"/>
    </w:rPr>
  </w:style>
  <w:style w:type="character" w:customStyle="1" w:styleId="268">
    <w:name w:val="图表标题5 Char"/>
    <w:link w:val="267"/>
    <w:qFormat/>
    <w:uiPriority w:val="0"/>
    <w:rPr>
      <w:rFonts w:ascii="Times New Roman" w:hAnsi="Times New Roman" w:eastAsia="黑体" w:cs="Times New Roman"/>
      <w:kern w:val="0"/>
      <w:sz w:val="24"/>
      <w:szCs w:val="24"/>
    </w:rPr>
  </w:style>
  <w:style w:type="paragraph" w:customStyle="1" w:styleId="269">
    <w:name w:val="6样式"/>
    <w:basedOn w:val="1"/>
    <w:link w:val="270"/>
    <w:qFormat/>
    <w:uiPriority w:val="0"/>
    <w:pPr>
      <w:spacing w:line="240" w:lineRule="auto"/>
      <w:ind w:firstLine="0" w:firstLineChars="0"/>
      <w:jc w:val="center"/>
    </w:pPr>
    <w:rPr>
      <w:rFonts w:hAnsi="Calibri"/>
      <w:kern w:val="0"/>
      <w:sz w:val="20"/>
      <w:szCs w:val="24"/>
    </w:rPr>
  </w:style>
  <w:style w:type="character" w:customStyle="1" w:styleId="270">
    <w:name w:val="6样式 Char"/>
    <w:link w:val="269"/>
    <w:qFormat/>
    <w:uiPriority w:val="0"/>
    <w:rPr>
      <w:rFonts w:ascii="Times New Roman" w:hAnsi="Calibri" w:eastAsia="宋体" w:cs="Times New Roman"/>
      <w:szCs w:val="24"/>
    </w:rPr>
  </w:style>
  <w:style w:type="paragraph" w:customStyle="1" w:styleId="271">
    <w:name w:val="表格表头"/>
    <w:basedOn w:val="1"/>
    <w:link w:val="272"/>
    <w:qFormat/>
    <w:uiPriority w:val="0"/>
    <w:pPr>
      <w:spacing w:line="240" w:lineRule="auto"/>
      <w:ind w:firstLine="826" w:firstLineChars="343"/>
      <w:jc w:val="center"/>
    </w:pPr>
    <w:rPr>
      <w:b/>
      <w:kern w:val="0"/>
    </w:rPr>
  </w:style>
  <w:style w:type="character" w:customStyle="1" w:styleId="272">
    <w:name w:val="表格表头 Char"/>
    <w:link w:val="271"/>
    <w:qFormat/>
    <w:uiPriority w:val="0"/>
    <w:rPr>
      <w:rFonts w:ascii="Times New Roman" w:hAnsi="Times New Roman" w:eastAsia="宋体" w:cs="Times New Roman"/>
      <w:b/>
      <w:kern w:val="0"/>
      <w:sz w:val="24"/>
      <w:szCs w:val="21"/>
    </w:rPr>
  </w:style>
  <w:style w:type="paragraph" w:customStyle="1" w:styleId="273">
    <w:name w:val="4-"/>
    <w:basedOn w:val="2"/>
    <w:link w:val="274"/>
    <w:qFormat/>
    <w:uiPriority w:val="0"/>
    <w:pPr>
      <w:ind w:firstLine="0" w:firstLineChars="0"/>
    </w:pPr>
    <w:rPr>
      <w:rFonts w:ascii="宋体" w:eastAsia="Times New Roman"/>
      <w:b/>
      <w:szCs w:val="24"/>
    </w:rPr>
  </w:style>
  <w:style w:type="character" w:customStyle="1" w:styleId="274">
    <w:name w:val="4- Char"/>
    <w:link w:val="273"/>
    <w:qFormat/>
    <w:uiPriority w:val="0"/>
    <w:rPr>
      <w:rFonts w:ascii="宋体" w:hAnsi="Times New Roman" w:eastAsia="Times New Roman" w:cs="Times New Roman"/>
      <w:b/>
      <w:sz w:val="24"/>
      <w:szCs w:val="24"/>
    </w:rPr>
  </w:style>
  <w:style w:type="paragraph" w:customStyle="1" w:styleId="275">
    <w:name w:val="表格正文"/>
    <w:basedOn w:val="1"/>
    <w:qFormat/>
    <w:uiPriority w:val="0"/>
    <w:pPr>
      <w:spacing w:line="280" w:lineRule="exact"/>
      <w:ind w:firstLine="0" w:firstLineChars="0"/>
      <w:jc w:val="center"/>
    </w:pPr>
    <w:rPr>
      <w:rFonts w:cs="宋体"/>
      <w:sz w:val="21"/>
      <w:szCs w:val="20"/>
    </w:rPr>
  </w:style>
  <w:style w:type="character" w:customStyle="1" w:styleId="276">
    <w:name w:val="表格文字1 Char Char"/>
    <w:link w:val="277"/>
    <w:qFormat/>
    <w:uiPriority w:val="0"/>
    <w:rPr>
      <w:rFonts w:eastAsia="宋体"/>
    </w:rPr>
  </w:style>
  <w:style w:type="paragraph" w:customStyle="1" w:styleId="277">
    <w:name w:val="表格文字1"/>
    <w:basedOn w:val="1"/>
    <w:link w:val="276"/>
    <w:qFormat/>
    <w:uiPriority w:val="0"/>
    <w:pPr>
      <w:tabs>
        <w:tab w:val="left" w:pos="0"/>
      </w:tabs>
      <w:autoSpaceDE w:val="0"/>
      <w:autoSpaceDN w:val="0"/>
      <w:adjustRightInd w:val="0"/>
      <w:spacing w:line="240" w:lineRule="auto"/>
      <w:ind w:firstLine="0" w:firstLineChars="0"/>
      <w:jc w:val="center"/>
      <w:textAlignment w:val="baseline"/>
    </w:pPr>
    <w:rPr>
      <w:kern w:val="0"/>
      <w:sz w:val="20"/>
      <w:szCs w:val="20"/>
    </w:rPr>
  </w:style>
  <w:style w:type="character" w:customStyle="1" w:styleId="278">
    <w:name w:val="表题 Char Char1"/>
    <w:link w:val="279"/>
    <w:qFormat/>
    <w:uiPriority w:val="0"/>
    <w:rPr>
      <w:rFonts w:eastAsia="黑体"/>
    </w:rPr>
  </w:style>
  <w:style w:type="paragraph" w:customStyle="1" w:styleId="279">
    <w:name w:val="表题"/>
    <w:basedOn w:val="1"/>
    <w:next w:val="1"/>
    <w:link w:val="278"/>
    <w:qFormat/>
    <w:uiPriority w:val="0"/>
    <w:pPr>
      <w:tabs>
        <w:tab w:val="center" w:pos="4186"/>
      </w:tabs>
      <w:spacing w:beforeLines="50" w:line="240" w:lineRule="auto"/>
      <w:ind w:firstLine="0" w:firstLineChars="0"/>
      <w:jc w:val="center"/>
    </w:pPr>
    <w:rPr>
      <w:rFonts w:eastAsia="黑体"/>
      <w:kern w:val="0"/>
      <w:sz w:val="20"/>
      <w:szCs w:val="20"/>
    </w:rPr>
  </w:style>
  <w:style w:type="character" w:customStyle="1" w:styleId="280">
    <w:name w:val="七表中文字 Char Char"/>
    <w:qFormat/>
    <w:uiPriority w:val="0"/>
    <w:rPr>
      <w:rFonts w:ascii="Times New Roman" w:hAnsi="Times New Roman" w:eastAsia="宋体"/>
      <w:kern w:val="2"/>
      <w:sz w:val="21"/>
      <w:szCs w:val="21"/>
    </w:rPr>
  </w:style>
  <w:style w:type="character" w:customStyle="1" w:styleId="281">
    <w:name w:val="5-标题 Char Char"/>
    <w:qFormat/>
    <w:uiPriority w:val="0"/>
    <w:rPr>
      <w:rFonts w:ascii="Times New Roman" w:hAnsi="Times New Roman" w:eastAsia="宋体"/>
      <w:b/>
      <w:kern w:val="2"/>
      <w:sz w:val="21"/>
      <w:szCs w:val="24"/>
    </w:rPr>
  </w:style>
  <w:style w:type="paragraph" w:customStyle="1" w:styleId="282">
    <w:name w:val="font5"/>
    <w:basedOn w:val="1"/>
    <w:qFormat/>
    <w:uiPriority w:val="0"/>
    <w:pPr>
      <w:widowControl/>
      <w:spacing w:before="100" w:beforeAutospacing="1" w:after="100" w:afterAutospacing="1" w:line="240" w:lineRule="auto"/>
      <w:ind w:firstLine="0" w:firstLineChars="0"/>
      <w:jc w:val="left"/>
    </w:pPr>
    <w:rPr>
      <w:rFonts w:ascii="宋体" w:hAnsi="宋体" w:cs="宋体"/>
      <w:kern w:val="0"/>
      <w:sz w:val="18"/>
      <w:szCs w:val="18"/>
    </w:rPr>
  </w:style>
  <w:style w:type="paragraph" w:customStyle="1" w:styleId="283">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kern w:val="0"/>
      <w:szCs w:val="24"/>
    </w:rPr>
  </w:style>
  <w:style w:type="paragraph" w:customStyle="1" w:styleId="284">
    <w:name w:val="xl64"/>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285">
    <w:name w:val="xl65"/>
    <w:basedOn w:val="1"/>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286">
    <w:name w:val="xl66"/>
    <w:basedOn w:val="1"/>
    <w:qFormat/>
    <w:uiPriority w:val="0"/>
    <w:pPr>
      <w:widowControl/>
      <w:pBdr>
        <w:left w:val="single" w:color="auto" w:sz="8" w:space="0"/>
        <w:bottom w:val="single" w:color="auto" w:sz="8" w:space="0"/>
        <w:right w:val="single" w:color="auto" w:sz="8" w:space="0"/>
      </w:pBdr>
      <w:spacing w:before="100" w:beforeAutospacing="1" w:after="100" w:afterAutospacing="1" w:line="240" w:lineRule="auto"/>
      <w:ind w:firstLine="0" w:firstLineChars="0"/>
      <w:jc w:val="center"/>
    </w:pPr>
    <w:rPr>
      <w:kern w:val="0"/>
      <w:sz w:val="21"/>
    </w:rPr>
  </w:style>
  <w:style w:type="paragraph" w:customStyle="1" w:styleId="287">
    <w:name w:val="xl67"/>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rFonts w:ascii="宋体" w:hAnsi="宋体" w:cs="宋体"/>
      <w:kern w:val="0"/>
      <w:sz w:val="21"/>
    </w:rPr>
  </w:style>
  <w:style w:type="paragraph" w:customStyle="1" w:styleId="288">
    <w:name w:val="xl68"/>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kern w:val="0"/>
      <w:sz w:val="21"/>
    </w:rPr>
  </w:style>
  <w:style w:type="paragraph" w:customStyle="1" w:styleId="289">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ascii="宋体" w:hAnsi="宋体" w:cs="宋体"/>
      <w:kern w:val="0"/>
      <w:szCs w:val="24"/>
    </w:rPr>
  </w:style>
  <w:style w:type="character" w:customStyle="1" w:styleId="290">
    <w:name w:val="表文6 Char"/>
    <w:qFormat/>
    <w:uiPriority w:val="0"/>
    <w:rPr>
      <w:rFonts w:ascii="Times New Roman" w:hAnsi="Times New Roman" w:eastAsia="宋体" w:cs="宋体"/>
      <w:kern w:val="2"/>
      <w:sz w:val="21"/>
    </w:rPr>
  </w:style>
  <w:style w:type="paragraph" w:customStyle="1" w:styleId="291">
    <w:name w:val="表中文字6"/>
    <w:basedOn w:val="1"/>
    <w:link w:val="292"/>
    <w:qFormat/>
    <w:uiPriority w:val="0"/>
    <w:pPr>
      <w:adjustRightInd w:val="0"/>
      <w:snapToGrid w:val="0"/>
      <w:spacing w:line="240" w:lineRule="auto"/>
      <w:ind w:firstLine="0" w:firstLineChars="0"/>
      <w:jc w:val="center"/>
      <w:textAlignment w:val="center"/>
    </w:pPr>
    <w:rPr>
      <w:color w:val="000000"/>
      <w:kern w:val="0"/>
      <w:sz w:val="20"/>
    </w:rPr>
  </w:style>
  <w:style w:type="character" w:customStyle="1" w:styleId="292">
    <w:name w:val="表中文字6 Char Char"/>
    <w:link w:val="291"/>
    <w:qFormat/>
    <w:uiPriority w:val="0"/>
    <w:rPr>
      <w:rFonts w:ascii="Times New Roman" w:hAnsi="Times New Roman" w:eastAsia="宋体" w:cs="Times New Roman"/>
      <w:color w:val="000000"/>
      <w:szCs w:val="21"/>
    </w:rPr>
  </w:style>
  <w:style w:type="character" w:customStyle="1" w:styleId="293">
    <w:name w:val="图表标题5 Char Char"/>
    <w:qFormat/>
    <w:uiPriority w:val="0"/>
    <w:rPr>
      <w:rFonts w:eastAsia="黑体"/>
      <w:sz w:val="21"/>
      <w:szCs w:val="24"/>
    </w:rPr>
  </w:style>
  <w:style w:type="character" w:customStyle="1" w:styleId="294">
    <w:name w:val="样式 样式 【正文】 + 首行缩进:  2 字符 行距: 1.5 倍行距 + 首行缩进:  2 字符 Char Char"/>
    <w:link w:val="295"/>
    <w:qFormat/>
    <w:uiPriority w:val="0"/>
    <w:rPr>
      <w:rFonts w:eastAsia="宋体"/>
      <w:sz w:val="24"/>
    </w:rPr>
  </w:style>
  <w:style w:type="paragraph" w:customStyle="1" w:styleId="295">
    <w:name w:val="样式 样式 【正文】 + 首行缩进:  2 字符 行距: 1.5 倍行距 + 首行缩进:  2 字符"/>
    <w:basedOn w:val="1"/>
    <w:link w:val="294"/>
    <w:qFormat/>
    <w:uiPriority w:val="0"/>
    <w:rPr>
      <w:kern w:val="0"/>
      <w:szCs w:val="20"/>
    </w:rPr>
  </w:style>
  <w:style w:type="paragraph" w:customStyle="1" w:styleId="296">
    <w:name w:val="样式23"/>
    <w:basedOn w:val="1"/>
    <w:link w:val="297"/>
    <w:qFormat/>
    <w:uiPriority w:val="0"/>
    <w:rPr>
      <w:kern w:val="0"/>
      <w:szCs w:val="20"/>
    </w:rPr>
  </w:style>
  <w:style w:type="character" w:customStyle="1" w:styleId="297">
    <w:name w:val="样式23 Char"/>
    <w:link w:val="296"/>
    <w:qFormat/>
    <w:uiPriority w:val="0"/>
    <w:rPr>
      <w:rFonts w:ascii="Times New Roman" w:hAnsi="Times New Roman" w:eastAsia="宋体" w:cs="宋体"/>
      <w:sz w:val="24"/>
      <w:szCs w:val="20"/>
    </w:rPr>
  </w:style>
  <w:style w:type="paragraph" w:customStyle="1" w:styleId="298">
    <w:name w:val="样式24"/>
    <w:basedOn w:val="1"/>
    <w:qFormat/>
    <w:uiPriority w:val="0"/>
    <w:pPr>
      <w:ind w:firstLine="0" w:firstLineChars="0"/>
    </w:pPr>
    <w:rPr>
      <w:rFonts w:cs="宋体"/>
      <w:b/>
      <w:szCs w:val="20"/>
    </w:rPr>
  </w:style>
  <w:style w:type="paragraph" w:customStyle="1" w:styleId="299">
    <w:name w:val="样式22"/>
    <w:basedOn w:val="1"/>
    <w:qFormat/>
    <w:uiPriority w:val="0"/>
    <w:pPr>
      <w:keepNext/>
      <w:keepLines/>
      <w:ind w:firstLine="0" w:firstLineChars="0"/>
      <w:outlineLvl w:val="0"/>
    </w:pPr>
    <w:rPr>
      <w:rFonts w:cs="宋体"/>
      <w:b/>
      <w:bCs/>
      <w:kern w:val="44"/>
      <w:sz w:val="28"/>
      <w:szCs w:val="44"/>
    </w:rPr>
  </w:style>
  <w:style w:type="paragraph" w:customStyle="1" w:styleId="300">
    <w:name w:val="内容"/>
    <w:basedOn w:val="18"/>
    <w:qFormat/>
    <w:uiPriority w:val="0"/>
    <w:pPr>
      <w:adjustRightInd w:val="0"/>
      <w:snapToGrid w:val="0"/>
      <w:spacing w:after="0"/>
      <w:ind w:left="280" w:leftChars="100" w:right="280" w:rightChars="100" w:firstLine="560"/>
    </w:pPr>
    <w:rPr>
      <w:rFonts w:cs="Arial"/>
      <w:sz w:val="28"/>
      <w:szCs w:val="24"/>
    </w:rPr>
  </w:style>
  <w:style w:type="character" w:customStyle="1" w:styleId="301">
    <w:name w:val="4正文 Char"/>
    <w:qFormat/>
    <w:uiPriority w:val="0"/>
    <w:rPr>
      <w:rFonts w:ascii="Times New Roman" w:hAnsi="Times New Roman" w:eastAsia="宋体"/>
      <w:kern w:val="2"/>
      <w:sz w:val="24"/>
      <w:szCs w:val="22"/>
    </w:rPr>
  </w:style>
  <w:style w:type="paragraph" w:customStyle="1" w:styleId="302">
    <w:name w:val="Char Char Char Char Char Char Char"/>
    <w:basedOn w:val="1"/>
    <w:qFormat/>
    <w:uiPriority w:val="0"/>
    <w:pPr>
      <w:spacing w:line="240" w:lineRule="auto"/>
      <w:ind w:firstLine="0" w:firstLineChars="0"/>
    </w:pPr>
    <w:rPr>
      <w:sz w:val="21"/>
      <w:szCs w:val="24"/>
    </w:rPr>
  </w:style>
  <w:style w:type="character" w:customStyle="1" w:styleId="303">
    <w:name w:val="标题5"/>
    <w:qFormat/>
    <w:uiPriority w:val="0"/>
  </w:style>
  <w:style w:type="character" w:customStyle="1" w:styleId="304">
    <w:name w:val="样式1 Char Char"/>
    <w:qFormat/>
    <w:uiPriority w:val="0"/>
    <w:rPr>
      <w:rFonts w:ascii="Times New Roman" w:hAnsi="Times New Roman" w:eastAsia="黑体"/>
      <w:kern w:val="2"/>
      <w:sz w:val="30"/>
      <w:szCs w:val="30"/>
    </w:rPr>
  </w:style>
  <w:style w:type="paragraph" w:customStyle="1" w:styleId="305">
    <w:name w:val="Char Char Char Char Char Char Char Char Char1 Char Char Char Char Char Char Char1 Char Char Char Char Char Char"/>
    <w:basedOn w:val="1"/>
    <w:qFormat/>
    <w:uiPriority w:val="0"/>
    <w:rPr>
      <w:rFonts w:ascii="宋体" w:hAnsi="宋体" w:cs="宋体"/>
      <w:szCs w:val="24"/>
    </w:rPr>
  </w:style>
  <w:style w:type="paragraph" w:customStyle="1" w:styleId="306">
    <w:name w:val="5-正文"/>
    <w:basedOn w:val="1"/>
    <w:link w:val="307"/>
    <w:qFormat/>
    <w:uiPriority w:val="0"/>
    <w:pPr>
      <w:ind w:firstLine="480"/>
    </w:pPr>
    <w:rPr>
      <w:kern w:val="0"/>
      <w:szCs w:val="20"/>
    </w:rPr>
  </w:style>
  <w:style w:type="character" w:customStyle="1" w:styleId="307">
    <w:name w:val="5-正文 Char"/>
    <w:link w:val="306"/>
    <w:qFormat/>
    <w:uiPriority w:val="0"/>
    <w:rPr>
      <w:rFonts w:ascii="Times New Roman" w:hAnsi="Times New Roman" w:eastAsia="宋体" w:cs="Times New Roman"/>
      <w:sz w:val="24"/>
      <w:szCs w:val="20"/>
    </w:rPr>
  </w:style>
  <w:style w:type="paragraph" w:customStyle="1" w:styleId="308">
    <w:name w:val="中文报告书样式"/>
    <w:basedOn w:val="1"/>
    <w:qFormat/>
    <w:uiPriority w:val="0"/>
    <w:pPr>
      <w:adjustRightInd w:val="0"/>
      <w:spacing w:line="480" w:lineRule="atLeast"/>
      <w:ind w:firstLine="482"/>
      <w:textAlignment w:val="baseline"/>
    </w:pPr>
    <w:rPr>
      <w:kern w:val="24"/>
      <w:szCs w:val="24"/>
    </w:rPr>
  </w:style>
  <w:style w:type="paragraph" w:customStyle="1" w:styleId="309">
    <w:name w:val="纯文本 Char Char Char Char Char Char Char Char Char Char Char Char Char Char Char Char Char Char Char Char Char Char Char Char Char Char Char Char Char"/>
    <w:basedOn w:val="1"/>
    <w:next w:val="19"/>
    <w:qFormat/>
    <w:uiPriority w:val="0"/>
    <w:pPr>
      <w:spacing w:line="560" w:lineRule="exact"/>
      <w:ind w:firstLine="570"/>
    </w:pPr>
    <w:rPr>
      <w:rFonts w:ascii="宋体"/>
      <w:sz w:val="28"/>
      <w:szCs w:val="24"/>
    </w:rPr>
  </w:style>
  <w:style w:type="paragraph" w:customStyle="1" w:styleId="310">
    <w:name w:val="Char Char Char Char Char Char Char2"/>
    <w:basedOn w:val="1"/>
    <w:qFormat/>
    <w:uiPriority w:val="0"/>
    <w:pPr>
      <w:widowControl/>
      <w:spacing w:after="160" w:line="240" w:lineRule="exact"/>
      <w:jc w:val="left"/>
    </w:pPr>
    <w:rPr>
      <w:szCs w:val="24"/>
    </w:rPr>
  </w:style>
  <w:style w:type="paragraph" w:customStyle="1" w:styleId="311">
    <w:name w:val="Char Char Char2 Char"/>
    <w:basedOn w:val="1"/>
    <w:qFormat/>
    <w:uiPriority w:val="0"/>
    <w:pPr>
      <w:tabs>
        <w:tab w:val="left" w:pos="570"/>
      </w:tabs>
      <w:spacing w:line="560" w:lineRule="exact"/>
      <w:ind w:left="570" w:hanging="570"/>
    </w:pPr>
    <w:rPr>
      <w:szCs w:val="24"/>
    </w:rPr>
  </w:style>
  <w:style w:type="paragraph" w:customStyle="1" w:styleId="312">
    <w:name w:val="Char Char Char Char Char Char Char Char Char"/>
    <w:basedOn w:val="1"/>
    <w:qFormat/>
    <w:uiPriority w:val="0"/>
    <w:pPr>
      <w:widowControl/>
      <w:spacing w:after="160" w:line="240" w:lineRule="exact"/>
      <w:jc w:val="left"/>
    </w:pPr>
    <w:rPr>
      <w:rFonts w:ascii="Verdana" w:hAnsi="Verdana" w:eastAsia="仿宋_GB2312"/>
      <w:kern w:val="0"/>
      <w:szCs w:val="24"/>
      <w:lang w:eastAsia="en-US"/>
    </w:rPr>
  </w:style>
  <w:style w:type="paragraph" w:customStyle="1" w:styleId="313">
    <w:name w:val="居中"/>
    <w:basedOn w:val="1"/>
    <w:link w:val="314"/>
    <w:qFormat/>
    <w:uiPriority w:val="0"/>
    <w:pPr>
      <w:widowControl/>
      <w:adjustRightInd w:val="0"/>
      <w:snapToGrid w:val="0"/>
      <w:jc w:val="center"/>
      <w:textAlignment w:val="bottom"/>
    </w:pPr>
    <w:rPr>
      <w:rFonts w:eastAsia="楷体_GB2312"/>
      <w:b/>
      <w:kern w:val="0"/>
      <w:sz w:val="32"/>
      <w:szCs w:val="32"/>
    </w:rPr>
  </w:style>
  <w:style w:type="character" w:customStyle="1" w:styleId="314">
    <w:name w:val="居中 Char"/>
    <w:link w:val="313"/>
    <w:qFormat/>
    <w:uiPriority w:val="0"/>
    <w:rPr>
      <w:rFonts w:ascii="Times New Roman" w:hAnsi="Times New Roman" w:eastAsia="楷体_GB2312" w:cs="Times New Roman"/>
      <w:b/>
      <w:kern w:val="0"/>
      <w:sz w:val="32"/>
      <w:szCs w:val="32"/>
    </w:rPr>
  </w:style>
  <w:style w:type="paragraph" w:customStyle="1" w:styleId="315">
    <w:name w:val="Char2"/>
    <w:basedOn w:val="1"/>
    <w:qFormat/>
    <w:uiPriority w:val="0"/>
    <w:pPr>
      <w:widowControl/>
      <w:spacing w:after="160" w:line="240" w:lineRule="exact"/>
      <w:jc w:val="left"/>
    </w:pPr>
    <w:rPr>
      <w:szCs w:val="24"/>
    </w:rPr>
  </w:style>
  <w:style w:type="paragraph" w:customStyle="1" w:styleId="316">
    <w:name w:val="报告表正文"/>
    <w:basedOn w:val="1"/>
    <w:qFormat/>
    <w:uiPriority w:val="0"/>
    <w:pPr>
      <w:adjustRightInd w:val="0"/>
      <w:spacing w:line="312" w:lineRule="auto"/>
      <w:ind w:left="113" w:right="113" w:firstLine="482"/>
      <w:jc w:val="left"/>
      <w:textAlignment w:val="baseline"/>
    </w:pPr>
    <w:rPr>
      <w:kern w:val="0"/>
      <w:szCs w:val="24"/>
    </w:rPr>
  </w:style>
  <w:style w:type="paragraph" w:customStyle="1" w:styleId="317">
    <w:name w:val="大标题1"/>
    <w:basedOn w:val="1"/>
    <w:link w:val="318"/>
    <w:qFormat/>
    <w:uiPriority w:val="0"/>
    <w:pPr>
      <w:spacing w:before="120" w:after="120"/>
      <w:ind w:firstLine="0" w:firstLineChars="0"/>
      <w:contextualSpacing/>
      <w:jc w:val="left"/>
      <w:outlineLvl w:val="0"/>
    </w:pPr>
    <w:rPr>
      <w:rFonts w:eastAsia="黑体"/>
      <w:kern w:val="0"/>
      <w:sz w:val="32"/>
      <w:szCs w:val="32"/>
    </w:rPr>
  </w:style>
  <w:style w:type="character" w:customStyle="1" w:styleId="318">
    <w:name w:val="大标题1 Char"/>
    <w:link w:val="317"/>
    <w:qFormat/>
    <w:uiPriority w:val="0"/>
    <w:rPr>
      <w:rFonts w:ascii="Times New Roman" w:hAnsi="Times New Roman" w:eastAsia="黑体" w:cs="Times New Roman"/>
      <w:sz w:val="32"/>
      <w:szCs w:val="32"/>
    </w:rPr>
  </w:style>
  <w:style w:type="paragraph" w:customStyle="1" w:styleId="319">
    <w:name w:val="Char Char Char Char Char Char Char Char Char1"/>
    <w:basedOn w:val="1"/>
    <w:qFormat/>
    <w:uiPriority w:val="0"/>
    <w:pPr>
      <w:widowControl/>
      <w:spacing w:after="160" w:line="240" w:lineRule="exact"/>
      <w:jc w:val="left"/>
    </w:pPr>
    <w:rPr>
      <w:rFonts w:ascii="Verdana" w:hAnsi="Verdana" w:eastAsia="仿宋_GB2312"/>
      <w:kern w:val="0"/>
      <w:szCs w:val="24"/>
      <w:lang w:eastAsia="en-US"/>
    </w:rPr>
  </w:style>
  <w:style w:type="paragraph" w:customStyle="1" w:styleId="320">
    <w:name w:val="样式 样式2 + 首行缩进:  2 字符"/>
    <w:basedOn w:val="1"/>
    <w:qFormat/>
    <w:uiPriority w:val="0"/>
    <w:pPr>
      <w:keepNext/>
      <w:spacing w:line="240" w:lineRule="auto"/>
      <w:ind w:firstLine="560"/>
      <w:jc w:val="left"/>
      <w:outlineLvl w:val="1"/>
    </w:pPr>
    <w:rPr>
      <w:rFonts w:ascii="黑体" w:eastAsia="Times New Roman"/>
      <w:b/>
      <w:szCs w:val="24"/>
    </w:rPr>
  </w:style>
  <w:style w:type="paragraph" w:customStyle="1" w:styleId="321">
    <w:name w:val="xl54"/>
    <w:basedOn w:val="1"/>
    <w:qFormat/>
    <w:uiPriority w:val="0"/>
    <w:pPr>
      <w:widowControl/>
      <w:pBdr>
        <w:left w:val="single" w:color="auto" w:sz="4" w:space="0"/>
        <w:bottom w:val="single" w:color="auto" w:sz="4" w:space="0"/>
        <w:right w:val="single" w:color="auto" w:sz="4" w:space="0"/>
      </w:pBdr>
      <w:spacing w:before="100" w:beforeAutospacing="1" w:after="100" w:afterAutospacing="1" w:line="560" w:lineRule="exact"/>
      <w:jc w:val="center"/>
      <w:textAlignment w:val="center"/>
    </w:pPr>
    <w:rPr>
      <w:rFonts w:ascii="宋体" w:hAnsi="宋体"/>
      <w:kern w:val="0"/>
      <w:szCs w:val="24"/>
    </w:rPr>
  </w:style>
  <w:style w:type="paragraph" w:customStyle="1" w:styleId="322">
    <w:name w:val="xl37"/>
    <w:basedOn w:val="1"/>
    <w:qFormat/>
    <w:uiPriority w:val="0"/>
    <w:pPr>
      <w:widowControl/>
      <w:pBdr>
        <w:bottom w:val="single" w:color="auto" w:sz="4" w:space="0"/>
      </w:pBdr>
      <w:spacing w:before="100" w:beforeAutospacing="1" w:after="100" w:afterAutospacing="1" w:line="560" w:lineRule="exact"/>
      <w:jc w:val="center"/>
    </w:pPr>
    <w:rPr>
      <w:rFonts w:ascii="宋体" w:hAnsi="宋体"/>
      <w:kern w:val="0"/>
      <w:sz w:val="20"/>
      <w:szCs w:val="20"/>
    </w:rPr>
  </w:style>
  <w:style w:type="paragraph" w:customStyle="1" w:styleId="323">
    <w:name w:val="样式 小四 首行缩进:  0.85 厘米 行距: 1.5 倍行距"/>
    <w:basedOn w:val="1"/>
    <w:qFormat/>
    <w:uiPriority w:val="0"/>
    <w:pPr>
      <w:ind w:firstLine="482"/>
    </w:pPr>
    <w:rPr>
      <w:szCs w:val="20"/>
    </w:rPr>
  </w:style>
  <w:style w:type="paragraph" w:customStyle="1" w:styleId="324">
    <w:name w:val="xl38"/>
    <w:basedOn w:val="1"/>
    <w:qFormat/>
    <w:uiPriority w:val="0"/>
    <w:pPr>
      <w:widowControl/>
      <w:spacing w:before="100" w:beforeAutospacing="1" w:after="100" w:afterAutospacing="1" w:line="560" w:lineRule="exact"/>
      <w:jc w:val="center"/>
    </w:pPr>
    <w:rPr>
      <w:rFonts w:hint="eastAsia" w:ascii="黑体" w:hAnsi="宋体" w:eastAsia="黑体"/>
      <w:kern w:val="0"/>
      <w:szCs w:val="24"/>
    </w:rPr>
  </w:style>
  <w:style w:type="paragraph" w:customStyle="1" w:styleId="325">
    <w:name w:val="正文王"/>
    <w:basedOn w:val="50"/>
    <w:link w:val="326"/>
    <w:qFormat/>
    <w:uiPriority w:val="0"/>
    <w:pPr>
      <w:widowControl/>
      <w:spacing w:after="120"/>
      <w:ind w:firstLine="480"/>
      <w:jc w:val="left"/>
    </w:pPr>
    <w:rPr>
      <w:rFonts w:ascii="宋体" w:hAnsi="宋体" w:eastAsia="宋体"/>
      <w:color w:val="auto"/>
      <w:szCs w:val="24"/>
    </w:rPr>
  </w:style>
  <w:style w:type="character" w:customStyle="1" w:styleId="326">
    <w:name w:val="正文王 Char"/>
    <w:link w:val="325"/>
    <w:qFormat/>
    <w:uiPriority w:val="0"/>
    <w:rPr>
      <w:rFonts w:ascii="宋体" w:hAnsi="宋体" w:eastAsia="宋体" w:cs="Times New Roman"/>
      <w:kern w:val="0"/>
      <w:sz w:val="24"/>
      <w:szCs w:val="24"/>
    </w:rPr>
  </w:style>
  <w:style w:type="paragraph" w:customStyle="1" w:styleId="327">
    <w:name w:val="三级标题王1"/>
    <w:basedOn w:val="1"/>
    <w:qFormat/>
    <w:uiPriority w:val="0"/>
    <w:pPr>
      <w:adjustRightInd w:val="0"/>
      <w:snapToGrid w:val="0"/>
      <w:ind w:firstLine="0" w:firstLineChars="0"/>
      <w:jc w:val="left"/>
      <w:textAlignment w:val="baseline"/>
      <w:outlineLvl w:val="2"/>
    </w:pPr>
    <w:rPr>
      <w:b/>
      <w:kern w:val="0"/>
      <w:szCs w:val="24"/>
    </w:rPr>
  </w:style>
  <w:style w:type="paragraph" w:customStyle="1" w:styleId="328">
    <w:name w:val="Char Char Char Char1"/>
    <w:basedOn w:val="1"/>
    <w:next w:val="1"/>
    <w:qFormat/>
    <w:uiPriority w:val="0"/>
    <w:pPr>
      <w:widowControl/>
      <w:snapToGrid w:val="0"/>
      <w:spacing w:line="300" w:lineRule="auto"/>
      <w:ind w:firstLine="0" w:firstLineChars="0"/>
      <w:jc w:val="left"/>
    </w:pPr>
    <w:rPr>
      <w:rFonts w:eastAsia="黑体"/>
      <w:kern w:val="0"/>
      <w:sz w:val="28"/>
      <w:szCs w:val="28"/>
      <w:lang w:eastAsia="en-US"/>
    </w:rPr>
  </w:style>
  <w:style w:type="paragraph" w:customStyle="1" w:styleId="329">
    <w:name w:val="66"/>
    <w:basedOn w:val="251"/>
    <w:link w:val="330"/>
    <w:qFormat/>
    <w:uiPriority w:val="0"/>
    <w:pPr>
      <w:autoSpaceDE w:val="0"/>
      <w:autoSpaceDN w:val="0"/>
      <w:adjustRightInd/>
      <w:snapToGrid/>
      <w:spacing w:line="360" w:lineRule="auto"/>
      <w:textAlignment w:val="auto"/>
    </w:pPr>
    <w:rPr>
      <w:sz w:val="24"/>
      <w:szCs w:val="24"/>
    </w:rPr>
  </w:style>
  <w:style w:type="character" w:customStyle="1" w:styleId="330">
    <w:name w:val="66 Char"/>
    <w:link w:val="329"/>
    <w:qFormat/>
    <w:uiPriority w:val="0"/>
    <w:rPr>
      <w:rFonts w:ascii="Times New Roman" w:hAnsi="Times New Roman" w:eastAsia="宋体" w:cs="宋体"/>
      <w:sz w:val="24"/>
      <w:szCs w:val="24"/>
    </w:rPr>
  </w:style>
  <w:style w:type="paragraph" w:customStyle="1" w:styleId="331">
    <w:name w:val="A-正文"/>
    <w:basedOn w:val="1"/>
    <w:link w:val="332"/>
    <w:qFormat/>
    <w:uiPriority w:val="0"/>
    <w:pPr>
      <w:ind w:firstLine="480"/>
    </w:pPr>
    <w:rPr>
      <w:rFonts w:ascii="宋体" w:hAnsi="宋体"/>
      <w:kern w:val="0"/>
      <w:szCs w:val="24"/>
    </w:rPr>
  </w:style>
  <w:style w:type="character" w:customStyle="1" w:styleId="332">
    <w:name w:val="A-正文 Char"/>
    <w:link w:val="331"/>
    <w:qFormat/>
    <w:uiPriority w:val="0"/>
    <w:rPr>
      <w:rFonts w:ascii="宋体" w:hAnsi="宋体" w:eastAsia="宋体" w:cs="Times New Roman"/>
      <w:sz w:val="24"/>
      <w:szCs w:val="24"/>
    </w:rPr>
  </w:style>
  <w:style w:type="character" w:customStyle="1" w:styleId="333">
    <w:name w:val="标题 2 Char2"/>
    <w:qFormat/>
    <w:uiPriority w:val="9"/>
    <w:rPr>
      <w:rFonts w:ascii="Cambria" w:hAnsi="Cambria"/>
      <w:b/>
      <w:bCs/>
      <w:kern w:val="2"/>
      <w:sz w:val="32"/>
      <w:szCs w:val="32"/>
    </w:rPr>
  </w:style>
  <w:style w:type="character" w:customStyle="1" w:styleId="334">
    <w:name w:val="正文首行缩进 Char1"/>
    <w:qFormat/>
    <w:uiPriority w:val="0"/>
    <w:rPr>
      <w:sz w:val="24"/>
      <w:szCs w:val="24"/>
    </w:rPr>
  </w:style>
  <w:style w:type="paragraph" w:customStyle="1" w:styleId="335">
    <w:name w:val="小标题"/>
    <w:basedOn w:val="1"/>
    <w:qFormat/>
    <w:uiPriority w:val="0"/>
    <w:pPr>
      <w:snapToGrid w:val="0"/>
      <w:spacing w:line="300" w:lineRule="auto"/>
      <w:ind w:firstLine="0" w:firstLineChars="0"/>
    </w:pPr>
    <w:rPr>
      <w:rFonts w:ascii="黑体" w:eastAsia="黑体"/>
      <w:b/>
      <w:sz w:val="21"/>
      <w:szCs w:val="20"/>
    </w:rPr>
  </w:style>
  <w:style w:type="paragraph" w:customStyle="1" w:styleId="336">
    <w:name w:val="样式 样式 样式 我的正文 + 首行缩进:  2 字符2 + 首行缩进:  2 字符 + 首行缩进:  2 字符"/>
    <w:basedOn w:val="1"/>
    <w:qFormat/>
    <w:uiPriority w:val="0"/>
    <w:pPr>
      <w:spacing w:line="600" w:lineRule="exact"/>
      <w:ind w:firstLine="560"/>
    </w:pPr>
    <w:rPr>
      <w:rFonts w:hAnsi="宋体"/>
      <w:sz w:val="28"/>
      <w:szCs w:val="20"/>
    </w:rPr>
  </w:style>
  <w:style w:type="character" w:customStyle="1" w:styleId="337">
    <w:name w:val="页眉 Char Char"/>
    <w:qFormat/>
    <w:uiPriority w:val="0"/>
    <w:rPr>
      <w:sz w:val="18"/>
      <w:szCs w:val="18"/>
    </w:rPr>
  </w:style>
  <w:style w:type="paragraph" w:customStyle="1" w:styleId="338">
    <w:name w:val="表中"/>
    <w:basedOn w:val="1"/>
    <w:link w:val="339"/>
    <w:qFormat/>
    <w:uiPriority w:val="0"/>
    <w:pPr>
      <w:adjustRightInd w:val="0"/>
      <w:snapToGrid w:val="0"/>
      <w:spacing w:line="240" w:lineRule="atLeast"/>
      <w:ind w:firstLine="0" w:firstLineChars="0"/>
    </w:pPr>
    <w:rPr>
      <w:rFonts w:ascii="Calibri" w:hAnsi="Calibri"/>
      <w:kern w:val="0"/>
      <w:sz w:val="20"/>
      <w:szCs w:val="24"/>
    </w:rPr>
  </w:style>
  <w:style w:type="character" w:customStyle="1" w:styleId="339">
    <w:name w:val="表中 Char"/>
    <w:link w:val="338"/>
    <w:qFormat/>
    <w:uiPriority w:val="0"/>
    <w:rPr>
      <w:rFonts w:ascii="Calibri" w:hAnsi="Calibri" w:eastAsia="宋体" w:cs="Times New Roman"/>
      <w:szCs w:val="24"/>
    </w:rPr>
  </w:style>
  <w:style w:type="paragraph" w:customStyle="1" w:styleId="340">
    <w:name w:val="Char1 Char Char Char Char Char Char Char Char Char Char Char1 Char"/>
    <w:basedOn w:val="1"/>
    <w:qFormat/>
    <w:uiPriority w:val="0"/>
    <w:pPr>
      <w:spacing w:line="240" w:lineRule="auto"/>
      <w:ind w:firstLine="0" w:firstLineChars="0"/>
    </w:pPr>
    <w:rPr>
      <w:sz w:val="21"/>
      <w:szCs w:val="24"/>
    </w:rPr>
  </w:style>
  <w:style w:type="paragraph" w:customStyle="1" w:styleId="341">
    <w:name w:val="1 Char Char Char Char Char Char Char"/>
    <w:basedOn w:val="1"/>
    <w:qFormat/>
    <w:uiPriority w:val="0"/>
    <w:pPr>
      <w:spacing w:line="240" w:lineRule="auto"/>
      <w:ind w:firstLine="0" w:firstLineChars="0"/>
    </w:pPr>
    <w:rPr>
      <w:sz w:val="21"/>
      <w:szCs w:val="24"/>
    </w:rPr>
  </w:style>
  <w:style w:type="character" w:customStyle="1" w:styleId="342">
    <w:name w:val="标题7 Char Char"/>
    <w:qFormat/>
    <w:uiPriority w:val="0"/>
    <w:rPr>
      <w:rFonts w:ascii="Times New Roman" w:hAnsi="Times New Roman" w:eastAsia="宋体" w:cs="Times New Roman"/>
      <w:sz w:val="24"/>
      <w:szCs w:val="20"/>
    </w:rPr>
  </w:style>
  <w:style w:type="character" w:customStyle="1" w:styleId="343">
    <w:name w:val="Char Char30"/>
    <w:qFormat/>
    <w:uiPriority w:val="0"/>
    <w:rPr>
      <w:rFonts w:hAnsi="宋体" w:eastAsia="宋体"/>
      <w:b/>
      <w:bCs/>
      <w:kern w:val="44"/>
      <w:sz w:val="32"/>
      <w:szCs w:val="32"/>
      <w:lang w:val="en-US" w:eastAsia="zh-CN" w:bidi="ar-SA"/>
    </w:rPr>
  </w:style>
  <w:style w:type="character" w:customStyle="1" w:styleId="344">
    <w:name w:val="Char Char29"/>
    <w:qFormat/>
    <w:uiPriority w:val="0"/>
    <w:rPr>
      <w:rFonts w:ascii="Times New Roman" w:hAnsi="Times New Roman" w:eastAsia="宋体" w:cs="Times New Roman"/>
      <w:bCs/>
      <w:sz w:val="28"/>
      <w:szCs w:val="32"/>
    </w:rPr>
  </w:style>
  <w:style w:type="character" w:customStyle="1" w:styleId="345">
    <w:name w:val="Char Char28"/>
    <w:qFormat/>
    <w:uiPriority w:val="0"/>
    <w:rPr>
      <w:rFonts w:ascii="Arial" w:hAnsi="Arial" w:eastAsia="黑体"/>
      <w:b/>
      <w:bCs/>
      <w:kern w:val="2"/>
      <w:sz w:val="28"/>
      <w:szCs w:val="28"/>
    </w:rPr>
  </w:style>
  <w:style w:type="character" w:customStyle="1" w:styleId="346">
    <w:name w:val="Char Char22"/>
    <w:qFormat/>
    <w:uiPriority w:val="0"/>
    <w:rPr>
      <w:rFonts w:ascii="Times New Roman" w:hAnsi="Times New Roman" w:eastAsia="宋体" w:cs="Times New Roman"/>
      <w:sz w:val="28"/>
      <w:szCs w:val="20"/>
    </w:rPr>
  </w:style>
  <w:style w:type="character" w:customStyle="1" w:styleId="347">
    <w:name w:val="Char Char20"/>
    <w:qFormat/>
    <w:uiPriority w:val="0"/>
    <w:rPr>
      <w:rFonts w:ascii="Times New Roman" w:hAnsi="Times New Roman" w:eastAsia="宋体" w:cs="Times New Roman"/>
      <w:sz w:val="24"/>
      <w:szCs w:val="20"/>
    </w:rPr>
  </w:style>
  <w:style w:type="character" w:customStyle="1" w:styleId="348">
    <w:name w:val="Char Char18"/>
    <w:qFormat/>
    <w:uiPriority w:val="0"/>
    <w:rPr>
      <w:rFonts w:ascii="Times New Roman" w:hAnsi="Times New Roman" w:eastAsia="宋体" w:cs="Times New Roman"/>
      <w:sz w:val="18"/>
      <w:szCs w:val="20"/>
    </w:rPr>
  </w:style>
  <w:style w:type="character" w:customStyle="1" w:styleId="349">
    <w:name w:val="Char Char17"/>
    <w:qFormat/>
    <w:uiPriority w:val="0"/>
    <w:rPr>
      <w:rFonts w:ascii="Times New Roman" w:hAnsi="Times New Roman" w:eastAsia="宋体" w:cs="Times New Roman"/>
      <w:sz w:val="18"/>
      <w:szCs w:val="20"/>
    </w:rPr>
  </w:style>
  <w:style w:type="character" w:customStyle="1" w:styleId="350">
    <w:name w:val="Char Char16"/>
    <w:qFormat/>
    <w:uiPriority w:val="0"/>
    <w:rPr>
      <w:rFonts w:ascii="Times New Roman" w:hAnsi="Times New Roman" w:eastAsia="宋体" w:cs="Times New Roman"/>
      <w:sz w:val="28"/>
      <w:szCs w:val="20"/>
    </w:rPr>
  </w:style>
  <w:style w:type="paragraph" w:customStyle="1" w:styleId="351">
    <w:name w:val="xl43"/>
    <w:basedOn w:val="1"/>
    <w:qFormat/>
    <w:uiPriority w:val="0"/>
    <w:pPr>
      <w:widowControl/>
      <w:pBdr>
        <w:left w:val="single" w:color="auto" w:sz="4" w:space="0"/>
        <w:right w:val="single" w:color="auto" w:sz="8" w:space="0"/>
      </w:pBdr>
      <w:adjustRightInd w:val="0"/>
      <w:snapToGrid w:val="0"/>
      <w:spacing w:before="100" w:after="100"/>
      <w:jc w:val="center"/>
      <w:textAlignment w:val="top"/>
    </w:pPr>
    <w:rPr>
      <w:rFonts w:ascii="宋体" w:hAnsi="宋体"/>
      <w:kern w:val="0"/>
      <w:szCs w:val="20"/>
    </w:rPr>
  </w:style>
  <w:style w:type="paragraph" w:customStyle="1" w:styleId="352">
    <w:name w:val="xl58"/>
    <w:basedOn w:val="1"/>
    <w:qFormat/>
    <w:uiPriority w:val="0"/>
    <w:pPr>
      <w:widowControl/>
      <w:pBdr>
        <w:left w:val="single" w:color="auto" w:sz="8" w:space="0"/>
        <w:bottom w:val="single" w:color="auto" w:sz="4" w:space="0"/>
        <w:right w:val="single" w:color="auto" w:sz="4" w:space="0"/>
      </w:pBdr>
      <w:adjustRightInd w:val="0"/>
      <w:snapToGrid w:val="0"/>
      <w:spacing w:before="100" w:after="100"/>
      <w:jc w:val="center"/>
      <w:textAlignment w:val="top"/>
    </w:pPr>
    <w:rPr>
      <w:rFonts w:ascii="Arial Unicode MS" w:hAnsi="Arial Unicode MS" w:eastAsia="Arial Unicode MS"/>
      <w:kern w:val="0"/>
      <w:sz w:val="20"/>
      <w:szCs w:val="20"/>
    </w:rPr>
  </w:style>
  <w:style w:type="character" w:customStyle="1" w:styleId="353">
    <w:name w:val="Char Char15"/>
    <w:qFormat/>
    <w:uiPriority w:val="0"/>
    <w:rPr>
      <w:rFonts w:ascii="宋体" w:hAnsi="Times New Roman" w:eastAsia="宋体" w:cs="Times New Roman"/>
      <w:sz w:val="18"/>
      <w:szCs w:val="18"/>
    </w:rPr>
  </w:style>
  <w:style w:type="character" w:customStyle="1" w:styleId="354">
    <w:name w:val="二级标题0 Char Char"/>
    <w:qFormat/>
    <w:uiPriority w:val="0"/>
    <w:rPr>
      <w:rFonts w:ascii="Times New Roman" w:hAnsi="Times New Roman"/>
      <w:b/>
      <w:bCs/>
      <w:kern w:val="2"/>
      <w:sz w:val="28"/>
      <w:szCs w:val="32"/>
    </w:rPr>
  </w:style>
  <w:style w:type="character" w:customStyle="1" w:styleId="355">
    <w:name w:val="标题3 Char1"/>
    <w:qFormat/>
    <w:uiPriority w:val="0"/>
    <w:rPr>
      <w:rFonts w:ascii="宋体" w:hAnsi="Courier New" w:eastAsia="宋体" w:cs="Courier New"/>
      <w:sz w:val="28"/>
      <w:szCs w:val="21"/>
    </w:rPr>
  </w:style>
  <w:style w:type="paragraph" w:customStyle="1" w:styleId="356">
    <w:name w:val="样式 标题 3 + 加粗 段前: 自动 段后: 自动 行距: 固定值 25 磅 首行缩进:  2 字符"/>
    <w:basedOn w:val="6"/>
    <w:qFormat/>
    <w:uiPriority w:val="0"/>
    <w:pPr>
      <w:adjustRightInd w:val="0"/>
      <w:snapToGrid w:val="0"/>
      <w:spacing w:beforeLines="0" w:beforeAutospacing="1" w:afterLines="0" w:afterAutospacing="1" w:line="500" w:lineRule="exact"/>
      <w:jc w:val="both"/>
    </w:pPr>
    <w:rPr>
      <w:rFonts w:cs="宋体"/>
      <w:szCs w:val="20"/>
    </w:rPr>
  </w:style>
  <w:style w:type="paragraph" w:customStyle="1" w:styleId="357">
    <w:name w:val="1zw"/>
    <w:basedOn w:val="1"/>
    <w:link w:val="358"/>
    <w:qFormat/>
    <w:uiPriority w:val="0"/>
    <w:pPr>
      <w:spacing w:line="600" w:lineRule="exact"/>
      <w:ind w:firstLine="560"/>
    </w:pPr>
    <w:rPr>
      <w:rFonts w:ascii="Calibri" w:hAnsi="Calibri"/>
      <w:kern w:val="0"/>
      <w:sz w:val="28"/>
      <w:szCs w:val="20"/>
    </w:rPr>
  </w:style>
  <w:style w:type="character" w:customStyle="1" w:styleId="358">
    <w:name w:val="1zw Char"/>
    <w:link w:val="357"/>
    <w:qFormat/>
    <w:uiPriority w:val="0"/>
    <w:rPr>
      <w:rFonts w:ascii="Calibri" w:hAnsi="Calibri" w:eastAsia="宋体" w:cs="Times New Roman"/>
      <w:sz w:val="28"/>
      <w:szCs w:val="20"/>
    </w:rPr>
  </w:style>
  <w:style w:type="paragraph" w:customStyle="1" w:styleId="359">
    <w:name w:val="0005左缩2"/>
    <w:basedOn w:val="1"/>
    <w:qFormat/>
    <w:uiPriority w:val="0"/>
    <w:pPr>
      <w:widowControl/>
      <w:autoSpaceDE w:val="0"/>
      <w:autoSpaceDN w:val="0"/>
      <w:adjustRightInd w:val="0"/>
      <w:spacing w:afterLines="30" w:line="500" w:lineRule="exact"/>
    </w:pPr>
    <w:rPr>
      <w:rFonts w:ascii="宋体" w:hAnsi="宋体"/>
      <w:sz w:val="28"/>
      <w:szCs w:val="28"/>
    </w:rPr>
  </w:style>
  <w:style w:type="paragraph" w:customStyle="1" w:styleId="360">
    <w:name w:val="Char11"/>
    <w:basedOn w:val="1"/>
    <w:qFormat/>
    <w:uiPriority w:val="0"/>
    <w:pPr>
      <w:spacing w:line="240" w:lineRule="auto"/>
      <w:ind w:firstLine="0" w:firstLineChars="0"/>
    </w:pPr>
    <w:rPr>
      <w:sz w:val="21"/>
      <w:szCs w:val="24"/>
    </w:rPr>
  </w:style>
  <w:style w:type="paragraph" w:customStyle="1" w:styleId="361">
    <w:name w:val="样式 标题 1 + 字距调整8 磅"/>
    <w:basedOn w:val="4"/>
    <w:qFormat/>
    <w:uiPriority w:val="0"/>
    <w:pPr>
      <w:keepNext w:val="0"/>
      <w:keepLines w:val="0"/>
      <w:snapToGrid w:val="0"/>
      <w:spacing w:beforeLines="0" w:afterLines="0" w:line="480" w:lineRule="auto"/>
      <w:jc w:val="center"/>
    </w:pPr>
    <w:rPr>
      <w:rFonts w:hAnsi="宋体"/>
      <w:bCs w:val="0"/>
      <w:kern w:val="16"/>
    </w:rPr>
  </w:style>
  <w:style w:type="paragraph" w:customStyle="1" w:styleId="362">
    <w:name w:val="样式 标题 3 + 段前: 12 磅"/>
    <w:basedOn w:val="6"/>
    <w:qFormat/>
    <w:uiPriority w:val="0"/>
    <w:pPr>
      <w:spacing w:beforeLines="100" w:afterLines="0"/>
      <w:jc w:val="both"/>
    </w:pPr>
    <w:rPr>
      <w:rFonts w:cs="宋体"/>
      <w:kern w:val="16"/>
      <w:sz w:val="30"/>
      <w:szCs w:val="20"/>
    </w:rPr>
  </w:style>
  <w:style w:type="paragraph" w:customStyle="1" w:styleId="363">
    <w:name w:val="样式 标题 3 + 段前: 12 磅1"/>
    <w:basedOn w:val="6"/>
    <w:qFormat/>
    <w:uiPriority w:val="0"/>
    <w:pPr>
      <w:spacing w:beforeLines="100" w:afterLines="0"/>
      <w:jc w:val="both"/>
    </w:pPr>
    <w:rPr>
      <w:rFonts w:cs="宋体"/>
      <w:sz w:val="30"/>
      <w:szCs w:val="20"/>
    </w:rPr>
  </w:style>
  <w:style w:type="paragraph" w:customStyle="1" w:styleId="364">
    <w:name w:val="样式 标题 2 + Times New Roman 段前: 1 行"/>
    <w:basedOn w:val="5"/>
    <w:qFormat/>
    <w:uiPriority w:val="0"/>
    <w:pPr>
      <w:spacing w:beforeLines="100" w:afterLines="0"/>
      <w:jc w:val="both"/>
    </w:pPr>
    <w:rPr>
      <w:rFonts w:cs="宋体"/>
      <w:kern w:val="16"/>
      <w:szCs w:val="20"/>
    </w:rPr>
  </w:style>
  <w:style w:type="paragraph" w:customStyle="1" w:styleId="365">
    <w:name w:val="样式 样式 标题 3 + 段前: 12 磅 + 段前: 1 行"/>
    <w:basedOn w:val="362"/>
    <w:qFormat/>
    <w:uiPriority w:val="0"/>
  </w:style>
  <w:style w:type="paragraph" w:customStyle="1" w:styleId="366">
    <w:name w:val="AJQ正文"/>
    <w:basedOn w:val="2"/>
    <w:qFormat/>
    <w:uiPriority w:val="0"/>
    <w:pPr>
      <w:adjustRightInd w:val="0"/>
      <w:snapToGrid w:val="0"/>
      <w:ind w:firstLine="200"/>
    </w:pPr>
    <w:rPr>
      <w:rFonts w:ascii="宋体" w:hAnsi="宋体"/>
      <w:sz w:val="28"/>
      <w:szCs w:val="24"/>
    </w:rPr>
  </w:style>
  <w:style w:type="paragraph" w:customStyle="1" w:styleId="367">
    <w:name w:val="样式 正文缩进 + 首行缩进:  2 字符"/>
    <w:basedOn w:val="2"/>
    <w:qFormat/>
    <w:uiPriority w:val="0"/>
    <w:pPr>
      <w:adjustRightInd w:val="0"/>
      <w:snapToGrid w:val="0"/>
      <w:ind w:firstLine="200"/>
    </w:pPr>
    <w:rPr>
      <w:rFonts w:ascii="宋体" w:hAnsi="宋体" w:cs="宋体"/>
      <w:sz w:val="28"/>
      <w:szCs w:val="28"/>
    </w:rPr>
  </w:style>
  <w:style w:type="paragraph" w:customStyle="1" w:styleId="368">
    <w:name w:val="AJQ表名"/>
    <w:basedOn w:val="1"/>
    <w:qFormat/>
    <w:uiPriority w:val="0"/>
    <w:pPr>
      <w:adjustRightInd w:val="0"/>
      <w:snapToGrid w:val="0"/>
      <w:spacing w:line="240" w:lineRule="auto"/>
      <w:ind w:firstLine="0" w:firstLineChars="0"/>
      <w:jc w:val="center"/>
    </w:pPr>
    <w:rPr>
      <w:rFonts w:hAnsi="宋体"/>
      <w:b/>
      <w:bCs/>
      <w:kern w:val="0"/>
      <w:szCs w:val="28"/>
    </w:rPr>
  </w:style>
  <w:style w:type="paragraph" w:customStyle="1" w:styleId="369">
    <w:name w:val="zzh正文"/>
    <w:basedOn w:val="1"/>
    <w:qFormat/>
    <w:uiPriority w:val="0"/>
    <w:pPr>
      <w:adjustRightInd w:val="0"/>
      <w:snapToGrid w:val="0"/>
    </w:pPr>
    <w:rPr>
      <w:rFonts w:ascii="宋体" w:cs="宋体"/>
      <w:sz w:val="28"/>
      <w:szCs w:val="28"/>
    </w:rPr>
  </w:style>
  <w:style w:type="paragraph" w:customStyle="1" w:styleId="370">
    <w:name w:val="xl46"/>
    <w:basedOn w:val="1"/>
    <w:qFormat/>
    <w:uiPriority w:val="0"/>
    <w:pPr>
      <w:widowControl/>
      <w:pBdr>
        <w:bottom w:val="single" w:color="auto" w:sz="8" w:space="0"/>
        <w:right w:val="single" w:color="auto" w:sz="8" w:space="0"/>
      </w:pBdr>
      <w:spacing w:before="100" w:beforeAutospacing="1" w:after="100" w:afterAutospacing="1" w:line="240" w:lineRule="auto"/>
      <w:ind w:firstLine="0" w:firstLineChars="0"/>
      <w:jc w:val="center"/>
    </w:pPr>
    <w:rPr>
      <w:kern w:val="0"/>
      <w:sz w:val="21"/>
    </w:rPr>
  </w:style>
  <w:style w:type="paragraph" w:customStyle="1" w:styleId="371">
    <w:name w:val="Char Char1 Char Char Char Char Char Char"/>
    <w:basedOn w:val="1"/>
    <w:qFormat/>
    <w:uiPriority w:val="0"/>
    <w:pPr>
      <w:widowControl/>
      <w:spacing w:after="160" w:line="240" w:lineRule="exact"/>
      <w:ind w:firstLine="0" w:firstLineChars="0"/>
      <w:jc w:val="left"/>
    </w:pPr>
    <w:rPr>
      <w:rFonts w:ascii="宋体" w:hAnsi="宋体"/>
      <w:kern w:val="0"/>
      <w:sz w:val="21"/>
      <w:lang w:eastAsia="en-US"/>
    </w:rPr>
  </w:style>
  <w:style w:type="character" w:customStyle="1" w:styleId="372">
    <w:name w:val="hui141"/>
    <w:qFormat/>
    <w:uiPriority w:val="0"/>
    <w:rPr>
      <w:b/>
      <w:bCs/>
      <w:color w:val="333333"/>
      <w:sz w:val="21"/>
      <w:szCs w:val="21"/>
    </w:rPr>
  </w:style>
  <w:style w:type="paragraph" w:customStyle="1" w:styleId="373">
    <w:name w:val="默认段落字体 Para Char Char Char Char Char Char Char Char Char Char"/>
    <w:basedOn w:val="6"/>
    <w:qFormat/>
    <w:uiPriority w:val="0"/>
    <w:pPr>
      <w:tabs>
        <w:tab w:val="left" w:pos="360"/>
        <w:tab w:val="left" w:pos="900"/>
      </w:tabs>
      <w:snapToGrid w:val="0"/>
      <w:spacing w:beforeLines="0" w:afterLines="0"/>
      <w:ind w:left="542" w:leftChars="-12" w:firstLine="200" w:firstLineChars="200"/>
    </w:pPr>
    <w:rPr>
      <w:rFonts w:eastAsia="黑体"/>
      <w:b w:val="0"/>
      <w:bCs w:val="0"/>
      <w:sz w:val="24"/>
      <w:szCs w:val="24"/>
    </w:rPr>
  </w:style>
  <w:style w:type="paragraph" w:customStyle="1" w:styleId="374">
    <w:name w:val="默认段落字体 Para Char"/>
    <w:basedOn w:val="1"/>
    <w:next w:val="1"/>
    <w:qFormat/>
    <w:uiPriority w:val="0"/>
    <w:rPr>
      <w:rFonts w:ascii="宋体" w:hAnsi="宋体" w:cs="宋体"/>
      <w:szCs w:val="24"/>
    </w:rPr>
  </w:style>
  <w:style w:type="character" w:customStyle="1" w:styleId="375">
    <w:name w:val="Char Char12"/>
    <w:qFormat/>
    <w:uiPriority w:val="0"/>
    <w:rPr>
      <w:rFonts w:ascii="Times New Roman" w:hAnsi="Times New Roman"/>
      <w:b/>
      <w:bCs/>
      <w:kern w:val="44"/>
      <w:sz w:val="44"/>
      <w:szCs w:val="44"/>
    </w:rPr>
  </w:style>
  <w:style w:type="character" w:customStyle="1" w:styleId="376">
    <w:name w:val="Char Char11"/>
    <w:qFormat/>
    <w:uiPriority w:val="0"/>
    <w:rPr>
      <w:rFonts w:ascii="Arial" w:hAnsi="Arial" w:eastAsia="黑体"/>
      <w:b/>
      <w:bCs/>
      <w:kern w:val="2"/>
      <w:sz w:val="32"/>
      <w:szCs w:val="32"/>
    </w:rPr>
  </w:style>
  <w:style w:type="character" w:customStyle="1" w:styleId="377">
    <w:name w:val="Char Char14"/>
    <w:qFormat/>
    <w:uiPriority w:val="0"/>
    <w:rPr>
      <w:rFonts w:ascii="Times New Roman" w:hAnsi="Times New Roman" w:eastAsia="宋体" w:cs="Times New Roman"/>
      <w:b/>
      <w:bCs/>
      <w:kern w:val="44"/>
      <w:sz w:val="44"/>
      <w:szCs w:val="44"/>
    </w:rPr>
  </w:style>
  <w:style w:type="character" w:customStyle="1" w:styleId="378">
    <w:name w:val="Char Char13"/>
    <w:qFormat/>
    <w:uiPriority w:val="0"/>
    <w:rPr>
      <w:rFonts w:ascii="Arial" w:hAnsi="Arial" w:eastAsia="黑体" w:cs="Times New Roman"/>
      <w:b/>
      <w:bCs/>
      <w:sz w:val="32"/>
      <w:szCs w:val="32"/>
    </w:rPr>
  </w:style>
  <w:style w:type="paragraph" w:customStyle="1" w:styleId="379">
    <w:name w:val="报告正文"/>
    <w:basedOn w:val="19"/>
    <w:qFormat/>
    <w:uiPriority w:val="0"/>
    <w:pPr>
      <w:spacing w:after="0" w:line="540" w:lineRule="exact"/>
      <w:ind w:left="0" w:leftChars="0" w:firstLine="525" w:firstLineChars="0"/>
    </w:pPr>
    <w:rPr>
      <w:szCs w:val="20"/>
    </w:rPr>
  </w:style>
  <w:style w:type="paragraph" w:customStyle="1" w:styleId="380">
    <w:name w:val="xl40"/>
    <w:basedOn w:val="1"/>
    <w:qFormat/>
    <w:uiPriority w:val="0"/>
    <w:pPr>
      <w:widowControl/>
      <w:spacing w:before="100" w:after="100" w:line="240" w:lineRule="auto"/>
      <w:ind w:firstLine="0" w:firstLineChars="0"/>
      <w:jc w:val="center"/>
      <w:textAlignment w:val="center"/>
    </w:pPr>
    <w:rPr>
      <w:rFonts w:hint="eastAsia" w:ascii="黑体" w:hAnsi="Arial Unicode MS" w:eastAsia="黑体"/>
      <w:kern w:val="0"/>
      <w:szCs w:val="20"/>
    </w:rPr>
  </w:style>
  <w:style w:type="paragraph" w:customStyle="1" w:styleId="381">
    <w:name w:val="xl35"/>
    <w:basedOn w:val="1"/>
    <w:qFormat/>
    <w:uiPriority w:val="0"/>
    <w:pPr>
      <w:widowControl/>
      <w:spacing w:before="100" w:after="100" w:line="240" w:lineRule="auto"/>
      <w:ind w:firstLine="0" w:firstLineChars="0"/>
      <w:jc w:val="center"/>
      <w:textAlignment w:val="center"/>
    </w:pPr>
    <w:rPr>
      <w:rFonts w:hint="eastAsia" w:ascii="黑体" w:hAnsi="Arial Unicode MS" w:eastAsia="黑体"/>
      <w:kern w:val="0"/>
      <w:sz w:val="28"/>
      <w:szCs w:val="20"/>
    </w:rPr>
  </w:style>
  <w:style w:type="paragraph" w:customStyle="1" w:styleId="382">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hint="eastAsia" w:ascii="宋体" w:hAnsi="宋体"/>
      <w:kern w:val="0"/>
      <w:szCs w:val="24"/>
    </w:rPr>
  </w:style>
  <w:style w:type="paragraph" w:customStyle="1" w:styleId="38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int="eastAsia" w:ascii="宋体" w:hAnsi="宋体"/>
      <w:kern w:val="0"/>
      <w:szCs w:val="24"/>
    </w:rPr>
  </w:style>
  <w:style w:type="paragraph" w:customStyle="1" w:styleId="384">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int="eastAsia" w:ascii="宋体" w:hAnsi="宋体"/>
      <w:kern w:val="0"/>
      <w:szCs w:val="24"/>
    </w:rPr>
  </w:style>
  <w:style w:type="paragraph" w:customStyle="1" w:styleId="385">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kern w:val="0"/>
      <w:szCs w:val="24"/>
    </w:rPr>
  </w:style>
  <w:style w:type="paragraph" w:customStyle="1" w:styleId="386">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int="eastAsia" w:ascii="宋体" w:hAnsi="宋体" w:cs="CityBlueprint"/>
      <w:kern w:val="0"/>
      <w:szCs w:val="24"/>
    </w:rPr>
  </w:style>
  <w:style w:type="paragraph" w:customStyle="1" w:styleId="387">
    <w:name w:val="xl28"/>
    <w:basedOn w:val="1"/>
    <w:qFormat/>
    <w:uiPriority w:val="0"/>
    <w:pPr>
      <w:widowControl/>
      <w:spacing w:before="100" w:beforeAutospacing="1" w:after="100" w:afterAutospacing="1" w:line="240" w:lineRule="auto"/>
      <w:ind w:firstLine="0" w:firstLineChars="0"/>
      <w:jc w:val="center"/>
      <w:textAlignment w:val="center"/>
    </w:pPr>
    <w:rPr>
      <w:rFonts w:hint="eastAsia" w:ascii="宋体" w:hAnsi="宋体" w:cs="CityBlueprint"/>
      <w:b/>
      <w:bCs/>
      <w:kern w:val="0"/>
      <w:sz w:val="28"/>
      <w:szCs w:val="28"/>
    </w:rPr>
  </w:style>
  <w:style w:type="paragraph" w:customStyle="1" w:styleId="388">
    <w:name w:val="xl33"/>
    <w:basedOn w:val="1"/>
    <w:qFormat/>
    <w:uiPriority w:val="0"/>
    <w:pPr>
      <w:widowControl/>
      <w:spacing w:before="100" w:beforeAutospacing="1" w:after="100" w:afterAutospacing="1" w:line="240" w:lineRule="auto"/>
      <w:ind w:firstLine="0" w:firstLineChars="0"/>
      <w:jc w:val="center"/>
      <w:textAlignment w:val="center"/>
    </w:pPr>
    <w:rPr>
      <w:rFonts w:hint="eastAsia" w:ascii="黑体" w:hAnsi="Arial Unicode MS" w:eastAsia="黑体" w:cs="CityBlueprint"/>
      <w:kern w:val="0"/>
      <w:sz w:val="32"/>
      <w:szCs w:val="32"/>
    </w:rPr>
  </w:style>
  <w:style w:type="paragraph" w:customStyle="1" w:styleId="389">
    <w:name w:val="xl34"/>
    <w:basedOn w:val="1"/>
    <w:qFormat/>
    <w:uiPriority w:val="0"/>
    <w:pPr>
      <w:widowControl/>
      <w:spacing w:before="100" w:beforeAutospacing="1" w:after="100" w:afterAutospacing="1" w:line="240" w:lineRule="auto"/>
      <w:ind w:firstLine="0" w:firstLineChars="0"/>
      <w:jc w:val="left"/>
      <w:textAlignment w:val="center"/>
    </w:pPr>
    <w:rPr>
      <w:rFonts w:hint="eastAsia" w:ascii="宋体" w:hAnsi="宋体" w:cs="CityBlueprint"/>
      <w:b/>
      <w:bCs/>
      <w:kern w:val="0"/>
      <w:sz w:val="28"/>
      <w:szCs w:val="28"/>
    </w:rPr>
  </w:style>
  <w:style w:type="paragraph" w:customStyle="1" w:styleId="390">
    <w:name w:val="xl36"/>
    <w:basedOn w:val="1"/>
    <w:qFormat/>
    <w:uiPriority w:val="0"/>
    <w:pPr>
      <w:widowControl/>
      <w:pBdr>
        <w:bottom w:val="single" w:color="auto" w:sz="8" w:space="0"/>
      </w:pBdr>
      <w:spacing w:before="100" w:beforeAutospacing="1" w:after="100" w:afterAutospacing="1" w:line="240" w:lineRule="auto"/>
      <w:ind w:firstLine="0" w:firstLineChars="0"/>
      <w:jc w:val="left"/>
      <w:textAlignment w:val="center"/>
    </w:pPr>
    <w:rPr>
      <w:rFonts w:hint="eastAsia" w:ascii="宋体" w:hAnsi="宋体" w:cs="CityBlueprint"/>
      <w:color w:val="FF0000"/>
      <w:kern w:val="0"/>
      <w:sz w:val="28"/>
      <w:szCs w:val="28"/>
    </w:rPr>
  </w:style>
  <w:style w:type="paragraph" w:customStyle="1" w:styleId="391">
    <w:name w:val="xl39"/>
    <w:basedOn w:val="1"/>
    <w:qFormat/>
    <w:uiPriority w:val="0"/>
    <w:pPr>
      <w:widowControl/>
      <w:spacing w:before="100" w:beforeAutospacing="1" w:after="100" w:afterAutospacing="1" w:line="240" w:lineRule="auto"/>
      <w:ind w:firstLine="0" w:firstLineChars="0"/>
      <w:jc w:val="left"/>
      <w:textAlignment w:val="center"/>
    </w:pPr>
    <w:rPr>
      <w:rFonts w:hint="eastAsia" w:ascii="黑体" w:hAnsi="Arial Unicode MS" w:eastAsia="黑体" w:cs="CityBlueprint"/>
      <w:kern w:val="0"/>
      <w:szCs w:val="24"/>
    </w:rPr>
  </w:style>
  <w:style w:type="paragraph" w:customStyle="1" w:styleId="392">
    <w:name w:val="xl41"/>
    <w:basedOn w:val="1"/>
    <w:qFormat/>
    <w:uiPriority w:val="0"/>
    <w:pPr>
      <w:widowControl/>
      <w:spacing w:before="100" w:beforeAutospacing="1" w:after="100" w:afterAutospacing="1" w:line="240" w:lineRule="auto"/>
      <w:ind w:firstLine="0" w:firstLineChars="0"/>
      <w:jc w:val="center"/>
      <w:textAlignment w:val="center"/>
    </w:pPr>
    <w:rPr>
      <w:rFonts w:hint="eastAsia" w:ascii="黑体" w:hAnsi="Arial Unicode MS" w:eastAsia="黑体" w:cs="CityBlueprint"/>
      <w:kern w:val="0"/>
      <w:sz w:val="32"/>
      <w:szCs w:val="32"/>
    </w:rPr>
  </w:style>
  <w:style w:type="paragraph" w:customStyle="1" w:styleId="393">
    <w:name w:val="font6"/>
    <w:basedOn w:val="1"/>
    <w:qFormat/>
    <w:uiPriority w:val="0"/>
    <w:pPr>
      <w:widowControl/>
      <w:spacing w:before="100" w:beforeAutospacing="1" w:after="100" w:afterAutospacing="1" w:line="240" w:lineRule="auto"/>
      <w:ind w:firstLine="0" w:firstLineChars="0"/>
      <w:jc w:val="left"/>
    </w:pPr>
    <w:rPr>
      <w:rFonts w:hint="eastAsia" w:ascii="宋体" w:hAnsi="宋体" w:cs="Arial Unicode MS"/>
      <w:kern w:val="0"/>
      <w:sz w:val="18"/>
      <w:szCs w:val="18"/>
    </w:rPr>
  </w:style>
  <w:style w:type="paragraph" w:customStyle="1" w:styleId="394">
    <w:name w:val="小标题2"/>
    <w:basedOn w:val="335"/>
    <w:next w:val="2"/>
    <w:qFormat/>
    <w:uiPriority w:val="0"/>
    <w:pPr>
      <w:adjustRightInd w:val="0"/>
      <w:snapToGrid/>
      <w:spacing w:before="120" w:after="120"/>
      <w:ind w:left="284"/>
      <w:jc w:val="left"/>
      <w:textAlignment w:val="baseline"/>
    </w:pPr>
    <w:rPr>
      <w:rFonts w:ascii="Times New Roman" w:eastAsia="宋体"/>
      <w:b w:val="0"/>
      <w:sz w:val="28"/>
    </w:rPr>
  </w:style>
  <w:style w:type="paragraph" w:customStyle="1" w:styleId="395">
    <w:name w:val="xl2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int="eastAsia" w:ascii="宋体" w:hAnsi="宋体" w:cs="Arial Unicode MS"/>
      <w:kern w:val="0"/>
      <w:sz w:val="20"/>
      <w:szCs w:val="20"/>
    </w:rPr>
  </w:style>
  <w:style w:type="paragraph" w:customStyle="1" w:styleId="396">
    <w:name w:val="font7"/>
    <w:basedOn w:val="1"/>
    <w:qFormat/>
    <w:uiPriority w:val="0"/>
    <w:pPr>
      <w:widowControl/>
      <w:spacing w:before="100" w:beforeAutospacing="1" w:after="100" w:afterAutospacing="1" w:line="240" w:lineRule="auto"/>
      <w:ind w:firstLine="0" w:firstLineChars="0"/>
      <w:jc w:val="left"/>
    </w:pPr>
    <w:rPr>
      <w:rFonts w:eastAsia="Arial Unicode MS"/>
      <w:kern w:val="0"/>
      <w:sz w:val="20"/>
      <w:szCs w:val="20"/>
    </w:rPr>
  </w:style>
  <w:style w:type="paragraph" w:customStyle="1" w:styleId="397">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hint="eastAsia" w:ascii="宋体" w:hAnsi="宋体" w:cs="Arial Unicode MS"/>
      <w:color w:val="FF0000"/>
      <w:kern w:val="0"/>
      <w:sz w:val="20"/>
      <w:szCs w:val="20"/>
    </w:rPr>
  </w:style>
  <w:style w:type="paragraph" w:customStyle="1" w:styleId="398">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ascii="Arial Unicode MS" w:hAnsi="Arial Unicode MS" w:eastAsia="Arial Unicode MS" w:cs="Arial Unicode MS"/>
      <w:kern w:val="0"/>
      <w:sz w:val="20"/>
      <w:szCs w:val="20"/>
    </w:rPr>
  </w:style>
  <w:style w:type="paragraph" w:customStyle="1" w:styleId="399">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hint="eastAsia" w:ascii="宋体" w:hAnsi="宋体" w:cs="Arial Unicode MS"/>
      <w:color w:val="FF0000"/>
      <w:kern w:val="0"/>
      <w:sz w:val="20"/>
      <w:szCs w:val="20"/>
    </w:rPr>
  </w:style>
  <w:style w:type="paragraph" w:customStyle="1" w:styleId="400">
    <w:name w:val="xl23"/>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宋体" w:hAnsi="宋体"/>
      <w:kern w:val="0"/>
      <w:sz w:val="28"/>
      <w:szCs w:val="28"/>
    </w:rPr>
  </w:style>
  <w:style w:type="character" w:customStyle="1" w:styleId="401">
    <w:name w:val="样式 (西文) 宋体 (中文) 仿宋_GB2312 小三 黑色"/>
    <w:qFormat/>
    <w:uiPriority w:val="0"/>
    <w:rPr>
      <w:rFonts w:ascii="宋体" w:hAnsi="宋体" w:eastAsia="仿宋_GB2312"/>
      <w:color w:val="000000"/>
      <w:sz w:val="30"/>
    </w:rPr>
  </w:style>
  <w:style w:type="paragraph" w:customStyle="1" w:styleId="402">
    <w:name w:val="列表1"/>
    <w:basedOn w:val="1"/>
    <w:qFormat/>
    <w:uiPriority w:val="0"/>
    <w:pPr>
      <w:spacing w:line="240" w:lineRule="auto"/>
      <w:ind w:firstLine="0" w:firstLineChars="0"/>
    </w:pPr>
    <w:rPr>
      <w:rFonts w:eastAsia="仿宋_GB2312"/>
      <w:sz w:val="28"/>
      <w:szCs w:val="20"/>
    </w:rPr>
  </w:style>
  <w:style w:type="paragraph" w:customStyle="1" w:styleId="403">
    <w:name w:val="样式 标题 3 + 四号 居中 段前: 7.8 磅 段后: 7.8 磅 行距: 1.5 倍行距"/>
    <w:basedOn w:val="6"/>
    <w:qFormat/>
    <w:uiPriority w:val="0"/>
    <w:pPr>
      <w:spacing w:beforeLines="0" w:afterLines="0"/>
      <w:ind w:firstLine="200" w:firstLineChars="200"/>
    </w:pPr>
    <w:rPr>
      <w:rFonts w:cs="宋体"/>
      <w:szCs w:val="20"/>
    </w:rPr>
  </w:style>
  <w:style w:type="paragraph" w:customStyle="1" w:styleId="404">
    <w:name w:val="font0"/>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405">
    <w:name w:val="font8"/>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406">
    <w:name w:val="font9"/>
    <w:basedOn w:val="1"/>
    <w:qFormat/>
    <w:uiPriority w:val="0"/>
    <w:pPr>
      <w:widowControl/>
      <w:spacing w:before="100" w:beforeAutospacing="1" w:after="100" w:afterAutospacing="1" w:line="240" w:lineRule="auto"/>
      <w:ind w:firstLine="0" w:firstLineChars="0"/>
      <w:jc w:val="left"/>
    </w:pPr>
    <w:rPr>
      <w:rFonts w:ascii="宋体" w:hAnsi="宋体" w:cs="宋体"/>
      <w:color w:val="000000"/>
      <w:kern w:val="0"/>
      <w:sz w:val="18"/>
      <w:szCs w:val="18"/>
    </w:rPr>
  </w:style>
  <w:style w:type="paragraph" w:customStyle="1" w:styleId="407">
    <w:name w:val="font10"/>
    <w:basedOn w:val="1"/>
    <w:qFormat/>
    <w:uiPriority w:val="0"/>
    <w:pPr>
      <w:widowControl/>
      <w:spacing w:before="100" w:beforeAutospacing="1" w:after="100" w:afterAutospacing="1" w:line="240" w:lineRule="auto"/>
      <w:ind w:firstLine="0" w:firstLineChars="0"/>
      <w:jc w:val="left"/>
    </w:pPr>
    <w:rPr>
      <w:rFonts w:ascii="宋体" w:hAnsi="宋体" w:cs="宋体"/>
      <w:b/>
      <w:bCs/>
      <w:color w:val="000000"/>
      <w:kern w:val="0"/>
      <w:sz w:val="18"/>
      <w:szCs w:val="18"/>
    </w:rPr>
  </w:style>
  <w:style w:type="paragraph" w:customStyle="1" w:styleId="408">
    <w:name w:val="xl25"/>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409">
    <w:name w:val="xl47"/>
    <w:basedOn w:val="1"/>
    <w:qFormat/>
    <w:uiPriority w:val="0"/>
    <w:pPr>
      <w:widowControl/>
      <w:shd w:val="clear" w:color="auto" w:fill="CCFFCC"/>
      <w:spacing w:before="100" w:beforeAutospacing="1" w:after="100" w:afterAutospacing="1" w:line="240" w:lineRule="auto"/>
      <w:ind w:firstLine="0" w:firstLineChars="0"/>
      <w:jc w:val="left"/>
    </w:pPr>
    <w:rPr>
      <w:rFonts w:ascii="宋体" w:hAnsi="宋体" w:cs="宋体"/>
      <w:kern w:val="0"/>
      <w:szCs w:val="24"/>
    </w:rPr>
  </w:style>
  <w:style w:type="paragraph" w:customStyle="1" w:styleId="410">
    <w:name w:val="xl48"/>
    <w:basedOn w:val="1"/>
    <w:qFormat/>
    <w:uiPriority w:val="0"/>
    <w:pPr>
      <w:widowControl/>
      <w:shd w:val="clear" w:color="auto" w:fill="CCFFCC"/>
      <w:spacing w:before="100" w:beforeAutospacing="1" w:after="100" w:afterAutospacing="1" w:line="240" w:lineRule="auto"/>
      <w:ind w:firstLine="0" w:firstLineChars="0"/>
      <w:jc w:val="left"/>
    </w:pPr>
    <w:rPr>
      <w:rFonts w:ascii="宋体" w:hAnsi="宋体" w:cs="宋体"/>
      <w:kern w:val="0"/>
      <w:szCs w:val="24"/>
    </w:rPr>
  </w:style>
  <w:style w:type="paragraph" w:customStyle="1" w:styleId="411">
    <w:name w:val="xl49"/>
    <w:basedOn w:val="1"/>
    <w:qFormat/>
    <w:uiPriority w:val="0"/>
    <w:pPr>
      <w:widowControl/>
      <w:shd w:val="clear" w:color="auto" w:fill="CCFFCC"/>
      <w:spacing w:before="100" w:beforeAutospacing="1" w:after="100" w:afterAutospacing="1" w:line="240" w:lineRule="auto"/>
      <w:ind w:firstLine="0" w:firstLineChars="0"/>
      <w:jc w:val="left"/>
    </w:pPr>
    <w:rPr>
      <w:rFonts w:ascii="宋体" w:hAnsi="宋体" w:cs="宋体"/>
      <w:kern w:val="0"/>
      <w:szCs w:val="24"/>
    </w:rPr>
  </w:style>
  <w:style w:type="paragraph" w:customStyle="1" w:styleId="412">
    <w:name w:val="xl50"/>
    <w:basedOn w:val="1"/>
    <w:qFormat/>
    <w:uiPriority w:val="0"/>
    <w:pPr>
      <w:widowControl/>
      <w:shd w:val="clear" w:color="auto" w:fill="FF99CC"/>
      <w:spacing w:before="100" w:beforeAutospacing="1" w:after="100" w:afterAutospacing="1" w:line="240" w:lineRule="auto"/>
      <w:ind w:firstLine="0" w:firstLineChars="0"/>
      <w:jc w:val="left"/>
    </w:pPr>
    <w:rPr>
      <w:rFonts w:ascii="宋体" w:hAnsi="宋体" w:cs="宋体"/>
      <w:b/>
      <w:bCs/>
      <w:kern w:val="0"/>
      <w:szCs w:val="24"/>
    </w:rPr>
  </w:style>
  <w:style w:type="paragraph" w:customStyle="1" w:styleId="413">
    <w:name w:val="xl51"/>
    <w:basedOn w:val="1"/>
    <w:qFormat/>
    <w:uiPriority w:val="0"/>
    <w:pPr>
      <w:widowControl/>
      <w:shd w:val="clear" w:color="auto" w:fill="CCFFFF"/>
      <w:spacing w:before="100" w:beforeAutospacing="1" w:after="100" w:afterAutospacing="1" w:line="240" w:lineRule="auto"/>
      <w:ind w:firstLine="0" w:firstLineChars="0"/>
      <w:jc w:val="left"/>
    </w:pPr>
    <w:rPr>
      <w:rFonts w:ascii="宋体" w:hAnsi="宋体" w:cs="宋体"/>
      <w:kern w:val="0"/>
      <w:szCs w:val="24"/>
    </w:rPr>
  </w:style>
  <w:style w:type="paragraph" w:customStyle="1" w:styleId="414">
    <w:name w:val="xl52"/>
    <w:basedOn w:val="1"/>
    <w:qFormat/>
    <w:uiPriority w:val="0"/>
    <w:pPr>
      <w:widowControl/>
      <w:shd w:val="clear" w:color="auto" w:fill="CCFFFF"/>
      <w:spacing w:before="100" w:beforeAutospacing="1" w:after="100" w:afterAutospacing="1" w:line="240" w:lineRule="auto"/>
      <w:ind w:firstLine="0" w:firstLineChars="0"/>
      <w:jc w:val="left"/>
    </w:pPr>
    <w:rPr>
      <w:rFonts w:ascii="宋体" w:hAnsi="宋体" w:cs="宋体"/>
      <w:kern w:val="0"/>
      <w:szCs w:val="24"/>
    </w:rPr>
  </w:style>
  <w:style w:type="character" w:customStyle="1" w:styleId="415">
    <w:name w:val="1.1 Char"/>
    <w:link w:val="416"/>
    <w:qFormat/>
    <w:uiPriority w:val="0"/>
    <w:rPr>
      <w:rFonts w:ascii="黑体" w:hAnsi="宋体" w:eastAsia="黑体"/>
      <w:b/>
      <w:sz w:val="28"/>
      <w:szCs w:val="28"/>
    </w:rPr>
  </w:style>
  <w:style w:type="paragraph" w:customStyle="1" w:styleId="416">
    <w:name w:val="1.1"/>
    <w:basedOn w:val="1"/>
    <w:link w:val="415"/>
    <w:qFormat/>
    <w:uiPriority w:val="0"/>
    <w:pPr>
      <w:spacing w:line="240" w:lineRule="auto"/>
      <w:ind w:firstLine="562"/>
      <w:outlineLvl w:val="1"/>
    </w:pPr>
    <w:rPr>
      <w:rFonts w:ascii="黑体" w:hAnsi="宋体" w:eastAsia="黑体"/>
      <w:b/>
      <w:kern w:val="0"/>
      <w:sz w:val="28"/>
      <w:szCs w:val="28"/>
    </w:rPr>
  </w:style>
  <w:style w:type="paragraph" w:customStyle="1" w:styleId="417">
    <w:name w:val="样式 (西文) 宋体 加粗 行距: 1.5 倍行距 首行缩进:  1.77 字符"/>
    <w:basedOn w:val="1"/>
    <w:qFormat/>
    <w:uiPriority w:val="0"/>
    <w:pPr>
      <w:ind w:firstLine="496" w:firstLineChars="177"/>
    </w:pPr>
    <w:rPr>
      <w:rFonts w:ascii="宋体" w:hAnsi="宋体" w:cs="宋体"/>
      <w:b/>
      <w:bCs/>
      <w:sz w:val="28"/>
      <w:szCs w:val="20"/>
    </w:rPr>
  </w:style>
  <w:style w:type="paragraph" w:customStyle="1" w:styleId="418">
    <w:name w:val="正文文本缩进2"/>
    <w:basedOn w:val="1"/>
    <w:qFormat/>
    <w:uiPriority w:val="0"/>
    <w:pPr>
      <w:spacing w:line="240" w:lineRule="auto"/>
      <w:ind w:left="-4" w:leftChars="-2" w:firstLine="560"/>
    </w:pPr>
    <w:rPr>
      <w:rFonts w:ascii="宋体" w:hAnsi="宋体"/>
      <w:szCs w:val="20"/>
    </w:rPr>
  </w:style>
  <w:style w:type="paragraph" w:customStyle="1" w:styleId="419">
    <w:name w:val="正文文字缩进 2"/>
    <w:basedOn w:val="1"/>
    <w:qFormat/>
    <w:uiPriority w:val="0"/>
    <w:pPr>
      <w:widowControl/>
      <w:spacing w:before="51" w:line="663" w:lineRule="atLeast"/>
      <w:ind w:firstLine="561" w:firstLineChars="0"/>
      <w:textAlignment w:val="baseline"/>
    </w:pPr>
    <w:rPr>
      <w:color w:val="000000"/>
      <w:kern w:val="0"/>
      <w:sz w:val="28"/>
      <w:szCs w:val="20"/>
      <w:u w:color="000000"/>
    </w:rPr>
  </w:style>
  <w:style w:type="character" w:customStyle="1" w:styleId="420">
    <w:name w:val="apple-converted-space"/>
    <w:basedOn w:val="54"/>
    <w:qFormat/>
    <w:uiPriority w:val="0"/>
  </w:style>
  <w:style w:type="character" w:customStyle="1" w:styleId="421">
    <w:name w:val="dash6b63-6587__char1"/>
    <w:qFormat/>
    <w:uiPriority w:val="0"/>
    <w:rPr>
      <w:rFonts w:hint="default" w:ascii="Times New Roman" w:hAnsi="Times New Roman" w:cs="Times New Roman"/>
      <w:sz w:val="20"/>
      <w:szCs w:val="20"/>
      <w:u w:val="none"/>
    </w:rPr>
  </w:style>
  <w:style w:type="character" w:customStyle="1" w:styleId="422">
    <w:name w:val="特点 Char1"/>
    <w:qFormat/>
    <w:uiPriority w:val="0"/>
    <w:rPr>
      <w:rFonts w:ascii="Arial" w:hAnsi="Arial" w:eastAsia="宋体"/>
      <w:kern w:val="2"/>
      <w:sz w:val="24"/>
      <w:szCs w:val="24"/>
      <w:lang w:val="en-US" w:eastAsia="zh-CN" w:bidi="ar-SA"/>
    </w:rPr>
  </w:style>
  <w:style w:type="paragraph" w:customStyle="1" w:styleId="423">
    <w:name w:val="Char Char Char Char Char Char Char Char Char Char"/>
    <w:basedOn w:val="1"/>
    <w:qFormat/>
    <w:uiPriority w:val="0"/>
    <w:pPr>
      <w:spacing w:line="240" w:lineRule="exact"/>
    </w:pPr>
    <w:rPr>
      <w:rFonts w:ascii="宋体" w:hAnsi="宋体" w:cs="宋体"/>
      <w:szCs w:val="24"/>
    </w:rPr>
  </w:style>
  <w:style w:type="paragraph" w:customStyle="1" w:styleId="424">
    <w:name w:val="reader-word-layer reader-word-s3-3"/>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paragraph" w:customStyle="1" w:styleId="425">
    <w:name w:val="reader-word-layer reader-word-s3-1"/>
    <w:basedOn w:val="1"/>
    <w:qFormat/>
    <w:uiPriority w:val="0"/>
    <w:pPr>
      <w:widowControl/>
      <w:spacing w:before="100" w:beforeAutospacing="1" w:after="100" w:afterAutospacing="1" w:line="240" w:lineRule="auto"/>
      <w:ind w:firstLine="0" w:firstLineChars="0"/>
      <w:jc w:val="left"/>
    </w:pPr>
    <w:rPr>
      <w:rFonts w:ascii="宋体" w:hAnsi="宋体" w:cs="宋体"/>
      <w:kern w:val="0"/>
      <w:szCs w:val="24"/>
    </w:rPr>
  </w:style>
  <w:style w:type="character" w:customStyle="1" w:styleId="426">
    <w:name w:val="图框 Char"/>
    <w:link w:val="427"/>
    <w:qFormat/>
    <w:uiPriority w:val="0"/>
    <w:rPr>
      <w:rFonts w:ascii="仿宋_GB2312" w:eastAsia="仿宋_GB2312"/>
    </w:rPr>
  </w:style>
  <w:style w:type="paragraph" w:customStyle="1" w:styleId="427">
    <w:name w:val="图框"/>
    <w:basedOn w:val="1"/>
    <w:link w:val="426"/>
    <w:qFormat/>
    <w:uiPriority w:val="0"/>
    <w:pPr>
      <w:spacing w:line="280" w:lineRule="exact"/>
      <w:ind w:firstLine="0" w:firstLineChars="0"/>
      <w:jc w:val="center"/>
    </w:pPr>
    <w:rPr>
      <w:rFonts w:ascii="仿宋_GB2312" w:eastAsia="仿宋_GB2312"/>
      <w:kern w:val="0"/>
      <w:sz w:val="20"/>
      <w:szCs w:val="20"/>
    </w:rPr>
  </w:style>
  <w:style w:type="character" w:customStyle="1" w:styleId="428">
    <w:name w:val="ttitle1"/>
    <w:qFormat/>
    <w:uiPriority w:val="0"/>
    <w:rPr>
      <w:spacing w:val="120"/>
      <w:sz w:val="21"/>
      <w:szCs w:val="21"/>
    </w:rPr>
  </w:style>
  <w:style w:type="character" w:customStyle="1" w:styleId="429">
    <w:name w:val="px14"/>
    <w:qFormat/>
    <w:uiPriority w:val="0"/>
  </w:style>
  <w:style w:type="paragraph" w:customStyle="1" w:styleId="430">
    <w:name w:val="一级无标题条"/>
    <w:basedOn w:val="1"/>
    <w:qFormat/>
    <w:uiPriority w:val="0"/>
    <w:pPr>
      <w:spacing w:line="240" w:lineRule="auto"/>
      <w:ind w:firstLine="0" w:firstLineChars="0"/>
    </w:pPr>
    <w:rPr>
      <w:sz w:val="21"/>
      <w:szCs w:val="20"/>
    </w:rPr>
  </w:style>
  <w:style w:type="paragraph" w:customStyle="1" w:styleId="431">
    <w:name w:val="章标题"/>
    <w:next w:val="1"/>
    <w:qFormat/>
    <w:uiPriority w:val="0"/>
    <w:pPr>
      <w:tabs>
        <w:tab w:val="left" w:pos="567"/>
      </w:tabs>
      <w:spacing w:beforeLines="50" w:afterLines="50"/>
      <w:ind w:left="567" w:hanging="567"/>
      <w:jc w:val="both"/>
      <w:outlineLvl w:val="1"/>
    </w:pPr>
    <w:rPr>
      <w:rFonts w:ascii="黑体" w:hAnsi="Times New Roman" w:eastAsia="黑体" w:cs="Times New Roman"/>
      <w:sz w:val="21"/>
      <w:lang w:val="en-US" w:eastAsia="zh-CN" w:bidi="ar-SA"/>
    </w:rPr>
  </w:style>
  <w:style w:type="paragraph" w:customStyle="1" w:styleId="432">
    <w:name w:val="A-节标"/>
    <w:basedOn w:val="1"/>
    <w:link w:val="433"/>
    <w:qFormat/>
    <w:uiPriority w:val="0"/>
    <w:pPr>
      <w:outlineLvl w:val="0"/>
    </w:pPr>
    <w:rPr>
      <w:rFonts w:ascii="黑体" w:hAnsi="宋体" w:eastAsia="黑体"/>
      <w:b/>
      <w:kern w:val="0"/>
      <w:szCs w:val="20"/>
    </w:rPr>
  </w:style>
  <w:style w:type="character" w:customStyle="1" w:styleId="433">
    <w:name w:val="A-节标 Char"/>
    <w:link w:val="432"/>
    <w:qFormat/>
    <w:uiPriority w:val="0"/>
    <w:rPr>
      <w:rFonts w:ascii="黑体" w:hAnsi="宋体" w:eastAsia="黑体" w:cs="Times New Roman"/>
      <w:b/>
      <w:sz w:val="24"/>
      <w:szCs w:val="20"/>
    </w:rPr>
  </w:style>
  <w:style w:type="paragraph" w:customStyle="1" w:styleId="434">
    <w:name w:val="表格（小五12）"/>
    <w:basedOn w:val="1"/>
    <w:link w:val="435"/>
    <w:qFormat/>
    <w:uiPriority w:val="0"/>
    <w:pPr>
      <w:spacing w:line="220" w:lineRule="exact"/>
      <w:ind w:firstLine="0" w:firstLineChars="0"/>
      <w:jc w:val="center"/>
    </w:pPr>
    <w:rPr>
      <w:rFonts w:ascii="宋体" w:hAnsi="宋体"/>
      <w:kern w:val="0"/>
      <w:sz w:val="18"/>
    </w:rPr>
  </w:style>
  <w:style w:type="character" w:customStyle="1" w:styleId="435">
    <w:name w:val="表格（小五12） Char"/>
    <w:link w:val="434"/>
    <w:qFormat/>
    <w:uiPriority w:val="0"/>
    <w:rPr>
      <w:rFonts w:ascii="宋体" w:hAnsi="宋体" w:eastAsia="宋体" w:cs="Arial"/>
      <w:sz w:val="18"/>
      <w:szCs w:val="21"/>
    </w:rPr>
  </w:style>
  <w:style w:type="paragraph" w:customStyle="1" w:styleId="436">
    <w:name w:val="A-表头"/>
    <w:basedOn w:val="1"/>
    <w:link w:val="437"/>
    <w:qFormat/>
    <w:uiPriority w:val="0"/>
    <w:pPr>
      <w:snapToGrid w:val="0"/>
      <w:ind w:firstLine="0" w:firstLineChars="0"/>
      <w:jc w:val="center"/>
    </w:pPr>
    <w:rPr>
      <w:rFonts w:ascii="楷体_GB2312" w:eastAsia="楷体_GB2312"/>
      <w:kern w:val="0"/>
      <w:szCs w:val="24"/>
    </w:rPr>
  </w:style>
  <w:style w:type="character" w:customStyle="1" w:styleId="437">
    <w:name w:val="A-表头 Char"/>
    <w:link w:val="436"/>
    <w:qFormat/>
    <w:uiPriority w:val="0"/>
    <w:rPr>
      <w:rFonts w:ascii="楷体_GB2312" w:hAnsi="Times New Roman" w:eastAsia="楷体_GB2312" w:cs="Times New Roman"/>
      <w:sz w:val="24"/>
      <w:szCs w:val="24"/>
    </w:rPr>
  </w:style>
  <w:style w:type="paragraph" w:customStyle="1" w:styleId="438">
    <w:name w:val="6-章标"/>
    <w:basedOn w:val="1"/>
    <w:link w:val="439"/>
    <w:qFormat/>
    <w:uiPriority w:val="0"/>
    <w:pPr>
      <w:ind w:firstLine="0" w:firstLineChars="0"/>
      <w:jc w:val="center"/>
      <w:outlineLvl w:val="0"/>
    </w:pPr>
    <w:rPr>
      <w:rFonts w:ascii="黑体" w:eastAsia="黑体"/>
      <w:kern w:val="0"/>
      <w:sz w:val="30"/>
      <w:szCs w:val="30"/>
    </w:rPr>
  </w:style>
  <w:style w:type="character" w:customStyle="1" w:styleId="439">
    <w:name w:val="6-章标 Char"/>
    <w:link w:val="438"/>
    <w:qFormat/>
    <w:uiPriority w:val="0"/>
    <w:rPr>
      <w:rFonts w:ascii="黑体" w:hAnsi="Times New Roman" w:eastAsia="黑体" w:cs="Times New Roman"/>
      <w:sz w:val="30"/>
      <w:szCs w:val="30"/>
    </w:rPr>
  </w:style>
  <w:style w:type="paragraph" w:customStyle="1" w:styleId="440">
    <w:name w:val="表格（小五）"/>
    <w:basedOn w:val="434"/>
    <w:link w:val="441"/>
    <w:qFormat/>
    <w:uiPriority w:val="0"/>
    <w:rPr>
      <w:szCs w:val="18"/>
      <w:lang w:val="zh-CN"/>
    </w:rPr>
  </w:style>
  <w:style w:type="character" w:customStyle="1" w:styleId="441">
    <w:name w:val="表格（小五） Char"/>
    <w:link w:val="440"/>
    <w:qFormat/>
    <w:uiPriority w:val="0"/>
    <w:rPr>
      <w:rFonts w:ascii="宋体" w:hAnsi="宋体" w:eastAsia="宋体" w:cs="Arial"/>
      <w:sz w:val="18"/>
      <w:szCs w:val="18"/>
      <w:lang w:val="zh-CN"/>
    </w:rPr>
  </w:style>
  <w:style w:type="paragraph" w:customStyle="1" w:styleId="442">
    <w:name w:val="表格（小五）11"/>
    <w:basedOn w:val="440"/>
    <w:link w:val="443"/>
    <w:qFormat/>
    <w:uiPriority w:val="0"/>
  </w:style>
  <w:style w:type="character" w:customStyle="1" w:styleId="443">
    <w:name w:val="表格（小五）11 Char"/>
    <w:link w:val="442"/>
    <w:qFormat/>
    <w:uiPriority w:val="0"/>
    <w:rPr>
      <w:rFonts w:ascii="宋体" w:hAnsi="宋体" w:eastAsia="宋体" w:cs="Arial"/>
      <w:sz w:val="18"/>
      <w:szCs w:val="18"/>
      <w:lang w:val="zh-CN"/>
    </w:rPr>
  </w:style>
  <w:style w:type="paragraph" w:customStyle="1" w:styleId="444">
    <w:name w:val="自正文"/>
    <w:basedOn w:val="1"/>
    <w:qFormat/>
    <w:uiPriority w:val="0"/>
    <w:pPr>
      <w:spacing w:line="500" w:lineRule="exact"/>
    </w:pPr>
    <w:rPr>
      <w:kern w:val="0"/>
      <w:szCs w:val="20"/>
    </w:rPr>
  </w:style>
  <w:style w:type="paragraph" w:customStyle="1" w:styleId="445">
    <w:name w:val="A-表格"/>
    <w:basedOn w:val="442"/>
    <w:link w:val="446"/>
    <w:qFormat/>
    <w:uiPriority w:val="0"/>
    <w:rPr>
      <w:rFonts w:ascii="Times New Roman" w:hAnsi="Times New Roman" w:eastAsia="楷体_GB2312"/>
    </w:rPr>
  </w:style>
  <w:style w:type="character" w:customStyle="1" w:styleId="446">
    <w:name w:val="A-表格 Char"/>
    <w:link w:val="445"/>
    <w:qFormat/>
    <w:uiPriority w:val="0"/>
    <w:rPr>
      <w:rFonts w:ascii="Times New Roman" w:hAnsi="Times New Roman" w:eastAsia="楷体_GB2312" w:cs="Times New Roman"/>
      <w:sz w:val="18"/>
      <w:szCs w:val="18"/>
      <w:lang w:val="zh-CN"/>
    </w:rPr>
  </w:style>
  <w:style w:type="paragraph" w:customStyle="1" w:styleId="447">
    <w:name w:val="1.1.1.1"/>
    <w:basedOn w:val="1"/>
    <w:link w:val="448"/>
    <w:qFormat/>
    <w:uiPriority w:val="0"/>
    <w:rPr>
      <w:rFonts w:ascii="黑体" w:eastAsia="黑体"/>
      <w:b/>
      <w:kern w:val="0"/>
      <w:szCs w:val="20"/>
    </w:rPr>
  </w:style>
  <w:style w:type="character" w:customStyle="1" w:styleId="448">
    <w:name w:val="1.1.1.1 Char"/>
    <w:link w:val="447"/>
    <w:qFormat/>
    <w:uiPriority w:val="0"/>
    <w:rPr>
      <w:rFonts w:ascii="黑体" w:hAnsi="Times New Roman" w:eastAsia="黑体" w:cs="Times New Roman"/>
      <w:b/>
      <w:sz w:val="24"/>
      <w:szCs w:val="20"/>
    </w:rPr>
  </w:style>
  <w:style w:type="character" w:customStyle="1" w:styleId="449">
    <w:name w:val="标题 4 Char1"/>
    <w:qFormat/>
    <w:uiPriority w:val="0"/>
    <w:rPr>
      <w:rFonts w:ascii="Arial" w:hAnsi="Arial" w:eastAsia="黑体" w:cs="Times New Roman"/>
      <w:b/>
      <w:bCs/>
      <w:sz w:val="28"/>
      <w:szCs w:val="28"/>
    </w:rPr>
  </w:style>
  <w:style w:type="paragraph" w:customStyle="1" w:styleId="450">
    <w:name w:val="文"/>
    <w:basedOn w:val="19"/>
    <w:link w:val="451"/>
    <w:qFormat/>
    <w:uiPriority w:val="0"/>
    <w:pPr>
      <w:spacing w:beforeLines="50" w:afterLines="50"/>
      <w:ind w:left="0" w:leftChars="0" w:firstLine="600"/>
    </w:pPr>
    <w:rPr>
      <w:sz w:val="30"/>
      <w:szCs w:val="20"/>
    </w:rPr>
  </w:style>
  <w:style w:type="character" w:customStyle="1" w:styleId="451">
    <w:name w:val="文 Char"/>
    <w:link w:val="450"/>
    <w:qFormat/>
    <w:uiPriority w:val="0"/>
    <w:rPr>
      <w:rFonts w:ascii="Times New Roman" w:hAnsi="Times New Roman" w:eastAsia="宋体" w:cs="Times New Roman"/>
      <w:sz w:val="30"/>
      <w:szCs w:val="20"/>
    </w:rPr>
  </w:style>
  <w:style w:type="paragraph" w:customStyle="1" w:styleId="452">
    <w:name w:val="普通 (Web)"/>
    <w:basedOn w:val="1"/>
    <w:qFormat/>
    <w:uiPriority w:val="0"/>
    <w:pPr>
      <w:widowControl/>
      <w:spacing w:before="100" w:beforeAutospacing="1" w:after="100" w:afterAutospacing="1" w:line="240" w:lineRule="auto"/>
      <w:ind w:firstLine="0" w:firstLineChars="0"/>
      <w:jc w:val="left"/>
    </w:pPr>
    <w:rPr>
      <w:rFonts w:ascii="宋体" w:hAnsi="宋体"/>
      <w:kern w:val="0"/>
      <w:szCs w:val="24"/>
    </w:rPr>
  </w:style>
  <w:style w:type="paragraph" w:customStyle="1" w:styleId="453">
    <w:name w:val="xl53"/>
    <w:basedOn w:val="1"/>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0" w:firstLineChars="0"/>
      <w:jc w:val="center"/>
      <w:textAlignment w:val="top"/>
    </w:pPr>
    <w:rPr>
      <w:rFonts w:eastAsia="Arial Unicode MS"/>
      <w:kern w:val="0"/>
      <w:sz w:val="22"/>
      <w:szCs w:val="22"/>
    </w:rPr>
  </w:style>
  <w:style w:type="paragraph" w:customStyle="1" w:styleId="454">
    <w:name w:val="xl55"/>
    <w:basedOn w:val="1"/>
    <w:qFormat/>
    <w:uiPriority w:val="0"/>
    <w:pPr>
      <w:widowControl/>
      <w:pBdr>
        <w:left w:val="single" w:color="auto" w:sz="4" w:space="0"/>
        <w:bottom w:val="single" w:color="auto" w:sz="8" w:space="0"/>
        <w:right w:val="single" w:color="auto" w:sz="4" w:space="0"/>
      </w:pBdr>
      <w:spacing w:before="100" w:beforeAutospacing="1" w:after="100" w:afterAutospacing="1" w:line="240" w:lineRule="auto"/>
      <w:ind w:firstLine="0" w:firstLineChars="0"/>
      <w:jc w:val="center"/>
      <w:textAlignment w:val="top"/>
    </w:pPr>
    <w:rPr>
      <w:rFonts w:eastAsia="Arial Unicode MS"/>
      <w:kern w:val="0"/>
      <w:sz w:val="22"/>
      <w:szCs w:val="22"/>
    </w:rPr>
  </w:style>
  <w:style w:type="paragraph" w:customStyle="1" w:styleId="455">
    <w:name w:val="xl56"/>
    <w:basedOn w:val="1"/>
    <w:qFormat/>
    <w:uiPriority w:val="0"/>
    <w:pPr>
      <w:widowControl/>
      <w:pBdr>
        <w:top w:val="single" w:color="auto" w:sz="4" w:space="0"/>
        <w:left w:val="single" w:color="auto" w:sz="4" w:space="0"/>
        <w:right w:val="single" w:color="auto" w:sz="8" w:space="0"/>
      </w:pBdr>
      <w:spacing w:before="100" w:beforeAutospacing="1" w:after="100" w:afterAutospacing="1" w:line="240" w:lineRule="auto"/>
      <w:ind w:firstLine="0" w:firstLineChars="0"/>
      <w:jc w:val="left"/>
      <w:textAlignment w:val="top"/>
    </w:pPr>
    <w:rPr>
      <w:rFonts w:ascii="Arial Unicode MS" w:hAnsi="Arial Unicode MS" w:eastAsia="Arial Unicode MS" w:cs="BankGothic Lt BT"/>
      <w:kern w:val="0"/>
      <w:sz w:val="22"/>
      <w:szCs w:val="22"/>
    </w:rPr>
  </w:style>
  <w:style w:type="paragraph" w:customStyle="1" w:styleId="456">
    <w:name w:val="xl57"/>
    <w:basedOn w:val="1"/>
    <w:qFormat/>
    <w:uiPriority w:val="0"/>
    <w:pPr>
      <w:widowControl/>
      <w:pBdr>
        <w:left w:val="single" w:color="auto" w:sz="4" w:space="0"/>
        <w:right w:val="single" w:color="auto" w:sz="8" w:space="0"/>
      </w:pBdr>
      <w:spacing w:before="100" w:beforeAutospacing="1" w:after="100" w:afterAutospacing="1" w:line="240" w:lineRule="auto"/>
      <w:ind w:firstLine="0" w:firstLineChars="0"/>
      <w:jc w:val="left"/>
      <w:textAlignment w:val="top"/>
    </w:pPr>
    <w:rPr>
      <w:rFonts w:ascii="Arial Unicode MS" w:hAnsi="Arial Unicode MS" w:eastAsia="Arial Unicode MS" w:cs="BankGothic Lt BT"/>
      <w:kern w:val="0"/>
      <w:sz w:val="22"/>
      <w:szCs w:val="22"/>
    </w:rPr>
  </w:style>
  <w:style w:type="paragraph" w:customStyle="1" w:styleId="457">
    <w:name w:val="xl59"/>
    <w:basedOn w:val="1"/>
    <w:qFormat/>
    <w:uiPriority w:val="0"/>
    <w:pPr>
      <w:widowControl/>
      <w:pBdr>
        <w:top w:val="single" w:color="auto" w:sz="4" w:space="0"/>
        <w:left w:val="single" w:color="auto" w:sz="4" w:space="0"/>
        <w:right w:val="single" w:color="auto" w:sz="8" w:space="0"/>
      </w:pBdr>
      <w:spacing w:before="100" w:beforeAutospacing="1" w:after="100" w:afterAutospacing="1" w:line="240" w:lineRule="auto"/>
      <w:ind w:firstLine="0" w:firstLineChars="0"/>
      <w:jc w:val="left"/>
      <w:textAlignment w:val="top"/>
    </w:pPr>
    <w:rPr>
      <w:rFonts w:ascii="Arial Unicode MS" w:hAnsi="Arial Unicode MS" w:eastAsia="Arial Unicode MS" w:cs="BankGothic Lt BT"/>
      <w:kern w:val="0"/>
      <w:sz w:val="22"/>
      <w:szCs w:val="22"/>
    </w:rPr>
  </w:style>
  <w:style w:type="paragraph" w:customStyle="1" w:styleId="458">
    <w:name w:val="xl60"/>
    <w:basedOn w:val="1"/>
    <w:qFormat/>
    <w:uiPriority w:val="0"/>
    <w:pPr>
      <w:widowControl/>
      <w:pBdr>
        <w:left w:val="single" w:color="auto" w:sz="4" w:space="0"/>
        <w:right w:val="single" w:color="auto" w:sz="8" w:space="0"/>
      </w:pBdr>
      <w:spacing w:before="100" w:beforeAutospacing="1" w:after="100" w:afterAutospacing="1" w:line="240" w:lineRule="auto"/>
      <w:ind w:firstLine="0" w:firstLineChars="0"/>
      <w:jc w:val="left"/>
      <w:textAlignment w:val="top"/>
    </w:pPr>
    <w:rPr>
      <w:rFonts w:ascii="Arial Unicode MS" w:hAnsi="Arial Unicode MS" w:eastAsia="Arial Unicode MS" w:cs="BankGothic Lt BT"/>
      <w:kern w:val="0"/>
      <w:sz w:val="22"/>
      <w:szCs w:val="22"/>
    </w:rPr>
  </w:style>
  <w:style w:type="paragraph" w:customStyle="1" w:styleId="459">
    <w:name w:val="xl61"/>
    <w:basedOn w:val="1"/>
    <w:qFormat/>
    <w:uiPriority w:val="0"/>
    <w:pPr>
      <w:widowControl/>
      <w:pBdr>
        <w:left w:val="single" w:color="auto" w:sz="4" w:space="0"/>
        <w:bottom w:val="single" w:color="auto" w:sz="8" w:space="0"/>
        <w:right w:val="single" w:color="auto" w:sz="8" w:space="0"/>
      </w:pBdr>
      <w:spacing w:before="100" w:beforeAutospacing="1" w:after="100" w:afterAutospacing="1" w:line="240" w:lineRule="auto"/>
      <w:ind w:firstLine="0" w:firstLineChars="0"/>
      <w:jc w:val="left"/>
      <w:textAlignment w:val="top"/>
    </w:pPr>
    <w:rPr>
      <w:rFonts w:ascii="Arial Unicode MS" w:hAnsi="Arial Unicode MS" w:eastAsia="Arial Unicode MS" w:cs="BankGothic Lt BT"/>
      <w:kern w:val="0"/>
      <w:sz w:val="22"/>
      <w:szCs w:val="22"/>
    </w:rPr>
  </w:style>
  <w:style w:type="paragraph" w:customStyle="1" w:styleId="460">
    <w:name w:val="xl62"/>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ascii="Arial Unicode MS" w:hAnsi="Arial Unicode MS" w:eastAsia="Arial Unicode MS" w:cs="BankGothic Lt BT"/>
      <w:kern w:val="0"/>
      <w:sz w:val="22"/>
      <w:szCs w:val="22"/>
    </w:rPr>
  </w:style>
  <w:style w:type="paragraph" w:customStyle="1" w:styleId="461">
    <w:name w:val="表头（楷体小四24）"/>
    <w:basedOn w:val="1"/>
    <w:link w:val="462"/>
    <w:qFormat/>
    <w:uiPriority w:val="0"/>
    <w:pPr>
      <w:snapToGrid w:val="0"/>
      <w:ind w:firstLine="0" w:firstLineChars="0"/>
      <w:jc w:val="center"/>
    </w:pPr>
    <w:rPr>
      <w:rFonts w:ascii="楷体_GB2312" w:eastAsia="楷体_GB2312"/>
      <w:kern w:val="0"/>
      <w:szCs w:val="24"/>
    </w:rPr>
  </w:style>
  <w:style w:type="character" w:customStyle="1" w:styleId="462">
    <w:name w:val="表头（楷体小四24） Char"/>
    <w:link w:val="461"/>
    <w:qFormat/>
    <w:uiPriority w:val="0"/>
    <w:rPr>
      <w:rFonts w:ascii="楷体_GB2312" w:hAnsi="Times New Roman" w:eastAsia="楷体_GB2312" w:cs="Times New Roman"/>
      <w:sz w:val="24"/>
      <w:szCs w:val="24"/>
    </w:rPr>
  </w:style>
  <w:style w:type="paragraph" w:customStyle="1" w:styleId="463">
    <w:name w:val="01"/>
    <w:basedOn w:val="1"/>
    <w:link w:val="464"/>
    <w:qFormat/>
    <w:uiPriority w:val="0"/>
    <w:pPr>
      <w:spacing w:line="240" w:lineRule="auto"/>
      <w:ind w:firstLine="0" w:firstLineChars="0"/>
      <w:jc w:val="center"/>
    </w:pPr>
    <w:rPr>
      <w:rFonts w:ascii="黑体" w:eastAsia="黑体"/>
      <w:kern w:val="0"/>
      <w:sz w:val="30"/>
      <w:szCs w:val="30"/>
    </w:rPr>
  </w:style>
  <w:style w:type="character" w:customStyle="1" w:styleId="464">
    <w:name w:val="01 Char"/>
    <w:link w:val="463"/>
    <w:qFormat/>
    <w:uiPriority w:val="0"/>
    <w:rPr>
      <w:rFonts w:ascii="黑体" w:hAnsi="Times New Roman" w:eastAsia="黑体" w:cs="Times New Roman"/>
      <w:sz w:val="30"/>
      <w:szCs w:val="30"/>
    </w:rPr>
  </w:style>
  <w:style w:type="paragraph" w:customStyle="1" w:styleId="465">
    <w:name w:val="02"/>
    <w:basedOn w:val="236"/>
    <w:link w:val="466"/>
    <w:qFormat/>
    <w:uiPriority w:val="0"/>
    <w:pPr>
      <w:autoSpaceDE/>
      <w:autoSpaceDN/>
      <w:adjustRightInd/>
      <w:spacing w:line="560" w:lineRule="exact"/>
      <w:ind w:firstLine="0" w:firstLineChars="0"/>
      <w:outlineLvl w:val="1"/>
    </w:pPr>
    <w:rPr>
      <w:rFonts w:eastAsia="黑体"/>
      <w:b/>
      <w:bCs/>
      <w:sz w:val="28"/>
      <w:szCs w:val="28"/>
      <w:lang w:val="zh-CN"/>
    </w:rPr>
  </w:style>
  <w:style w:type="character" w:customStyle="1" w:styleId="466">
    <w:name w:val="02 Char"/>
    <w:link w:val="465"/>
    <w:qFormat/>
    <w:uiPriority w:val="0"/>
    <w:rPr>
      <w:rFonts w:ascii="黑体" w:hAnsi="Times New Roman" w:eastAsia="黑体" w:cs="Times New Roman"/>
      <w:b/>
      <w:bCs/>
      <w:sz w:val="28"/>
      <w:szCs w:val="28"/>
      <w:lang w:val="zh-CN"/>
    </w:rPr>
  </w:style>
  <w:style w:type="paragraph" w:customStyle="1" w:styleId="467">
    <w:name w:val="03"/>
    <w:basedOn w:val="1"/>
    <w:link w:val="468"/>
    <w:qFormat/>
    <w:uiPriority w:val="0"/>
    <w:pPr>
      <w:spacing w:line="560" w:lineRule="exact"/>
      <w:ind w:firstLine="560"/>
      <w:jc w:val="left"/>
    </w:pPr>
    <w:rPr>
      <w:rFonts w:ascii="宋体" w:hAnsi="宋体"/>
      <w:bCs/>
      <w:color w:val="000000"/>
      <w:kern w:val="0"/>
      <w:sz w:val="28"/>
      <w:szCs w:val="28"/>
    </w:rPr>
  </w:style>
  <w:style w:type="character" w:customStyle="1" w:styleId="468">
    <w:name w:val="03 Char"/>
    <w:link w:val="467"/>
    <w:qFormat/>
    <w:uiPriority w:val="0"/>
    <w:rPr>
      <w:rFonts w:ascii="宋体" w:hAnsi="宋体" w:eastAsia="宋体" w:cs="Times New Roman"/>
      <w:bCs/>
      <w:color w:val="000000"/>
      <w:sz w:val="28"/>
      <w:szCs w:val="28"/>
    </w:rPr>
  </w:style>
  <w:style w:type="paragraph" w:customStyle="1" w:styleId="469">
    <w:name w:val="1。1"/>
    <w:basedOn w:val="465"/>
    <w:link w:val="470"/>
    <w:qFormat/>
    <w:uiPriority w:val="0"/>
    <w:pPr>
      <w:spacing w:line="480" w:lineRule="exact"/>
      <w:ind w:firstLine="482" w:firstLineChars="200"/>
    </w:pPr>
    <w:rPr>
      <w:sz w:val="24"/>
      <w:szCs w:val="24"/>
    </w:rPr>
  </w:style>
  <w:style w:type="character" w:customStyle="1" w:styleId="470">
    <w:name w:val="1。1 Char"/>
    <w:link w:val="469"/>
    <w:qFormat/>
    <w:uiPriority w:val="0"/>
    <w:rPr>
      <w:rFonts w:ascii="黑体" w:hAnsi="Times New Roman" w:eastAsia="黑体" w:cs="Times New Roman"/>
      <w:b/>
      <w:bCs/>
      <w:sz w:val="24"/>
      <w:szCs w:val="24"/>
      <w:lang w:val="zh-CN"/>
    </w:rPr>
  </w:style>
  <w:style w:type="paragraph" w:customStyle="1" w:styleId="471">
    <w:name w:val="正文（宋小四24）"/>
    <w:basedOn w:val="27"/>
    <w:link w:val="472"/>
    <w:qFormat/>
    <w:uiPriority w:val="0"/>
    <w:pPr>
      <w:spacing w:after="0" w:line="480" w:lineRule="exact"/>
      <w:ind w:left="0" w:leftChars="0" w:firstLine="480"/>
    </w:pPr>
    <w:rPr>
      <w:rFonts w:ascii="宋体" w:hAnsi="宋体"/>
      <w:szCs w:val="20"/>
    </w:rPr>
  </w:style>
  <w:style w:type="character" w:customStyle="1" w:styleId="472">
    <w:name w:val="正文（宋小四24） Char"/>
    <w:link w:val="471"/>
    <w:qFormat/>
    <w:uiPriority w:val="0"/>
    <w:rPr>
      <w:rFonts w:ascii="宋体" w:hAnsi="宋体" w:eastAsia="宋体" w:cs="Times New Roman"/>
      <w:sz w:val="24"/>
      <w:szCs w:val="20"/>
    </w:rPr>
  </w:style>
  <w:style w:type="paragraph" w:customStyle="1" w:styleId="473">
    <w:name w:val="2-正文"/>
    <w:basedOn w:val="1"/>
    <w:link w:val="474"/>
    <w:qFormat/>
    <w:uiPriority w:val="0"/>
    <w:pPr>
      <w:ind w:firstLine="480"/>
    </w:pPr>
    <w:rPr>
      <w:rFonts w:ascii="宋体" w:hAnsi="宋体"/>
      <w:kern w:val="0"/>
      <w:szCs w:val="24"/>
    </w:rPr>
  </w:style>
  <w:style w:type="character" w:customStyle="1" w:styleId="474">
    <w:name w:val="2-正文 Char"/>
    <w:link w:val="473"/>
    <w:qFormat/>
    <w:uiPriority w:val="0"/>
    <w:rPr>
      <w:rFonts w:ascii="宋体" w:hAnsi="宋体" w:eastAsia="宋体" w:cs="Times New Roman"/>
      <w:sz w:val="24"/>
      <w:szCs w:val="24"/>
    </w:rPr>
  </w:style>
  <w:style w:type="character" w:customStyle="1" w:styleId="475">
    <w:name w:val="apple-style-span"/>
    <w:basedOn w:val="54"/>
    <w:qFormat/>
    <w:uiPriority w:val="0"/>
  </w:style>
  <w:style w:type="character" w:customStyle="1" w:styleId="476">
    <w:name w:val="天水正文 Char"/>
    <w:link w:val="477"/>
    <w:qFormat/>
    <w:uiPriority w:val="0"/>
    <w:rPr>
      <w:rFonts w:eastAsia="宋体"/>
      <w:sz w:val="24"/>
      <w:szCs w:val="24"/>
    </w:rPr>
  </w:style>
  <w:style w:type="paragraph" w:customStyle="1" w:styleId="477">
    <w:name w:val="天水正文"/>
    <w:basedOn w:val="1"/>
    <w:link w:val="476"/>
    <w:qFormat/>
    <w:uiPriority w:val="0"/>
    <w:pPr>
      <w:spacing w:line="500" w:lineRule="exact"/>
      <w:jc w:val="left"/>
    </w:pPr>
    <w:rPr>
      <w:kern w:val="0"/>
      <w:szCs w:val="24"/>
    </w:rPr>
  </w:style>
  <w:style w:type="character" w:customStyle="1" w:styleId="478">
    <w:name w:val="样式 标题 3 + 行距: 最小值 25 磅 Char"/>
    <w:link w:val="479"/>
    <w:qFormat/>
    <w:uiPriority w:val="0"/>
    <w:rPr>
      <w:rFonts w:eastAsia="宋体" w:cs="宋体"/>
      <w:sz w:val="28"/>
      <w:szCs w:val="28"/>
    </w:rPr>
  </w:style>
  <w:style w:type="paragraph" w:customStyle="1" w:styleId="479">
    <w:name w:val="样式 标题 3 + 行距: 最小值 25 磅"/>
    <w:basedOn w:val="6"/>
    <w:link w:val="478"/>
    <w:qFormat/>
    <w:uiPriority w:val="0"/>
    <w:pPr>
      <w:spacing w:beforeLines="0" w:afterLines="0" w:line="240" w:lineRule="auto"/>
      <w:ind w:firstLine="200" w:firstLineChars="200"/>
      <w:jc w:val="both"/>
    </w:pPr>
    <w:rPr>
      <w:b w:val="0"/>
      <w:bCs w:val="0"/>
      <w:szCs w:val="28"/>
    </w:rPr>
  </w:style>
  <w:style w:type="paragraph" w:customStyle="1" w:styleId="480">
    <w:name w:val="_Style 12"/>
    <w:basedOn w:val="1"/>
    <w:next w:val="19"/>
    <w:qFormat/>
    <w:uiPriority w:val="0"/>
    <w:pPr>
      <w:ind w:firstLine="538" w:firstLineChars="192"/>
    </w:pPr>
    <w:rPr>
      <w:sz w:val="28"/>
      <w:szCs w:val="20"/>
    </w:rPr>
  </w:style>
  <w:style w:type="paragraph" w:customStyle="1" w:styleId="481">
    <w:name w:val="正文首行缩进两字"/>
    <w:basedOn w:val="1"/>
    <w:qFormat/>
    <w:uiPriority w:val="0"/>
    <w:pPr>
      <w:adjustRightInd w:val="0"/>
      <w:snapToGrid w:val="0"/>
      <w:ind w:firstLine="480"/>
    </w:pPr>
    <w:rPr>
      <w:rFonts w:ascii="宋体" w:hAnsi="宋体"/>
      <w:szCs w:val="24"/>
    </w:rPr>
  </w:style>
  <w:style w:type="paragraph" w:customStyle="1" w:styleId="482">
    <w:name w:val="正文(首行缩进)"/>
    <w:basedOn w:val="1"/>
    <w:qFormat/>
    <w:uiPriority w:val="0"/>
    <w:pPr>
      <w:ind w:firstLine="510"/>
    </w:pPr>
    <w:rPr>
      <w:kern w:val="0"/>
      <w:szCs w:val="20"/>
    </w:rPr>
  </w:style>
  <w:style w:type="paragraph" w:customStyle="1" w:styleId="483">
    <w:name w:val="Char Char Char Char Char Char Char1"/>
    <w:basedOn w:val="1"/>
    <w:qFormat/>
    <w:uiPriority w:val="0"/>
    <w:pPr>
      <w:spacing w:line="240" w:lineRule="auto"/>
      <w:ind w:firstLine="0" w:firstLineChars="0"/>
    </w:pPr>
    <w:rPr>
      <w:sz w:val="21"/>
      <w:szCs w:val="24"/>
    </w:rPr>
  </w:style>
  <w:style w:type="character" w:customStyle="1" w:styleId="484">
    <w:name w:val="5表文 Char"/>
    <w:qFormat/>
    <w:uiPriority w:val="0"/>
    <w:rPr>
      <w:kern w:val="2"/>
      <w:sz w:val="21"/>
    </w:rPr>
  </w:style>
  <w:style w:type="paragraph" w:customStyle="1" w:styleId="485">
    <w:name w:val="环评正文"/>
    <w:basedOn w:val="1"/>
    <w:qFormat/>
    <w:uiPriority w:val="0"/>
    <w:pPr>
      <w:spacing w:beforeLines="30" w:line="240" w:lineRule="auto"/>
      <w:ind w:firstLine="480"/>
    </w:pPr>
    <w:rPr>
      <w:rFonts w:ascii="Tahoma" w:hAnsi="Tahoma" w:cs="Tahoma"/>
      <w:kern w:val="0"/>
      <w:szCs w:val="20"/>
    </w:rPr>
  </w:style>
  <w:style w:type="character" w:customStyle="1" w:styleId="486">
    <w:name w:val="2-正文 Char Char"/>
    <w:qFormat/>
    <w:uiPriority w:val="0"/>
    <w:rPr>
      <w:rFonts w:ascii="宋体" w:hAnsi="宋体"/>
      <w:kern w:val="2"/>
      <w:sz w:val="24"/>
      <w:szCs w:val="24"/>
    </w:rPr>
  </w:style>
  <w:style w:type="paragraph" w:styleId="487">
    <w:name w:val="No Spacing"/>
    <w:qFormat/>
    <w:uiPriority w:val="1"/>
    <w:pPr>
      <w:widowControl w:val="0"/>
      <w:spacing w:line="0" w:lineRule="atLeast"/>
      <w:jc w:val="both"/>
    </w:pPr>
    <w:rPr>
      <w:rFonts w:ascii="Times New Roman" w:hAnsi="Times New Roman" w:eastAsia="宋体" w:cs="Times New Roman"/>
      <w:kern w:val="2"/>
      <w:sz w:val="24"/>
      <w:szCs w:val="24"/>
      <w:lang w:val="en-US" w:eastAsia="zh-CN" w:bidi="ar-SA"/>
    </w:rPr>
  </w:style>
  <w:style w:type="character" w:customStyle="1" w:styleId="488">
    <w:name w:val="1.1.1 Char"/>
    <w:qFormat/>
    <w:uiPriority w:val="0"/>
    <w:rPr>
      <w:rFonts w:ascii="黑体" w:hAnsi="宋体" w:eastAsia="黑体" w:cs="Times New Roman"/>
      <w:color w:val="FF0000"/>
      <w:sz w:val="24"/>
      <w:szCs w:val="24"/>
    </w:rPr>
  </w:style>
  <w:style w:type="paragraph" w:customStyle="1" w:styleId="489">
    <w:name w:val="1正文"/>
    <w:basedOn w:val="1"/>
    <w:qFormat/>
    <w:uiPriority w:val="0"/>
    <w:pPr>
      <w:adjustRightInd w:val="0"/>
      <w:snapToGrid w:val="0"/>
      <w:ind w:firstLine="0" w:firstLineChars="0"/>
      <w:outlineLvl w:val="3"/>
    </w:pPr>
    <w:rPr>
      <w:b/>
      <w:szCs w:val="24"/>
    </w:rPr>
  </w:style>
  <w:style w:type="paragraph" w:customStyle="1" w:styleId="490">
    <w:name w:val="正文首行缩进1"/>
    <w:basedOn w:val="1"/>
    <w:qFormat/>
    <w:uiPriority w:val="0"/>
    <w:pPr>
      <w:adjustRightInd w:val="0"/>
      <w:snapToGrid w:val="0"/>
      <w:ind w:firstLine="482" w:firstLineChars="0"/>
      <w:jc w:val="left"/>
    </w:pPr>
    <w:rPr>
      <w:kern w:val="0"/>
      <w:szCs w:val="24"/>
    </w:rPr>
  </w:style>
  <w:style w:type="paragraph" w:customStyle="1" w:styleId="491">
    <w:name w:val="样式 标题 3 + 小四 首行缩进:  2 字符"/>
    <w:basedOn w:val="6"/>
    <w:qFormat/>
    <w:uiPriority w:val="0"/>
    <w:pPr>
      <w:tabs>
        <w:tab w:val="left" w:pos="0"/>
      </w:tabs>
      <w:spacing w:beforeLines="0" w:afterLines="0" w:line="416" w:lineRule="auto"/>
      <w:ind w:firstLine="482" w:firstLineChars="200"/>
      <w:jc w:val="both"/>
    </w:pPr>
    <w:rPr>
      <w:rFonts w:ascii="宋体" w:hAnsi="宋体" w:cs="宋体"/>
      <w:sz w:val="24"/>
      <w:szCs w:val="20"/>
    </w:rPr>
  </w:style>
  <w:style w:type="paragraph" w:customStyle="1" w:styleId="492">
    <w:name w:val="正文标准样式"/>
    <w:basedOn w:val="1"/>
    <w:qFormat/>
    <w:uiPriority w:val="0"/>
    <w:pPr>
      <w:adjustRightInd w:val="0"/>
      <w:spacing w:line="300" w:lineRule="auto"/>
      <w:ind w:firstLine="482" w:firstLineChars="0"/>
      <w:textAlignment w:val="baseline"/>
    </w:pPr>
    <w:rPr>
      <w:kern w:val="0"/>
      <w:szCs w:val="20"/>
    </w:rPr>
  </w:style>
  <w:style w:type="paragraph" w:customStyle="1" w:styleId="493">
    <w:name w:val="填表内容"/>
    <w:basedOn w:val="1"/>
    <w:qFormat/>
    <w:uiPriority w:val="0"/>
    <w:pPr>
      <w:adjustRightInd w:val="0"/>
      <w:ind w:firstLine="560"/>
      <w:jc w:val="left"/>
    </w:pPr>
    <w:rPr>
      <w:rFonts w:hint="eastAsia" w:ascii="楷体_GB2312" w:eastAsia="楷体_GB2312"/>
      <w:sz w:val="28"/>
      <w:szCs w:val="20"/>
    </w:rPr>
  </w:style>
  <w:style w:type="paragraph" w:customStyle="1" w:styleId="494">
    <w:name w:val="报告"/>
    <w:basedOn w:val="1"/>
    <w:qFormat/>
    <w:uiPriority w:val="0"/>
    <w:pPr>
      <w:overflowPunct w:val="0"/>
      <w:autoSpaceDE w:val="0"/>
      <w:autoSpaceDN w:val="0"/>
      <w:adjustRightInd w:val="0"/>
      <w:spacing w:beforeLines="20" w:afterLines="20" w:line="360" w:lineRule="atLeast"/>
      <w:jc w:val="left"/>
      <w:textAlignment w:val="baseline"/>
    </w:pPr>
    <w:rPr>
      <w:color w:val="000000"/>
      <w:spacing w:val="8"/>
      <w:kern w:val="0"/>
      <w:szCs w:val="28"/>
    </w:rPr>
  </w:style>
  <w:style w:type="paragraph" w:customStyle="1" w:styleId="495">
    <w:name w:val="山焦报告正文"/>
    <w:basedOn w:val="1"/>
    <w:qFormat/>
    <w:uiPriority w:val="0"/>
    <w:pPr>
      <w:adjustRightInd w:val="0"/>
      <w:snapToGrid w:val="0"/>
      <w:spacing w:beforeLines="25" w:line="440" w:lineRule="exact"/>
    </w:pPr>
    <w:rPr>
      <w:color w:val="000000"/>
      <w:szCs w:val="24"/>
    </w:rPr>
  </w:style>
  <w:style w:type="paragraph" w:customStyle="1" w:styleId="496">
    <w:name w:val="正文样式"/>
    <w:basedOn w:val="1"/>
    <w:qFormat/>
    <w:uiPriority w:val="0"/>
    <w:pPr>
      <w:adjustRightInd w:val="0"/>
      <w:snapToGrid w:val="0"/>
    </w:pPr>
    <w:rPr>
      <w:szCs w:val="24"/>
    </w:rPr>
  </w:style>
  <w:style w:type="paragraph" w:customStyle="1" w:styleId="497">
    <w:name w:val="燕山正文22"/>
    <w:basedOn w:val="1"/>
    <w:qFormat/>
    <w:uiPriority w:val="0"/>
    <w:pPr>
      <w:tabs>
        <w:tab w:val="left" w:pos="4680"/>
      </w:tabs>
      <w:snapToGrid w:val="0"/>
      <w:ind w:firstLine="560"/>
    </w:pPr>
    <w:rPr>
      <w:sz w:val="28"/>
    </w:rPr>
  </w:style>
  <w:style w:type="character" w:customStyle="1" w:styleId="498">
    <w:name w:val="表格 Char Char"/>
    <w:qFormat/>
    <w:uiPriority w:val="0"/>
    <w:rPr>
      <w:rFonts w:eastAsia="楷体_GB2312"/>
      <w:kern w:val="2"/>
      <w:sz w:val="21"/>
      <w:szCs w:val="21"/>
    </w:rPr>
  </w:style>
  <w:style w:type="character" w:customStyle="1" w:styleId="499">
    <w:name w:val="font121"/>
    <w:qFormat/>
    <w:uiPriority w:val="0"/>
    <w:rPr>
      <w:rFonts w:hint="default" w:ascii="Times New Roman" w:hAnsi="Times New Roman" w:cs="Times New Roman"/>
      <w:color w:val="0000FF"/>
      <w:sz w:val="21"/>
      <w:szCs w:val="21"/>
      <w:u w:val="none"/>
    </w:rPr>
  </w:style>
  <w:style w:type="character" w:customStyle="1" w:styleId="500">
    <w:name w:val="font01"/>
    <w:qFormat/>
    <w:uiPriority w:val="0"/>
    <w:rPr>
      <w:rFonts w:hint="default" w:ascii="Times New Roman" w:hAnsi="Times New Roman" w:cs="Times New Roman"/>
      <w:color w:val="000000"/>
      <w:sz w:val="21"/>
      <w:szCs w:val="21"/>
      <w:u w:val="none"/>
    </w:rPr>
  </w:style>
  <w:style w:type="character" w:customStyle="1" w:styleId="501">
    <w:name w:val="font141"/>
    <w:qFormat/>
    <w:uiPriority w:val="0"/>
    <w:rPr>
      <w:rFonts w:hint="default" w:ascii="Times New Roman" w:hAnsi="Times New Roman" w:cs="Times New Roman"/>
      <w:color w:val="000000"/>
      <w:sz w:val="12"/>
      <w:szCs w:val="12"/>
      <w:u w:val="none"/>
    </w:rPr>
  </w:style>
  <w:style w:type="character" w:customStyle="1" w:styleId="502">
    <w:name w:val="表格格式 Char"/>
    <w:link w:val="503"/>
    <w:qFormat/>
    <w:uiPriority w:val="0"/>
    <w:rPr>
      <w:rFonts w:ascii="Times New Roman" w:hAnsi="Times New Roman" w:eastAsia="宋体"/>
      <w:szCs w:val="24"/>
    </w:rPr>
  </w:style>
  <w:style w:type="paragraph" w:customStyle="1" w:styleId="503">
    <w:name w:val="表格格式"/>
    <w:basedOn w:val="1"/>
    <w:link w:val="502"/>
    <w:qFormat/>
    <w:uiPriority w:val="0"/>
    <w:pPr>
      <w:spacing w:line="0" w:lineRule="atLeast"/>
      <w:ind w:firstLine="0" w:firstLineChars="0"/>
      <w:jc w:val="center"/>
    </w:pPr>
    <w:rPr>
      <w:kern w:val="0"/>
      <w:sz w:val="20"/>
      <w:szCs w:val="24"/>
    </w:rPr>
  </w:style>
  <w:style w:type="character" w:customStyle="1" w:styleId="504">
    <w:name w:val="表头格式 Char"/>
    <w:link w:val="505"/>
    <w:qFormat/>
    <w:uiPriority w:val="0"/>
    <w:rPr>
      <w:rFonts w:ascii="Times New Roman" w:hAnsi="Times New Roman" w:eastAsia="黑体"/>
      <w:sz w:val="24"/>
      <w:szCs w:val="24"/>
    </w:rPr>
  </w:style>
  <w:style w:type="paragraph" w:customStyle="1" w:styleId="505">
    <w:name w:val="表头格式"/>
    <w:basedOn w:val="1"/>
    <w:link w:val="504"/>
    <w:qFormat/>
    <w:uiPriority w:val="0"/>
    <w:pPr>
      <w:spacing w:line="240" w:lineRule="auto"/>
      <w:ind w:firstLine="0" w:firstLineChars="0"/>
      <w:jc w:val="center"/>
    </w:pPr>
    <w:rPr>
      <w:rFonts w:eastAsia="黑体"/>
      <w:kern w:val="0"/>
      <w:szCs w:val="24"/>
    </w:rPr>
  </w:style>
  <w:style w:type="paragraph" w:customStyle="1" w:styleId="506">
    <w:name w:val="表头样式"/>
    <w:basedOn w:val="1"/>
    <w:link w:val="507"/>
    <w:qFormat/>
    <w:uiPriority w:val="0"/>
    <w:pPr>
      <w:tabs>
        <w:tab w:val="left" w:pos="1470"/>
      </w:tabs>
      <w:spacing w:line="240" w:lineRule="auto"/>
      <w:ind w:firstLine="0" w:firstLineChars="0"/>
      <w:jc w:val="center"/>
    </w:pPr>
    <w:rPr>
      <w:rFonts w:eastAsia="黑体"/>
      <w:kern w:val="0"/>
      <w:szCs w:val="24"/>
    </w:rPr>
  </w:style>
  <w:style w:type="character" w:customStyle="1" w:styleId="507">
    <w:name w:val="表头样式 Char"/>
    <w:link w:val="506"/>
    <w:qFormat/>
    <w:uiPriority w:val="0"/>
    <w:rPr>
      <w:rFonts w:ascii="Times New Roman" w:hAnsi="Times New Roman" w:eastAsia="黑体" w:cs="Times New Roman"/>
      <w:sz w:val="24"/>
      <w:szCs w:val="24"/>
    </w:rPr>
  </w:style>
  <w:style w:type="character" w:customStyle="1" w:styleId="508">
    <w:name w:val="明显强调1"/>
    <w:qFormat/>
    <w:uiPriority w:val="21"/>
    <w:rPr>
      <w:b/>
      <w:bCs/>
      <w:i/>
      <w:iCs/>
      <w:color w:val="4F81BD"/>
    </w:rPr>
  </w:style>
  <w:style w:type="character" w:customStyle="1" w:styleId="509">
    <w:name w:val="t_tag"/>
    <w:basedOn w:val="54"/>
    <w:qFormat/>
    <w:uiPriority w:val="0"/>
  </w:style>
  <w:style w:type="paragraph" w:customStyle="1" w:styleId="510">
    <w:name w:val="表格样式"/>
    <w:basedOn w:val="1"/>
    <w:link w:val="511"/>
    <w:qFormat/>
    <w:uiPriority w:val="0"/>
    <w:pPr>
      <w:spacing w:line="0" w:lineRule="atLeast"/>
      <w:ind w:firstLine="0" w:firstLineChars="0"/>
      <w:jc w:val="center"/>
    </w:pPr>
    <w:rPr>
      <w:kern w:val="0"/>
      <w:sz w:val="20"/>
    </w:rPr>
  </w:style>
  <w:style w:type="character" w:customStyle="1" w:styleId="511">
    <w:name w:val="表格样式 Char"/>
    <w:link w:val="510"/>
    <w:qFormat/>
    <w:uiPriority w:val="0"/>
    <w:rPr>
      <w:rFonts w:ascii="Times New Roman" w:hAnsi="Times New Roman" w:eastAsia="宋体" w:cs="Times New Roman"/>
      <w:szCs w:val="21"/>
    </w:rPr>
  </w:style>
  <w:style w:type="paragraph" w:customStyle="1" w:styleId="512">
    <w:name w:val="陈正文"/>
    <w:basedOn w:val="1"/>
    <w:next w:val="1"/>
    <w:qFormat/>
    <w:uiPriority w:val="0"/>
    <w:rPr>
      <w:kern w:val="0"/>
      <w:szCs w:val="24"/>
    </w:rPr>
  </w:style>
  <w:style w:type="paragraph" w:customStyle="1" w:styleId="513">
    <w:name w:val="陈标题4"/>
    <w:basedOn w:val="1"/>
    <w:next w:val="1"/>
    <w:qFormat/>
    <w:uiPriority w:val="0"/>
    <w:pPr>
      <w:keepNext/>
      <w:keepLines/>
      <w:ind w:firstLine="0" w:firstLineChars="0"/>
      <w:outlineLvl w:val="3"/>
    </w:pPr>
    <w:rPr>
      <w:b/>
      <w:kern w:val="0"/>
      <w:sz w:val="28"/>
      <w:szCs w:val="28"/>
    </w:rPr>
  </w:style>
  <w:style w:type="paragraph" w:customStyle="1" w:styleId="514">
    <w:name w:val="Char Char Char Char"/>
    <w:basedOn w:val="1"/>
    <w:qFormat/>
    <w:uiPriority w:val="0"/>
    <w:pPr>
      <w:widowControl/>
      <w:spacing w:after="160" w:line="240" w:lineRule="exact"/>
      <w:ind w:firstLine="0" w:firstLineChars="0"/>
      <w:jc w:val="left"/>
    </w:pPr>
    <w:rPr>
      <w:rFonts w:ascii="宋体" w:hAnsi="宋体"/>
      <w:sz w:val="28"/>
      <w:szCs w:val="28"/>
    </w:rPr>
  </w:style>
  <w:style w:type="paragraph" w:customStyle="1" w:styleId="515">
    <w:name w:val="Char12"/>
    <w:basedOn w:val="1"/>
    <w:qFormat/>
    <w:uiPriority w:val="0"/>
    <w:rPr>
      <w:rFonts w:ascii="宋体" w:hAnsi="宋体" w:cs="宋体"/>
      <w:szCs w:val="24"/>
    </w:rPr>
  </w:style>
  <w:style w:type="paragraph" w:customStyle="1" w:styleId="516">
    <w:name w:val="流程图"/>
    <w:basedOn w:val="1"/>
    <w:qFormat/>
    <w:uiPriority w:val="0"/>
    <w:pPr>
      <w:tabs>
        <w:tab w:val="left" w:pos="0"/>
      </w:tabs>
      <w:autoSpaceDE w:val="0"/>
      <w:autoSpaceDN w:val="0"/>
      <w:adjustRightInd w:val="0"/>
      <w:spacing w:line="240" w:lineRule="atLeast"/>
      <w:ind w:firstLine="0" w:firstLineChars="0"/>
      <w:jc w:val="center"/>
      <w:textAlignment w:val="bottom"/>
    </w:pPr>
    <w:rPr>
      <w:rFonts w:ascii="宋体"/>
      <w:sz w:val="21"/>
      <w:szCs w:val="20"/>
    </w:rPr>
  </w:style>
  <w:style w:type="character" w:customStyle="1" w:styleId="517">
    <w:name w:val="s4 Char"/>
    <w:qFormat/>
    <w:uiPriority w:val="0"/>
    <w:rPr>
      <w:rFonts w:ascii="Times New Roman" w:hAnsi="Times New Roman" w:eastAsia="宋体"/>
      <w:kern w:val="2"/>
      <w:sz w:val="21"/>
    </w:rPr>
  </w:style>
  <w:style w:type="character" w:customStyle="1" w:styleId="518">
    <w:name w:val="标题1 Char Char1"/>
    <w:qFormat/>
    <w:uiPriority w:val="0"/>
    <w:rPr>
      <w:b/>
      <w:bCs/>
      <w:kern w:val="2"/>
      <w:sz w:val="28"/>
      <w:szCs w:val="28"/>
    </w:rPr>
  </w:style>
  <w:style w:type="character" w:customStyle="1" w:styleId="519">
    <w:name w:val="正文缩进 Char"/>
    <w:qFormat/>
    <w:uiPriority w:val="0"/>
    <w:rPr>
      <w:rFonts w:ascii="Calibri" w:eastAsia="宋体"/>
      <w:kern w:val="2"/>
      <w:sz w:val="28"/>
    </w:rPr>
  </w:style>
  <w:style w:type="paragraph" w:customStyle="1" w:styleId="520">
    <w:name w:val="表和图标题"/>
    <w:next w:val="1"/>
    <w:qFormat/>
    <w:uiPriority w:val="0"/>
    <w:pPr>
      <w:widowControl w:val="0"/>
      <w:spacing w:line="360" w:lineRule="auto"/>
      <w:jc w:val="center"/>
    </w:pPr>
    <w:rPr>
      <w:rFonts w:ascii="Times New Roman" w:hAnsi="Times New Roman" w:eastAsia="宋体" w:cs="Times New Roman"/>
      <w:b/>
      <w:iCs/>
      <w:kern w:val="21"/>
      <w:sz w:val="21"/>
      <w:szCs w:val="24"/>
      <w:lang w:val="en-US" w:eastAsia="zh-CN" w:bidi="ar-SA"/>
    </w:rPr>
  </w:style>
  <w:style w:type="character" w:customStyle="1" w:styleId="521">
    <w:name w:val="纯文本 Char2"/>
    <w:qFormat/>
    <w:uiPriority w:val="0"/>
    <w:rPr>
      <w:rFonts w:ascii="宋体" w:hAnsi="宋体" w:eastAsia="宋体"/>
      <w:color w:val="000000"/>
      <w:kern w:val="2"/>
      <w:sz w:val="28"/>
      <w:szCs w:val="21"/>
    </w:rPr>
  </w:style>
  <w:style w:type="paragraph" w:customStyle="1" w:styleId="522">
    <w:name w:val="正文（自定义）"/>
    <w:basedOn w:val="1"/>
    <w:link w:val="523"/>
    <w:qFormat/>
    <w:uiPriority w:val="0"/>
    <w:pPr>
      <w:widowControl/>
      <w:ind w:firstLine="480"/>
    </w:pPr>
    <w:rPr>
      <w:rFonts w:eastAsia="Times New Roman"/>
      <w:kern w:val="0"/>
      <w:szCs w:val="20"/>
    </w:rPr>
  </w:style>
  <w:style w:type="character" w:customStyle="1" w:styleId="523">
    <w:name w:val="正文（自定义） Char"/>
    <w:link w:val="522"/>
    <w:qFormat/>
    <w:uiPriority w:val="0"/>
    <w:rPr>
      <w:rFonts w:ascii="Times New Roman" w:hAnsi="Times New Roman" w:eastAsia="Times New Roman" w:cs="Times New Roman"/>
      <w:kern w:val="0"/>
      <w:sz w:val="24"/>
    </w:rPr>
  </w:style>
  <w:style w:type="paragraph" w:customStyle="1" w:styleId="524">
    <w:name w:val="Char Char Char Char2"/>
    <w:basedOn w:val="1"/>
    <w:qFormat/>
    <w:uiPriority w:val="0"/>
    <w:pPr>
      <w:widowControl/>
      <w:spacing w:after="160" w:line="240" w:lineRule="exact"/>
      <w:ind w:firstLine="0" w:firstLineChars="0"/>
      <w:jc w:val="left"/>
    </w:pPr>
    <w:rPr>
      <w:rFonts w:ascii="宋体" w:hAnsi="宋体"/>
      <w:sz w:val="28"/>
      <w:szCs w:val="28"/>
    </w:rPr>
  </w:style>
  <w:style w:type="paragraph" w:customStyle="1" w:styleId="525">
    <w:name w:val="正文2"/>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526">
    <w:name w:val="正文缩进3"/>
    <w:basedOn w:val="1"/>
    <w:qFormat/>
    <w:uiPriority w:val="0"/>
    <w:pPr>
      <w:spacing w:line="240" w:lineRule="auto"/>
      <w:ind w:firstLine="420"/>
    </w:pPr>
    <w:rPr>
      <w:sz w:val="21"/>
      <w:szCs w:val="20"/>
    </w:rPr>
  </w:style>
  <w:style w:type="paragraph" w:customStyle="1" w:styleId="527">
    <w:name w:val="空格7"/>
    <w:basedOn w:val="1"/>
    <w:link w:val="528"/>
    <w:qFormat/>
    <w:uiPriority w:val="0"/>
    <w:pPr>
      <w:spacing w:line="0" w:lineRule="atLeast"/>
      <w:ind w:firstLine="0" w:firstLineChars="0"/>
      <w:jc w:val="left"/>
    </w:pPr>
    <w:rPr>
      <w:kern w:val="0"/>
      <w:szCs w:val="20"/>
    </w:rPr>
  </w:style>
  <w:style w:type="character" w:customStyle="1" w:styleId="528">
    <w:name w:val="空格7 Char"/>
    <w:link w:val="527"/>
    <w:qFormat/>
    <w:uiPriority w:val="0"/>
    <w:rPr>
      <w:rFonts w:ascii="Times New Roman" w:hAnsi="Times New Roman" w:eastAsia="宋体" w:cs="宋体"/>
      <w:sz w:val="24"/>
      <w:szCs w:val="20"/>
    </w:rPr>
  </w:style>
  <w:style w:type="character" w:customStyle="1" w:styleId="529">
    <w:name w:val="我的正文 Char"/>
    <w:link w:val="530"/>
    <w:qFormat/>
    <w:uiPriority w:val="0"/>
    <w:rPr>
      <w:rFonts w:ascii="仿宋_GB2312" w:hAnsi="仿宋_GB2312" w:eastAsia="仿宋_GB2312" w:cs="Times New Roman"/>
      <w:kern w:val="0"/>
      <w:sz w:val="24"/>
      <w:szCs w:val="24"/>
    </w:rPr>
  </w:style>
  <w:style w:type="paragraph" w:customStyle="1" w:styleId="530">
    <w:name w:val="我的正文"/>
    <w:basedOn w:val="1"/>
    <w:link w:val="529"/>
    <w:qFormat/>
    <w:uiPriority w:val="0"/>
    <w:pPr>
      <w:spacing w:line="460" w:lineRule="exact"/>
    </w:pPr>
    <w:rPr>
      <w:rFonts w:ascii="仿宋_GB2312" w:hAnsi="仿宋_GB2312" w:eastAsia="仿宋_GB2312"/>
      <w:kern w:val="0"/>
      <w:szCs w:val="24"/>
    </w:rPr>
  </w:style>
  <w:style w:type="paragraph" w:customStyle="1" w:styleId="531">
    <w:name w:val="默认段落字体 Para Char Char Char Char"/>
    <w:basedOn w:val="1"/>
    <w:qFormat/>
    <w:uiPriority w:val="0"/>
    <w:pPr>
      <w:spacing w:line="240" w:lineRule="auto"/>
      <w:ind w:firstLine="0" w:firstLineChars="0"/>
    </w:pPr>
    <w:rPr>
      <w:sz w:val="21"/>
      <w:szCs w:val="24"/>
    </w:rPr>
  </w:style>
  <w:style w:type="character" w:customStyle="1" w:styleId="532">
    <w:name w:val="fontstyle21"/>
    <w:qFormat/>
    <w:uiPriority w:val="0"/>
    <w:rPr>
      <w:rFonts w:hint="eastAsia" w:ascii="TimesNewRomanPSMT" w:eastAsia="TimesNewRomanPSMT"/>
      <w:color w:val="000000"/>
      <w:sz w:val="24"/>
      <w:szCs w:val="24"/>
    </w:rPr>
  </w:style>
  <w:style w:type="character" w:customStyle="1" w:styleId="533">
    <w:name w:val="fontstyle11"/>
    <w:qFormat/>
    <w:uiPriority w:val="0"/>
    <w:rPr>
      <w:rFonts w:hint="eastAsia" w:ascii="TimesNewRomanPSMT" w:eastAsia="TimesNewRomanPSMT"/>
      <w:color w:val="000000"/>
      <w:sz w:val="22"/>
      <w:szCs w:val="22"/>
    </w:rPr>
  </w:style>
  <w:style w:type="paragraph" w:customStyle="1" w:styleId="534">
    <w:name w:val="居中正文"/>
    <w:basedOn w:val="50"/>
    <w:qFormat/>
    <w:uiPriority w:val="0"/>
    <w:pPr>
      <w:adjustRightInd w:val="0"/>
      <w:spacing w:before="120"/>
      <w:ind w:firstLine="0" w:firstLineChars="0"/>
      <w:textAlignment w:val="baseline"/>
    </w:pPr>
    <w:rPr>
      <w:rFonts w:ascii="宋体" w:eastAsia="宋体"/>
      <w:color w:val="auto"/>
      <w:kern w:val="28"/>
      <w:szCs w:val="20"/>
    </w:rPr>
  </w:style>
  <w:style w:type="character" w:customStyle="1" w:styleId="535">
    <w:name w:val="表格标题_"/>
    <w:link w:val="536"/>
    <w:qFormat/>
    <w:uiPriority w:val="99"/>
    <w:rPr>
      <w:rFonts w:ascii="Arial Unicode MS" w:eastAsia="Arial Unicode MS" w:cs="Arial Unicode MS"/>
      <w:spacing w:val="10"/>
      <w:sz w:val="23"/>
      <w:szCs w:val="23"/>
      <w:shd w:val="clear" w:color="auto" w:fill="FFFFFF"/>
    </w:rPr>
  </w:style>
  <w:style w:type="paragraph" w:customStyle="1" w:styleId="536">
    <w:name w:val="表格标题1"/>
    <w:basedOn w:val="1"/>
    <w:link w:val="535"/>
    <w:qFormat/>
    <w:uiPriority w:val="99"/>
    <w:pPr>
      <w:shd w:val="clear" w:color="auto" w:fill="FFFFFF"/>
      <w:spacing w:line="240" w:lineRule="atLeast"/>
      <w:ind w:firstLine="0" w:firstLineChars="0"/>
      <w:jc w:val="left"/>
    </w:pPr>
    <w:rPr>
      <w:rFonts w:ascii="Arial Unicode MS" w:eastAsia="Arial Unicode MS"/>
      <w:spacing w:val="10"/>
      <w:kern w:val="0"/>
      <w:sz w:val="23"/>
      <w:szCs w:val="23"/>
    </w:rPr>
  </w:style>
  <w:style w:type="character" w:customStyle="1" w:styleId="537">
    <w:name w:val="正文文本 Char1"/>
    <w:qFormat/>
    <w:uiPriority w:val="0"/>
    <w:rPr>
      <w:rFonts w:ascii="Arial Unicode MS" w:eastAsia="Arial Unicode MS" w:cs="Arial Unicode MS"/>
      <w:spacing w:val="10"/>
      <w:sz w:val="23"/>
      <w:szCs w:val="23"/>
      <w:u w:val="none"/>
    </w:rPr>
  </w:style>
  <w:style w:type="character" w:customStyle="1" w:styleId="538">
    <w:name w:val="正文文本 + 粗体"/>
    <w:qFormat/>
    <w:uiPriority w:val="99"/>
    <w:rPr>
      <w:rFonts w:ascii="Arial Unicode MS" w:hAnsi="MingLiU" w:eastAsia="Arial Unicode MS" w:cs="Arial Unicode MS"/>
      <w:b/>
      <w:bCs/>
      <w:spacing w:val="0"/>
      <w:sz w:val="23"/>
      <w:szCs w:val="23"/>
      <w:shd w:val="clear" w:color="auto" w:fill="FFFFFF"/>
      <w:lang w:val="en-US" w:eastAsia="en-US"/>
    </w:rPr>
  </w:style>
  <w:style w:type="character" w:customStyle="1" w:styleId="539">
    <w:name w:val="正文文本_"/>
    <w:link w:val="540"/>
    <w:qFormat/>
    <w:uiPriority w:val="0"/>
    <w:rPr>
      <w:rFonts w:ascii="MingLiU" w:hAnsi="MingLiU" w:eastAsia="MingLiU" w:cs="MingLiU"/>
      <w:spacing w:val="10"/>
      <w:sz w:val="20"/>
      <w:szCs w:val="20"/>
      <w:shd w:val="clear" w:color="auto" w:fill="FFFFFF"/>
    </w:rPr>
  </w:style>
  <w:style w:type="paragraph" w:customStyle="1" w:styleId="540">
    <w:name w:val="正文文本1"/>
    <w:basedOn w:val="1"/>
    <w:link w:val="539"/>
    <w:qFormat/>
    <w:uiPriority w:val="0"/>
    <w:pPr>
      <w:shd w:val="clear" w:color="auto" w:fill="FFFFFF"/>
      <w:spacing w:before="540" w:line="0" w:lineRule="atLeast"/>
    </w:pPr>
    <w:rPr>
      <w:rFonts w:ascii="MingLiU" w:hAnsi="MingLiU" w:eastAsia="MingLiU"/>
      <w:spacing w:val="10"/>
      <w:kern w:val="0"/>
      <w:sz w:val="20"/>
      <w:szCs w:val="20"/>
    </w:rPr>
  </w:style>
  <w:style w:type="character" w:customStyle="1" w:styleId="541">
    <w:name w:val="正文文本 + 间距 -1 pt"/>
    <w:qFormat/>
    <w:uiPriority w:val="99"/>
    <w:rPr>
      <w:rFonts w:ascii="Arial Unicode MS" w:eastAsia="Arial Unicode MS" w:cs="Arial Unicode MS"/>
      <w:spacing w:val="-20"/>
      <w:sz w:val="23"/>
      <w:szCs w:val="23"/>
      <w:u w:val="none"/>
    </w:rPr>
  </w:style>
  <w:style w:type="character" w:customStyle="1" w:styleId="542">
    <w:name w:val="正文文本 + 粗体20"/>
    <w:qFormat/>
    <w:uiPriority w:val="99"/>
    <w:rPr>
      <w:rFonts w:ascii="Arial Unicode MS" w:eastAsia="Arial Unicode MS" w:cs="Arial Unicode MS"/>
      <w:b/>
      <w:bCs/>
      <w:spacing w:val="30"/>
      <w:sz w:val="23"/>
      <w:szCs w:val="23"/>
      <w:u w:val="none"/>
      <w:lang w:val="en-US" w:eastAsia="en-US"/>
    </w:rPr>
  </w:style>
  <w:style w:type="character" w:customStyle="1" w:styleId="543">
    <w:name w:val="正文文本 + 粗体21"/>
    <w:qFormat/>
    <w:uiPriority w:val="99"/>
    <w:rPr>
      <w:rFonts w:ascii="Arial Unicode MS" w:eastAsia="Arial Unicode MS" w:cs="Arial Unicode MS"/>
      <w:b/>
      <w:bCs/>
      <w:spacing w:val="30"/>
      <w:sz w:val="23"/>
      <w:szCs w:val="23"/>
      <w:u w:val="none"/>
      <w:lang w:val="en-US" w:eastAsia="en-US"/>
    </w:rPr>
  </w:style>
  <w:style w:type="character" w:customStyle="1" w:styleId="544">
    <w:name w:val="正文文本 + 间距 2 pt"/>
    <w:qFormat/>
    <w:uiPriority w:val="99"/>
    <w:rPr>
      <w:rFonts w:ascii="Arial Unicode MS" w:eastAsia="Arial Unicode MS" w:cs="Arial Unicode MS"/>
      <w:spacing w:val="50"/>
      <w:sz w:val="23"/>
      <w:szCs w:val="23"/>
      <w:u w:val="none"/>
    </w:rPr>
  </w:style>
  <w:style w:type="character" w:customStyle="1" w:styleId="545">
    <w:name w:val="页眉或页脚_"/>
    <w:link w:val="546"/>
    <w:qFormat/>
    <w:uiPriority w:val="99"/>
    <w:rPr>
      <w:rFonts w:ascii="黑体" w:eastAsia="黑体" w:cs="黑体"/>
      <w:spacing w:val="90"/>
      <w:szCs w:val="21"/>
      <w:shd w:val="clear" w:color="auto" w:fill="FFFFFF"/>
    </w:rPr>
  </w:style>
  <w:style w:type="paragraph" w:customStyle="1" w:styleId="546">
    <w:name w:val="页眉或页脚1"/>
    <w:basedOn w:val="1"/>
    <w:link w:val="545"/>
    <w:qFormat/>
    <w:uiPriority w:val="99"/>
    <w:pPr>
      <w:shd w:val="clear" w:color="auto" w:fill="FFFFFF"/>
      <w:spacing w:line="240" w:lineRule="atLeast"/>
      <w:ind w:firstLine="0" w:firstLineChars="0"/>
      <w:jc w:val="left"/>
    </w:pPr>
    <w:rPr>
      <w:rFonts w:ascii="黑体" w:eastAsia="黑体"/>
      <w:spacing w:val="90"/>
      <w:kern w:val="0"/>
      <w:sz w:val="20"/>
    </w:rPr>
  </w:style>
  <w:style w:type="character" w:customStyle="1" w:styleId="547">
    <w:name w:val="页眉或页脚"/>
    <w:qFormat/>
    <w:uiPriority w:val="99"/>
    <w:rPr>
      <w:rFonts w:ascii="黑体" w:eastAsia="黑体" w:cs="黑体"/>
      <w:spacing w:val="90"/>
      <w:szCs w:val="21"/>
      <w:shd w:val="clear" w:color="auto" w:fill="FFFFFF"/>
    </w:rPr>
  </w:style>
  <w:style w:type="character" w:customStyle="1" w:styleId="548">
    <w:name w:val="页眉或页脚 + 间距 0 pt"/>
    <w:qFormat/>
    <w:uiPriority w:val="99"/>
    <w:rPr>
      <w:rFonts w:ascii="黑体" w:eastAsia="黑体" w:cs="黑体"/>
      <w:spacing w:val="0"/>
      <w:szCs w:val="21"/>
      <w:shd w:val="clear" w:color="auto" w:fill="FFFFFF"/>
    </w:rPr>
  </w:style>
  <w:style w:type="character" w:customStyle="1" w:styleId="549">
    <w:name w:val="页眉或页脚 + 4 pt"/>
    <w:qFormat/>
    <w:uiPriority w:val="99"/>
    <w:rPr>
      <w:rFonts w:ascii="黑体" w:eastAsia="黑体" w:cs="黑体"/>
      <w:spacing w:val="0"/>
      <w:sz w:val="8"/>
      <w:szCs w:val="8"/>
      <w:shd w:val="clear" w:color="auto" w:fill="FFFFFF"/>
      <w:lang w:val="en-US" w:eastAsia="en-US"/>
    </w:rPr>
  </w:style>
  <w:style w:type="character" w:customStyle="1" w:styleId="550">
    <w:name w:val="页眉或页脚 + Times New Roman"/>
    <w:qFormat/>
    <w:uiPriority w:val="99"/>
    <w:rPr>
      <w:rFonts w:ascii="Times New Roman" w:hAnsi="Times New Roman" w:eastAsia="黑体" w:cs="Times New Roman"/>
      <w:spacing w:val="0"/>
      <w:sz w:val="20"/>
      <w:szCs w:val="20"/>
      <w:shd w:val="clear" w:color="auto" w:fill="FFFFFF"/>
    </w:rPr>
  </w:style>
  <w:style w:type="character" w:customStyle="1" w:styleId="551">
    <w:name w:val="页眉或页脚3"/>
    <w:qFormat/>
    <w:uiPriority w:val="99"/>
    <w:rPr>
      <w:rFonts w:ascii="黑体" w:eastAsia="黑体" w:cs="黑体"/>
      <w:spacing w:val="90"/>
      <w:szCs w:val="21"/>
      <w:u w:val="single"/>
      <w:shd w:val="clear" w:color="auto" w:fill="FFFFFF"/>
    </w:rPr>
  </w:style>
  <w:style w:type="character" w:customStyle="1" w:styleId="552">
    <w:name w:val="a正文 Char"/>
    <w:link w:val="553"/>
    <w:qFormat/>
    <w:uiPriority w:val="0"/>
    <w:rPr>
      <w:rFonts w:ascii="Calibri" w:hAnsi="Calibri"/>
      <w:spacing w:val="5"/>
      <w:kern w:val="2"/>
      <w:sz w:val="25"/>
      <w:szCs w:val="25"/>
      <w:lang w:val="en-US" w:eastAsia="zh-CN" w:bidi="ar-SA"/>
    </w:rPr>
  </w:style>
  <w:style w:type="paragraph" w:customStyle="1" w:styleId="553">
    <w:name w:val="a正文"/>
    <w:link w:val="552"/>
    <w:qFormat/>
    <w:uiPriority w:val="0"/>
    <w:pPr>
      <w:spacing w:line="480" w:lineRule="exact"/>
      <w:ind w:firstLine="200" w:firstLineChars="200"/>
      <w:jc w:val="both"/>
    </w:pPr>
    <w:rPr>
      <w:rFonts w:ascii="Calibri" w:hAnsi="Calibri" w:eastAsia="宋体" w:cs="Times New Roman"/>
      <w:spacing w:val="5"/>
      <w:kern w:val="2"/>
      <w:sz w:val="25"/>
      <w:szCs w:val="25"/>
      <w:lang w:val="en-US" w:eastAsia="zh-CN" w:bidi="ar-SA"/>
    </w:rPr>
  </w:style>
  <w:style w:type="paragraph" w:customStyle="1" w:styleId="554">
    <w:name w:val="表格内容居中"/>
    <w:qFormat/>
    <w:uiPriority w:val="0"/>
    <w:pPr>
      <w:adjustRightInd w:val="0"/>
      <w:snapToGrid w:val="0"/>
      <w:spacing w:line="0" w:lineRule="atLeast"/>
      <w:jc w:val="center"/>
    </w:pPr>
    <w:rPr>
      <w:rFonts w:ascii="Times New Roman" w:hAnsi="Times New Roman" w:eastAsia="宋体" w:cs="Times New Roman"/>
      <w:sz w:val="21"/>
      <w:szCs w:val="21"/>
      <w:lang w:val="en-US" w:eastAsia="zh-CN" w:bidi="ar-SA"/>
    </w:rPr>
  </w:style>
  <w:style w:type="character" w:customStyle="1" w:styleId="555">
    <w:name w:val="正文文本 + 间距 1 pt4"/>
    <w:qFormat/>
    <w:uiPriority w:val="99"/>
    <w:rPr>
      <w:rFonts w:ascii="Arial Unicode MS" w:eastAsia="Arial Unicode MS" w:cs="Arial Unicode MS"/>
      <w:spacing w:val="20"/>
      <w:sz w:val="23"/>
      <w:szCs w:val="23"/>
      <w:u w:val="none"/>
    </w:rPr>
  </w:style>
  <w:style w:type="character" w:customStyle="1" w:styleId="556">
    <w:name w:val="正文文本 + 粗体19"/>
    <w:qFormat/>
    <w:uiPriority w:val="99"/>
    <w:rPr>
      <w:rFonts w:ascii="Arial Unicode MS" w:eastAsia="Arial Unicode MS" w:cs="Arial Unicode MS"/>
      <w:b/>
      <w:bCs/>
      <w:spacing w:val="0"/>
      <w:sz w:val="23"/>
      <w:szCs w:val="23"/>
      <w:u w:val="none"/>
      <w:lang w:val="en-US" w:eastAsia="en-US"/>
    </w:rPr>
  </w:style>
  <w:style w:type="character" w:customStyle="1" w:styleId="557">
    <w:name w:val="正文文本 (7)_"/>
    <w:link w:val="558"/>
    <w:qFormat/>
    <w:uiPriority w:val="99"/>
    <w:rPr>
      <w:rFonts w:ascii="Arial Unicode MS" w:eastAsia="Arial Unicode MS" w:cs="Arial Unicode MS"/>
      <w:b/>
      <w:bCs/>
      <w:sz w:val="23"/>
      <w:szCs w:val="23"/>
      <w:shd w:val="clear" w:color="auto" w:fill="FFFFFF"/>
      <w:lang w:eastAsia="en-US"/>
    </w:rPr>
  </w:style>
  <w:style w:type="paragraph" w:customStyle="1" w:styleId="558">
    <w:name w:val="正文文本 (7)1"/>
    <w:basedOn w:val="1"/>
    <w:link w:val="557"/>
    <w:qFormat/>
    <w:uiPriority w:val="99"/>
    <w:pPr>
      <w:shd w:val="clear" w:color="auto" w:fill="FFFFFF"/>
      <w:spacing w:before="240" w:after="240" w:line="240" w:lineRule="atLeast"/>
      <w:ind w:firstLine="0" w:firstLineChars="0"/>
      <w:jc w:val="left"/>
    </w:pPr>
    <w:rPr>
      <w:rFonts w:ascii="Arial Unicode MS" w:eastAsia="Arial Unicode MS"/>
      <w:b/>
      <w:bCs/>
      <w:kern w:val="0"/>
      <w:sz w:val="23"/>
      <w:szCs w:val="23"/>
      <w:lang w:eastAsia="en-US"/>
    </w:rPr>
  </w:style>
  <w:style w:type="character" w:customStyle="1" w:styleId="559">
    <w:name w:val="正文文本 (7)"/>
    <w:qFormat/>
    <w:uiPriority w:val="99"/>
    <w:rPr>
      <w:rFonts w:ascii="Arial Unicode MS" w:eastAsia="Arial Unicode MS" w:cs="Arial Unicode MS"/>
      <w:sz w:val="23"/>
      <w:szCs w:val="23"/>
      <w:shd w:val="clear" w:color="auto" w:fill="FFFFFF"/>
      <w:lang w:eastAsia="en-US"/>
    </w:rPr>
  </w:style>
  <w:style w:type="character" w:customStyle="1" w:styleId="560">
    <w:name w:val="正文文本 (7) + 非粗体9"/>
    <w:qFormat/>
    <w:uiPriority w:val="99"/>
    <w:rPr>
      <w:rFonts w:ascii="Arial Unicode MS" w:eastAsia="Arial Unicode MS" w:cs="Arial Unicode MS"/>
      <w:b/>
      <w:bCs/>
      <w:spacing w:val="20"/>
      <w:sz w:val="23"/>
      <w:szCs w:val="23"/>
      <w:shd w:val="clear" w:color="auto" w:fill="FFFFFF"/>
      <w:lang w:eastAsia="en-US"/>
    </w:rPr>
  </w:style>
  <w:style w:type="character" w:customStyle="1" w:styleId="561">
    <w:name w:val="正文文本 + 间距 -1 pt5"/>
    <w:qFormat/>
    <w:uiPriority w:val="99"/>
    <w:rPr>
      <w:rFonts w:ascii="Arial Unicode MS" w:eastAsia="Arial Unicode MS" w:cs="Arial Unicode MS"/>
      <w:spacing w:val="-20"/>
      <w:sz w:val="23"/>
      <w:szCs w:val="23"/>
      <w:u w:val="none"/>
    </w:rPr>
  </w:style>
  <w:style w:type="character" w:customStyle="1" w:styleId="562">
    <w:name w:val="表格标题 + 粗体5"/>
    <w:qFormat/>
    <w:uiPriority w:val="99"/>
    <w:rPr>
      <w:rFonts w:ascii="Arial Unicode MS" w:eastAsia="Arial Unicode MS" w:cs="Arial Unicode MS"/>
      <w:b/>
      <w:bCs/>
      <w:spacing w:val="0"/>
      <w:sz w:val="23"/>
      <w:szCs w:val="23"/>
      <w:u w:val="none"/>
      <w:shd w:val="clear" w:color="auto" w:fill="FFFFFF"/>
      <w:lang w:val="en-US" w:eastAsia="en-US"/>
    </w:rPr>
  </w:style>
  <w:style w:type="character" w:customStyle="1" w:styleId="563">
    <w:name w:val="表格标题 + 间距 1 pt"/>
    <w:qFormat/>
    <w:uiPriority w:val="99"/>
    <w:rPr>
      <w:rFonts w:ascii="Arial Unicode MS" w:eastAsia="Arial Unicode MS" w:cs="Arial Unicode MS"/>
      <w:spacing w:val="20"/>
      <w:sz w:val="23"/>
      <w:szCs w:val="23"/>
      <w:u w:val="none"/>
      <w:shd w:val="clear" w:color="auto" w:fill="FFFFFF"/>
    </w:rPr>
  </w:style>
  <w:style w:type="character" w:customStyle="1" w:styleId="564">
    <w:name w:val="正文文本 + Times New Roman14"/>
    <w:qFormat/>
    <w:uiPriority w:val="99"/>
    <w:rPr>
      <w:rFonts w:ascii="Times New Roman" w:hAnsi="Times New Roman" w:eastAsia="Arial Unicode MS" w:cs="Times New Roman"/>
      <w:spacing w:val="0"/>
      <w:sz w:val="20"/>
      <w:szCs w:val="20"/>
      <w:u w:val="none"/>
    </w:rPr>
  </w:style>
  <w:style w:type="character" w:customStyle="1" w:styleId="565">
    <w:name w:val="正文文本 (7) + Times New Roman2"/>
    <w:qFormat/>
    <w:uiPriority w:val="99"/>
    <w:rPr>
      <w:rFonts w:ascii="Times New Roman" w:hAnsi="Times New Roman" w:eastAsia="Arial Unicode MS" w:cs="Times New Roman"/>
      <w:b/>
      <w:bCs/>
      <w:sz w:val="20"/>
      <w:szCs w:val="20"/>
      <w:shd w:val="clear" w:color="auto" w:fill="FFFFFF"/>
      <w:lang w:eastAsia="en-US"/>
    </w:rPr>
  </w:style>
  <w:style w:type="character" w:customStyle="1" w:styleId="566">
    <w:name w:val="正文文本 + SimHei"/>
    <w:qFormat/>
    <w:uiPriority w:val="99"/>
    <w:rPr>
      <w:rFonts w:ascii="黑体" w:eastAsia="黑体" w:cs="黑体"/>
      <w:spacing w:val="-30"/>
      <w:sz w:val="20"/>
      <w:szCs w:val="20"/>
      <w:u w:val="none"/>
    </w:rPr>
  </w:style>
  <w:style w:type="character" w:customStyle="1" w:styleId="567">
    <w:name w:val="正文文本 + Times New Roman12"/>
    <w:qFormat/>
    <w:uiPriority w:val="99"/>
    <w:rPr>
      <w:rFonts w:ascii="Times New Roman" w:hAnsi="Times New Roman" w:eastAsia="Arial Unicode MS" w:cs="Times New Roman"/>
      <w:spacing w:val="0"/>
      <w:sz w:val="20"/>
      <w:szCs w:val="20"/>
      <w:u w:val="none"/>
      <w:lang w:val="en-US" w:eastAsia="en-US"/>
    </w:rPr>
  </w:style>
  <w:style w:type="character" w:customStyle="1" w:styleId="568">
    <w:name w:val="正文文本 + 粗体17"/>
    <w:qFormat/>
    <w:uiPriority w:val="99"/>
    <w:rPr>
      <w:rFonts w:ascii="Arial Unicode MS" w:eastAsia="Arial Unicode MS" w:cs="Arial Unicode MS"/>
      <w:b/>
      <w:bCs/>
      <w:spacing w:val="-50"/>
      <w:sz w:val="23"/>
      <w:szCs w:val="23"/>
      <w:u w:val="none"/>
      <w:lang w:val="en-US" w:eastAsia="en-US"/>
    </w:rPr>
  </w:style>
  <w:style w:type="character" w:customStyle="1" w:styleId="569">
    <w:name w:val="正文文本 + 间距 -1 pt4"/>
    <w:qFormat/>
    <w:uiPriority w:val="99"/>
    <w:rPr>
      <w:rFonts w:ascii="Arial Unicode MS" w:eastAsia="Arial Unicode MS" w:cs="Arial Unicode MS"/>
      <w:spacing w:val="-20"/>
      <w:sz w:val="23"/>
      <w:szCs w:val="23"/>
      <w:u w:val="none"/>
    </w:rPr>
  </w:style>
  <w:style w:type="character" w:customStyle="1" w:styleId="570">
    <w:name w:val="正文文本 + 粗体18"/>
    <w:qFormat/>
    <w:uiPriority w:val="99"/>
    <w:rPr>
      <w:rFonts w:ascii="Arial Unicode MS" w:eastAsia="Arial Unicode MS" w:cs="Arial Unicode MS"/>
      <w:b/>
      <w:bCs/>
      <w:smallCaps/>
      <w:spacing w:val="4"/>
      <w:sz w:val="22"/>
      <w:szCs w:val="22"/>
      <w:u w:val="none"/>
      <w:lang w:val="en-US" w:eastAsia="en-US"/>
    </w:rPr>
  </w:style>
  <w:style w:type="character" w:customStyle="1" w:styleId="571">
    <w:name w:val="正文文本 + 间距 0 pt Exact5"/>
    <w:qFormat/>
    <w:uiPriority w:val="99"/>
    <w:rPr>
      <w:rFonts w:ascii="Arial Unicode MS" w:eastAsia="Arial Unicode MS" w:cs="Arial Unicode MS"/>
      <w:spacing w:val="-16"/>
      <w:sz w:val="22"/>
      <w:szCs w:val="22"/>
      <w:u w:val="none"/>
    </w:rPr>
  </w:style>
  <w:style w:type="character" w:customStyle="1" w:styleId="572">
    <w:name w:val="正文文本 (7) + 非粗体11"/>
    <w:qFormat/>
    <w:uiPriority w:val="99"/>
    <w:rPr>
      <w:rFonts w:ascii="Arial Unicode MS" w:eastAsia="Arial Unicode MS" w:cs="Arial Unicode MS"/>
      <w:b/>
      <w:bCs/>
      <w:spacing w:val="10"/>
      <w:sz w:val="23"/>
      <w:szCs w:val="23"/>
      <w:u w:val="none"/>
      <w:shd w:val="clear" w:color="auto" w:fill="FFFFFF"/>
      <w:lang w:val="en-US" w:eastAsia="en-US"/>
    </w:rPr>
  </w:style>
  <w:style w:type="character" w:customStyle="1" w:styleId="573">
    <w:name w:val="表格标题 + 粗体"/>
    <w:qFormat/>
    <w:uiPriority w:val="99"/>
    <w:rPr>
      <w:rFonts w:ascii="Arial Unicode MS" w:eastAsia="Arial Unicode MS" w:cs="Arial Unicode MS"/>
      <w:b/>
      <w:bCs/>
      <w:spacing w:val="0"/>
      <w:sz w:val="23"/>
      <w:szCs w:val="23"/>
      <w:u w:val="none"/>
      <w:shd w:val="clear" w:color="auto" w:fill="FFFFFF"/>
      <w:lang w:val="en-US" w:eastAsia="en-US"/>
    </w:rPr>
  </w:style>
  <w:style w:type="character" w:customStyle="1" w:styleId="574">
    <w:name w:val="表格标题 + 间距 -1 pt"/>
    <w:qFormat/>
    <w:uiPriority w:val="99"/>
    <w:rPr>
      <w:rFonts w:ascii="Arial Unicode MS" w:eastAsia="Arial Unicode MS" w:cs="Arial Unicode MS"/>
      <w:spacing w:val="-20"/>
      <w:sz w:val="23"/>
      <w:szCs w:val="23"/>
      <w:u w:val="none"/>
      <w:shd w:val="clear" w:color="auto" w:fill="FFFFFF"/>
    </w:rPr>
  </w:style>
  <w:style w:type="character" w:customStyle="1" w:styleId="575">
    <w:name w:val="正文文本 + 粗体27"/>
    <w:qFormat/>
    <w:uiPriority w:val="99"/>
    <w:rPr>
      <w:rFonts w:ascii="Arial Unicode MS" w:eastAsia="Arial Unicode MS" w:cs="Arial Unicode MS"/>
      <w:b/>
      <w:bCs/>
      <w:spacing w:val="0"/>
      <w:sz w:val="23"/>
      <w:szCs w:val="23"/>
      <w:u w:val="none"/>
      <w:lang w:val="en-US" w:eastAsia="en-US"/>
    </w:rPr>
  </w:style>
  <w:style w:type="character" w:customStyle="1" w:styleId="576">
    <w:name w:val="正文文本 + 间距 -1 pt8"/>
    <w:qFormat/>
    <w:uiPriority w:val="99"/>
    <w:rPr>
      <w:rFonts w:ascii="Arial Unicode MS" w:eastAsia="Arial Unicode MS" w:cs="Arial Unicode MS"/>
      <w:spacing w:val="-20"/>
      <w:sz w:val="23"/>
      <w:szCs w:val="23"/>
      <w:u w:val="none"/>
    </w:rPr>
  </w:style>
  <w:style w:type="character" w:customStyle="1" w:styleId="577">
    <w:name w:val="表格标题 + 间距 6 pt"/>
    <w:qFormat/>
    <w:uiPriority w:val="99"/>
    <w:rPr>
      <w:rFonts w:ascii="Arial Unicode MS" w:eastAsia="Arial Unicode MS" w:cs="Arial Unicode MS"/>
      <w:spacing w:val="120"/>
      <w:sz w:val="23"/>
      <w:szCs w:val="23"/>
      <w:u w:val="none"/>
      <w:shd w:val="clear" w:color="auto" w:fill="FFFFFF"/>
    </w:rPr>
  </w:style>
  <w:style w:type="character" w:customStyle="1" w:styleId="578">
    <w:name w:val="正文文本 + 间距 6 pt"/>
    <w:qFormat/>
    <w:uiPriority w:val="99"/>
    <w:rPr>
      <w:rFonts w:ascii="Arial Unicode MS" w:eastAsia="Arial Unicode MS" w:cs="Arial Unicode MS"/>
      <w:spacing w:val="120"/>
      <w:sz w:val="23"/>
      <w:szCs w:val="23"/>
      <w:u w:val="none"/>
    </w:rPr>
  </w:style>
  <w:style w:type="character" w:customStyle="1" w:styleId="579">
    <w:name w:val="正文文本 + 间距 13 pt"/>
    <w:qFormat/>
    <w:uiPriority w:val="99"/>
    <w:rPr>
      <w:rFonts w:ascii="Arial Unicode MS" w:eastAsia="Arial Unicode MS" w:cs="Arial Unicode MS"/>
      <w:spacing w:val="270"/>
      <w:sz w:val="23"/>
      <w:szCs w:val="23"/>
      <w:u w:val="none"/>
    </w:rPr>
  </w:style>
  <w:style w:type="character" w:customStyle="1" w:styleId="580">
    <w:name w:val="正文文本 + Times New Roman"/>
    <w:qFormat/>
    <w:uiPriority w:val="99"/>
    <w:rPr>
      <w:rFonts w:ascii="Times New Roman" w:hAnsi="Times New Roman" w:eastAsia="Arial Unicode MS" w:cs="Times New Roman"/>
      <w:spacing w:val="10"/>
      <w:sz w:val="20"/>
      <w:szCs w:val="20"/>
      <w:u w:val="none"/>
    </w:rPr>
  </w:style>
  <w:style w:type="character" w:customStyle="1" w:styleId="581">
    <w:name w:val="正文文本 + 间距 -1 pt7"/>
    <w:qFormat/>
    <w:uiPriority w:val="99"/>
    <w:rPr>
      <w:rFonts w:ascii="Arial Unicode MS" w:eastAsia="Arial Unicode MS" w:cs="Arial Unicode MS"/>
      <w:spacing w:val="-20"/>
      <w:sz w:val="23"/>
      <w:szCs w:val="23"/>
      <w:u w:val="none"/>
    </w:rPr>
  </w:style>
  <w:style w:type="character" w:customStyle="1" w:styleId="582">
    <w:name w:val="fontstyle31"/>
    <w:qFormat/>
    <w:uiPriority w:val="0"/>
    <w:rPr>
      <w:rFonts w:hint="default" w:ascii="TimesNewRomanPS-BoldMT" w:hAnsi="TimesNewRomanPS-BoldMT"/>
      <w:b/>
      <w:bCs/>
      <w:color w:val="000000"/>
      <w:sz w:val="24"/>
      <w:szCs w:val="24"/>
    </w:rPr>
  </w:style>
  <w:style w:type="character" w:customStyle="1" w:styleId="583">
    <w:name w:val="正文文本 + 间距 9 pt"/>
    <w:qFormat/>
    <w:uiPriority w:val="99"/>
    <w:rPr>
      <w:rFonts w:ascii="Arial Unicode MS" w:eastAsia="Arial Unicode MS" w:cs="Arial Unicode MS"/>
      <w:spacing w:val="180"/>
      <w:sz w:val="23"/>
      <w:szCs w:val="23"/>
      <w:u w:val="none"/>
    </w:rPr>
  </w:style>
  <w:style w:type="character" w:customStyle="1" w:styleId="584">
    <w:name w:val="正文文本 + 间距 -1 pt6"/>
    <w:qFormat/>
    <w:uiPriority w:val="99"/>
    <w:rPr>
      <w:rFonts w:ascii="Arial Unicode MS" w:eastAsia="Arial Unicode MS" w:cs="Arial Unicode MS"/>
      <w:spacing w:val="-20"/>
      <w:sz w:val="23"/>
      <w:szCs w:val="23"/>
      <w:u w:val="none"/>
    </w:rPr>
  </w:style>
  <w:style w:type="character" w:customStyle="1" w:styleId="585">
    <w:name w:val="正文文本 + Times New Roman15"/>
    <w:qFormat/>
    <w:uiPriority w:val="99"/>
    <w:rPr>
      <w:rFonts w:ascii="Times New Roman" w:hAnsi="Times New Roman" w:eastAsia="Arial Unicode MS" w:cs="Times New Roman"/>
      <w:spacing w:val="10"/>
      <w:sz w:val="20"/>
      <w:szCs w:val="20"/>
      <w:u w:val="none"/>
      <w:lang w:val="en-US" w:eastAsia="en-US"/>
    </w:rPr>
  </w:style>
  <w:style w:type="paragraph" w:customStyle="1" w:styleId="586">
    <w:name w:val="3级标题"/>
    <w:basedOn w:val="1"/>
    <w:link w:val="587"/>
    <w:qFormat/>
    <w:uiPriority w:val="0"/>
    <w:pPr>
      <w:ind w:firstLine="0" w:firstLineChars="0"/>
      <w:jc w:val="left"/>
      <w:outlineLvl w:val="2"/>
    </w:pPr>
    <w:rPr>
      <w:b/>
      <w:bCs/>
      <w:kern w:val="0"/>
      <w:szCs w:val="24"/>
    </w:rPr>
  </w:style>
  <w:style w:type="character" w:customStyle="1" w:styleId="587">
    <w:name w:val="3级标题 Char"/>
    <w:link w:val="586"/>
    <w:qFormat/>
    <w:uiPriority w:val="0"/>
    <w:rPr>
      <w:rFonts w:ascii="Times New Roman" w:hAnsi="Times New Roman" w:eastAsia="宋体" w:cs="Times New Roman"/>
      <w:b/>
      <w:bCs/>
      <w:sz w:val="24"/>
      <w:szCs w:val="24"/>
    </w:rPr>
  </w:style>
  <w:style w:type="character" w:customStyle="1" w:styleId="588">
    <w:name w:val="正文文本 + 粗体26"/>
    <w:qFormat/>
    <w:uiPriority w:val="99"/>
    <w:rPr>
      <w:rFonts w:ascii="Arial Unicode MS" w:eastAsia="Arial Unicode MS" w:cs="Arial Unicode MS"/>
      <w:b/>
      <w:bCs/>
      <w:smallCaps/>
      <w:spacing w:val="0"/>
      <w:sz w:val="23"/>
      <w:szCs w:val="23"/>
      <w:u w:val="none"/>
      <w:lang w:val="en-US" w:eastAsia="en-US"/>
    </w:rPr>
  </w:style>
  <w:style w:type="character" w:customStyle="1" w:styleId="589">
    <w:name w:val="正文文本 + Tahoma"/>
    <w:qFormat/>
    <w:uiPriority w:val="99"/>
    <w:rPr>
      <w:rFonts w:ascii="Tahoma" w:hAnsi="Tahoma" w:eastAsia="Arial Unicode MS" w:cs="Tahoma"/>
      <w:spacing w:val="-10"/>
      <w:sz w:val="22"/>
      <w:szCs w:val="22"/>
      <w:u w:val="none"/>
    </w:rPr>
  </w:style>
  <w:style w:type="paragraph" w:customStyle="1" w:styleId="590">
    <w:name w:val="标题2-1"/>
    <w:basedOn w:val="5"/>
    <w:qFormat/>
    <w:uiPriority w:val="0"/>
    <w:pPr>
      <w:spacing w:beforeLines="0" w:afterLines="0" w:line="500" w:lineRule="exact"/>
      <w:jc w:val="both"/>
    </w:pPr>
    <w:rPr>
      <w:rFonts w:ascii="宋体" w:hAnsi="宋体"/>
      <w:bCs w:val="0"/>
      <w:color w:val="339966"/>
      <w:kern w:val="44"/>
      <w:sz w:val="24"/>
      <w:szCs w:val="44"/>
    </w:rPr>
  </w:style>
  <w:style w:type="paragraph" w:customStyle="1" w:styleId="591">
    <w:name w:val="表格1"/>
    <w:basedOn w:val="1"/>
    <w:qFormat/>
    <w:uiPriority w:val="0"/>
    <w:pPr>
      <w:adjustRightInd w:val="0"/>
      <w:spacing w:line="400" w:lineRule="atLeast"/>
      <w:ind w:firstLine="0" w:firstLineChars="0"/>
      <w:jc w:val="center"/>
      <w:textAlignment w:val="baseline"/>
    </w:pPr>
    <w:rPr>
      <w:kern w:val="0"/>
      <w:szCs w:val="24"/>
    </w:rPr>
  </w:style>
  <w:style w:type="character" w:customStyle="1" w:styleId="592">
    <w:name w:val="正文文本 + 间距 0 pt"/>
    <w:qFormat/>
    <w:uiPriority w:val="99"/>
    <w:rPr>
      <w:rFonts w:ascii="Arial Unicode MS" w:eastAsia="Arial Unicode MS" w:cs="Arial Unicode MS"/>
      <w:spacing w:val="17"/>
      <w:sz w:val="22"/>
      <w:szCs w:val="22"/>
      <w:u w:val="none"/>
    </w:rPr>
  </w:style>
  <w:style w:type="character" w:customStyle="1" w:styleId="593">
    <w:name w:val="正文文本 + 粗体13"/>
    <w:qFormat/>
    <w:uiPriority w:val="99"/>
    <w:rPr>
      <w:rFonts w:ascii="Arial Unicode MS" w:eastAsia="Arial Unicode MS" w:cs="Arial Unicode MS"/>
      <w:b/>
      <w:bCs/>
      <w:spacing w:val="7"/>
      <w:sz w:val="22"/>
      <w:szCs w:val="22"/>
      <w:u w:val="none"/>
      <w:lang w:val="en-US" w:eastAsia="en-US"/>
    </w:rPr>
  </w:style>
  <w:style w:type="character" w:customStyle="1" w:styleId="594">
    <w:name w:val="表格标题 + 粗体4"/>
    <w:qFormat/>
    <w:uiPriority w:val="99"/>
    <w:rPr>
      <w:rFonts w:ascii="Arial Unicode MS" w:eastAsia="Arial Unicode MS" w:cs="Arial Unicode MS"/>
      <w:b/>
      <w:bCs/>
      <w:spacing w:val="0"/>
      <w:sz w:val="23"/>
      <w:szCs w:val="23"/>
      <w:u w:val="none"/>
      <w:shd w:val="clear" w:color="auto" w:fill="FFFFFF"/>
      <w:lang w:val="en-US" w:eastAsia="en-US"/>
    </w:rPr>
  </w:style>
  <w:style w:type="character" w:customStyle="1" w:styleId="595">
    <w:name w:val="正文文本 + 间距 -2 pt1"/>
    <w:qFormat/>
    <w:uiPriority w:val="99"/>
    <w:rPr>
      <w:rFonts w:ascii="Arial Unicode MS" w:eastAsia="Arial Unicode MS" w:cs="Arial Unicode MS"/>
      <w:spacing w:val="-50"/>
      <w:sz w:val="23"/>
      <w:szCs w:val="23"/>
      <w:u w:val="none"/>
    </w:rPr>
  </w:style>
  <w:style w:type="character" w:customStyle="1" w:styleId="596">
    <w:name w:val="正文文本 + 间距 -1 pt3"/>
    <w:qFormat/>
    <w:uiPriority w:val="99"/>
    <w:rPr>
      <w:rFonts w:ascii="Arial Unicode MS" w:eastAsia="Arial Unicode MS" w:cs="Arial Unicode MS"/>
      <w:spacing w:val="-20"/>
      <w:sz w:val="23"/>
      <w:szCs w:val="23"/>
      <w:u w:val="none"/>
    </w:rPr>
  </w:style>
  <w:style w:type="character" w:customStyle="1" w:styleId="597">
    <w:name w:val="正文文本 (7)2"/>
    <w:qFormat/>
    <w:uiPriority w:val="99"/>
    <w:rPr>
      <w:rFonts w:ascii="Arial Unicode MS" w:eastAsia="Arial Unicode MS" w:cs="Arial Unicode MS"/>
      <w:sz w:val="23"/>
      <w:szCs w:val="23"/>
      <w:u w:val="none"/>
      <w:shd w:val="clear" w:color="auto" w:fill="FFFFFF"/>
      <w:lang w:val="en-US" w:eastAsia="en-US"/>
    </w:rPr>
  </w:style>
  <w:style w:type="character" w:customStyle="1" w:styleId="598">
    <w:name w:val="正文文本 (7) + 非粗体4"/>
    <w:qFormat/>
    <w:uiPriority w:val="99"/>
    <w:rPr>
      <w:rFonts w:ascii="Arial Unicode MS" w:eastAsia="Arial Unicode MS" w:cs="Arial Unicode MS"/>
      <w:spacing w:val="10"/>
      <w:sz w:val="23"/>
      <w:szCs w:val="23"/>
      <w:u w:val="none"/>
      <w:shd w:val="clear" w:color="auto" w:fill="FFFFFF"/>
      <w:lang w:val="en-US" w:eastAsia="en-US"/>
    </w:rPr>
  </w:style>
  <w:style w:type="character" w:customStyle="1" w:styleId="599">
    <w:name w:val="正文文本 + SimHei15"/>
    <w:qFormat/>
    <w:uiPriority w:val="99"/>
    <w:rPr>
      <w:rFonts w:ascii="黑体" w:eastAsia="黑体" w:cs="黑体"/>
      <w:spacing w:val="-20"/>
      <w:sz w:val="20"/>
      <w:szCs w:val="20"/>
      <w:u w:val="none"/>
    </w:rPr>
  </w:style>
  <w:style w:type="character" w:customStyle="1" w:styleId="600">
    <w:name w:val="正文文本 + Times New Roman10"/>
    <w:qFormat/>
    <w:uiPriority w:val="99"/>
    <w:rPr>
      <w:rFonts w:ascii="Times New Roman" w:hAnsi="Times New Roman" w:eastAsia="Arial Unicode MS" w:cs="Times New Roman"/>
      <w:spacing w:val="0"/>
      <w:sz w:val="20"/>
      <w:szCs w:val="20"/>
      <w:u w:val="none"/>
      <w:lang w:val="en-US" w:eastAsia="en-US"/>
    </w:rPr>
  </w:style>
  <w:style w:type="character" w:customStyle="1" w:styleId="601">
    <w:name w:val="正文文本 + SimHei14"/>
    <w:qFormat/>
    <w:uiPriority w:val="99"/>
    <w:rPr>
      <w:rFonts w:ascii="黑体" w:eastAsia="黑体" w:cs="黑体"/>
      <w:spacing w:val="-40"/>
      <w:sz w:val="20"/>
      <w:szCs w:val="20"/>
      <w:u w:val="none"/>
    </w:rPr>
  </w:style>
  <w:style w:type="paragraph" w:customStyle="1" w:styleId="602">
    <w:name w:val="1111111"/>
    <w:basedOn w:val="1"/>
    <w:qFormat/>
    <w:uiPriority w:val="0"/>
    <w:pPr>
      <w:spacing w:line="560" w:lineRule="exact"/>
      <w:ind w:left="485" w:leftChars="231" w:firstLine="485" w:firstLineChars="202"/>
      <w:jc w:val="left"/>
    </w:pPr>
    <w:rPr>
      <w:rFonts w:ascii="宋体" w:hAnsi="宋体"/>
      <w:szCs w:val="24"/>
    </w:rPr>
  </w:style>
  <w:style w:type="character" w:customStyle="1" w:styleId="603">
    <w:name w:val="A-表格文字 Char"/>
    <w:link w:val="604"/>
    <w:qFormat/>
    <w:locked/>
    <w:uiPriority w:val="0"/>
    <w:rPr>
      <w:szCs w:val="21"/>
    </w:rPr>
  </w:style>
  <w:style w:type="paragraph" w:customStyle="1" w:styleId="604">
    <w:name w:val="A-表格文字"/>
    <w:basedOn w:val="1"/>
    <w:next w:val="1"/>
    <w:link w:val="603"/>
    <w:qFormat/>
    <w:uiPriority w:val="0"/>
    <w:pPr>
      <w:autoSpaceDE w:val="0"/>
      <w:autoSpaceDN w:val="0"/>
      <w:adjustRightInd w:val="0"/>
      <w:spacing w:line="240" w:lineRule="auto"/>
      <w:ind w:firstLine="0" w:firstLineChars="0"/>
      <w:jc w:val="center"/>
    </w:pPr>
    <w:rPr>
      <w:kern w:val="0"/>
      <w:sz w:val="20"/>
    </w:rPr>
  </w:style>
  <w:style w:type="character" w:customStyle="1" w:styleId="605">
    <w:name w:val="正文文本 (8)_"/>
    <w:link w:val="606"/>
    <w:qFormat/>
    <w:uiPriority w:val="99"/>
    <w:rPr>
      <w:rFonts w:ascii="Times New Roman" w:hAnsi="Times New Roman" w:cs="Times New Roman"/>
      <w:i/>
      <w:iCs/>
      <w:sz w:val="28"/>
      <w:szCs w:val="28"/>
      <w:shd w:val="clear" w:color="auto" w:fill="FFFFFF"/>
      <w:lang w:eastAsia="en-US"/>
    </w:rPr>
  </w:style>
  <w:style w:type="paragraph" w:customStyle="1" w:styleId="606">
    <w:name w:val="正文文本 (8)1"/>
    <w:basedOn w:val="1"/>
    <w:link w:val="605"/>
    <w:qFormat/>
    <w:uiPriority w:val="99"/>
    <w:pPr>
      <w:shd w:val="clear" w:color="auto" w:fill="FFFFFF"/>
      <w:spacing w:line="240" w:lineRule="atLeast"/>
      <w:ind w:firstLine="0" w:firstLineChars="0"/>
    </w:pPr>
    <w:rPr>
      <w:i/>
      <w:iCs/>
      <w:kern w:val="0"/>
      <w:sz w:val="28"/>
      <w:szCs w:val="28"/>
      <w:lang w:eastAsia="en-US"/>
    </w:rPr>
  </w:style>
  <w:style w:type="character" w:customStyle="1" w:styleId="607">
    <w:name w:val="正文文本 (8)"/>
    <w:qFormat/>
    <w:uiPriority w:val="99"/>
    <w:rPr>
      <w:rFonts w:ascii="Times New Roman" w:hAnsi="Times New Roman" w:cs="Times New Roman"/>
      <w:sz w:val="28"/>
      <w:szCs w:val="28"/>
      <w:shd w:val="clear" w:color="auto" w:fill="FFFFFF"/>
      <w:lang w:eastAsia="en-US"/>
    </w:rPr>
  </w:style>
  <w:style w:type="character" w:customStyle="1" w:styleId="608">
    <w:name w:val="正文文本 (8) + Arial Unicode MS"/>
    <w:qFormat/>
    <w:uiPriority w:val="99"/>
    <w:rPr>
      <w:rFonts w:ascii="Arial Unicode MS" w:hAnsi="Times New Roman" w:eastAsia="Arial Unicode MS" w:cs="Arial Unicode MS"/>
      <w:i/>
      <w:iCs/>
      <w:sz w:val="21"/>
      <w:szCs w:val="21"/>
      <w:shd w:val="clear" w:color="auto" w:fill="FFFFFF"/>
      <w:lang w:eastAsia="en-US"/>
    </w:rPr>
  </w:style>
  <w:style w:type="character" w:customStyle="1" w:styleId="609">
    <w:name w:val="正文文本 + 10.5 pt4"/>
    <w:qFormat/>
    <w:uiPriority w:val="99"/>
    <w:rPr>
      <w:rFonts w:ascii="Arial Unicode MS" w:eastAsia="Arial Unicode MS" w:cs="Arial Unicode MS"/>
      <w:spacing w:val="0"/>
      <w:sz w:val="21"/>
      <w:szCs w:val="21"/>
      <w:u w:val="none"/>
      <w:lang w:val="en-US" w:eastAsia="en-US"/>
    </w:rPr>
  </w:style>
  <w:style w:type="character" w:customStyle="1" w:styleId="610">
    <w:name w:val="正文文本 + Times New Roman6"/>
    <w:qFormat/>
    <w:uiPriority w:val="99"/>
    <w:rPr>
      <w:rFonts w:ascii="Times New Roman" w:hAnsi="Times New Roman" w:eastAsia="Arial Unicode MS" w:cs="Times New Roman"/>
      <w:i/>
      <w:iCs/>
      <w:spacing w:val="0"/>
      <w:sz w:val="28"/>
      <w:szCs w:val="28"/>
      <w:u w:val="none"/>
      <w:lang w:val="en-US" w:eastAsia="en-US"/>
    </w:rPr>
  </w:style>
  <w:style w:type="character" w:customStyle="1" w:styleId="611">
    <w:name w:val="正文文本 + Times New Roman5"/>
    <w:qFormat/>
    <w:uiPriority w:val="99"/>
    <w:rPr>
      <w:rFonts w:ascii="Times New Roman" w:hAnsi="Times New Roman" w:eastAsia="Arial Unicode MS" w:cs="Times New Roman"/>
      <w:i/>
      <w:iCs/>
      <w:spacing w:val="40"/>
      <w:sz w:val="28"/>
      <w:szCs w:val="28"/>
      <w:u w:val="none"/>
      <w:lang w:val="en-US" w:eastAsia="en-US"/>
    </w:rPr>
  </w:style>
  <w:style w:type="character" w:customStyle="1" w:styleId="612">
    <w:name w:val="正文文本 (9)_"/>
    <w:link w:val="613"/>
    <w:qFormat/>
    <w:uiPriority w:val="99"/>
    <w:rPr>
      <w:rFonts w:ascii="Arial Unicode MS" w:eastAsia="Arial Unicode MS" w:cs="Arial Unicode MS"/>
      <w:szCs w:val="21"/>
      <w:shd w:val="clear" w:color="auto" w:fill="FFFFFF"/>
      <w:lang w:eastAsia="en-US"/>
    </w:rPr>
  </w:style>
  <w:style w:type="paragraph" w:customStyle="1" w:styleId="613">
    <w:name w:val="正文文本 (9)1"/>
    <w:basedOn w:val="1"/>
    <w:link w:val="612"/>
    <w:qFormat/>
    <w:uiPriority w:val="99"/>
    <w:pPr>
      <w:shd w:val="clear" w:color="auto" w:fill="FFFFFF"/>
      <w:spacing w:line="240" w:lineRule="atLeast"/>
      <w:ind w:firstLine="560" w:firstLineChars="0"/>
      <w:jc w:val="distribute"/>
    </w:pPr>
    <w:rPr>
      <w:rFonts w:ascii="Arial Unicode MS" w:eastAsia="Arial Unicode MS"/>
      <w:kern w:val="0"/>
      <w:sz w:val="20"/>
      <w:lang w:eastAsia="en-US"/>
    </w:rPr>
  </w:style>
  <w:style w:type="character" w:customStyle="1" w:styleId="614">
    <w:name w:val="页眉或页脚 + 4 pt1"/>
    <w:qFormat/>
    <w:uiPriority w:val="99"/>
    <w:rPr>
      <w:rFonts w:ascii="黑体" w:eastAsia="黑体" w:cs="黑体"/>
      <w:spacing w:val="0"/>
      <w:sz w:val="8"/>
      <w:szCs w:val="8"/>
      <w:u w:val="none"/>
      <w:shd w:val="clear" w:color="auto" w:fill="FFFFFF"/>
      <w:lang w:val="en-US" w:eastAsia="en-US"/>
    </w:rPr>
  </w:style>
  <w:style w:type="character" w:customStyle="1" w:styleId="615">
    <w:name w:val="页眉或页脚2"/>
    <w:qFormat/>
    <w:uiPriority w:val="99"/>
    <w:rPr>
      <w:rFonts w:ascii="黑体" w:eastAsia="黑体" w:cs="黑体"/>
      <w:spacing w:val="90"/>
      <w:sz w:val="21"/>
      <w:szCs w:val="21"/>
      <w:u w:val="single"/>
      <w:shd w:val="clear" w:color="auto" w:fill="FFFFFF"/>
    </w:rPr>
  </w:style>
  <w:style w:type="character" w:customStyle="1" w:styleId="616">
    <w:name w:val="页眉或页脚 + 间距 0 pt2"/>
    <w:qFormat/>
    <w:uiPriority w:val="99"/>
    <w:rPr>
      <w:rFonts w:ascii="黑体" w:eastAsia="黑体" w:cs="黑体"/>
      <w:spacing w:val="0"/>
      <w:sz w:val="21"/>
      <w:szCs w:val="21"/>
      <w:u w:val="none"/>
      <w:shd w:val="clear" w:color="auto" w:fill="FFFFFF"/>
    </w:rPr>
  </w:style>
  <w:style w:type="character" w:customStyle="1" w:styleId="617">
    <w:name w:val="页眉或页脚 (2)"/>
    <w:qFormat/>
    <w:uiPriority w:val="99"/>
    <w:rPr>
      <w:rFonts w:ascii="黑体" w:eastAsia="黑体" w:cs="黑体"/>
      <w:sz w:val="8"/>
      <w:szCs w:val="8"/>
      <w:u w:val="none"/>
      <w:lang w:val="en-US" w:eastAsia="en-US"/>
    </w:rPr>
  </w:style>
  <w:style w:type="character" w:customStyle="1" w:styleId="618">
    <w:name w:val="页眉或页脚 + Times New Roman4"/>
    <w:qFormat/>
    <w:uiPriority w:val="99"/>
    <w:rPr>
      <w:rFonts w:ascii="Times New Roman" w:hAnsi="Times New Roman" w:eastAsia="黑体" w:cs="Times New Roman"/>
      <w:spacing w:val="0"/>
      <w:sz w:val="20"/>
      <w:szCs w:val="20"/>
      <w:u w:val="none"/>
      <w:shd w:val="clear" w:color="auto" w:fill="FFFFFF"/>
    </w:rPr>
  </w:style>
  <w:style w:type="character" w:customStyle="1" w:styleId="619">
    <w:name w:val="正文文本 (9)"/>
    <w:qFormat/>
    <w:uiPriority w:val="99"/>
    <w:rPr>
      <w:rFonts w:ascii="Arial Unicode MS" w:eastAsia="Arial Unicode MS" w:cs="Arial Unicode MS"/>
      <w:szCs w:val="21"/>
      <w:shd w:val="clear" w:color="auto" w:fill="FFFFFF"/>
      <w:lang w:eastAsia="en-US"/>
    </w:rPr>
  </w:style>
  <w:style w:type="character" w:customStyle="1" w:styleId="620">
    <w:name w:val="页眉或页脚 (2) + Times New Roman2"/>
    <w:qFormat/>
    <w:uiPriority w:val="99"/>
    <w:rPr>
      <w:rFonts w:ascii="Times New Roman" w:hAnsi="Times New Roman" w:cs="Times New Roman"/>
      <w:sz w:val="20"/>
      <w:szCs w:val="20"/>
      <w:u w:val="none"/>
    </w:rPr>
  </w:style>
  <w:style w:type="character" w:customStyle="1" w:styleId="621">
    <w:name w:val="正文文本 (9) + Times New Roman6"/>
    <w:qFormat/>
    <w:uiPriority w:val="99"/>
    <w:rPr>
      <w:rFonts w:ascii="Times New Roman" w:hAnsi="Times New Roman" w:eastAsia="Arial Unicode MS" w:cs="Times New Roman"/>
      <w:i/>
      <w:iCs/>
      <w:sz w:val="28"/>
      <w:szCs w:val="28"/>
      <w:shd w:val="clear" w:color="auto" w:fill="FFFFFF"/>
      <w:lang w:eastAsia="en-US"/>
    </w:rPr>
  </w:style>
  <w:style w:type="character" w:customStyle="1" w:styleId="622">
    <w:name w:val="正文文本 + 10.5 pt3"/>
    <w:qFormat/>
    <w:uiPriority w:val="99"/>
    <w:rPr>
      <w:rFonts w:ascii="Arial Unicode MS" w:eastAsia="Arial Unicode MS" w:cs="Arial Unicode MS"/>
      <w:i/>
      <w:iCs/>
      <w:spacing w:val="-30"/>
      <w:sz w:val="21"/>
      <w:szCs w:val="21"/>
      <w:u w:val="none"/>
      <w:lang w:val="en-US" w:eastAsia="en-US"/>
    </w:rPr>
  </w:style>
  <w:style w:type="character" w:customStyle="1" w:styleId="623">
    <w:name w:val="正文文本 (8) + SimHei"/>
    <w:qFormat/>
    <w:uiPriority w:val="99"/>
    <w:rPr>
      <w:rFonts w:ascii="黑体" w:hAnsi="Times New Roman" w:eastAsia="黑体" w:cs="黑体"/>
      <w:i/>
      <w:iCs/>
      <w:spacing w:val="20"/>
      <w:sz w:val="24"/>
      <w:szCs w:val="24"/>
      <w:u w:val="none"/>
      <w:shd w:val="clear" w:color="auto" w:fill="FFFFFF"/>
      <w:lang w:val="en-US" w:eastAsia="en-US"/>
    </w:rPr>
  </w:style>
  <w:style w:type="character" w:customStyle="1" w:styleId="624">
    <w:name w:val="正文文本 (9) + Times New Roman5"/>
    <w:qFormat/>
    <w:uiPriority w:val="99"/>
    <w:rPr>
      <w:rFonts w:ascii="Times New Roman" w:hAnsi="Times New Roman" w:eastAsia="Arial Unicode MS" w:cs="Times New Roman"/>
      <w:i/>
      <w:iCs/>
      <w:spacing w:val="40"/>
      <w:sz w:val="28"/>
      <w:szCs w:val="28"/>
      <w:u w:val="none"/>
      <w:shd w:val="clear" w:color="auto" w:fill="FFFFFF"/>
      <w:lang w:val="en-US" w:eastAsia="en-US"/>
    </w:rPr>
  </w:style>
  <w:style w:type="character" w:customStyle="1" w:styleId="625">
    <w:name w:val="正文文本 (9) + 斜体"/>
    <w:qFormat/>
    <w:uiPriority w:val="99"/>
    <w:rPr>
      <w:rFonts w:ascii="Arial Unicode MS" w:eastAsia="Arial Unicode MS" w:cs="Arial Unicode MS"/>
      <w:i/>
      <w:iCs/>
      <w:spacing w:val="-30"/>
      <w:sz w:val="21"/>
      <w:szCs w:val="21"/>
      <w:u w:val="none"/>
      <w:shd w:val="clear" w:color="auto" w:fill="FFFFFF"/>
      <w:lang w:val="en-US" w:eastAsia="en-US"/>
    </w:rPr>
  </w:style>
  <w:style w:type="character" w:customStyle="1" w:styleId="626">
    <w:name w:val="正文文本 + SimHei10"/>
    <w:qFormat/>
    <w:uiPriority w:val="99"/>
    <w:rPr>
      <w:rFonts w:ascii="黑体" w:eastAsia="黑体" w:cs="黑体"/>
      <w:i/>
      <w:iCs/>
      <w:spacing w:val="0"/>
      <w:w w:val="200"/>
      <w:sz w:val="11"/>
      <w:szCs w:val="11"/>
      <w:u w:val="none"/>
    </w:rPr>
  </w:style>
  <w:style w:type="character" w:customStyle="1" w:styleId="627">
    <w:name w:val="正文文本 (8) + Arial Unicode MS4"/>
    <w:qFormat/>
    <w:uiPriority w:val="99"/>
    <w:rPr>
      <w:rFonts w:ascii="Arial Unicode MS" w:hAnsi="Times New Roman" w:eastAsia="Arial Unicode MS" w:cs="Arial Unicode MS"/>
      <w:spacing w:val="-30"/>
      <w:sz w:val="21"/>
      <w:szCs w:val="21"/>
      <w:u w:val="none"/>
      <w:shd w:val="clear" w:color="auto" w:fill="FFFFFF"/>
      <w:lang w:val="en-US" w:eastAsia="en-US"/>
    </w:rPr>
  </w:style>
  <w:style w:type="character" w:customStyle="1" w:styleId="628">
    <w:name w:val="正文文本 (8) + 间距 2 pt"/>
    <w:qFormat/>
    <w:uiPriority w:val="99"/>
    <w:rPr>
      <w:rFonts w:ascii="Times New Roman" w:hAnsi="Times New Roman" w:cs="Times New Roman"/>
      <w:spacing w:val="40"/>
      <w:sz w:val="28"/>
      <w:szCs w:val="28"/>
      <w:u w:val="none"/>
      <w:shd w:val="clear" w:color="auto" w:fill="FFFFFF"/>
      <w:lang w:val="en-US" w:eastAsia="en-US"/>
    </w:rPr>
  </w:style>
  <w:style w:type="character" w:customStyle="1" w:styleId="629">
    <w:name w:val="正文文本 (8) + Arial Unicode MS3"/>
    <w:qFormat/>
    <w:uiPriority w:val="99"/>
    <w:rPr>
      <w:rFonts w:ascii="Arial Unicode MS" w:hAnsi="Times New Roman" w:eastAsia="Arial Unicode MS" w:cs="Arial Unicode MS"/>
      <w:i/>
      <w:iCs/>
      <w:spacing w:val="10"/>
      <w:sz w:val="23"/>
      <w:szCs w:val="23"/>
      <w:u w:val="none"/>
      <w:shd w:val="clear" w:color="auto" w:fill="FFFFFF"/>
      <w:lang w:val="en-US" w:eastAsia="en-US"/>
    </w:rPr>
  </w:style>
  <w:style w:type="character" w:customStyle="1" w:styleId="630">
    <w:name w:val="正文文本 (8) + 小型大写"/>
    <w:qFormat/>
    <w:uiPriority w:val="99"/>
    <w:rPr>
      <w:rFonts w:ascii="Times New Roman" w:hAnsi="Times New Roman" w:cs="Times New Roman"/>
      <w:smallCaps/>
      <w:sz w:val="28"/>
      <w:szCs w:val="28"/>
      <w:u w:val="none"/>
      <w:shd w:val="clear" w:color="auto" w:fill="FFFFFF"/>
      <w:lang w:val="en-US" w:eastAsia="en-US"/>
    </w:rPr>
  </w:style>
  <w:style w:type="character" w:customStyle="1" w:styleId="631">
    <w:name w:val="正文文本 (8) + Arial Unicode MS2"/>
    <w:qFormat/>
    <w:uiPriority w:val="99"/>
    <w:rPr>
      <w:rFonts w:ascii="Arial Unicode MS" w:hAnsi="Times New Roman" w:eastAsia="Arial Unicode MS" w:cs="Arial Unicode MS"/>
      <w:b/>
      <w:bCs/>
      <w:i/>
      <w:iCs/>
      <w:sz w:val="23"/>
      <w:szCs w:val="23"/>
      <w:u w:val="none"/>
      <w:shd w:val="clear" w:color="auto" w:fill="FFFFFF"/>
      <w:lang w:val="en-US" w:eastAsia="en-US"/>
    </w:rPr>
  </w:style>
  <w:style w:type="character" w:customStyle="1" w:styleId="632">
    <w:name w:val="正文文本 (8) + Arial Unicode MS1"/>
    <w:qFormat/>
    <w:uiPriority w:val="99"/>
    <w:rPr>
      <w:rFonts w:ascii="Arial Unicode MS" w:hAnsi="Times New Roman" w:eastAsia="Arial Unicode MS" w:cs="Arial Unicode MS"/>
      <w:i/>
      <w:iCs/>
      <w:spacing w:val="-20"/>
      <w:sz w:val="23"/>
      <w:szCs w:val="23"/>
      <w:u w:val="none"/>
      <w:shd w:val="clear" w:color="auto" w:fill="FFFFFF"/>
      <w:lang w:val="en-US" w:eastAsia="en-US"/>
    </w:rPr>
  </w:style>
  <w:style w:type="character" w:customStyle="1" w:styleId="633">
    <w:name w:val="正文文本 + Times New Roman4"/>
    <w:qFormat/>
    <w:uiPriority w:val="99"/>
    <w:rPr>
      <w:rFonts w:ascii="Times New Roman" w:hAnsi="Times New Roman" w:eastAsia="Arial Unicode MS" w:cs="Times New Roman"/>
      <w:i/>
      <w:iCs/>
      <w:smallCaps/>
      <w:spacing w:val="0"/>
      <w:sz w:val="28"/>
      <w:szCs w:val="28"/>
      <w:u w:val="none"/>
      <w:lang w:val="en-US" w:eastAsia="en-US"/>
    </w:rPr>
  </w:style>
  <w:style w:type="character" w:customStyle="1" w:styleId="634">
    <w:name w:val="正文文本 + 间距 3 pt2"/>
    <w:qFormat/>
    <w:uiPriority w:val="99"/>
    <w:rPr>
      <w:rFonts w:ascii="Arial Unicode MS" w:eastAsia="Arial Unicode MS" w:cs="Arial Unicode MS"/>
      <w:spacing w:val="70"/>
      <w:sz w:val="23"/>
      <w:szCs w:val="23"/>
      <w:u w:val="none"/>
    </w:rPr>
  </w:style>
  <w:style w:type="character" w:customStyle="1" w:styleId="635">
    <w:name w:val="标题 #4_"/>
    <w:link w:val="636"/>
    <w:qFormat/>
    <w:uiPriority w:val="99"/>
    <w:rPr>
      <w:rFonts w:ascii="Arial Unicode MS" w:eastAsia="Arial Unicode MS" w:cs="Arial Unicode MS"/>
      <w:spacing w:val="10"/>
      <w:sz w:val="23"/>
      <w:szCs w:val="23"/>
      <w:shd w:val="clear" w:color="auto" w:fill="FFFFFF"/>
    </w:rPr>
  </w:style>
  <w:style w:type="paragraph" w:customStyle="1" w:styleId="636">
    <w:name w:val="标题 #4"/>
    <w:basedOn w:val="1"/>
    <w:link w:val="635"/>
    <w:qFormat/>
    <w:uiPriority w:val="99"/>
    <w:pPr>
      <w:shd w:val="clear" w:color="auto" w:fill="FFFFFF"/>
      <w:spacing w:line="475" w:lineRule="exact"/>
      <w:ind w:firstLine="0" w:firstLineChars="0"/>
      <w:jc w:val="left"/>
      <w:outlineLvl w:val="3"/>
    </w:pPr>
    <w:rPr>
      <w:rFonts w:ascii="Arial Unicode MS" w:eastAsia="Arial Unicode MS"/>
      <w:spacing w:val="10"/>
      <w:kern w:val="0"/>
      <w:sz w:val="23"/>
      <w:szCs w:val="23"/>
    </w:rPr>
  </w:style>
  <w:style w:type="character" w:customStyle="1" w:styleId="637">
    <w:name w:val="标题 #4 + 粗体"/>
    <w:qFormat/>
    <w:uiPriority w:val="99"/>
    <w:rPr>
      <w:rFonts w:ascii="Arial Unicode MS" w:eastAsia="Arial Unicode MS" w:cs="Arial Unicode MS"/>
      <w:b/>
      <w:bCs/>
      <w:spacing w:val="0"/>
      <w:sz w:val="23"/>
      <w:szCs w:val="23"/>
      <w:shd w:val="clear" w:color="auto" w:fill="FFFFFF"/>
      <w:lang w:val="en-US" w:eastAsia="en-US"/>
    </w:rPr>
  </w:style>
  <w:style w:type="character" w:customStyle="1" w:styleId="638">
    <w:name w:val="正文文本 + Times New Roman9"/>
    <w:qFormat/>
    <w:uiPriority w:val="99"/>
    <w:rPr>
      <w:rFonts w:ascii="Times New Roman" w:hAnsi="Times New Roman" w:eastAsia="Arial Unicode MS" w:cs="Times New Roman"/>
      <w:spacing w:val="9"/>
      <w:sz w:val="20"/>
      <w:szCs w:val="20"/>
      <w:u w:val="none"/>
      <w:lang w:val="en-US" w:eastAsia="en-US"/>
    </w:rPr>
  </w:style>
  <w:style w:type="character" w:customStyle="1" w:styleId="639">
    <w:name w:val="正文文本 + 粗体5"/>
    <w:qFormat/>
    <w:uiPriority w:val="99"/>
    <w:rPr>
      <w:rFonts w:ascii="Arial Unicode MS" w:eastAsia="Arial Unicode MS" w:cs="Arial Unicode MS"/>
      <w:b/>
      <w:bCs/>
      <w:spacing w:val="-30"/>
      <w:sz w:val="23"/>
      <w:szCs w:val="23"/>
      <w:u w:val="none"/>
      <w:lang w:val="en-US" w:eastAsia="en-US"/>
    </w:rPr>
  </w:style>
  <w:style w:type="character" w:customStyle="1" w:styleId="640">
    <w:name w:val="正文文本 (25)_"/>
    <w:link w:val="641"/>
    <w:qFormat/>
    <w:uiPriority w:val="99"/>
    <w:rPr>
      <w:rFonts w:ascii="黑体" w:eastAsia="黑体" w:cs="黑体"/>
      <w:spacing w:val="20"/>
      <w:shd w:val="clear" w:color="auto" w:fill="FFFFFF"/>
    </w:rPr>
  </w:style>
  <w:style w:type="paragraph" w:customStyle="1" w:styleId="641">
    <w:name w:val="正文文本 (25)1"/>
    <w:basedOn w:val="1"/>
    <w:link w:val="640"/>
    <w:qFormat/>
    <w:uiPriority w:val="99"/>
    <w:pPr>
      <w:shd w:val="clear" w:color="auto" w:fill="FFFFFF"/>
      <w:spacing w:line="470" w:lineRule="exact"/>
      <w:ind w:firstLine="0" w:firstLineChars="0"/>
      <w:jc w:val="right"/>
    </w:pPr>
    <w:rPr>
      <w:rFonts w:ascii="黑体" w:eastAsia="黑体"/>
      <w:spacing w:val="20"/>
      <w:kern w:val="0"/>
      <w:sz w:val="20"/>
      <w:szCs w:val="20"/>
    </w:rPr>
  </w:style>
  <w:style w:type="character" w:customStyle="1" w:styleId="642">
    <w:name w:val="正文文本 (25) + 间距 0 pt2"/>
    <w:qFormat/>
    <w:uiPriority w:val="99"/>
    <w:rPr>
      <w:rFonts w:ascii="黑体" w:eastAsia="黑体" w:cs="黑体"/>
      <w:spacing w:val="10"/>
      <w:shd w:val="clear" w:color="auto" w:fill="FFFFFF"/>
    </w:rPr>
  </w:style>
  <w:style w:type="character" w:customStyle="1" w:styleId="643">
    <w:name w:val="正文文本 (25) + Arial Unicode MS4"/>
    <w:qFormat/>
    <w:uiPriority w:val="99"/>
    <w:rPr>
      <w:rFonts w:ascii="Arial Unicode MS" w:eastAsia="Arial Unicode MS" w:cs="Arial Unicode MS"/>
      <w:spacing w:val="10"/>
      <w:sz w:val="21"/>
      <w:szCs w:val="21"/>
      <w:shd w:val="clear" w:color="auto" w:fill="FFFFFF"/>
      <w:lang w:val="en-US" w:eastAsia="en-US"/>
    </w:rPr>
  </w:style>
  <w:style w:type="character" w:customStyle="1" w:styleId="644">
    <w:name w:val="正文文本 (25) + Times New Roman2"/>
    <w:qFormat/>
    <w:uiPriority w:val="99"/>
    <w:rPr>
      <w:rFonts w:ascii="Times New Roman" w:hAnsi="Times New Roman" w:eastAsia="黑体" w:cs="Times New Roman"/>
      <w:spacing w:val="30"/>
      <w:sz w:val="8"/>
      <w:szCs w:val="8"/>
      <w:shd w:val="clear" w:color="auto" w:fill="FFFFFF"/>
    </w:rPr>
  </w:style>
  <w:style w:type="character" w:customStyle="1" w:styleId="645">
    <w:name w:val="页眉或页脚 (2) + Times New Roman1"/>
    <w:qFormat/>
    <w:uiPriority w:val="99"/>
    <w:rPr>
      <w:rFonts w:ascii="Times New Roman" w:hAnsi="Times New Roman" w:cs="Times New Roman"/>
      <w:sz w:val="20"/>
      <w:szCs w:val="20"/>
      <w:u w:val="none"/>
    </w:rPr>
  </w:style>
  <w:style w:type="character" w:customStyle="1" w:styleId="646">
    <w:name w:val="页眉或页脚 + Times New Roman1"/>
    <w:qFormat/>
    <w:uiPriority w:val="99"/>
    <w:rPr>
      <w:rFonts w:ascii="Times New Roman" w:hAnsi="Times New Roman" w:eastAsia="黑体" w:cs="Times New Roman"/>
      <w:spacing w:val="0"/>
      <w:sz w:val="20"/>
      <w:szCs w:val="20"/>
      <w:u w:val="none"/>
      <w:shd w:val="clear" w:color="auto" w:fill="FFFFFF"/>
    </w:rPr>
  </w:style>
  <w:style w:type="character" w:customStyle="1" w:styleId="647">
    <w:name w:val="表格标题 + 间距 0 pt"/>
    <w:qFormat/>
    <w:uiPriority w:val="99"/>
    <w:rPr>
      <w:rFonts w:ascii="Arial Unicode MS" w:eastAsia="Arial Unicode MS" w:cs="Arial Unicode MS"/>
      <w:spacing w:val="0"/>
      <w:sz w:val="23"/>
      <w:szCs w:val="23"/>
      <w:u w:val="none"/>
      <w:shd w:val="clear" w:color="auto" w:fill="FFFFFF"/>
    </w:rPr>
  </w:style>
  <w:style w:type="character" w:customStyle="1" w:styleId="648">
    <w:name w:val="正文文本 + 间距 0 pt2"/>
    <w:qFormat/>
    <w:uiPriority w:val="99"/>
    <w:rPr>
      <w:rFonts w:ascii="Arial Unicode MS" w:eastAsia="Arial Unicode MS" w:cs="Arial Unicode MS"/>
      <w:spacing w:val="0"/>
      <w:sz w:val="23"/>
      <w:szCs w:val="23"/>
      <w:u w:val="none"/>
    </w:rPr>
  </w:style>
  <w:style w:type="character" w:customStyle="1" w:styleId="649">
    <w:name w:val="正文文本 + 粗体3"/>
    <w:qFormat/>
    <w:uiPriority w:val="99"/>
    <w:rPr>
      <w:rFonts w:ascii="Arial Unicode MS" w:eastAsia="Arial Unicode MS" w:cs="Arial Unicode MS"/>
      <w:b/>
      <w:bCs/>
      <w:spacing w:val="-10"/>
      <w:sz w:val="23"/>
      <w:szCs w:val="23"/>
      <w:u w:val="none"/>
      <w:lang w:val="en-US" w:eastAsia="en-US"/>
    </w:rPr>
  </w:style>
  <w:style w:type="character" w:customStyle="1" w:styleId="650">
    <w:name w:val="表格标题 + SimHei1"/>
    <w:qFormat/>
    <w:uiPriority w:val="99"/>
    <w:rPr>
      <w:rFonts w:ascii="黑体" w:eastAsia="黑体" w:cs="黑体"/>
      <w:spacing w:val="10"/>
      <w:sz w:val="24"/>
      <w:szCs w:val="24"/>
      <w:u w:val="none"/>
      <w:shd w:val="clear" w:color="auto" w:fill="FFFFFF"/>
    </w:rPr>
  </w:style>
  <w:style w:type="character" w:customStyle="1" w:styleId="651">
    <w:name w:val="表格标题 + 10.5 pt1"/>
    <w:qFormat/>
    <w:uiPriority w:val="99"/>
    <w:rPr>
      <w:rFonts w:ascii="Arial Unicode MS" w:eastAsia="Arial Unicode MS" w:cs="Arial Unicode MS"/>
      <w:spacing w:val="10"/>
      <w:sz w:val="21"/>
      <w:szCs w:val="21"/>
      <w:u w:val="none"/>
      <w:shd w:val="clear" w:color="auto" w:fill="FFFFFF"/>
      <w:lang w:val="en-US" w:eastAsia="en-US"/>
    </w:rPr>
  </w:style>
  <w:style w:type="character" w:customStyle="1" w:styleId="652">
    <w:name w:val="正文文本 + 间距 -1 pt1"/>
    <w:qFormat/>
    <w:uiPriority w:val="99"/>
    <w:rPr>
      <w:rFonts w:ascii="Arial Unicode MS" w:eastAsia="Arial Unicode MS" w:cs="Arial Unicode MS"/>
      <w:spacing w:val="-20"/>
      <w:sz w:val="23"/>
      <w:szCs w:val="23"/>
      <w:u w:val="none"/>
    </w:rPr>
  </w:style>
  <w:style w:type="character" w:customStyle="1" w:styleId="653">
    <w:name w:val="表格标题 + Times New Roman1"/>
    <w:qFormat/>
    <w:uiPriority w:val="99"/>
    <w:rPr>
      <w:rFonts w:ascii="Times New Roman" w:hAnsi="Times New Roman" w:eastAsia="Arial Unicode MS" w:cs="Times New Roman"/>
      <w:spacing w:val="30"/>
      <w:sz w:val="8"/>
      <w:szCs w:val="8"/>
      <w:u w:val="none"/>
      <w:shd w:val="clear" w:color="auto" w:fill="FFFFFF"/>
      <w:lang w:val="en-US" w:eastAsia="en-US"/>
    </w:rPr>
  </w:style>
  <w:style w:type="character" w:customStyle="1" w:styleId="654">
    <w:name w:val="正文文本 (9) + 间距 0 pt"/>
    <w:qFormat/>
    <w:uiPriority w:val="99"/>
    <w:rPr>
      <w:rFonts w:ascii="Arial Unicode MS" w:eastAsia="Arial Unicode MS" w:cs="Arial Unicode MS"/>
      <w:spacing w:val="10"/>
      <w:sz w:val="21"/>
      <w:szCs w:val="21"/>
      <w:u w:val="none"/>
      <w:shd w:val="clear" w:color="auto" w:fill="FFFFFF"/>
      <w:lang w:val="en-US" w:eastAsia="en-US"/>
    </w:rPr>
  </w:style>
  <w:style w:type="character" w:customStyle="1" w:styleId="655">
    <w:name w:val="正文文本 (9) + SimHei2"/>
    <w:qFormat/>
    <w:uiPriority w:val="99"/>
    <w:rPr>
      <w:rFonts w:ascii="黑体" w:eastAsia="黑体" w:cs="黑体"/>
      <w:spacing w:val="10"/>
      <w:sz w:val="24"/>
      <w:szCs w:val="24"/>
      <w:u w:val="none"/>
      <w:shd w:val="clear" w:color="auto" w:fill="FFFFFF"/>
      <w:lang w:val="en-US" w:eastAsia="en-US"/>
    </w:rPr>
  </w:style>
  <w:style w:type="character" w:customStyle="1" w:styleId="656">
    <w:name w:val="正文文本 (9) + Times New Roman1"/>
    <w:qFormat/>
    <w:uiPriority w:val="99"/>
    <w:rPr>
      <w:rFonts w:ascii="Times New Roman" w:hAnsi="Times New Roman" w:eastAsia="Arial Unicode MS" w:cs="Times New Roman"/>
      <w:spacing w:val="30"/>
      <w:sz w:val="8"/>
      <w:szCs w:val="8"/>
      <w:u w:val="none"/>
      <w:shd w:val="clear" w:color="auto" w:fill="FFFFFF"/>
      <w:lang w:val="en-US" w:eastAsia="en-US"/>
    </w:rPr>
  </w:style>
  <w:style w:type="character" w:customStyle="1" w:styleId="657">
    <w:name w:val="表格标题 + 间距 3 pt"/>
    <w:qFormat/>
    <w:uiPriority w:val="99"/>
    <w:rPr>
      <w:rFonts w:ascii="Arial Unicode MS" w:eastAsia="Arial Unicode MS" w:cs="Arial Unicode MS"/>
      <w:spacing w:val="60"/>
      <w:sz w:val="23"/>
      <w:szCs w:val="23"/>
      <w:u w:val="none"/>
      <w:shd w:val="clear" w:color="auto" w:fill="FFFFFF"/>
    </w:rPr>
  </w:style>
  <w:style w:type="character" w:customStyle="1" w:styleId="658">
    <w:name w:val="正文文本 + 间距 3 pt1"/>
    <w:qFormat/>
    <w:uiPriority w:val="99"/>
    <w:rPr>
      <w:rFonts w:ascii="Arial Unicode MS" w:eastAsia="Arial Unicode MS" w:cs="Arial Unicode MS"/>
      <w:spacing w:val="60"/>
      <w:sz w:val="23"/>
      <w:szCs w:val="23"/>
      <w:u w:val="none"/>
    </w:rPr>
  </w:style>
  <w:style w:type="character" w:customStyle="1" w:styleId="659">
    <w:name w:val="正文文本 + Times New Roman3"/>
    <w:qFormat/>
    <w:uiPriority w:val="99"/>
    <w:rPr>
      <w:rFonts w:ascii="Times New Roman" w:hAnsi="Times New Roman" w:eastAsia="Arial Unicode MS" w:cs="Times New Roman"/>
      <w:spacing w:val="0"/>
      <w:sz w:val="20"/>
      <w:szCs w:val="20"/>
      <w:u w:val="none"/>
      <w:lang w:val="en-US" w:eastAsia="en-US"/>
    </w:rPr>
  </w:style>
  <w:style w:type="character" w:customStyle="1" w:styleId="660">
    <w:name w:val="正文文本 (25) + Arial Unicode MS3"/>
    <w:qFormat/>
    <w:uiPriority w:val="99"/>
    <w:rPr>
      <w:rFonts w:ascii="Arial Unicode MS" w:eastAsia="Arial Unicode MS" w:cs="Arial Unicode MS"/>
      <w:b/>
      <w:bCs/>
      <w:spacing w:val="-10"/>
      <w:sz w:val="23"/>
      <w:szCs w:val="23"/>
      <w:u w:val="none"/>
      <w:shd w:val="clear" w:color="auto" w:fill="FFFFFF"/>
      <w:lang w:val="en-US" w:eastAsia="en-US"/>
    </w:rPr>
  </w:style>
  <w:style w:type="character" w:customStyle="1" w:styleId="661">
    <w:name w:val="正文文本 (25) + Arial Unicode MS2"/>
    <w:qFormat/>
    <w:uiPriority w:val="99"/>
    <w:rPr>
      <w:rFonts w:ascii="Arial Unicode MS" w:eastAsia="Arial Unicode MS" w:cs="Arial Unicode MS"/>
      <w:spacing w:val="0"/>
      <w:sz w:val="23"/>
      <w:szCs w:val="23"/>
      <w:u w:val="none"/>
      <w:shd w:val="clear" w:color="auto" w:fill="FFFFFF"/>
    </w:rPr>
  </w:style>
  <w:style w:type="character" w:customStyle="1" w:styleId="662">
    <w:name w:val="正文文本 + 粗体2"/>
    <w:qFormat/>
    <w:uiPriority w:val="99"/>
    <w:rPr>
      <w:rFonts w:ascii="Arial Unicode MS" w:eastAsia="Arial Unicode MS" w:cs="Arial Unicode MS"/>
      <w:b/>
      <w:bCs/>
      <w:smallCaps/>
      <w:spacing w:val="-10"/>
      <w:sz w:val="23"/>
      <w:szCs w:val="23"/>
      <w:u w:val="none"/>
      <w:lang w:val="en-US" w:eastAsia="en-US"/>
    </w:rPr>
  </w:style>
  <w:style w:type="character" w:customStyle="1" w:styleId="663">
    <w:name w:val="正文文本 (13) + Batang"/>
    <w:qFormat/>
    <w:uiPriority w:val="0"/>
    <w:rPr>
      <w:rFonts w:ascii="Batang" w:hAnsi="Batang" w:eastAsia="Batang" w:cs="Batang"/>
      <w:color w:val="000000"/>
      <w:spacing w:val="-10"/>
      <w:w w:val="100"/>
      <w:position w:val="0"/>
      <w:sz w:val="22"/>
      <w:shd w:val="clear" w:color="auto" w:fill="FFFFFF"/>
      <w:lang w:val="en-US"/>
    </w:rPr>
  </w:style>
  <w:style w:type="character" w:customStyle="1" w:styleId="664">
    <w:name w:val="正文文本 (13)_"/>
    <w:link w:val="665"/>
    <w:qFormat/>
    <w:uiPriority w:val="0"/>
    <w:rPr>
      <w:rFonts w:ascii="MingLiU" w:hAnsi="MingLiU" w:eastAsia="MingLiU" w:cs="MingLiU"/>
      <w:b/>
      <w:bCs/>
      <w:sz w:val="22"/>
      <w:shd w:val="clear" w:color="auto" w:fill="FFFFFF"/>
    </w:rPr>
  </w:style>
  <w:style w:type="paragraph" w:customStyle="1" w:styleId="665">
    <w:name w:val="正文文本 (13)7"/>
    <w:basedOn w:val="1"/>
    <w:link w:val="664"/>
    <w:qFormat/>
    <w:uiPriority w:val="0"/>
    <w:pPr>
      <w:shd w:val="clear" w:color="auto" w:fill="FFFFFF"/>
      <w:spacing w:line="466" w:lineRule="exact"/>
      <w:jc w:val="distribute"/>
    </w:pPr>
    <w:rPr>
      <w:rFonts w:ascii="MingLiU" w:hAnsi="MingLiU" w:eastAsia="MingLiU"/>
      <w:b/>
      <w:bCs/>
      <w:kern w:val="0"/>
      <w:sz w:val="22"/>
      <w:szCs w:val="20"/>
    </w:rPr>
  </w:style>
  <w:style w:type="character" w:customStyle="1" w:styleId="666">
    <w:name w:val="正文文本 (13)"/>
    <w:qFormat/>
    <w:uiPriority w:val="0"/>
    <w:rPr>
      <w:rFonts w:ascii="MingLiU" w:hAnsi="MingLiU" w:eastAsia="MingLiU" w:cs="MingLiU"/>
      <w:color w:val="000000"/>
      <w:spacing w:val="0"/>
      <w:w w:val="100"/>
      <w:position w:val="0"/>
      <w:sz w:val="22"/>
      <w:u w:val="single"/>
      <w:shd w:val="clear" w:color="auto" w:fill="FFFFFF"/>
      <w:lang w:val="zh-TW"/>
    </w:rPr>
  </w:style>
  <w:style w:type="character" w:customStyle="1" w:styleId="667">
    <w:name w:val="fontstyle41"/>
    <w:qFormat/>
    <w:uiPriority w:val="0"/>
    <w:rPr>
      <w:rFonts w:hint="default" w:ascii="CIDFont+F5" w:hAnsi="CIDFont+F5"/>
      <w:color w:val="000000"/>
      <w:sz w:val="26"/>
      <w:szCs w:val="26"/>
    </w:rPr>
  </w:style>
  <w:style w:type="character" w:customStyle="1" w:styleId="668">
    <w:name w:val="样式 宋体 小四1"/>
    <w:qFormat/>
    <w:uiPriority w:val="0"/>
    <w:rPr>
      <w:rFonts w:ascii="宋体" w:hAnsi="宋体"/>
      <w:sz w:val="21"/>
    </w:rPr>
  </w:style>
  <w:style w:type="character" w:customStyle="1" w:styleId="669">
    <w:name w:val="ae正文zzzzzzzz Char"/>
    <w:link w:val="670"/>
    <w:qFormat/>
    <w:uiPriority w:val="0"/>
    <w:rPr>
      <w:rFonts w:cs="宋体"/>
      <w:sz w:val="24"/>
    </w:rPr>
  </w:style>
  <w:style w:type="paragraph" w:customStyle="1" w:styleId="670">
    <w:name w:val="ae正文zzzzzzzz"/>
    <w:basedOn w:val="1"/>
    <w:link w:val="669"/>
    <w:qFormat/>
    <w:uiPriority w:val="0"/>
    <w:pPr>
      <w:spacing w:line="520" w:lineRule="exact"/>
    </w:pPr>
    <w:rPr>
      <w:kern w:val="0"/>
      <w:szCs w:val="20"/>
    </w:rPr>
  </w:style>
  <w:style w:type="character" w:customStyle="1" w:styleId="671">
    <w:name w:val="正文文本 + Times New Roman13"/>
    <w:qFormat/>
    <w:uiPriority w:val="99"/>
    <w:rPr>
      <w:rFonts w:ascii="Times New Roman" w:hAnsi="Times New Roman" w:eastAsia="Arial Unicode MS" w:cs="Times New Roman"/>
      <w:spacing w:val="0"/>
      <w:sz w:val="8"/>
      <w:szCs w:val="8"/>
      <w:u w:val="none"/>
    </w:rPr>
  </w:style>
  <w:style w:type="character" w:customStyle="1" w:styleId="672">
    <w:name w:val="15正文 Char"/>
    <w:link w:val="673"/>
    <w:qFormat/>
    <w:uiPriority w:val="0"/>
    <w:rPr>
      <w:rFonts w:ascii="Calibri" w:hAnsi="Calibri"/>
      <w:kern w:val="2"/>
      <w:sz w:val="24"/>
      <w:szCs w:val="24"/>
      <w:lang w:val="en-US" w:eastAsia="zh-CN" w:bidi="ar-SA"/>
    </w:rPr>
  </w:style>
  <w:style w:type="paragraph" w:customStyle="1" w:styleId="673">
    <w:name w:val="15正文"/>
    <w:link w:val="672"/>
    <w:qFormat/>
    <w:uiPriority w:val="0"/>
    <w:pPr>
      <w:spacing w:line="480" w:lineRule="atLeast"/>
      <w:ind w:firstLine="480" w:firstLineChars="200"/>
      <w:jc w:val="both"/>
    </w:pPr>
    <w:rPr>
      <w:rFonts w:ascii="Calibri" w:hAnsi="Calibri" w:eastAsia="宋体" w:cs="Times New Roman"/>
      <w:kern w:val="2"/>
      <w:sz w:val="24"/>
      <w:szCs w:val="24"/>
      <w:lang w:val="en-US" w:eastAsia="zh-CN" w:bidi="ar-SA"/>
    </w:rPr>
  </w:style>
  <w:style w:type="paragraph" w:customStyle="1" w:styleId="674">
    <w:name w:val="ac三级标题zzzzz"/>
    <w:basedOn w:val="1"/>
    <w:next w:val="670"/>
    <w:qFormat/>
    <w:uiPriority w:val="0"/>
    <w:pPr>
      <w:keepNext/>
      <w:keepLines/>
      <w:spacing w:line="520" w:lineRule="exact"/>
      <w:ind w:firstLine="0" w:firstLineChars="0"/>
      <w:outlineLvl w:val="2"/>
    </w:pPr>
    <w:rPr>
      <w:rFonts w:cs="宋体"/>
      <w:b/>
      <w:bCs/>
      <w:sz w:val="28"/>
      <w:szCs w:val="20"/>
    </w:rPr>
  </w:style>
  <w:style w:type="paragraph" w:customStyle="1" w:styleId="675">
    <w:name w:val="Table Paragraph"/>
    <w:basedOn w:val="1"/>
    <w:qFormat/>
    <w:uiPriority w:val="1"/>
    <w:pPr>
      <w:autoSpaceDE w:val="0"/>
      <w:autoSpaceDN w:val="0"/>
      <w:spacing w:line="240" w:lineRule="auto"/>
      <w:ind w:firstLine="0" w:firstLineChars="0"/>
      <w:jc w:val="left"/>
    </w:pPr>
    <w:rPr>
      <w:rFonts w:ascii="宋体" w:hAnsi="宋体" w:cs="宋体"/>
      <w:kern w:val="0"/>
      <w:sz w:val="22"/>
      <w:szCs w:val="22"/>
      <w:lang w:eastAsia="en-US"/>
    </w:rPr>
  </w:style>
  <w:style w:type="paragraph" w:customStyle="1" w:styleId="676">
    <w:name w:val="0表格"/>
    <w:basedOn w:val="1"/>
    <w:qFormat/>
    <w:uiPriority w:val="0"/>
    <w:pPr>
      <w:spacing w:line="0" w:lineRule="atLeast"/>
      <w:ind w:firstLine="0" w:firstLineChars="0"/>
      <w:jc w:val="center"/>
    </w:pPr>
    <w:rPr>
      <w:sz w:val="21"/>
      <w:szCs w:val="32"/>
    </w:rPr>
  </w:style>
  <w:style w:type="paragraph" w:customStyle="1" w:styleId="677">
    <w:name w:val="1表标题"/>
    <w:basedOn w:val="676"/>
    <w:qFormat/>
    <w:uiPriority w:val="0"/>
    <w:pPr>
      <w:spacing w:line="480" w:lineRule="exact"/>
    </w:pPr>
    <w:rPr>
      <w:b/>
    </w:rPr>
  </w:style>
  <w:style w:type="paragraph" w:customStyle="1" w:styleId="678">
    <w:name w:val="2图"/>
    <w:basedOn w:val="1"/>
    <w:qFormat/>
    <w:uiPriority w:val="0"/>
    <w:pPr>
      <w:spacing w:line="240" w:lineRule="auto"/>
      <w:ind w:firstLine="0" w:firstLineChars="0"/>
      <w:jc w:val="center"/>
    </w:pPr>
  </w:style>
  <w:style w:type="character" w:customStyle="1" w:styleId="679">
    <w:name w:val="引用 字符"/>
    <w:link w:val="680"/>
    <w:qFormat/>
    <w:uiPriority w:val="29"/>
    <w:rPr>
      <w:rFonts w:ascii="Times New Roman" w:hAnsi="Times New Roman" w:eastAsia="宋体"/>
      <w:i/>
      <w:iCs/>
      <w:color w:val="000000"/>
      <w:sz w:val="24"/>
    </w:rPr>
  </w:style>
  <w:style w:type="paragraph" w:styleId="680">
    <w:name w:val="Quote"/>
    <w:basedOn w:val="1"/>
    <w:next w:val="1"/>
    <w:link w:val="679"/>
    <w:qFormat/>
    <w:uiPriority w:val="29"/>
    <w:rPr>
      <w:i/>
      <w:iCs/>
      <w:color w:val="000000"/>
      <w:kern w:val="0"/>
      <w:szCs w:val="20"/>
    </w:rPr>
  </w:style>
  <w:style w:type="character" w:customStyle="1" w:styleId="681">
    <w:name w:val="引用 Char2"/>
    <w:qFormat/>
    <w:uiPriority w:val="29"/>
    <w:rPr>
      <w:rFonts w:ascii="Times New Roman" w:hAnsi="Times New Roman" w:eastAsia="宋体" w:cs="Times New Roman"/>
      <w:i/>
      <w:iCs/>
      <w:color w:val="000000"/>
      <w:sz w:val="24"/>
      <w:szCs w:val="21"/>
    </w:rPr>
  </w:style>
  <w:style w:type="character" w:customStyle="1" w:styleId="682">
    <w:name w:val="正文文本 (2) + AngsanaUPC"/>
    <w:qFormat/>
    <w:uiPriority w:val="0"/>
    <w:rPr>
      <w:rFonts w:ascii="AngsanaUPC" w:hAnsi="AngsanaUPC" w:eastAsia="AngsanaUPC" w:cs="AngsanaUPC"/>
      <w:color w:val="000000"/>
      <w:spacing w:val="0"/>
      <w:w w:val="100"/>
      <w:position w:val="0"/>
      <w:sz w:val="66"/>
      <w:szCs w:val="66"/>
      <w:u w:val="none"/>
      <w:lang w:val="en-US"/>
    </w:rPr>
  </w:style>
  <w:style w:type="table" w:customStyle="1" w:styleId="683">
    <w:name w:val="Table Normal"/>
    <w:unhideWhenUsed/>
    <w:qFormat/>
    <w:uiPriority w:val="2"/>
    <w:pPr>
      <w:widowControl w:val="0"/>
    </w:pPr>
    <w:rPr>
      <w:sz w:val="22"/>
      <w:szCs w:val="22"/>
      <w:lang w:eastAsia="en-US"/>
    </w:rPr>
    <w:tblPr>
      <w:tblCellMar>
        <w:top w:w="0" w:type="dxa"/>
        <w:left w:w="0" w:type="dxa"/>
        <w:bottom w:w="0" w:type="dxa"/>
        <w:right w:w="0" w:type="dxa"/>
      </w:tblCellMar>
    </w:tblPr>
  </w:style>
  <w:style w:type="character" w:customStyle="1" w:styleId="684">
    <w:name w:val="正文文本 + 9.5 pt"/>
    <w:qFormat/>
    <w:uiPriority w:val="0"/>
    <w:rPr>
      <w:rFonts w:ascii="MingLiU" w:hAnsi="MingLiU" w:eastAsia="MingLiU" w:cs="MingLiU"/>
      <w:b/>
      <w:bCs/>
      <w:color w:val="000000"/>
      <w:spacing w:val="10"/>
      <w:w w:val="100"/>
      <w:position w:val="0"/>
      <w:sz w:val="19"/>
      <w:szCs w:val="19"/>
      <w:shd w:val="clear" w:color="auto" w:fill="FFFFFF"/>
      <w:lang w:val="zh-TW"/>
    </w:rPr>
  </w:style>
  <w:style w:type="paragraph" w:customStyle="1" w:styleId="685">
    <w:name w:val="正文文本9"/>
    <w:basedOn w:val="1"/>
    <w:qFormat/>
    <w:uiPriority w:val="0"/>
    <w:pPr>
      <w:shd w:val="clear" w:color="auto" w:fill="FFFFFF"/>
      <w:spacing w:line="0" w:lineRule="atLeast"/>
      <w:ind w:hanging="2040" w:firstLineChars="0"/>
      <w:jc w:val="left"/>
    </w:pPr>
    <w:rPr>
      <w:rFonts w:ascii="MingLiU" w:hAnsi="MingLiU" w:eastAsia="MingLiU" w:cs="MingLiU"/>
      <w:kern w:val="0"/>
      <w:sz w:val="22"/>
      <w:szCs w:val="22"/>
    </w:rPr>
  </w:style>
  <w:style w:type="paragraph" w:customStyle="1" w:styleId="686">
    <w:name w:val="我的表头"/>
    <w:basedOn w:val="1"/>
    <w:uiPriority w:val="0"/>
    <w:pPr>
      <w:spacing w:line="440" w:lineRule="exact"/>
      <w:jc w:val="left"/>
    </w:pPr>
    <w:rPr>
      <w:b/>
      <w:szCs w:val="20"/>
    </w:rPr>
  </w:style>
  <w:style w:type="character" w:customStyle="1" w:styleId="687">
    <w:name w:val="正文文本6"/>
    <w:qFormat/>
    <w:uiPriority w:val="0"/>
    <w:rPr>
      <w:rFonts w:ascii="MingLiU" w:hAnsi="MingLiU" w:eastAsia="MingLiU" w:cs="MingLiU"/>
      <w:color w:val="000000"/>
      <w:spacing w:val="0"/>
      <w:w w:val="100"/>
      <w:position w:val="0"/>
      <w:sz w:val="22"/>
      <w:szCs w:val="22"/>
      <w:u w:val="none"/>
      <w:shd w:val="clear" w:color="auto" w:fill="FFFFFF"/>
      <w:lang w:val="zh-TW"/>
    </w:rPr>
  </w:style>
  <w:style w:type="character" w:customStyle="1" w:styleId="688">
    <w:name w:val="正文文本 + MS Mincho"/>
    <w:uiPriority w:val="0"/>
    <w:rPr>
      <w:rFonts w:ascii="MS Mincho" w:hAnsi="MS Mincho" w:eastAsia="MS Mincho" w:cs="MS Mincho"/>
      <w:color w:val="000000"/>
      <w:spacing w:val="0"/>
      <w:w w:val="100"/>
      <w:position w:val="0"/>
      <w:sz w:val="23"/>
      <w:szCs w:val="23"/>
      <w:u w:val="none"/>
      <w:lang w:val="en-US"/>
    </w:rPr>
  </w:style>
  <w:style w:type="character" w:customStyle="1" w:styleId="689">
    <w:name w:val="正文文本 + 10.5 pt"/>
    <w:uiPriority w:val="0"/>
    <w:rPr>
      <w:rFonts w:ascii="MingLiU" w:hAnsi="MingLiU" w:eastAsia="MingLiU" w:cs="MingLiU"/>
      <w:color w:val="000000"/>
      <w:spacing w:val="0"/>
      <w:w w:val="100"/>
      <w:position w:val="0"/>
      <w:sz w:val="21"/>
      <w:szCs w:val="21"/>
      <w:u w:val="none"/>
      <w:shd w:val="clear" w:color="auto" w:fill="FFFFFF"/>
      <w:lang w:val="zh-TW"/>
    </w:rPr>
  </w:style>
  <w:style w:type="character" w:customStyle="1" w:styleId="690">
    <w:name w:val="正文文本7"/>
    <w:uiPriority w:val="0"/>
    <w:rPr>
      <w:rFonts w:ascii="MingLiU" w:hAnsi="MingLiU" w:eastAsia="MingLiU" w:cs="MingLiU"/>
      <w:color w:val="000000"/>
      <w:spacing w:val="0"/>
      <w:w w:val="100"/>
      <w:position w:val="0"/>
      <w:sz w:val="22"/>
      <w:szCs w:val="22"/>
      <w:u w:val="none"/>
      <w:shd w:val="clear" w:color="auto" w:fill="FFFFFF"/>
      <w:lang w:val="zh-TW"/>
    </w:rPr>
  </w:style>
  <w:style w:type="paragraph" w:customStyle="1" w:styleId="691">
    <w:name w:val="标题 11"/>
    <w:basedOn w:val="1"/>
    <w:qFormat/>
    <w:uiPriority w:val="1"/>
    <w:pPr>
      <w:autoSpaceDE w:val="0"/>
      <w:autoSpaceDN w:val="0"/>
      <w:spacing w:line="1086" w:lineRule="exact"/>
      <w:ind w:right="38" w:firstLine="0" w:firstLineChars="0"/>
      <w:jc w:val="right"/>
      <w:outlineLvl w:val="1"/>
    </w:pPr>
    <w:rPr>
      <w:rFonts w:ascii="Arial" w:hAnsi="Arial" w:eastAsia="Arial" w:cs="Arial"/>
      <w:kern w:val="0"/>
      <w:sz w:val="144"/>
      <w:szCs w:val="144"/>
      <w:lang w:eastAsia="en-US"/>
    </w:rPr>
  </w:style>
  <w:style w:type="paragraph" w:customStyle="1" w:styleId="692">
    <w:name w:val="标题 21"/>
    <w:basedOn w:val="1"/>
    <w:qFormat/>
    <w:uiPriority w:val="1"/>
    <w:pPr>
      <w:autoSpaceDE w:val="0"/>
      <w:autoSpaceDN w:val="0"/>
      <w:spacing w:line="240" w:lineRule="auto"/>
      <w:ind w:left="20" w:firstLine="0" w:firstLineChars="0"/>
      <w:jc w:val="center"/>
      <w:outlineLvl w:val="2"/>
    </w:pPr>
    <w:rPr>
      <w:rFonts w:ascii="宋体" w:hAnsi="宋体" w:cs="宋体"/>
      <w:kern w:val="0"/>
      <w:sz w:val="47"/>
      <w:szCs w:val="47"/>
      <w:lang w:eastAsia="en-US"/>
    </w:rPr>
  </w:style>
  <w:style w:type="paragraph" w:customStyle="1" w:styleId="693">
    <w:name w:val="标题 31"/>
    <w:basedOn w:val="1"/>
    <w:qFormat/>
    <w:uiPriority w:val="1"/>
    <w:pPr>
      <w:autoSpaceDE w:val="0"/>
      <w:autoSpaceDN w:val="0"/>
      <w:spacing w:line="501" w:lineRule="exact"/>
      <w:ind w:left="20" w:firstLine="0" w:firstLineChars="0"/>
      <w:jc w:val="left"/>
      <w:outlineLvl w:val="3"/>
    </w:pPr>
    <w:rPr>
      <w:rFonts w:ascii="宋体" w:hAnsi="宋体" w:cs="宋体"/>
      <w:kern w:val="0"/>
      <w:sz w:val="46"/>
      <w:szCs w:val="46"/>
      <w:lang w:eastAsia="en-US"/>
    </w:rPr>
  </w:style>
  <w:style w:type="paragraph" w:customStyle="1" w:styleId="694">
    <w:name w:val="标题 41"/>
    <w:basedOn w:val="1"/>
    <w:qFormat/>
    <w:uiPriority w:val="1"/>
    <w:pPr>
      <w:autoSpaceDE w:val="0"/>
      <w:autoSpaceDN w:val="0"/>
      <w:spacing w:line="240" w:lineRule="auto"/>
      <w:ind w:left="20" w:firstLine="0" w:firstLineChars="0"/>
      <w:jc w:val="left"/>
      <w:outlineLvl w:val="4"/>
    </w:pPr>
    <w:rPr>
      <w:rFonts w:ascii="宋体" w:hAnsi="宋体" w:cs="宋体"/>
      <w:kern w:val="0"/>
      <w:sz w:val="43"/>
      <w:szCs w:val="43"/>
      <w:lang w:eastAsia="en-US"/>
    </w:rPr>
  </w:style>
  <w:style w:type="paragraph" w:customStyle="1" w:styleId="695">
    <w:name w:val="标题 51"/>
    <w:basedOn w:val="1"/>
    <w:qFormat/>
    <w:uiPriority w:val="1"/>
    <w:pPr>
      <w:autoSpaceDE w:val="0"/>
      <w:autoSpaceDN w:val="0"/>
      <w:spacing w:before="224" w:line="240" w:lineRule="auto"/>
      <w:ind w:left="1845" w:firstLine="0" w:firstLineChars="0"/>
      <w:jc w:val="left"/>
      <w:outlineLvl w:val="5"/>
    </w:pPr>
    <w:rPr>
      <w:rFonts w:ascii="宋体" w:hAnsi="宋体" w:cs="宋体"/>
      <w:kern w:val="0"/>
      <w:sz w:val="25"/>
      <w:szCs w:val="25"/>
      <w:lang w:eastAsia="en-US"/>
    </w:rPr>
  </w:style>
  <w:style w:type="paragraph" w:customStyle="1" w:styleId="696">
    <w:name w:val="标题 61"/>
    <w:basedOn w:val="1"/>
    <w:qFormat/>
    <w:uiPriority w:val="1"/>
    <w:pPr>
      <w:autoSpaceDE w:val="0"/>
      <w:autoSpaceDN w:val="0"/>
      <w:spacing w:line="240" w:lineRule="auto"/>
      <w:ind w:left="20" w:firstLine="0" w:firstLineChars="0"/>
      <w:jc w:val="left"/>
      <w:outlineLvl w:val="6"/>
    </w:pPr>
    <w:rPr>
      <w:rFonts w:ascii="宋体" w:hAnsi="宋体" w:cs="宋体"/>
      <w:kern w:val="0"/>
      <w:sz w:val="22"/>
      <w:szCs w:val="22"/>
      <w:lang w:eastAsia="en-US"/>
    </w:rPr>
  </w:style>
  <w:style w:type="character" w:styleId="697">
    <w:name w:val="Placeholder Text"/>
    <w:semiHidden/>
    <w:qFormat/>
    <w:uiPriority w:val="99"/>
    <w:rPr>
      <w:color w:val="808080"/>
    </w:rPr>
  </w:style>
  <w:style w:type="paragraph" w:customStyle="1" w:styleId="698">
    <w:name w:val="图表头"/>
    <w:basedOn w:val="1"/>
    <w:uiPriority w:val="0"/>
    <w:pPr>
      <w:adjustRightInd w:val="0"/>
      <w:spacing w:line="360" w:lineRule="auto"/>
      <w:ind w:firstLine="0" w:firstLineChars="0"/>
      <w:jc w:val="center"/>
      <w:textAlignment w:val="baseline"/>
    </w:pPr>
    <w:rPr>
      <w:rFonts w:ascii="黑体" w:eastAsia="黑体"/>
      <w:spacing w:val="5"/>
      <w:kern w:val="0"/>
      <w:sz w:val="21"/>
      <w:szCs w:val="20"/>
    </w:rPr>
  </w:style>
  <w:style w:type="paragraph" w:customStyle="1" w:styleId="699">
    <w:name w:val="0表格内容"/>
    <w:qFormat/>
    <w:uiPriority w:val="0"/>
    <w:pPr>
      <w:tabs>
        <w:tab w:val="left" w:pos="0"/>
      </w:tabs>
      <w:spacing w:line="240" w:lineRule="atLeast"/>
      <w:jc w:val="center"/>
    </w:pPr>
    <w:rPr>
      <w:rFonts w:ascii="Times New Roman" w:hAnsi="Times New Roman" w:eastAsia="宋体" w:cs="Times New Roman"/>
      <w:kern w:val="2"/>
      <w:sz w:val="21"/>
      <w:szCs w:val="21"/>
      <w:lang w:val="en-US" w:eastAsia="zh-CN" w:bidi="ar-SA"/>
    </w:rPr>
  </w:style>
  <w:style w:type="character" w:customStyle="1" w:styleId="700">
    <w:name w:val="正文报告用 Char"/>
    <w:link w:val="701"/>
    <w:qFormat/>
    <w:locked/>
    <w:uiPriority w:val="0"/>
    <w:rPr>
      <w:sz w:val="24"/>
    </w:rPr>
  </w:style>
  <w:style w:type="paragraph" w:customStyle="1" w:styleId="701">
    <w:name w:val="正文报告用"/>
    <w:basedOn w:val="1"/>
    <w:link w:val="700"/>
    <w:qFormat/>
    <w:uiPriority w:val="0"/>
    <w:pPr>
      <w:spacing w:line="360" w:lineRule="auto"/>
    </w:pPr>
    <w:rPr>
      <w:kern w:val="0"/>
      <w:szCs w:val="20"/>
    </w:rPr>
  </w:style>
  <w:style w:type="paragraph" w:customStyle="1" w:styleId="702">
    <w:name w:val="_Style 1"/>
    <w:qFormat/>
    <w:uiPriority w:val="1"/>
    <w:pPr>
      <w:widowControl w:val="0"/>
      <w:jc w:val="both"/>
    </w:pPr>
    <w:rPr>
      <w:rFonts w:ascii="Calibri" w:hAnsi="Calibri" w:eastAsia="宋体" w:cs="Times New Roman"/>
      <w:kern w:val="2"/>
      <w:sz w:val="21"/>
      <w:szCs w:val="22"/>
      <w:lang w:val="en-US" w:eastAsia="zh-CN" w:bidi="ar-SA"/>
    </w:rPr>
  </w:style>
  <w:style w:type="paragraph" w:customStyle="1" w:styleId="703">
    <w:name w:val="Table Text"/>
    <w:basedOn w:val="1"/>
    <w:semiHidden/>
    <w:qFormat/>
    <w:uiPriority w:val="0"/>
    <w:rPr>
      <w:rFonts w:ascii="Arial" w:hAnsi="Arial" w:eastAsia="Arial" w:cs="Arial"/>
      <w:sz w:val="21"/>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54.jpeg"/><Relationship Id="rId98" Type="http://schemas.openxmlformats.org/officeDocument/2006/relationships/image" Target="media/image53.jpeg"/><Relationship Id="rId97" Type="http://schemas.openxmlformats.org/officeDocument/2006/relationships/image" Target="media/image52.jpeg"/><Relationship Id="rId96" Type="http://schemas.openxmlformats.org/officeDocument/2006/relationships/image" Target="media/image51.emf"/><Relationship Id="rId95" Type="http://schemas.openxmlformats.org/officeDocument/2006/relationships/oleObject" Target="embeddings/oleObject5.bin"/><Relationship Id="rId94" Type="http://schemas.openxmlformats.org/officeDocument/2006/relationships/image" Target="media/image50.png"/><Relationship Id="rId93" Type="http://schemas.openxmlformats.org/officeDocument/2006/relationships/image" Target="media/image49.png"/><Relationship Id="rId92" Type="http://schemas.openxmlformats.org/officeDocument/2006/relationships/image" Target="media/image48.png"/><Relationship Id="rId91" Type="http://schemas.openxmlformats.org/officeDocument/2006/relationships/image" Target="media/image47.png"/><Relationship Id="rId90" Type="http://schemas.openxmlformats.org/officeDocument/2006/relationships/image" Target="media/image46.png"/><Relationship Id="rId9" Type="http://schemas.openxmlformats.org/officeDocument/2006/relationships/header" Target="header4.xml"/><Relationship Id="rId89" Type="http://schemas.openxmlformats.org/officeDocument/2006/relationships/image" Target="media/image45.png"/><Relationship Id="rId88" Type="http://schemas.openxmlformats.org/officeDocument/2006/relationships/image" Target="media/image44.png"/><Relationship Id="rId87" Type="http://schemas.openxmlformats.org/officeDocument/2006/relationships/image" Target="media/image43.png"/><Relationship Id="rId86" Type="http://schemas.openxmlformats.org/officeDocument/2006/relationships/image" Target="media/image42.wmf"/><Relationship Id="rId85" Type="http://schemas.openxmlformats.org/officeDocument/2006/relationships/oleObject" Target="embeddings/oleObject4.bin"/><Relationship Id="rId84" Type="http://schemas.openxmlformats.org/officeDocument/2006/relationships/image" Target="media/image41.emf"/><Relationship Id="rId83" Type="http://schemas.openxmlformats.org/officeDocument/2006/relationships/image" Target="media/image40.png"/><Relationship Id="rId82" Type="http://schemas.openxmlformats.org/officeDocument/2006/relationships/image" Target="media/image39.jpeg"/><Relationship Id="rId81" Type="http://schemas.openxmlformats.org/officeDocument/2006/relationships/image" Target="media/image38.png"/><Relationship Id="rId80" Type="http://schemas.openxmlformats.org/officeDocument/2006/relationships/image" Target="media/image37.png"/><Relationship Id="rId8" Type="http://schemas.openxmlformats.org/officeDocument/2006/relationships/footer" Target="footer3.xml"/><Relationship Id="rId79" Type="http://schemas.openxmlformats.org/officeDocument/2006/relationships/image" Target="media/image36.wmf"/><Relationship Id="rId78" Type="http://schemas.openxmlformats.org/officeDocument/2006/relationships/oleObject" Target="embeddings/oleObject3.bin"/><Relationship Id="rId77" Type="http://schemas.openxmlformats.org/officeDocument/2006/relationships/image" Target="media/image35.emf"/><Relationship Id="rId76" Type="http://schemas.openxmlformats.org/officeDocument/2006/relationships/oleObject" Target="embeddings/oleObject2.bin"/><Relationship Id="rId75" Type="http://schemas.openxmlformats.org/officeDocument/2006/relationships/image" Target="media/image34.emf"/><Relationship Id="rId74" Type="http://schemas.openxmlformats.org/officeDocument/2006/relationships/oleObject" Target="embeddings/oleObject1.bin"/><Relationship Id="rId73" Type="http://schemas.openxmlformats.org/officeDocument/2006/relationships/image" Target="media/image33.png"/><Relationship Id="rId72" Type="http://schemas.openxmlformats.org/officeDocument/2006/relationships/image" Target="media/image32.png"/><Relationship Id="rId71" Type="http://schemas.openxmlformats.org/officeDocument/2006/relationships/image" Target="media/image31.png"/><Relationship Id="rId70" Type="http://schemas.openxmlformats.org/officeDocument/2006/relationships/image" Target="media/image30.png"/><Relationship Id="rId7" Type="http://schemas.openxmlformats.org/officeDocument/2006/relationships/footer" Target="footer2.xml"/><Relationship Id="rId69" Type="http://schemas.openxmlformats.org/officeDocument/2006/relationships/image" Target="media/image29.png"/><Relationship Id="rId68" Type="http://schemas.openxmlformats.org/officeDocument/2006/relationships/image" Target="media/image28.png"/><Relationship Id="rId67" Type="http://schemas.openxmlformats.org/officeDocument/2006/relationships/image" Target="media/image27.jpeg"/><Relationship Id="rId66" Type="http://schemas.openxmlformats.org/officeDocument/2006/relationships/image" Target="media/image26.jpeg"/><Relationship Id="rId65" Type="http://schemas.openxmlformats.org/officeDocument/2006/relationships/image" Target="media/image25.jpeg"/><Relationship Id="rId64" Type="http://schemas.openxmlformats.org/officeDocument/2006/relationships/image" Target="media/image24.png"/><Relationship Id="rId63" Type="http://schemas.openxmlformats.org/officeDocument/2006/relationships/image" Target="media/image23.jpeg"/><Relationship Id="rId62" Type="http://schemas.openxmlformats.org/officeDocument/2006/relationships/image" Target="media/image22.jpeg"/><Relationship Id="rId61" Type="http://schemas.openxmlformats.org/officeDocument/2006/relationships/image" Target="media/image21.jpeg"/><Relationship Id="rId60" Type="http://schemas.openxmlformats.org/officeDocument/2006/relationships/image" Target="media/image20.jpeg"/><Relationship Id="rId6" Type="http://schemas.openxmlformats.org/officeDocument/2006/relationships/footer" Target="footer1.xml"/><Relationship Id="rId59" Type="http://schemas.openxmlformats.org/officeDocument/2006/relationships/image" Target="media/image19.jpeg"/><Relationship Id="rId58" Type="http://schemas.openxmlformats.org/officeDocument/2006/relationships/image" Target="media/image18.jpeg"/><Relationship Id="rId57" Type="http://schemas.openxmlformats.org/officeDocument/2006/relationships/image" Target="media/image17.jpeg"/><Relationship Id="rId56" Type="http://schemas.openxmlformats.org/officeDocument/2006/relationships/image" Target="media/image16.jpeg"/><Relationship Id="rId55" Type="http://schemas.openxmlformats.org/officeDocument/2006/relationships/image" Target="media/image15.jpeg"/><Relationship Id="rId54" Type="http://schemas.openxmlformats.org/officeDocument/2006/relationships/image" Target="media/image14.jpeg"/><Relationship Id="rId53" Type="http://schemas.openxmlformats.org/officeDocument/2006/relationships/image" Target="media/image13.jpeg"/><Relationship Id="rId52" Type="http://schemas.openxmlformats.org/officeDocument/2006/relationships/image" Target="media/image12.jpeg"/><Relationship Id="rId51" Type="http://schemas.openxmlformats.org/officeDocument/2006/relationships/image" Target="media/image11.jpeg"/><Relationship Id="rId50" Type="http://schemas.openxmlformats.org/officeDocument/2006/relationships/image" Target="media/image10.jpeg"/><Relationship Id="rId5" Type="http://schemas.openxmlformats.org/officeDocument/2006/relationships/header" Target="header3.xml"/><Relationship Id="rId49" Type="http://schemas.openxmlformats.org/officeDocument/2006/relationships/image" Target="media/image9.jpeg"/><Relationship Id="rId48" Type="http://schemas.openxmlformats.org/officeDocument/2006/relationships/image" Target="media/image8.jpeg"/><Relationship Id="rId47" Type="http://schemas.openxmlformats.org/officeDocument/2006/relationships/image" Target="media/image7.jpeg"/><Relationship Id="rId46" Type="http://schemas.openxmlformats.org/officeDocument/2006/relationships/image" Target="media/image6.jpeg"/><Relationship Id="rId45" Type="http://schemas.openxmlformats.org/officeDocument/2006/relationships/image" Target="media/image5.jpeg"/><Relationship Id="rId44" Type="http://schemas.openxmlformats.org/officeDocument/2006/relationships/image" Target="media/image4.jpeg"/><Relationship Id="rId43" Type="http://schemas.openxmlformats.org/officeDocument/2006/relationships/image" Target="media/image3.jpeg"/><Relationship Id="rId42" Type="http://schemas.openxmlformats.org/officeDocument/2006/relationships/image" Target="media/image2.png"/><Relationship Id="rId41" Type="http://schemas.openxmlformats.org/officeDocument/2006/relationships/image" Target="media/image1.jpeg"/><Relationship Id="rId40" Type="http://schemas.openxmlformats.org/officeDocument/2006/relationships/theme" Target="theme/theme1.xml"/><Relationship Id="rId4" Type="http://schemas.openxmlformats.org/officeDocument/2006/relationships/header" Target="header2.xml"/><Relationship Id="rId39" Type="http://schemas.openxmlformats.org/officeDocument/2006/relationships/footer" Target="footer28.xml"/><Relationship Id="rId38" Type="http://schemas.openxmlformats.org/officeDocument/2006/relationships/footer" Target="footer27.xml"/><Relationship Id="rId37" Type="http://schemas.openxmlformats.org/officeDocument/2006/relationships/footer" Target="footer26.xml"/><Relationship Id="rId36" Type="http://schemas.openxmlformats.org/officeDocument/2006/relationships/header" Target="header9.xml"/><Relationship Id="rId35" Type="http://schemas.openxmlformats.org/officeDocument/2006/relationships/header" Target="header8.xml"/><Relationship Id="rId34" Type="http://schemas.openxmlformats.org/officeDocument/2006/relationships/header" Target="header7.xml"/><Relationship Id="rId33" Type="http://schemas.openxmlformats.org/officeDocument/2006/relationships/footer" Target="footer25.xml"/><Relationship Id="rId32" Type="http://schemas.openxmlformats.org/officeDocument/2006/relationships/footer" Target="footer24.xml"/><Relationship Id="rId31" Type="http://schemas.openxmlformats.org/officeDocument/2006/relationships/footer" Target="footer23.xml"/><Relationship Id="rId30" Type="http://schemas.openxmlformats.org/officeDocument/2006/relationships/footer" Target="footer22.xml"/><Relationship Id="rId3" Type="http://schemas.openxmlformats.org/officeDocument/2006/relationships/header" Target="header1.xml"/><Relationship Id="rId29" Type="http://schemas.openxmlformats.org/officeDocument/2006/relationships/footer" Target="footer21.xml"/><Relationship Id="rId28" Type="http://schemas.openxmlformats.org/officeDocument/2006/relationships/footer" Target="footer20.xml"/><Relationship Id="rId27" Type="http://schemas.openxmlformats.org/officeDocument/2006/relationships/footer" Target="footer19.xml"/><Relationship Id="rId26" Type="http://schemas.openxmlformats.org/officeDocument/2006/relationships/footer" Target="footer18.xml"/><Relationship Id="rId25" Type="http://schemas.openxmlformats.org/officeDocument/2006/relationships/footer" Target="footer17.xml"/><Relationship Id="rId24" Type="http://schemas.openxmlformats.org/officeDocument/2006/relationships/footer" Target="footer16.xml"/><Relationship Id="rId23" Type="http://schemas.openxmlformats.org/officeDocument/2006/relationships/footer" Target="footer15.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footer" Target="footer10.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footer" Target="footer4.xml"/><Relationship Id="rId109" Type="http://schemas.openxmlformats.org/officeDocument/2006/relationships/fontTable" Target="fontTable.xml"/><Relationship Id="rId108" Type="http://schemas.openxmlformats.org/officeDocument/2006/relationships/customXml" Target="../customXml/item1.xml"/><Relationship Id="rId107" Type="http://schemas.openxmlformats.org/officeDocument/2006/relationships/image" Target="media/image61.emf"/><Relationship Id="rId106" Type="http://schemas.openxmlformats.org/officeDocument/2006/relationships/oleObject" Target="embeddings/oleObject6.bin"/><Relationship Id="rId105" Type="http://schemas.openxmlformats.org/officeDocument/2006/relationships/image" Target="media/image60.jpeg"/><Relationship Id="rId104" Type="http://schemas.openxmlformats.org/officeDocument/2006/relationships/image" Target="media/image59.jpeg"/><Relationship Id="rId103" Type="http://schemas.openxmlformats.org/officeDocument/2006/relationships/image" Target="media/image58.jpeg"/><Relationship Id="rId102" Type="http://schemas.openxmlformats.org/officeDocument/2006/relationships/image" Target="media/image57.jpeg"/><Relationship Id="rId101" Type="http://schemas.openxmlformats.org/officeDocument/2006/relationships/image" Target="media/image56.jpeg"/><Relationship Id="rId100" Type="http://schemas.openxmlformats.org/officeDocument/2006/relationships/image" Target="media/image55.jpe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1"/>
    <customShpInfo spid="_x0000_s2050"/>
    <customShpInfo spid="_x0000_s2049"/>
    <customShpInfo spid="_x0000_s1441"/>
    <customShpInfo spid="_x0000_s1450"/>
    <customShpInfo spid="_x0000_s1442"/>
    <customShpInfo spid="_x0000_s1443"/>
    <customShpInfo spid="_x0000_s1456"/>
    <customShpInfo spid="_x0000_s1452"/>
    <customShpInfo spid="_x0000_s1455"/>
    <customShpInfo spid="_x0000_s1454"/>
    <customShpInfo spid="_x0000_s1453"/>
    <customShpInfo spid="_x0000_s1469"/>
    <customShpInfo spid="_x0000_s1471"/>
    <customShpInfo spid="_x0000_s1470"/>
    <customShpInfo spid="_x0000_s1468"/>
    <customShpInfo spid="_x0000_s1410"/>
    <customShpInfo spid="_x0000_s1412"/>
    <customShpInfo spid="_x0000_s1411"/>
    <customShpInfo spid="_x0000_s1784"/>
    <customShpInfo spid="_x0000_s1783"/>
    <customShpInfo spid="_x0000_s1785"/>
    <customShpInfo spid="_x0000_s1786"/>
    <customShpInfo spid="_x0000_s1477"/>
    <customShpInfo spid="_x0000_s1478"/>
    <customShpInfo spid="_x0000_s1479"/>
    <customShpInfo spid="_x0000_s1514"/>
    <customShpInfo spid="_x0000_s1516"/>
    <customShpInfo spid="_x0000_s1515"/>
    <customShpInfo spid="_x0000_s1488"/>
    <customShpInfo spid="_x0000_s1487"/>
    <customShpInfo spid="_x0000_s1485"/>
    <customShpInfo spid="_x0000_s1498"/>
    <customShpInfo spid="_x0000_s1501"/>
    <customShpInfo spid="_x0000_s1499"/>
    <customShpInfo spid="_x0000_s1500"/>
    <customShpInfo spid="_x0000_s1325"/>
    <customShpInfo spid="_x0000_s1432"/>
    <customShpInfo spid="_x0000_s1240"/>
    <customShpInfo spid="_x0000_s1556"/>
    <customShpInfo spid="_x0000_s1553"/>
    <customShpInfo spid="_x0000_s1555"/>
    <customShpInfo spid="_x0000_s1554"/>
    <customShpInfo spid="_x0000_s1552"/>
    <customShpInfo spid="_x0000_s1550"/>
    <customShpInfo spid="_x0000_s1551"/>
    <customShpInfo spid="_x0000_s1549"/>
    <customShpInfo spid="_x0000_s1548"/>
    <customShpInfo spid="_x0000_s1547"/>
    <customShpInfo spid="_x0000_s1546"/>
    <customShpInfo spid="_x0000_s1545"/>
    <customShpInfo spid="_x0000_s1544"/>
    <customShpInfo spid="_x0000_s1543"/>
    <customShpInfo spid="_x0000_s1542"/>
    <customShpInfo spid="_x0000_s1541"/>
    <customShpInfo spid="_x0000_s1540"/>
    <customShpInfo spid="_x0000_s1539"/>
    <customShpInfo spid="_x0000_s1538"/>
    <customShpInfo spid="_x0000_s1537"/>
    <customShpInfo spid="_x0000_s1536"/>
    <customShpInfo spid="_x0000_s1535"/>
    <customShpInfo spid="_x0000_s1534"/>
    <customShpInfo spid="_x0000_s1533"/>
    <customShpInfo spid="_x0000_s1532"/>
    <customShpInfo spid="_x0000_s1531"/>
    <customShpInfo spid="_x0000_s1530"/>
    <customShpInfo spid="_x0000_s1529"/>
    <customShpInfo spid="_x0000_s1528"/>
    <customShpInfo spid="_x0000_s1527"/>
    <customShpInfo spid="_x0000_s1242"/>
    <customShpInfo spid="_x0000_s1524"/>
    <customShpInfo spid="_x0000_s1241"/>
    <customShpInfo spid="_x0000_s1568"/>
    <customShpInfo spid="_x0000_s1565"/>
    <customShpInfo spid="_x0000_s1564"/>
    <customShpInfo spid="_x0000_s1563"/>
    <customShpInfo spid="_x0000_s1562"/>
    <customShpInfo spid="_x0000_s1561"/>
    <customShpInfo spid="_x0000_s1560"/>
    <customShpInfo spid="_x0000_s1559"/>
    <customShpInfo spid="_x0000_s1557"/>
    <customShpInfo spid="_x0000_s1570"/>
    <customShpInfo spid="_x0000_s1569"/>
    <customShpInfo spid="_x0000_s1222"/>
    <customShpInfo spid="_x0000_s1585"/>
    <customShpInfo spid="_x0000_s1584"/>
    <customShpInfo spid="_x0000_s1583"/>
    <customShpInfo spid="_x0000_s1582"/>
    <customShpInfo spid="_x0000_s1581"/>
    <customShpInfo spid="_x0000_s1580"/>
    <customShpInfo spid="_x0000_s1579"/>
    <customShpInfo spid="_x0000_s1578"/>
    <customShpInfo spid="_x0000_s1577"/>
    <customShpInfo spid="_x0000_s1576"/>
    <customShpInfo spid="_x0000_s1575"/>
    <customShpInfo spid="_x0000_s1574"/>
    <customShpInfo spid="_x0000_s1573"/>
    <customShpInfo spid="_x0000_s1571"/>
    <customShpInfo spid="_x0000_s1624"/>
    <customShpInfo spid="_x0000_s1622"/>
    <customShpInfo spid="_x0000_s1621"/>
    <customShpInfo spid="_x0000_s1618"/>
    <customShpInfo spid="_x0000_s1620"/>
    <customShpInfo spid="_x0000_s1619"/>
    <customShpInfo spid="_x0000_s1617"/>
    <customShpInfo spid="_x0000_s1616"/>
    <customShpInfo spid="_x0000_s1615"/>
    <customShpInfo spid="_x0000_s1614"/>
    <customShpInfo spid="_x0000_s1613"/>
    <customShpInfo spid="_x0000_s1612"/>
    <customShpInfo spid="_x0000_s1610"/>
    <customShpInfo spid="_x0000_s1609"/>
    <customShpInfo spid="_x0000_s1611"/>
    <customShpInfo spid="_x0000_s1608"/>
    <customShpInfo spid="_x0000_s1606"/>
    <customShpInfo spid="_x0000_s1607"/>
    <customShpInfo spid="_x0000_s1605"/>
    <customShpInfo spid="_x0000_s1604"/>
    <customShpInfo spid="_x0000_s1603"/>
    <customShpInfo spid="_x0000_s1600"/>
    <customShpInfo spid="_x0000_s1602"/>
    <customShpInfo spid="_x0000_s1601"/>
    <customShpInfo spid="_x0000_s1599"/>
    <customShpInfo spid="_x0000_s1598"/>
    <customShpInfo spid="_x0000_s1597"/>
    <customShpInfo spid="_x0000_s1596"/>
    <customShpInfo spid="_x0000_s1595"/>
    <customShpInfo spid="_x0000_s1592"/>
    <customShpInfo spid="_x0000_s1593"/>
    <customShpInfo spid="_x0000_s1594"/>
    <customShpInfo spid="_x0000_s1590"/>
    <customShpInfo spid="_x0000_s1589"/>
    <customShpInfo spid="_x0000_s1586"/>
    <customShpInfo spid="_x0000_s1213"/>
    <customShpInfo spid="_x0000_s1634"/>
    <customShpInfo spid="_x0000_s1633"/>
    <customShpInfo spid="_x0000_s1630"/>
    <customShpInfo spid="_x0000_s1632"/>
    <customShpInfo spid="_x0000_s1631"/>
    <customShpInfo spid="_x0000_s1629"/>
    <customShpInfo spid="_x0000_s1628"/>
    <customShpInfo spid="_x0000_s1627"/>
    <customShpInfo spid="_x0000_s1626"/>
    <customShpInfo spid="_x0000_s1625"/>
    <customShpInfo spid="_x0000_s1646"/>
    <customShpInfo spid="_x0000_s1644"/>
    <customShpInfo spid="_x0000_s1645"/>
    <customShpInfo spid="_x0000_s1643"/>
    <customShpInfo spid="_x0000_s1642"/>
    <customShpInfo spid="_x0000_s1641"/>
    <customShpInfo spid="_x0000_s1640"/>
    <customShpInfo spid="_x0000_s1639"/>
    <customShpInfo spid="_x0000_s1638"/>
    <customShpInfo spid="_x0000_s1637"/>
    <customShpInfo spid="_x0000_s1636"/>
    <customShpInfo spid="_x0000_s1635"/>
    <customShpInfo spid="_x0000_s1647"/>
    <customShpInfo spid="_x0000_s1651"/>
    <customShpInfo spid="_x0000_s1650"/>
    <customShpInfo spid="_x0000_s1649"/>
    <customShpInfo spid="_x0000_s1648"/>
    <customShpInfo spid="_x0000_s1654"/>
    <customShpInfo spid="_x0000_s1695"/>
    <customShpInfo spid="_x0000_s1694"/>
    <customShpInfo spid="_x0000_s1693"/>
    <customShpInfo spid="_x0000_s1692"/>
    <customShpInfo spid="_x0000_s1691"/>
    <customShpInfo spid="_x0000_s1690"/>
    <customShpInfo spid="_x0000_s1689"/>
    <customShpInfo spid="_x0000_s1688"/>
    <customShpInfo spid="_x0000_s1687"/>
    <customShpInfo spid="_x0000_s1686"/>
    <customShpInfo spid="_x0000_s1685"/>
    <customShpInfo spid="_x0000_s1684"/>
    <customShpInfo spid="_x0000_s1683"/>
    <customShpInfo spid="_x0000_s1682"/>
    <customShpInfo spid="_x0000_s1681"/>
    <customShpInfo spid="_x0000_s1680"/>
    <customShpInfo spid="_x0000_s1679"/>
    <customShpInfo spid="_x0000_s1678"/>
    <customShpInfo spid="_x0000_s1677"/>
    <customShpInfo spid="_x0000_s1676"/>
    <customShpInfo spid="_x0000_s1675"/>
    <customShpInfo spid="_x0000_s1674"/>
    <customShpInfo spid="_x0000_s1673"/>
    <customShpInfo spid="_x0000_s1671"/>
    <customShpInfo spid="_x0000_s1669"/>
    <customShpInfo spid="_x0000_s1670"/>
    <customShpInfo spid="_x0000_s1672"/>
    <customShpInfo spid="_x0000_s1668"/>
    <customShpInfo spid="_x0000_s1662"/>
    <customShpInfo spid="_x0000_s1665"/>
    <customShpInfo spid="_x0000_s1666"/>
    <customShpInfo spid="_x0000_s1667"/>
    <customShpInfo spid="_x0000_s1664"/>
    <customShpInfo spid="_x0000_s1663"/>
    <customShpInfo spid="_x0000_s1696"/>
    <customShpInfo spid="_x0000_s1772"/>
    <customShpInfo spid="_x0000_s1771"/>
    <customShpInfo spid="_x0000_s1770"/>
    <customShpInfo spid="_x0000_s1769"/>
    <customShpInfo spid="_x0000_s1768"/>
    <customShpInfo spid="_x0000_s1767"/>
    <customShpInfo spid="_x0000_s1766"/>
    <customShpInfo spid="_x0000_s1765"/>
    <customShpInfo spid="_x0000_s1764"/>
    <customShpInfo spid="_x0000_s1763"/>
    <customShpInfo spid="_x0000_s1762"/>
    <customShpInfo spid="_x0000_s1761"/>
    <customShpInfo spid="_x0000_s1760"/>
    <customShpInfo spid="_x0000_s1759"/>
    <customShpInfo spid="_x0000_s1757"/>
    <customShpInfo spid="_x0000_s1756"/>
    <customShpInfo spid="_x0000_s1755"/>
    <customShpInfo spid="_x0000_s1754"/>
    <customShpInfo spid="_x0000_s1753"/>
    <customShpInfo spid="_x0000_s1758"/>
    <customShpInfo spid="_x0000_s1752"/>
    <customShpInfo spid="_x0000_s1751"/>
    <customShpInfo spid="_x0000_s1750"/>
    <customShpInfo spid="_x0000_s1749"/>
    <customShpInfo spid="_x0000_s1748"/>
    <customShpInfo spid="_x0000_s1747"/>
    <customShpInfo spid="_x0000_s1746"/>
    <customShpInfo spid="_x0000_s1743"/>
    <customShpInfo spid="_x0000_s1745"/>
    <customShpInfo spid="_x0000_s1744"/>
    <customShpInfo spid="_x0000_s1742"/>
    <customShpInfo spid="_x0000_s1741"/>
    <customShpInfo spid="_x0000_s1740"/>
    <customShpInfo spid="_x0000_s1739"/>
    <customShpInfo spid="_x0000_s1738"/>
    <customShpInfo spid="_x0000_s1737"/>
    <customShpInfo spid="_x0000_s1736"/>
    <customShpInfo spid="_x0000_s1734"/>
    <customShpInfo spid="_x0000_s1735"/>
    <customShpInfo spid="_x0000_s1733"/>
    <customShpInfo spid="_x0000_s1732"/>
    <customShpInfo spid="_x0000_s1728"/>
    <customShpInfo spid="_x0000_s1729"/>
    <customShpInfo spid="_x0000_s1730"/>
    <customShpInfo spid="_x0000_s1731"/>
    <customShpInfo spid="_x0000_s1727"/>
    <customShpInfo spid="_x0000_s1724"/>
    <customShpInfo spid="_x0000_s1726"/>
    <customShpInfo spid="_x0000_s1725"/>
    <customShpInfo spid="_x0000_s1723"/>
    <customShpInfo spid="_x0000_s1722"/>
    <customShpInfo spid="_x0000_s1721"/>
    <customShpInfo spid="_x0000_s1720"/>
    <customShpInfo spid="_x0000_s1719"/>
    <customShpInfo spid="_x0000_s1718"/>
    <customShpInfo spid="_x0000_s1717"/>
    <customShpInfo spid="_x0000_s1716"/>
    <customShpInfo spid="_x0000_s1715"/>
    <customShpInfo spid="_x0000_s1714"/>
    <customShpInfo spid="_x0000_s1713"/>
    <customShpInfo spid="_x0000_s1712"/>
    <customShpInfo spid="_x0000_s1711"/>
    <customShpInfo spid="_x0000_s1708"/>
    <customShpInfo spid="_x0000_s1709"/>
    <customShpInfo spid="_x0000_s1710"/>
    <customShpInfo spid="_x0000_s1706"/>
    <customShpInfo spid="_x0000_s1707"/>
    <customShpInfo spid="_x0000_s1705"/>
    <customShpInfo spid="_x0000_s1704"/>
    <customShpInfo spid="_x0000_s1703"/>
    <customShpInfo spid="_x0000_s1702"/>
    <customShpInfo spid="_x0000_s1701"/>
    <customShpInfo spid="_x0000_s1700"/>
    <customShpInfo spid="_x0000_s1699"/>
    <customShpInfo spid="_x0000_s169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191</Pages>
  <Words>21336</Words>
  <Characters>121620</Characters>
  <Lines>1013</Lines>
  <Paragraphs>285</Paragraphs>
  <TotalTime>2048</TotalTime>
  <ScaleCrop>false</ScaleCrop>
  <LinksUpToDate>false</LinksUpToDate>
  <CharactersWithSpaces>142671</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2023-07-17T06:31:00Z</dcterms:created>
  <dc:creator>PC</dc:creator>
  <cp:lastModifiedBy>Administrator</cp:lastModifiedBy>
  <cp:lastPrinted>2020-08-14T04:45:00Z</cp:lastPrinted>
  <dcterms:modified xsi:type="dcterms:W3CDTF">2023-08-29T02:27:01Z</dcterms:modified>
  <cp:revision>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y fmtid="{D5CDD505-2E9C-101B-9397-08002B2CF9AE}" pid="3" name="ICV">
    <vt:lpwstr>CCBD38602C0A4C62A9A90E2FA96CB6DD_12</vt:lpwstr>
  </property>
</Properties>
</file>